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Департамента культуры г. Москвы от 01.02.2021 N 37/ОД</w:t>
              <w:br/>
              <w:t xml:space="preserve">(ред. от 04.06.2024)</w:t>
              <w:br/>
              <w:t xml:space="preserve">"Об утверждении Временного порядка выдачи Департаментом культуры города Москвы заключений о соответствии качества оказываемых социально ориентированной некоммерческой организацией общественно полезных услуг установленным критериям"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20.12.2024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МОСКВЫ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ДЕПАРТАМЕНТ КУЛЬТУРЫ ГОРОДА МОСКВЫ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1 февраля 2021 г. N 37/ОД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ВРЕМЕННОГО ПОРЯДКА ВЫДАЧИ ДЕПАРТАМЕНТОМ</w:t>
      </w:r>
    </w:p>
    <w:p>
      <w:pPr>
        <w:pStyle w:val="2"/>
        <w:jc w:val="center"/>
      </w:pPr>
      <w:r>
        <w:rPr>
          <w:sz w:val="20"/>
        </w:rPr>
        <w:t xml:space="preserve">КУЛЬТУРЫ ГОРОДА МОСКВЫ ЗАКЛЮЧЕНИЙ О СООТВЕТСТВИИ КАЧЕСТВА</w:t>
      </w:r>
    </w:p>
    <w:p>
      <w:pPr>
        <w:pStyle w:val="2"/>
        <w:jc w:val="center"/>
      </w:pPr>
      <w:r>
        <w:rPr>
          <w:sz w:val="20"/>
        </w:rPr>
        <w:t xml:space="preserve">ОКАЗЫВАЕМЫХ СОЦИАЛЬНО ОРИЕНТИРОВАННОЙ НЕКОММЕРЧЕСКОЙ</w:t>
      </w:r>
    </w:p>
    <w:p>
      <w:pPr>
        <w:pStyle w:val="2"/>
        <w:jc w:val="center"/>
      </w:pPr>
      <w:r>
        <w:rPr>
          <w:sz w:val="20"/>
        </w:rPr>
        <w:t xml:space="preserve">ОРГАНИЗАЦИЕЙ ОБЩЕСТВЕННО ПОЛЕЗНЫХ УСЛУГ</w:t>
      </w:r>
    </w:p>
    <w:p>
      <w:pPr>
        <w:pStyle w:val="2"/>
        <w:jc w:val="center"/>
      </w:pPr>
      <w:r>
        <w:rPr>
          <w:sz w:val="20"/>
        </w:rPr>
        <w:t xml:space="preserve">УСТАНОВЛЕННЫМ КРИТЕРИЯМ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7" w:tooltip="Приказ Департамента культуры г. Москвы от 04.06.2024 N 519/ОД &quot;О внесении изменения в приказ Департамента культуры города Москвы от 1 февраля 2021 г. N 37/ОД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Департамента культуры г. Москвы от 04.06.2024 N 519/ОД)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Постановление Правительства Москвы от 23.07.2013 N 484-ПП (ред. от 30.07.2024) &quot;Об утверждении Положения о Департаменте культуры города Москвы&quot; {КонсультантПлюс}">
        <w:r>
          <w:rPr>
            <w:sz w:val="20"/>
            <w:color w:val="0000ff"/>
          </w:rPr>
          <w:t xml:space="preserve">пунктом 4.32(6)</w:t>
        </w:r>
      </w:hyperlink>
      <w:r>
        <w:rPr>
          <w:sz w:val="20"/>
        </w:rPr>
        <w:t xml:space="preserve"> Положения о Департаменте культуры города Москвы, утвержденного постановлением Правительства Москвы от 23 июля 2013 г. N 484-ПП, приказываю: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Временный </w:t>
      </w:r>
      <w:hyperlink w:history="0" w:anchor="P32" w:tooltip="ВРЕМЕННЫЙ 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выдачи Департаментом культуры города Москвы заключений о соответствии качества оказываемых социально ориентированной некоммерческой организацией общественно полезных услуг установленным критериям согласно приложению к настоящему приказу.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Контроль за выполнением настоящего приказа оставляю за собой.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Руководитель</w:t>
      </w:r>
    </w:p>
    <w:p>
      <w:pPr>
        <w:pStyle w:val="0"/>
        <w:jc w:val="right"/>
      </w:pPr>
      <w:r>
        <w:rPr>
          <w:sz w:val="20"/>
        </w:rPr>
        <w:t xml:space="preserve">А.В. Кибовский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приказу Департамента</w:t>
      </w:r>
    </w:p>
    <w:p>
      <w:pPr>
        <w:pStyle w:val="0"/>
        <w:jc w:val="right"/>
      </w:pPr>
      <w:r>
        <w:rPr>
          <w:sz w:val="20"/>
        </w:rPr>
        <w:t xml:space="preserve">культуры города Москвы</w:t>
      </w:r>
    </w:p>
    <w:p>
      <w:pPr>
        <w:pStyle w:val="0"/>
        <w:jc w:val="right"/>
      </w:pPr>
      <w:r>
        <w:rPr>
          <w:sz w:val="20"/>
        </w:rPr>
        <w:t xml:space="preserve">от 1 февраля 2021 г. N 37/ОД</w:t>
      </w:r>
    </w:p>
    <w:p>
      <w:pPr>
        <w:pStyle w:val="0"/>
        <w:jc w:val="both"/>
      </w:pPr>
      <w:r>
        <w:rPr>
          <w:sz w:val="20"/>
        </w:rPr>
      </w:r>
    </w:p>
    <w:bookmarkStart w:id="32" w:name="P32"/>
    <w:bookmarkEnd w:id="32"/>
    <w:p>
      <w:pPr>
        <w:pStyle w:val="2"/>
        <w:jc w:val="center"/>
      </w:pPr>
      <w:r>
        <w:rPr>
          <w:sz w:val="20"/>
        </w:rPr>
        <w:t xml:space="preserve">ВРЕМЕННЫЙ ПОРЯДОК</w:t>
      </w:r>
    </w:p>
    <w:p>
      <w:pPr>
        <w:pStyle w:val="2"/>
        <w:jc w:val="center"/>
      </w:pPr>
      <w:r>
        <w:rPr>
          <w:sz w:val="20"/>
        </w:rPr>
        <w:t xml:space="preserve">ВЫДАЧИ ДЕПАРТАМЕНТОМ КУЛЬТУРЫ ГОРОДА МОСКВЫ ЗАКЛЮЧЕНИЙ</w:t>
      </w:r>
    </w:p>
    <w:p>
      <w:pPr>
        <w:pStyle w:val="2"/>
        <w:jc w:val="center"/>
      </w:pPr>
      <w:r>
        <w:rPr>
          <w:sz w:val="20"/>
        </w:rPr>
        <w:t xml:space="preserve">О СООТВЕТСТВИИ КАЧЕСТВА ОКАЗЫВАЕМЫХ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ОРИЕНТИРОВАННОЙ НЕКОММЕРЧЕСКОЙ ОРГАНИЗАЦИЕЙ ОБЩЕСТВЕННО</w:t>
      </w:r>
    </w:p>
    <w:p>
      <w:pPr>
        <w:pStyle w:val="2"/>
        <w:jc w:val="center"/>
      </w:pPr>
      <w:r>
        <w:rPr>
          <w:sz w:val="20"/>
        </w:rPr>
        <w:t xml:space="preserve">ПОЛЕЗНЫХ УСЛУГ УСТАНОВЛЕННЫМ КРИТЕРИЯМ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9" w:tooltip="Приказ Департамента культуры г. Москвы от 04.06.2024 N 519/ОД &quot;О внесении изменения в приказ Департамента культуры города Москвы от 1 февраля 2021 г. N 37/ОД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Департамента культуры г. Москвы от 04.06.2024 N 519/ОД)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Временный порядок устанавливает сроки и последовательность процедур (действий) Департамента культуры города Москвы (далее - Департамент) при рассмотрении заявлений социально ориентированных некоммерческих организаций (далее - организация) о выдаче заключений о соответствии качества оказываемых организацией общественно полезных услуг установленным критериям (далее - заключение) в сфере культуры и организации отдыха и оздоровления детей.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Настоящий Временный порядок также устанавливает порядок взаимодействия между структурными подразделениями Департамента и их должностными лицами, между Департаментом и юридическими лицами, их уполномоченными представителями, иными органами государственной власти и органами местного самоуправления, учреждениями и организациями в процессе рассмотрения заявлений организаций о выдаче заключения.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Заявителями являются социально ориентированные некоммерческие организации (далее - заявитель), осуществляющие деятельность в сфере культуры и организации отдыха и оздоровления детей, зарегистрированные на территории города Москвы, оказывающие на протяжении одного года и более на территории города Москвы общественно полезные услуги, утвержденные </w:t>
      </w:r>
      <w:hyperlink w:history="0" r:id="rId10" w:tooltip="Постановление Правительства РФ от 26.01.2017 N 89 (ред. от 20.03.2023) &quot;О реестре некоммерческих организаций - исполнителей общественно полезных услуг&quot; (вместе с &quot;Правилами принятия решения о признании социально ориентированной некоммерческой организации исполнителем общественно полезных услуг&quot;, &quot;Правилами ведения реестра некоммерческих организаций - исполнителей общественно полезных услуг&quot;)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26 января 2017 г. N 89 "О реестре некоммерческих организаций - исполнителей общественно полезных услуг" (далее - постановление РФ N 89), в установленной сфере деятельности Департамента в соответствии с </w:t>
      </w:r>
      <w:hyperlink w:history="0" r:id="rId11" w:tooltip="Постановление Правительства Москвы от 23.07.2013 N 484-ПП (ред. от 30.07.2024) &quot;Об утверждении Положения о Департаменте культуры города Москвы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Москвы от 23 июля 2013 г. N 484-ПП.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 имени заявителей могут выступать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специальными полномочиями выступать от имени заявителей.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Информацию по вопросам выдачи Департаментом заключений можно получить по телефону "горячей линии" Единой справочной службы Москвы: +7(495) 777-77-77, на официальном сайте Департамента в информационно-телекоммуникационной сети Интернет по адресу: </w:t>
      </w:r>
      <w:hyperlink w:history="0" r:id="rId12">
        <w:r>
          <w:rPr>
            <w:sz w:val="20"/>
            <w:color w:val="0000ff"/>
          </w:rPr>
          <w:t xml:space="preserve">https://www.mos.ru/kultura</w:t>
        </w:r>
      </w:hyperlink>
      <w:r>
        <w:rPr>
          <w:sz w:val="20"/>
        </w:rPr>
        <w:t xml:space="preserve"> (далее - сеть Интернет).</w:t>
      </w:r>
    </w:p>
    <w:bookmarkStart w:id="47" w:name="P47"/>
    <w:bookmarkEnd w:id="4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Информация о месте нахождения, справочных телефонах, графике работы, адресах электронной почты Департамента: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место нахождения Департамента: 107031, г. Москва, ул. Петровка, д. 17, стр. 11, единый телефон: +7(495) 777-77-77; адрес электронной почты: priemnaja@culture.mos.ru.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График работы Департамента: открыто до 17.00;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понедельник - четверг: 8.00-17.00;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пятница: 8.00-15.45;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перерыв на обед: 12.00-12.45;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суббота, воскресенье - выходные дни.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Выходные и нерабочие праздничные дни устанавливаются в соответствии с Трудовым </w:t>
      </w:r>
      <w:hyperlink w:history="0" r:id="rId13" w:tooltip="&quot;Трудовой кодекс Российской Федерации&quot; от 30.12.2001 N 197-ФЗ (ред. от 13.12.2024)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Порядок выдачи Департаментом заключений</w:t>
      </w:r>
    </w:p>
    <w:p>
      <w:pPr>
        <w:pStyle w:val="0"/>
        <w:jc w:val="both"/>
      </w:pPr>
      <w:r>
        <w:rPr>
          <w:sz w:val="20"/>
        </w:rPr>
      </w:r>
    </w:p>
    <w:bookmarkStart w:id="58" w:name="P58"/>
    <w:bookmarkEnd w:id="58"/>
    <w:p>
      <w:pPr>
        <w:pStyle w:val="0"/>
        <w:ind w:firstLine="540"/>
        <w:jc w:val="both"/>
      </w:pPr>
      <w:r>
        <w:rPr>
          <w:sz w:val="20"/>
        </w:rPr>
        <w:t xml:space="preserve">5. Выдача Департаментом заключений в соответствии с </w:t>
      </w:r>
      <w:hyperlink w:history="0" r:id="rId14" w:tooltip="Постановление Правительства РФ от 26.01.2017 N 89 (ред. от 20.03.2023) &quot;О реестре некоммерческих организаций - исполнителей общественно полезных услуг&quot; (вместе с &quot;Правилами принятия решения о признании социально ориентированной некоммерческой организации исполнителем общественно полезных услуг&quot;, &quot;Правилами ведения реестра некоммерческих организаций - исполнителей общественно полезных услуг&quot;)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РФ N 89 предоставляется в отношении следующих услуг, оказываемых заявителем: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5.1. Услуги, предусматривающие реабилитацию и социальную адаптацию инвалидов, социальное сопровождение семей, воспитывающих детей с ограниченными возможностями здоровья: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5.1.1. Проведение социокультурной реабилитации или абилитации инвалидов.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5.2. Оказание помощи семье в воспитании детей: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5.2.1. Формирование позитивных интересов (в том числе в сфере досуга).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5.2.2. Организация и проведение культурно-массовых мероприятий.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5.2.3. Осуществление экскурсионного обслуживания.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5.2.4. Показ (организация показа) спектаклей (театральных постановок).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5.2.5. Показ (организация показа) концертов и концертных программ.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5.3. Услуги по организации отдыха и оздоровления детей, в том числе детей с ограниченными возможностями здоровья и детей, находящихся в трудной жизненной ситуации, в том числе организация деятельности специализированных (профильных) лагерей: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5.3.1. Организация отдыха детей и молодежи.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5.4. Услуги по сбору, обобщению и анализу информации о качестве оказания услуг организациями культуры, социального обслуживания, медицинскими организациями и организациями, осуществляющими образовательную деятельность, осуществляемые организацией-оператором в соответствии с Федеральным </w:t>
      </w:r>
      <w:hyperlink w:history="0" r:id="rId15" w:tooltip="Федеральный закон от 21.07.2014 N 256-ФЗ (ред. от 05.12.2017) &quot;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, охраны здоровья и образования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21 июля 2014 г. N 256-ФЗ "О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обслуживания, охраны здоровья и образования" в части популяризации системы независимой оценки качества оказания услуг организациями в сфере культуры, социального обслуживания, охраны здоровья и образования и возможности участия в ней потребителей услуг, вовлечение граждан в независимую оценку.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5.5. Услуги, предусматривающие медико-социальное сопровождение лиц, страдающих тяжелыми заболеваниями, и лиц, нуждающихся в медицинской паллиативной помощи, включая организацию оказания медицинской паллиативной помощи и содействие в ее получении: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5.5.1. Организация и проведение культурно-массовых мероприятий.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5.5.2. Показ (организация показа) спектаклей (театральных постановок).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5.5.3. Показ (организация показа) концертов и концертных программ.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5.6. Деятельность по оказанию услуг, направленных на развитие межнационального сотрудничества, сохранение и защиту самобытности, культуры, языков и традиций народов Российской Федерации, социальную и культурную адаптацию и интеграцию мигрантов: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5.6.1. Организация и проведение культурно-массовых мероприятий (лектории, семинары, фестивали, культурно-просветительские проекты).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5.6.2. Создание экспозиций (выставок) музеев, организация выездных выставок.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5.6.3. Создание спектаклей.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5.6.4. Создание концертов и концертных программ.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5.6.5. Показ (организация показа) спектаклей (театральных постановок).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5.6.6. Показ (организация показа) концертов и концертных программ.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5.6.7. Услуги в сфере дополнительного образования, обеспечивающие решение задач сохранения и защиты самобытности, культуры, языков и традиций народов Российской Федерации (ознакомление граждан с культурой и традициями народов, населяющих Российскую Федерацию).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5.6.8. Производство и распространение музыкальных и культурно-просветительских аудиовизуальных программ.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5.6.9. Организация экскурсионных программ.</w:t>
      </w:r>
    </w:p>
    <w:bookmarkStart w:id="84" w:name="P84"/>
    <w:bookmarkEnd w:id="8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Результатом рассмотрения заявления организации о выдаче заключения является: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6.1. Выдача (направление) заявителю заключения о соответствии качества оказываемых организацией общественно полезных услуг установленным </w:t>
      </w:r>
      <w:hyperlink w:history="0" r:id="rId16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sz w:val="20"/>
            <w:color w:val="0000ff"/>
          </w:rPr>
          <w:t xml:space="preserve">критериям</w:t>
        </w:r>
      </w:hyperlink>
      <w:r>
        <w:rPr>
          <w:sz w:val="20"/>
        </w:rPr>
        <w:t xml:space="preserve">, утвержденных постановлением Правительства Российской Федерации от 27 октября 2016 г. N 1096 "Об утверждении перечня общественно полезных услуг и критериев оценки качества их оказания" (далее - постановление РФ N 1096).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6.2. Выдача (направление) уведомления об отказе в выдаче заключения.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Срок принятия решения о выдаче заключения либо направлении мотивированного уведомления об отказе в выдаче заключения не должен превышать 30 календарных дней со дня регистрации заявления, в том числе с учетом обращения в заинтересованные органы государственной власти, указанные в </w:t>
      </w:r>
      <w:hyperlink w:history="0" r:id="rId17" w:tooltip="Постановление Правительства РФ от 26.01.2017 N 89 (ред. от 20.03.2023) &quot;О реестре некоммерческих организаций - исполнителей общественно полезных услуг&quot; (вместе с &quot;Правилами принятия решения о признании социально ориентированной некоммерческой организации исполнителем общественно полезных услуг&quot;, &quot;Правилами ведения реестра некоммерческих организаций - исполнителей общественно полезных услуг&quot;) {КонсультантПлюс}">
        <w:r>
          <w:rPr>
            <w:sz w:val="20"/>
            <w:color w:val="0000ff"/>
          </w:rPr>
          <w:t xml:space="preserve">пункте 6</w:t>
        </w:r>
      </w:hyperlink>
      <w:r>
        <w:rPr>
          <w:sz w:val="20"/>
        </w:rPr>
        <w:t xml:space="preserve"> Правил принятия решения о признании социально ориентированной некоммерческой организации исполнителем общественно полезных услуг, утвержденных постановлением РФ N 89.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Срок принятия решения о выдаче заключения либо направлении мотивированного уведомления об отказе в выдаче заключения может быть продлен, но не более чем на 30 календарных дней, в случае направления запросов в порядке межведомственного информационного взаимодействия с уведомлением заявителя.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В случае если заявитель включен в реестр поставщиков социальных услуг по соответствующей общественно полезной услуге, продление срока принятия решения о выдаче заключения, либо об отказе в выдаче заключения не допускается.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Срок выдачи (направления) заключения не должен превышать 3 рабочих дней со дня принятия решения о выдаче заключения либо направлении мотивированного уведомления об отказе в выдаче заключения.</w:t>
      </w:r>
    </w:p>
    <w:bookmarkStart w:id="91" w:name="P91"/>
    <w:bookmarkEnd w:id="9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Исчерпывающий перечень документов, необходимых в соответствии с нормативными правовыми актами для получения заключения, подлежащих представлению заявителем: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10.1. </w:t>
      </w:r>
      <w:hyperlink w:history="0" w:anchor="P182" w:tooltip="                                 ЗАЯВЛЕНИЕ">
        <w:r>
          <w:rPr>
            <w:sz w:val="20"/>
            <w:color w:val="0000ff"/>
          </w:rPr>
          <w:t xml:space="preserve">Заявление</w:t>
        </w:r>
      </w:hyperlink>
      <w:r>
        <w:rPr>
          <w:sz w:val="20"/>
        </w:rPr>
        <w:t xml:space="preserve"> о выдаче заключения, составленное по форме согласно приложению 1 к настоящему Временному порядку.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заявлении должно быть обосновано соответствие оказываемых заявителем общественно полезных услуг критериям: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соответствие общественно полезной услуги установленным нормативными правовыми актами Российской Федерации требованиям к ее содержанию (объем, сроки, качество предоставления);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наличие у лиц, непосредственно задействованных в исполнении общественно полезной услуги (в том числе работников организации и работников, привлеченных по договорам гражданско-правового характера) необходимой квалификации (в том числе профессионального образования, опыта работы в соответствующей сфере), достаточность количества таких лиц;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удовлетворенность получателей общественно полезных услуг качеством их оказания (отсутствие жалоб на действия (бездействие) и (или) решения организации, связанные с оказанием ею общественно полезных услуг, признанных обоснованными судом, органами государственного контроля (надзора) и муниципального надзора, иными органами в соответствии с их компетенцией в течение 2 лет, предшествующих выдаче заключения);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открытость и доступность информации о заявителе;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отсутствие заявителя в реестре недобросовестных поставщиков по результатам оказания услуги в рамках исполнения контрактов, заключенных в соответствии с Федеральным </w:t>
      </w:r>
      <w:hyperlink w:history="0" r:id="rId18" w:tooltip="Федеральный закон от 05.04.2013 N 44-ФЗ (ред. от 30.11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(далее - Федеральный закон N 44-ФЗ), в течение 2 лет, предшествующих выдаче заключения.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Заявление подписывается руководителем постоянно действующего исполнительного органа заявителя или иным имеющим право действовать от имени этого заявителя лицом.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10.2. Копии учредительных документов организации.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10.3. Копии документов, подтверждающих полномочия руководителя организации.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10.4. Документ, подтверждающий полномочия законного представителя на осуществление действий от имени заявителя (в случае подачи заявления законным представителем).</w:t>
      </w:r>
    </w:p>
    <w:bookmarkStart w:id="103" w:name="P103"/>
    <w:bookmarkEnd w:id="10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Документы, которые заявитель вправе представить по собственной инициативе: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11.1. Свидетельство о государственной регистрации некоммерческой организации.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11.2. Выписка из Единого государственного реестра юридических лиц, выданная не позднее чем за один месяц до даты подачи заявления на выдачу заключения.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11.3. Документы, подтверждающие отсутствие задолженностей по налогам и сборам, иным предусмотренным законодательством Российской Федерации обязательным платежам на текущую дату.</w:t>
      </w:r>
    </w:p>
    <w:bookmarkStart w:id="107" w:name="P107"/>
    <w:bookmarkEnd w:id="10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11.4. Документы, обосновывающие соответствие оказываемых организацией услуг установленным критериям оценки качества оказания общественно полезных услуг (справки, характеристики, экспертные заключения).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11.5. Информация об отсутствии организации в реестре недобросовестных поставщиков (подрядчиков, исполнителей).</w:t>
      </w:r>
    </w:p>
    <w:bookmarkStart w:id="109" w:name="P109"/>
    <w:bookmarkEnd w:id="10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11.6. Дипломы и благодарственные письма.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В случае если организация включена в реестр поставщиков социальных услуг по соответствующей общественно полезной услуге, представление дополнительных документов, обосновывающих соответствие качества оказываемых организацией общественно полезных услуг установленным </w:t>
      </w:r>
      <w:hyperlink w:history="0" r:id="rId19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sz w:val="20"/>
            <w:color w:val="0000ff"/>
          </w:rPr>
          <w:t xml:space="preserve">критериям</w:t>
        </w:r>
      </w:hyperlink>
      <w:r>
        <w:rPr>
          <w:sz w:val="20"/>
        </w:rPr>
        <w:t xml:space="preserve">, утвержденных постановлением РФ N 1096, не требуется.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Заявление и документы направляются в Департамент почтовым отправлением, по электронной почте или представляются непосредственно в Департамент (</w:t>
      </w:r>
      <w:hyperlink w:history="0" w:anchor="P47" w:tooltip="4. Информация о месте нахождения, справочных телефонах, графике работы, адресах электронной почты Департамента:">
        <w:r>
          <w:rPr>
            <w:sz w:val="20"/>
            <w:color w:val="0000ff"/>
          </w:rPr>
          <w:t xml:space="preserve">п. 4</w:t>
        </w:r>
      </w:hyperlink>
      <w:r>
        <w:rPr>
          <w:sz w:val="20"/>
        </w:rPr>
        <w:t xml:space="preserve"> настоящего Временного порядка).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Запрещается требовать от заявителя: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14.1. Представлять документы и информацию или осуществлять действия, представление или осуществление которых не предусмотрено нормативными правовыми актами, регулирующими отношения по выдаче заключений.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14.2. Представлять документы и информацию,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за исключением документов, указанных в </w:t>
      </w:r>
      <w:hyperlink w:history="0" r:id="rId20" w:tooltip="Федеральный закон от 27.07.2010 N 210-ФЗ (ред. от 08.07.2024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части 6 статьи 7</w:t>
        </w:r>
      </w:hyperlink>
      <w:r>
        <w:rPr>
          <w:sz w:val="20"/>
        </w:rPr>
        <w:t xml:space="preserve"> Федерального закона от 27 июля 2010 г. N 210-ФЗ "Об организации предоставления государственных и муниципальных услуг" (далее - Федеральный закон N 210-ФЗ).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14.3. Представлять документы и информацию, отсутствие и (или) недостоверность которых не указывались при первоначальном отказе в приеме документов, за исключением случаев, предусмотренных </w:t>
      </w:r>
      <w:hyperlink w:history="0" r:id="rId21" w:tooltip="Федеральный закон от 27.07.2010 N 210-ФЗ (ред. от 08.07.2024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пунктом 4 части 1 статьи 7</w:t>
        </w:r>
      </w:hyperlink>
      <w:r>
        <w:rPr>
          <w:sz w:val="20"/>
        </w:rPr>
        <w:t xml:space="preserve"> Федерального закона N 210-ФЗ.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Департамент в соответствии с Федеральным </w:t>
      </w:r>
      <w:hyperlink w:history="0" r:id="rId22" w:tooltip="Федеральный закон от 27.07.2010 N 210-ФЗ (ред. от 08.07.2024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N 210-ФЗ в рамках межведомственного информационного взаимодействия запрашивает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 сведения, содержащиеся в документах, предусмотренных </w:t>
      </w:r>
      <w:hyperlink w:history="0" w:anchor="P103" w:tooltip="11. Документы, которые заявитель вправе представить по собственной инициативе:">
        <w:r>
          <w:rPr>
            <w:sz w:val="20"/>
            <w:color w:val="0000ff"/>
          </w:rPr>
          <w:t xml:space="preserve">пунктом 11</w:t>
        </w:r>
      </w:hyperlink>
      <w:r>
        <w:rPr>
          <w:sz w:val="20"/>
        </w:rPr>
        <w:t xml:space="preserve"> настоящего Временного порядка, если заявитель не представил указанные документы по собственной инициативе.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Основания для отказа в приеме документов законодательством Российской Федерации не предусмотрены.</w:t>
      </w:r>
    </w:p>
    <w:bookmarkStart w:id="118" w:name="P118"/>
    <w:bookmarkEnd w:id="11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Основанием для отказа в выдаче заключения являются:</w:t>
      </w:r>
    </w:p>
    <w:bookmarkStart w:id="119" w:name="P119"/>
    <w:bookmarkEnd w:id="11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17.1. Несоответствие общественно полезной услуги установленным нормативными правовыми актами Российской Федерации требованиям к ее содержанию (объем, сроки, качество предоставления).</w:t>
      </w:r>
    </w:p>
    <w:bookmarkStart w:id="120" w:name="P120"/>
    <w:bookmarkEnd w:id="12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17.2. Отсутствие у лиц, непосредственно задействованных в исполнении общественно полезной услуги (в том числе работников организации и работников, привлеченных по договорам гражданско-правового характера), необходимой квалификации (в том числе профессионального образования, опыта работы в соответствующей сфере), недостаточность количества лиц, у которых есть необходимая квалификация.</w:t>
      </w:r>
    </w:p>
    <w:bookmarkStart w:id="121" w:name="P121"/>
    <w:bookmarkEnd w:id="12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17.3. Наличие в течение 2 лет, предшествующих выдаче заключения, жалоб на действия (бездействие) и (или) решения организации, связанных с оказанием ею общественно полезных услуг, признанных обоснованными судом, органами государственного контроля (надзора) и муниципального надзора, иными государственными органами в соответствии с их компетенцией.</w:t>
      </w:r>
    </w:p>
    <w:bookmarkStart w:id="122" w:name="P122"/>
    <w:bookmarkEnd w:id="12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17.4. Несоответствие уровня открытости и доступности информации об организации установленным нормативными правовыми актами Российской Федерации требованиям (при их наличии).</w:t>
      </w:r>
    </w:p>
    <w:bookmarkStart w:id="123" w:name="P123"/>
    <w:bookmarkEnd w:id="12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17.5. Наличие в течение 2 лет, предшествующих выдаче заключения, информации о присутствии организации в реестре недобросовестных поставщиков по результатам оказания услуги в рамках исполнения контрактов, заключенных в соответствии с Федеральным </w:t>
      </w:r>
      <w:hyperlink w:history="0" r:id="rId23" w:tooltip="Федеральный закон от 05.04.2013 N 44-ФЗ (ред. от 30.11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N 44-ФЗ.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17.6. Представление документов, содержащих недостоверные сведения, либо документов, оформленных в ненадлежащем порядке.</w:t>
      </w:r>
    </w:p>
    <w:bookmarkStart w:id="125" w:name="P125"/>
    <w:bookmarkEnd w:id="12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18. Не может являться основанием для отказа отсутствие нормативно урегулированных требований к общественно полезной услуге, за оценкой качества оказания которой обратился заявитель.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19. После устранения оснований для отказа в выдаче заключения заявитель вправе повторно обратиться в Департамент в порядке, установленном настоящим Временным порядком.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20. За выдачу заключения государственная пошлина или иная плата не взимаются.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Состав, последовательность и сроки выполнения</w:t>
      </w:r>
    </w:p>
    <w:p>
      <w:pPr>
        <w:pStyle w:val="2"/>
        <w:jc w:val="center"/>
      </w:pPr>
      <w:r>
        <w:rPr>
          <w:sz w:val="20"/>
        </w:rPr>
        <w:t xml:space="preserve">Департаментом процедур (действий) при рассмотрении заявлений</w:t>
      </w:r>
    </w:p>
    <w:p>
      <w:pPr>
        <w:pStyle w:val="2"/>
        <w:jc w:val="center"/>
      </w:pPr>
      <w:r>
        <w:rPr>
          <w:sz w:val="20"/>
        </w:rPr>
        <w:t xml:space="preserve">организаций о выдаче заключения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21. Департамент при рассмотрении заявлений организаций о выдаче заключения осуществляет следующие действия: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21.1. Прием и регистрацию заявления о выдаче заключения и приложенных к нему документов, определение ответственного структурного подразделения Департамента (</w:t>
      </w:r>
      <w:hyperlink w:history="0" w:anchor="P140" w:tooltip="24. В зависимости от вида общественно полезных услуг, предусмотренных пунктом 5 настоящего Временного порядка, ответственным структурным подразделением Департамента согласно приложению 2 к настоящему Временному порядку организуется работа по рассмотрению заявления и приложенных к нему документов, формированию и направлению межведомственных запросов, оценке соответствия качества оказываемых организацией общественно полезных услуг установленным критериям, подготовке заключения либо уведомления об отказе в ...">
        <w:r>
          <w:rPr>
            <w:sz w:val="20"/>
            <w:color w:val="0000ff"/>
          </w:rPr>
          <w:t xml:space="preserve">п. 24</w:t>
        </w:r>
      </w:hyperlink>
      <w:r>
        <w:rPr>
          <w:sz w:val="20"/>
        </w:rPr>
        <w:t xml:space="preserve"> настоящего Временного регламента).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21.2. Рассмотрение ответственным структурным подразделением Департамента представленного заявления о выдаче заключения и приложенных к нему документов, принятие решения о соответствии либо несоответствии качества общественно полезной услуги установленным критериям и оформление документов, являющихся результатом рассмотрения заявления и приложенных к нему документов.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21.3. Формирование и направление (при необходимости) межведомственных запросов в заинтересованные органы государственной власти, а также организации.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21.4. Выдача (направление) заявителю документов, являющихся конечным результатом рассмотрения заявления (</w:t>
      </w:r>
      <w:hyperlink w:history="0" w:anchor="P84" w:tooltip="6. Результатом рассмотрения заявления организации о выдаче заключения является:">
        <w:r>
          <w:rPr>
            <w:sz w:val="20"/>
            <w:color w:val="0000ff"/>
          </w:rPr>
          <w:t xml:space="preserve">п. 6</w:t>
        </w:r>
      </w:hyperlink>
      <w:r>
        <w:rPr>
          <w:sz w:val="20"/>
        </w:rPr>
        <w:t xml:space="preserve"> настоящего Временного порядка).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22. Заявление заявителя о выдаче заключения регистрируется Департаментом в соответствии с требованиями к регистрации входящих документов, установленных Регламентом Департамента, утвержденным соответствующим приказом Департамента.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23. Должностным лицом, ответственным за организацию работы по осуществлению оценки качества оказания организацией общественно полезных услуг, по выдаче и подписанию заключений, уведомлений об отказе в выдаче заключения является первый заместитель руководителя Департамента культуры города Москвы (далее - ответственное за подписание заключения лицо) в соответствии с распределением обязанностей, установленных соответствующим приказом Департамента.</w:t>
      </w:r>
    </w:p>
    <w:bookmarkStart w:id="140" w:name="P140"/>
    <w:bookmarkEnd w:id="14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24. В зависимости от вида общественно полезных услуг, предусмотренных </w:t>
      </w:r>
      <w:hyperlink w:history="0" w:anchor="P58" w:tooltip="5. Выдача Департаментом заключений в соответствии с постановлением РФ N 89 предоставляется в отношении следующих услуг, оказываемых заявителем:">
        <w:r>
          <w:rPr>
            <w:sz w:val="20"/>
            <w:color w:val="0000ff"/>
          </w:rPr>
          <w:t xml:space="preserve">пунктом 5</w:t>
        </w:r>
      </w:hyperlink>
      <w:r>
        <w:rPr>
          <w:sz w:val="20"/>
        </w:rPr>
        <w:t xml:space="preserve"> настоящего Временного порядка, ответственным структурным подразделением Департамента согласно </w:t>
      </w:r>
      <w:hyperlink w:history="0" w:anchor="P259" w:tooltip="ПЕРЕЧЕНЬ">
        <w:r>
          <w:rPr>
            <w:sz w:val="20"/>
            <w:color w:val="0000ff"/>
          </w:rPr>
          <w:t xml:space="preserve">приложению 2</w:t>
        </w:r>
      </w:hyperlink>
      <w:r>
        <w:rPr>
          <w:sz w:val="20"/>
        </w:rPr>
        <w:t xml:space="preserve"> к настоящему Временному порядку организуется работа по рассмотрению заявления и приложенных к нему документов, формированию и направлению межведомственных запросов, оценке соответствия качества оказываемых организацией общественно полезных услуг установленным критериям, подготовке заключения либо уведомления об отказе в выдаче заключения, а также обеспечивается подписание заключения либо уведомления об отказе в выдаче заключения и направление (выдача) заявителю заключения либо уведомления об отказе в выдаче заключения (далее - ответственное структурное подразделение Департамента).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25. В ходе рассмотрения заявления и прилагаемых к нему документов ответственное структурное подразделение Департамента организует: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25.1. Проверку правильности оформления документов, указанных в </w:t>
      </w:r>
      <w:hyperlink w:history="0" w:anchor="P91" w:tooltip="10. Исчерпывающий перечень документов, необходимых в соответствии с нормативными правовыми актами для получения заключения, подлежащих представлению заявителем:">
        <w:r>
          <w:rPr>
            <w:sz w:val="20"/>
            <w:color w:val="0000ff"/>
          </w:rPr>
          <w:t xml:space="preserve">пункте 10</w:t>
        </w:r>
      </w:hyperlink>
      <w:r>
        <w:rPr>
          <w:sz w:val="20"/>
        </w:rPr>
        <w:t xml:space="preserve"> настоящего Временного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25.2. Оценку соответствия качества оказываемых организацией общественно полезных услуг, указанных в заявлении, критериям, указанным в </w:t>
      </w:r>
      <w:hyperlink w:history="0" w:anchor="P91" w:tooltip="10. Исчерпывающий перечень документов, необходимых в соответствии с нормативными правовыми актами для получения заключения, подлежащих представлению заявителем:">
        <w:r>
          <w:rPr>
            <w:sz w:val="20"/>
            <w:color w:val="0000ff"/>
          </w:rPr>
          <w:t xml:space="preserve">пункте 10</w:t>
        </w:r>
      </w:hyperlink>
      <w:r>
        <w:rPr>
          <w:sz w:val="20"/>
        </w:rPr>
        <w:t xml:space="preserve"> настоящего Временного порядка. Алгоритм действий структурных подразделений Департамента по выдаче заключений установлен </w:t>
      </w:r>
      <w:hyperlink w:history="0" w:anchor="P394" w:tooltip="АЛГОРИТМ">
        <w:r>
          <w:rPr>
            <w:sz w:val="20"/>
            <w:color w:val="0000ff"/>
          </w:rPr>
          <w:t xml:space="preserve">приложением 3</w:t>
        </w:r>
      </w:hyperlink>
      <w:r>
        <w:rPr>
          <w:sz w:val="20"/>
        </w:rPr>
        <w:t xml:space="preserve"> к настоящему Временному порядку.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 проведению оценки структурным подразделением Департамента могут привлекаться подведомственные учреждения по направлению деятельности.</w:t>
      </w:r>
    </w:p>
    <w:bookmarkStart w:id="145" w:name="P145"/>
    <w:bookmarkEnd w:id="14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26. При необходимости в случае непредставления заявителем документов, указанных в </w:t>
      </w:r>
      <w:hyperlink w:history="0" w:anchor="P103" w:tooltip="11. Документы, которые заявитель вправе представить по собственной инициативе:">
        <w:r>
          <w:rPr>
            <w:sz w:val="20"/>
            <w:color w:val="0000ff"/>
          </w:rPr>
          <w:t xml:space="preserve">пункте 11</w:t>
        </w:r>
      </w:hyperlink>
      <w:r>
        <w:rPr>
          <w:sz w:val="20"/>
        </w:rPr>
        <w:t xml:space="preserve"> настоящего Временного порядка, ответственное структурное подразделение Департамента, запрашивает у иных органов государственной власти сведения в порядке межведомственного информационного взаимодействия.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Межведомственный запрос направляется в соответствующие органы государственной власти в течение 2 рабочих дней со дня регистрации заявления.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27. Структурные подразделения Департамента, являющиеся соисполнителями (</w:t>
      </w:r>
      <w:hyperlink w:history="0" w:anchor="P259" w:tooltip="ПЕРЕЧЕНЬ">
        <w:r>
          <w:rPr>
            <w:sz w:val="20"/>
            <w:color w:val="0000ff"/>
          </w:rPr>
          <w:t xml:space="preserve">приложение 2</w:t>
        </w:r>
      </w:hyperlink>
      <w:r>
        <w:rPr>
          <w:sz w:val="20"/>
        </w:rPr>
        <w:t xml:space="preserve"> к настоящему Временному порядку), представляют ответственному структурному подразделению Департамента письменное заключение в рамках своей компетенции в срок не позднее 5 календарных дней с даты регистрации заявления.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необходимости ответственное структурное подразделение вправе запросить заключения иных структурных подразделений Департамента.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28. Ответственное структурное подразделение Департамента по результатам проведенной оценки и рассмотрения заявления, прилагаемых к нему документов, полученных ответов на межведомственные запросы и заключений соисполнителей готовит и представляет на подпись ответственному за подписание заключения лицу:</w:t>
      </w:r>
    </w:p>
    <w:bookmarkStart w:id="150" w:name="P150"/>
    <w:bookmarkEnd w:id="15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28.1. Проект </w:t>
      </w:r>
      <w:hyperlink w:history="0" w:anchor="P509" w:tooltip="                                ЗАКЛЮЧЕНИЕ">
        <w:r>
          <w:rPr>
            <w:sz w:val="20"/>
            <w:color w:val="0000ff"/>
          </w:rPr>
          <w:t xml:space="preserve">заключения</w:t>
        </w:r>
      </w:hyperlink>
      <w:r>
        <w:rPr>
          <w:sz w:val="20"/>
        </w:rPr>
        <w:t xml:space="preserve"> по примерной форме согласно приложению 4 к настоящему Временному порядку.</w:t>
      </w:r>
    </w:p>
    <w:bookmarkStart w:id="151" w:name="P151"/>
    <w:bookmarkEnd w:id="15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28.2. </w:t>
      </w:r>
      <w:hyperlink w:history="0" w:anchor="P547" w:tooltip="                               УВЕДОМЛЕНИЕ *">
        <w:r>
          <w:rPr>
            <w:sz w:val="20"/>
            <w:color w:val="0000ff"/>
          </w:rPr>
          <w:t xml:space="preserve">Уведомление</w:t>
        </w:r>
      </w:hyperlink>
      <w:r>
        <w:rPr>
          <w:sz w:val="20"/>
        </w:rPr>
        <w:t xml:space="preserve"> об отказе в выдаче заключения по примерной форме согласно приложению 5 к настоящему Временному порядку при наличии оснований, указанных в </w:t>
      </w:r>
      <w:hyperlink w:history="0" w:anchor="P118" w:tooltip="17. Основанием для отказа в выдаче заключения являются:">
        <w:r>
          <w:rPr>
            <w:sz w:val="20"/>
            <w:color w:val="0000ff"/>
          </w:rPr>
          <w:t xml:space="preserve">пункте 17</w:t>
        </w:r>
      </w:hyperlink>
      <w:r>
        <w:rPr>
          <w:sz w:val="20"/>
        </w:rPr>
        <w:t xml:space="preserve"> настоящего Временного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29. Подписанное заключение либо уведомление об отказе в выдаче заключения направляется заявителю в течение 3 рабочих дней со дня их подписания на бумажном носителе почтовым отправлением способом, позволяющим подтвердить факт и дату отправления, по адресу, указанному в заявлении, или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1</w:t>
      </w:r>
    </w:p>
    <w:p>
      <w:pPr>
        <w:pStyle w:val="0"/>
        <w:jc w:val="right"/>
      </w:pPr>
      <w:r>
        <w:rPr>
          <w:sz w:val="20"/>
        </w:rPr>
        <w:t xml:space="preserve">к Временному порядку выдачи</w:t>
      </w:r>
    </w:p>
    <w:p>
      <w:pPr>
        <w:pStyle w:val="0"/>
        <w:jc w:val="right"/>
      </w:pPr>
      <w:r>
        <w:rPr>
          <w:sz w:val="20"/>
        </w:rPr>
        <w:t xml:space="preserve">Департаментом культуры города</w:t>
      </w:r>
    </w:p>
    <w:p>
      <w:pPr>
        <w:pStyle w:val="0"/>
        <w:jc w:val="right"/>
      </w:pPr>
      <w:r>
        <w:rPr>
          <w:sz w:val="20"/>
        </w:rPr>
        <w:t xml:space="preserve">Москвы заключений о соответствии</w:t>
      </w:r>
    </w:p>
    <w:p>
      <w:pPr>
        <w:pStyle w:val="0"/>
        <w:jc w:val="right"/>
      </w:pPr>
      <w:r>
        <w:rPr>
          <w:sz w:val="20"/>
        </w:rPr>
        <w:t xml:space="preserve">качества оказываемых социально</w:t>
      </w:r>
    </w:p>
    <w:p>
      <w:pPr>
        <w:pStyle w:val="0"/>
        <w:jc w:val="right"/>
      </w:pPr>
      <w:r>
        <w:rPr>
          <w:sz w:val="20"/>
        </w:rPr>
        <w:t xml:space="preserve">ориентированной некоммерческой</w:t>
      </w:r>
    </w:p>
    <w:p>
      <w:pPr>
        <w:pStyle w:val="0"/>
        <w:jc w:val="right"/>
      </w:pPr>
      <w:r>
        <w:rPr>
          <w:sz w:val="20"/>
        </w:rPr>
        <w:t xml:space="preserve">организацией общественно полезных</w:t>
      </w:r>
    </w:p>
    <w:p>
      <w:pPr>
        <w:pStyle w:val="0"/>
        <w:jc w:val="right"/>
      </w:pPr>
      <w:r>
        <w:rPr>
          <w:sz w:val="20"/>
        </w:rPr>
        <w:t xml:space="preserve">услуг установленным критериям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Оформляется на бланке организации</w:t>
      </w:r>
    </w:p>
    <w:p>
      <w:pPr>
        <w:pStyle w:val="1"/>
        <w:jc w:val="both"/>
      </w:pPr>
      <w:r>
        <w:rPr>
          <w:sz w:val="20"/>
        </w:rPr>
        <w:t xml:space="preserve">"__" _________ 20__ г. N 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Департамент культуры</w:t>
      </w:r>
    </w:p>
    <w:p>
      <w:pPr>
        <w:pStyle w:val="1"/>
        <w:jc w:val="both"/>
      </w:pPr>
      <w:r>
        <w:rPr>
          <w:sz w:val="20"/>
        </w:rPr>
        <w:t xml:space="preserve">                                  города Москвы</w:t>
      </w:r>
    </w:p>
    <w:p>
      <w:pPr>
        <w:pStyle w:val="1"/>
        <w:jc w:val="both"/>
      </w:pPr>
      <w:r>
        <w:rPr>
          <w:sz w:val="20"/>
        </w:rPr>
        <w:t xml:space="preserve">                                  от 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(полное наименование заявителя, ОГРН)</w:t>
      </w:r>
    </w:p>
    <w:p>
      <w:pPr>
        <w:pStyle w:val="1"/>
        <w:jc w:val="both"/>
      </w:pPr>
      <w:r>
        <w:rPr>
          <w:sz w:val="20"/>
        </w:rPr>
        <w:t xml:space="preserve">                                  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адрес местонахождения, телефон (факс),</w:t>
      </w:r>
    </w:p>
    <w:p>
      <w:pPr>
        <w:pStyle w:val="1"/>
        <w:jc w:val="both"/>
      </w:pPr>
      <w:r>
        <w:rPr>
          <w:sz w:val="20"/>
        </w:rPr>
        <w:t xml:space="preserve">                                  адрес электронной почты, номер телефона,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мобильного телефона</w:t>
      </w:r>
    </w:p>
    <w:p>
      <w:pPr>
        <w:pStyle w:val="1"/>
        <w:jc w:val="both"/>
      </w:pPr>
      <w:r>
        <w:rPr>
          <w:sz w:val="20"/>
        </w:rPr>
      </w:r>
    </w:p>
    <w:bookmarkStart w:id="182" w:name="P182"/>
    <w:bookmarkEnd w:id="182"/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Прошу  выдать  заключение о соответствии качества оказываемых социально</w:t>
      </w:r>
    </w:p>
    <w:p>
      <w:pPr>
        <w:pStyle w:val="1"/>
        <w:jc w:val="both"/>
      </w:pPr>
      <w:r>
        <w:rPr>
          <w:sz w:val="20"/>
        </w:rPr>
        <w:t xml:space="preserve">ориентированной некоммерческой организацией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(наименование социально ориентированной некоммерческой организации)</w:t>
      </w:r>
    </w:p>
    <w:p>
      <w:pPr>
        <w:pStyle w:val="1"/>
        <w:jc w:val="both"/>
      </w:pPr>
      <w:r>
        <w:rPr>
          <w:sz w:val="20"/>
        </w:rPr>
        <w:t xml:space="preserve">общественно полезных услуг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(наименование общественно полезной услуги согласно </w:t>
      </w:r>
      <w:hyperlink w:history="0" r:id="rId24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sz w:val="20"/>
            <w:color w:val="0000ff"/>
          </w:rPr>
          <w:t xml:space="preserve">постановлению</w:t>
        </w:r>
      </w:hyperlink>
      <w:r>
        <w:rPr>
          <w:sz w:val="20"/>
        </w:rPr>
        <w:t xml:space="preserve"> РФ N 1096)</w:t>
      </w:r>
    </w:p>
    <w:p>
      <w:pPr>
        <w:pStyle w:val="1"/>
        <w:jc w:val="both"/>
      </w:pPr>
      <w:r>
        <w:rPr>
          <w:sz w:val="20"/>
        </w:rPr>
        <w:t xml:space="preserve">установленным    </w:t>
      </w:r>
      <w:hyperlink w:history="0" r:id="rId25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sz w:val="20"/>
            <w:color w:val="0000ff"/>
          </w:rPr>
          <w:t xml:space="preserve">критериям</w:t>
        </w:r>
      </w:hyperlink>
      <w:r>
        <w:rPr>
          <w:sz w:val="20"/>
        </w:rPr>
        <w:t xml:space="preserve">,   утвержденным   постановлением   Правительства</w:t>
      </w:r>
    </w:p>
    <w:p>
      <w:pPr>
        <w:pStyle w:val="1"/>
        <w:jc w:val="both"/>
      </w:pPr>
      <w:r>
        <w:rPr>
          <w:sz w:val="20"/>
        </w:rPr>
        <w:t xml:space="preserve">Российской  Федерации  от 27 октября 2016 г. N 1096 "Об утверждении перечня</w:t>
      </w:r>
    </w:p>
    <w:p>
      <w:pPr>
        <w:pStyle w:val="1"/>
        <w:jc w:val="both"/>
      </w:pPr>
      <w:r>
        <w:rPr>
          <w:sz w:val="20"/>
        </w:rPr>
        <w:t xml:space="preserve">общественно  полезных  услуг  и  критериев  оценки  качества  их оказания",</w:t>
      </w:r>
    </w:p>
    <w:p>
      <w:pPr>
        <w:pStyle w:val="1"/>
        <w:jc w:val="both"/>
      </w:pPr>
      <w:r>
        <w:rPr>
          <w:sz w:val="20"/>
        </w:rPr>
        <w:t xml:space="preserve">рассмотрев представленные документы.</w:t>
      </w:r>
    </w:p>
    <w:p>
      <w:pPr>
        <w:pStyle w:val="1"/>
        <w:jc w:val="both"/>
      </w:pPr>
      <w:r>
        <w:rPr>
          <w:sz w:val="20"/>
        </w:rPr>
        <w:t xml:space="preserve">    Подтверждаем,  что организация не является некоммерческой организацией,</w:t>
      </w:r>
    </w:p>
    <w:p>
      <w:pPr>
        <w:pStyle w:val="1"/>
        <w:jc w:val="both"/>
      </w:pPr>
      <w:r>
        <w:rPr>
          <w:sz w:val="20"/>
        </w:rPr>
        <w:t xml:space="preserve">выполняющей  функции  иностранного  агента,  и  на протяжении одного года и</w:t>
      </w:r>
    </w:p>
    <w:p>
      <w:pPr>
        <w:pStyle w:val="1"/>
        <w:jc w:val="both"/>
      </w:pPr>
      <w:r>
        <w:rPr>
          <w:sz w:val="20"/>
        </w:rPr>
        <w:t xml:space="preserve">более  оказывает  названные  общественно  полезные  услуги, соответствующие</w:t>
      </w:r>
    </w:p>
    <w:p>
      <w:pPr>
        <w:pStyle w:val="1"/>
        <w:jc w:val="both"/>
      </w:pPr>
      <w:hyperlink w:history="0" r:id="rId26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sz w:val="20"/>
            <w:color w:val="0000ff"/>
          </w:rPr>
          <w:t xml:space="preserve">критериям</w:t>
        </w:r>
      </w:hyperlink>
      <w:r>
        <w:rPr>
          <w:sz w:val="20"/>
        </w:rPr>
        <w:t xml:space="preserve"> оценки качества оказания общественно полезных услуг, утвержденным</w:t>
      </w:r>
    </w:p>
    <w:p>
      <w:pPr>
        <w:pStyle w:val="1"/>
        <w:jc w:val="both"/>
      </w:pPr>
      <w:r>
        <w:rPr>
          <w:sz w:val="20"/>
        </w:rPr>
        <w:t xml:space="preserve">постановлением  Правительства  Российской  Федерации  от 27 октября 2016 г.</w:t>
      </w:r>
    </w:p>
    <w:p>
      <w:pPr>
        <w:pStyle w:val="1"/>
        <w:jc w:val="both"/>
      </w:pPr>
      <w:r>
        <w:rPr>
          <w:sz w:val="20"/>
        </w:rPr>
        <w:t xml:space="preserve">N  1096  "Об  утверждении  перечня  общественно  полезных услуг и критериев</w:t>
      </w:r>
    </w:p>
    <w:p>
      <w:pPr>
        <w:pStyle w:val="1"/>
        <w:jc w:val="both"/>
      </w:pPr>
      <w:r>
        <w:rPr>
          <w:sz w:val="20"/>
        </w:rPr>
        <w:t xml:space="preserve">оценки качества их оказания":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(подтверждение соответствия общественно полезной услуги установленным</w:t>
      </w:r>
    </w:p>
    <w:p>
      <w:pPr>
        <w:pStyle w:val="1"/>
        <w:jc w:val="both"/>
      </w:pPr>
      <w:r>
        <w:rPr>
          <w:sz w:val="20"/>
        </w:rPr>
        <w:t xml:space="preserve">      нормативными правовыми актами Российской Федерации требованиям</w:t>
      </w:r>
    </w:p>
    <w:p>
      <w:pPr>
        <w:pStyle w:val="1"/>
        <w:jc w:val="both"/>
      </w:pPr>
      <w:r>
        <w:rPr>
          <w:sz w:val="20"/>
        </w:rPr>
        <w:t xml:space="preserve">          к ее содержанию (объем, сроки, качество предоставления)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(подтверждение наличия у лиц, непосредственно задействованных в исполнении</w:t>
      </w:r>
    </w:p>
    <w:p>
      <w:pPr>
        <w:pStyle w:val="1"/>
        <w:jc w:val="both"/>
      </w:pPr>
      <w:r>
        <w:rPr>
          <w:sz w:val="20"/>
        </w:rPr>
        <w:t xml:space="preserve">     общественно полезной услуги (в том числе работников организации и</w:t>
      </w:r>
    </w:p>
    <w:p>
      <w:pPr>
        <w:pStyle w:val="1"/>
        <w:jc w:val="both"/>
      </w:pPr>
      <w:r>
        <w:rPr>
          <w:sz w:val="20"/>
        </w:rPr>
        <w:t xml:space="preserve">  работников, привлеченных по договорам гражданско-правового характера),</w:t>
      </w:r>
    </w:p>
    <w:p>
      <w:pPr>
        <w:pStyle w:val="1"/>
        <w:jc w:val="both"/>
      </w:pPr>
      <w:r>
        <w:rPr>
          <w:sz w:val="20"/>
        </w:rPr>
        <w:t xml:space="preserve">необходимой квалификации (в том числе профессионального образования, опыта</w:t>
      </w:r>
    </w:p>
    <w:p>
      <w:pPr>
        <w:pStyle w:val="1"/>
        <w:jc w:val="both"/>
      </w:pPr>
      <w:r>
        <w:rPr>
          <w:sz w:val="20"/>
        </w:rPr>
        <w:t xml:space="preserve">   работы в соответствующей сфере), достаточность количества таких лиц)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(подтверждение удовлетворенности получателей общественно полезных услуг</w:t>
      </w:r>
    </w:p>
    <w:p>
      <w:pPr>
        <w:pStyle w:val="1"/>
        <w:jc w:val="both"/>
      </w:pPr>
      <w:r>
        <w:rPr>
          <w:sz w:val="20"/>
        </w:rPr>
        <w:t xml:space="preserve"> качеством их оказания (отсутствие жалоб на действия (бездействие) и (или)</w:t>
      </w:r>
    </w:p>
    <w:p>
      <w:pPr>
        <w:pStyle w:val="1"/>
        <w:jc w:val="both"/>
      </w:pPr>
      <w:r>
        <w:rPr>
          <w:sz w:val="20"/>
        </w:rPr>
        <w:t xml:space="preserve"> решения организации, связанные с оказанием ею общественно полезных услуг,</w:t>
      </w:r>
    </w:p>
    <w:p>
      <w:pPr>
        <w:pStyle w:val="1"/>
        <w:jc w:val="both"/>
      </w:pPr>
      <w:r>
        <w:rPr>
          <w:sz w:val="20"/>
        </w:rPr>
        <w:t xml:space="preserve">    признанных обоснованными судом, органами государственного контроля</w:t>
      </w:r>
    </w:p>
    <w:p>
      <w:pPr>
        <w:pStyle w:val="1"/>
        <w:jc w:val="both"/>
      </w:pPr>
      <w:r>
        <w:rPr>
          <w:sz w:val="20"/>
        </w:rPr>
        <w:t xml:space="preserve">  (надзора) и муниципального надзора, иными органами в соответствии с их</w:t>
      </w:r>
    </w:p>
    <w:p>
      <w:pPr>
        <w:pStyle w:val="1"/>
        <w:jc w:val="both"/>
      </w:pPr>
      <w:r>
        <w:rPr>
          <w:sz w:val="20"/>
        </w:rPr>
        <w:t xml:space="preserve">     компетенцией, в течение 2 лет, предшествующих выдаче заключения)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(подтверждение открытости и доступности информации о некоммерческой</w:t>
      </w:r>
    </w:p>
    <w:p>
      <w:pPr>
        <w:pStyle w:val="1"/>
        <w:jc w:val="both"/>
      </w:pPr>
      <w:r>
        <w:rPr>
          <w:sz w:val="20"/>
        </w:rPr>
        <w:t xml:space="preserve">                               организации)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(подтверждение отсутствия организации в реестре недобросовестных</w:t>
      </w:r>
    </w:p>
    <w:p>
      <w:pPr>
        <w:pStyle w:val="1"/>
        <w:jc w:val="both"/>
      </w:pPr>
      <w:r>
        <w:rPr>
          <w:sz w:val="20"/>
        </w:rPr>
        <w:t xml:space="preserve">поставщиков по результатам оказания услуги в рамках исполнения контрактов,</w:t>
      </w:r>
    </w:p>
    <w:p>
      <w:pPr>
        <w:pStyle w:val="1"/>
        <w:jc w:val="both"/>
      </w:pPr>
      <w:r>
        <w:rPr>
          <w:sz w:val="20"/>
        </w:rPr>
        <w:t xml:space="preserve">   заключенных в соответствии с Федеральным </w:t>
      </w:r>
      <w:hyperlink w:history="0" r:id="rId27" w:tooltip="Федеральный закон от 05.04.2013 N 44-ФЗ (ред. от 30.11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5 апреля 2013 г.</w:t>
      </w:r>
    </w:p>
    <w:p>
      <w:pPr>
        <w:pStyle w:val="1"/>
        <w:jc w:val="both"/>
      </w:pPr>
      <w:r>
        <w:rPr>
          <w:sz w:val="20"/>
        </w:rPr>
        <w:t xml:space="preserve"> N 44-ФЗ "О контрактной системе в сфере закупок товаров, работ, услуг для</w:t>
      </w:r>
    </w:p>
    <w:p>
      <w:pPr>
        <w:pStyle w:val="1"/>
        <w:jc w:val="both"/>
      </w:pPr>
      <w:r>
        <w:rPr>
          <w:sz w:val="20"/>
        </w:rPr>
        <w:t xml:space="preserve">    обеспечения государственных и муниципальных нужд", в течение 2 лет.</w:t>
      </w:r>
    </w:p>
    <w:p>
      <w:pPr>
        <w:pStyle w:val="1"/>
        <w:jc w:val="both"/>
      </w:pPr>
      <w:r>
        <w:rPr>
          <w:sz w:val="20"/>
        </w:rPr>
        <w:t xml:space="preserve">                     предшествующих выдаче заключения)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Подтверждающие документы прилагаются:</w:t>
      </w:r>
    </w:p>
    <w:p>
      <w:pPr>
        <w:pStyle w:val="1"/>
        <w:jc w:val="both"/>
      </w:pPr>
      <w:r>
        <w:rPr>
          <w:sz w:val="20"/>
        </w:rPr>
        <w:t xml:space="preserve">    1. 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2. 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3. ____________________________________________________________________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(должность)                  (подпись)         (И.О. фамилия)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"__" __________ 20__ г.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Временному порядку выдачи</w:t>
      </w:r>
    </w:p>
    <w:p>
      <w:pPr>
        <w:pStyle w:val="0"/>
        <w:jc w:val="right"/>
      </w:pPr>
      <w:r>
        <w:rPr>
          <w:sz w:val="20"/>
        </w:rPr>
        <w:t xml:space="preserve">Департаментом культуры города</w:t>
      </w:r>
    </w:p>
    <w:p>
      <w:pPr>
        <w:pStyle w:val="0"/>
        <w:jc w:val="right"/>
      </w:pPr>
      <w:r>
        <w:rPr>
          <w:sz w:val="20"/>
        </w:rPr>
        <w:t xml:space="preserve">Москвы заключений о соответствии</w:t>
      </w:r>
    </w:p>
    <w:p>
      <w:pPr>
        <w:pStyle w:val="0"/>
        <w:jc w:val="right"/>
      </w:pPr>
      <w:r>
        <w:rPr>
          <w:sz w:val="20"/>
        </w:rPr>
        <w:t xml:space="preserve">качества оказываемых социально</w:t>
      </w:r>
    </w:p>
    <w:p>
      <w:pPr>
        <w:pStyle w:val="0"/>
        <w:jc w:val="right"/>
      </w:pPr>
      <w:r>
        <w:rPr>
          <w:sz w:val="20"/>
        </w:rPr>
        <w:t xml:space="preserve">ориентированной некоммерческой</w:t>
      </w:r>
    </w:p>
    <w:p>
      <w:pPr>
        <w:pStyle w:val="0"/>
        <w:jc w:val="right"/>
      </w:pPr>
      <w:r>
        <w:rPr>
          <w:sz w:val="20"/>
        </w:rPr>
        <w:t xml:space="preserve">организацией общественно полезных</w:t>
      </w:r>
    </w:p>
    <w:p>
      <w:pPr>
        <w:pStyle w:val="0"/>
        <w:jc w:val="right"/>
      </w:pPr>
      <w:r>
        <w:rPr>
          <w:sz w:val="20"/>
        </w:rPr>
        <w:t xml:space="preserve">услуг установленным критериям</w:t>
      </w:r>
    </w:p>
    <w:p>
      <w:pPr>
        <w:pStyle w:val="0"/>
        <w:jc w:val="both"/>
      </w:pPr>
      <w:r>
        <w:rPr>
          <w:sz w:val="20"/>
        </w:rPr>
      </w:r>
    </w:p>
    <w:bookmarkStart w:id="259" w:name="P259"/>
    <w:bookmarkEnd w:id="259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СТРУКТУРНЫХ ПОДРАЗДЕЛЕНИЙ ДЕПАРТАМЕНТА КУЛЬТУРЫ ГОРОДА</w:t>
      </w:r>
    </w:p>
    <w:p>
      <w:pPr>
        <w:pStyle w:val="2"/>
        <w:jc w:val="center"/>
      </w:pPr>
      <w:r>
        <w:rPr>
          <w:sz w:val="20"/>
        </w:rPr>
        <w:t xml:space="preserve">МОСКВЫ, ОСУЩЕСТВЛЯЮЩИХ ОЦЕНКУ КАЧЕСТВА ОКАЗАНИЯ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ОРИЕНТИРОВАННЫМИ НЕКОММЕРЧЕСКИМИ ОРГАНИЗАЦИЯМИ ОБЩЕСТВЕННО</w:t>
      </w:r>
    </w:p>
    <w:p>
      <w:pPr>
        <w:pStyle w:val="2"/>
        <w:jc w:val="center"/>
      </w:pPr>
      <w:r>
        <w:rPr>
          <w:sz w:val="20"/>
        </w:rPr>
        <w:t xml:space="preserve">ПОЛЕЗНЫХ УСЛУГ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28" w:tooltip="Приказ Департамента культуры г. Москвы от 04.06.2024 N 519/ОД &quot;О внесении изменения в приказ Департамента культуры города Москвы от 1 февраля 2021 г. N 37/ОД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Департамента культуры г. Москвы от 04.06.2024 N 519/ОД)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3515"/>
        <w:gridCol w:w="2891"/>
        <w:gridCol w:w="2041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351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общественно полезной услуги</w:t>
            </w:r>
          </w:p>
        </w:tc>
        <w:tc>
          <w:tcPr>
            <w:tcW w:w="28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Структурное подразделение Департамента культуры города Москвы, осуществляющее оценку качества оказания социально ориентированными некоммерческими организациями общественно полезных услуг</w:t>
            </w:r>
          </w:p>
        </w:tc>
        <w:tc>
          <w:tcPr>
            <w:tcW w:w="204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Структурное подразделение Департамента культуры города Москвы, являющееся соисполнителем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Услуги, предусматривающие реабилитацию и социальную адаптацию инвалидов, социальное сопровождение семей, воспитывающих детей с ограниченными возможностями здоровья: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1.1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социокультурной реабилитации или абилитации инвалидов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Управление по развитию культурных центров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Оказание помощи семье в воспитании детей: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2.1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Формирование позитивных интересов (в том числе в сфере досуга)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Управление по развитию культурных центров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2.2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 проведение культурно-массовых мероприятий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Управление координации общегородских программ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  <w:t xml:space="preserve">Управление государственных программ Управление по развитию культурных центров Управление театров Управление концертных организаций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2.3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экскурсионного обслуживания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Управление музейно-выставочной работы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2.4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Показ (организация показа) спектаклей (театральных постановок)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Управление театров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2.5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Показ (организация показа) концертов и концертных программ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Управление концертных организаций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Услуги по организации отдыха и оздоровления детей, в том числе детей с ограниченными возможностями здоровья и детей, находящихся в трудной жизненной ситуации, в том числе организация деятельности специализированных (профильных) лагерей: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3.1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отдыха детей и молодежи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Управление по развитию культурных центров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Услуги по сбору, обобщению и анализу информации о качестве оказания услуг организациями культуры, социального обслуживания, медицинскими организациями и организациями, осуществляющими образовательную деятельность, осуществляемые организацией-оператором в соответствии с Федеральным </w:t>
            </w:r>
            <w:hyperlink w:history="0" r:id="rId29" w:tooltip="Федеральный закон от 21.07.2014 N 256-ФЗ (ред. от 21.12.2021) &quot;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, охраны здоровья и образования&quot;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</w:rPr>
              <w:t xml:space="preserve"> от 21 июля 2014 г. N 256-ФЗ "О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обслуживания, охраны здоровья и образования" в части популяризации системы независимой оценки качества оказания услуг организациями в сфере культуры, социального обслуживания, охраны здоровья и образования и возможности участия в ней потребителей услуг, вовлечение граждан в независимую оценку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Управление по продвижению проектов в области культуры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  <w:t xml:space="preserve">Управление по развитию культурных центров Управление музейно-выставочной работы Управление театров Управление концертных организаций Управление образования Управление координации общегородских программ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Услуги, предусматривающие медико-социальное сопровождение лиц, страдающих тяжелыми заболеваниями, и лиц, нуждающихся в медицинской паллиативной помощи, включая организацию оказания медицинской паллиативной помощи и содействие в ее получении: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5.1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 проведение культурно-массовых мероприятий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Управление координации общегородских программ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  <w:t xml:space="preserve">Управление по развитию культурных центров.</w:t>
            </w:r>
          </w:p>
          <w:p>
            <w:pPr>
              <w:pStyle w:val="0"/>
            </w:pPr>
            <w:r>
              <w:rPr>
                <w:sz w:val="20"/>
              </w:rPr>
              <w:t xml:space="preserve">Управление театров.</w:t>
            </w:r>
          </w:p>
          <w:p>
            <w:pPr>
              <w:pStyle w:val="0"/>
            </w:pPr>
            <w:r>
              <w:rPr>
                <w:sz w:val="20"/>
              </w:rPr>
              <w:t xml:space="preserve">Управление концертных организаций.</w:t>
            </w:r>
          </w:p>
          <w:p>
            <w:pPr>
              <w:pStyle w:val="0"/>
            </w:pPr>
            <w:r>
              <w:rPr>
                <w:sz w:val="20"/>
              </w:rPr>
              <w:t xml:space="preserve">Управление государственных программ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5.2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Показ (организация показа) спектаклей (театральных постановок)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Управление театров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5.3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Показ (организация показа) концертов и концертных программ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Управление концертных организаций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Деятельность по оказанию услуг, направленных на развитие межнационального сотрудничества, сохранение и защиту самобытности, культуры, языков и традиций народов Российской Федерации, социальную и культурную адаптацию и интеграцию мигрантов: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6.1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 проведение культурно-массовых мероприятий (лектории, семинары, фестивали, культурно-просветительские проекты)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Управление координации общегородских программ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  <w:t xml:space="preserve">Управление по развитию культурных центров.</w:t>
            </w:r>
          </w:p>
          <w:p>
            <w:pPr>
              <w:pStyle w:val="0"/>
            </w:pPr>
            <w:r>
              <w:rPr>
                <w:sz w:val="20"/>
              </w:rPr>
              <w:t xml:space="preserve">Управление музейно-выставочной работы.</w:t>
            </w:r>
          </w:p>
          <w:p>
            <w:pPr>
              <w:pStyle w:val="0"/>
            </w:pPr>
            <w:r>
              <w:rPr>
                <w:sz w:val="20"/>
              </w:rPr>
              <w:t xml:space="preserve">Управление театров.</w:t>
            </w:r>
          </w:p>
          <w:p>
            <w:pPr>
              <w:pStyle w:val="0"/>
            </w:pPr>
            <w:r>
              <w:rPr>
                <w:sz w:val="20"/>
              </w:rPr>
              <w:t xml:space="preserve">Управление концертных организаций.</w:t>
            </w:r>
          </w:p>
          <w:p>
            <w:pPr>
              <w:pStyle w:val="0"/>
            </w:pPr>
            <w:r>
              <w:rPr>
                <w:sz w:val="20"/>
              </w:rPr>
              <w:t xml:space="preserve">Управление образования.</w:t>
            </w:r>
          </w:p>
          <w:p>
            <w:pPr>
              <w:pStyle w:val="0"/>
            </w:pPr>
            <w:r>
              <w:rPr>
                <w:sz w:val="20"/>
              </w:rPr>
              <w:t xml:space="preserve">Управление государственных программ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6.2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Создание экспозиций (выставок) музеев, организация выездных выставок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Управление музейно-выставочной работы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6.3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Создание спектаклей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Управление театров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6.4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Создание концертов и концертных программ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Управление концертных организаций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  <w:t xml:space="preserve">Управление координации общегородских программ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6.5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Показ (организация показа) спектаклей (театральных постановок)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Управление театров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6.6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Показ (организация показа) концертов и концертных программ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Управление концертных организаций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6.7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Услуги в сфере дополнительного образования, обеспечивающие решение задач сохранения и защиты самобытности, культуры, языков и традиций народов Российской Федерации (ознакомление граждан с культурой и традициями народов, населяющих Российскую Федерацию)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Управление образования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  <w:t xml:space="preserve">Управление театров.</w:t>
            </w:r>
          </w:p>
          <w:p>
            <w:pPr>
              <w:pStyle w:val="0"/>
            </w:pPr>
            <w:r>
              <w:rPr>
                <w:sz w:val="20"/>
              </w:rPr>
              <w:t xml:space="preserve">Управление концертных организаций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6.8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Производство и распространение музыкальных и культурно-просветительских аудиовизуальных программ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Управление театров Управление концертных организаций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  <w:t xml:space="preserve">Управление по развитию культурных центров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6.9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экскурсионных программ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Управление музейно-выставочной работы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3</w:t>
      </w:r>
    </w:p>
    <w:p>
      <w:pPr>
        <w:pStyle w:val="0"/>
        <w:jc w:val="right"/>
      </w:pPr>
      <w:r>
        <w:rPr>
          <w:sz w:val="20"/>
        </w:rPr>
        <w:t xml:space="preserve">к Временному порядку выдачи</w:t>
      </w:r>
    </w:p>
    <w:p>
      <w:pPr>
        <w:pStyle w:val="0"/>
        <w:jc w:val="right"/>
      </w:pPr>
      <w:r>
        <w:rPr>
          <w:sz w:val="20"/>
        </w:rPr>
        <w:t xml:space="preserve">Департаментом культуры города</w:t>
      </w:r>
    </w:p>
    <w:p>
      <w:pPr>
        <w:pStyle w:val="0"/>
        <w:jc w:val="right"/>
      </w:pPr>
      <w:r>
        <w:rPr>
          <w:sz w:val="20"/>
        </w:rPr>
        <w:t xml:space="preserve">Москвы заключений о соответствии</w:t>
      </w:r>
    </w:p>
    <w:p>
      <w:pPr>
        <w:pStyle w:val="0"/>
        <w:jc w:val="right"/>
      </w:pPr>
      <w:r>
        <w:rPr>
          <w:sz w:val="20"/>
        </w:rPr>
        <w:t xml:space="preserve">качества оказываемых социально</w:t>
      </w:r>
    </w:p>
    <w:p>
      <w:pPr>
        <w:pStyle w:val="0"/>
        <w:jc w:val="right"/>
      </w:pPr>
      <w:r>
        <w:rPr>
          <w:sz w:val="20"/>
        </w:rPr>
        <w:t xml:space="preserve">ориентированной некоммерческой</w:t>
      </w:r>
    </w:p>
    <w:p>
      <w:pPr>
        <w:pStyle w:val="0"/>
        <w:jc w:val="right"/>
      </w:pPr>
      <w:r>
        <w:rPr>
          <w:sz w:val="20"/>
        </w:rPr>
        <w:t xml:space="preserve">организацией общественно полезных</w:t>
      </w:r>
    </w:p>
    <w:p>
      <w:pPr>
        <w:pStyle w:val="0"/>
        <w:jc w:val="right"/>
      </w:pPr>
      <w:r>
        <w:rPr>
          <w:sz w:val="20"/>
        </w:rPr>
        <w:t xml:space="preserve">услуг установленным критериям</w:t>
      </w:r>
    </w:p>
    <w:p>
      <w:pPr>
        <w:pStyle w:val="0"/>
        <w:jc w:val="both"/>
      </w:pPr>
      <w:r>
        <w:rPr>
          <w:sz w:val="20"/>
        </w:rPr>
      </w:r>
    </w:p>
    <w:bookmarkStart w:id="394" w:name="P394"/>
    <w:bookmarkEnd w:id="394"/>
    <w:p>
      <w:pPr>
        <w:pStyle w:val="2"/>
        <w:jc w:val="center"/>
      </w:pPr>
      <w:r>
        <w:rPr>
          <w:sz w:val="20"/>
        </w:rPr>
        <w:t xml:space="preserve">АЛГОРИТМ</w:t>
      </w:r>
    </w:p>
    <w:p>
      <w:pPr>
        <w:pStyle w:val="2"/>
        <w:jc w:val="center"/>
      </w:pPr>
      <w:r>
        <w:rPr>
          <w:sz w:val="20"/>
        </w:rPr>
        <w:t xml:space="preserve">ПРОВЕРКИ СООТВЕТСТВИЯ КРИТЕРИЯМ ОЦЕНКИ КАЧЕСТВА ОКАЗАНИЯ</w:t>
      </w:r>
    </w:p>
    <w:p>
      <w:pPr>
        <w:pStyle w:val="2"/>
        <w:jc w:val="center"/>
      </w:pPr>
      <w:r>
        <w:rPr>
          <w:sz w:val="20"/>
        </w:rPr>
        <w:t xml:space="preserve">ОБЩЕСТВЕННО ПОЛЕЗНЫХ УСЛУГ (ДАЛЕЕ - ОПУ)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┌──────────────────┐</w:t>
      </w:r>
    </w:p>
    <w:p>
      <w:pPr>
        <w:pStyle w:val="1"/>
        <w:jc w:val="both"/>
      </w:pPr>
      <w:r>
        <w:rPr>
          <w:sz w:val="20"/>
        </w:rPr>
        <w:t xml:space="preserve">│КРИТЕРИИ (5)      │   ┌───────────────────────────────────────────────────────────┐</w:t>
      </w:r>
    </w:p>
    <w:p>
      <w:pPr>
        <w:pStyle w:val="1"/>
        <w:jc w:val="both"/>
      </w:pPr>
      <w:r>
        <w:rPr>
          <w:sz w:val="20"/>
        </w:rPr>
        <w:t xml:space="preserve">│ОЦЕНКИ КАЧЕСТВА   │   │Порядок действий при проверке соответствия критериям ОПУ   │</w:t>
      </w:r>
    </w:p>
    <w:p>
      <w:pPr>
        <w:pStyle w:val="1"/>
        <w:jc w:val="both"/>
      </w:pPr>
      <w:r>
        <w:rPr>
          <w:sz w:val="20"/>
        </w:rPr>
        <w:t xml:space="preserve">│ОКАЗАНИЯ ОПУ      │   │             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└──────────────────┘   └───────────────────────────────────────────────────────────┘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┌──────────────────┐ ┌─┌───────────────────────────────────────────────────────────┐</w:t>
      </w:r>
    </w:p>
    <w:p>
      <w:pPr>
        <w:pStyle w:val="1"/>
        <w:jc w:val="both"/>
      </w:pPr>
      <w:r>
        <w:rPr>
          <w:sz w:val="20"/>
        </w:rPr>
        <w:t xml:space="preserve">│(1) Соответствие  │ │ │1) поиск стандарта качества оказания рассматриваемой       │</w:t>
      </w:r>
    </w:p>
    <w:p>
      <w:pPr>
        <w:pStyle w:val="1"/>
        <w:jc w:val="both"/>
      </w:pPr>
      <w:r>
        <w:rPr>
          <w:sz w:val="20"/>
        </w:rPr>
        <w:t xml:space="preserve">│ОПУ установленным │ │ │ОПУ/ФГОС для образования                                   │</w:t>
      </w:r>
    </w:p>
    <w:p>
      <w:pPr>
        <w:pStyle w:val="1"/>
        <w:jc w:val="both"/>
      </w:pPr>
      <w:r>
        <w:rPr>
          <w:sz w:val="20"/>
        </w:rPr>
        <w:t xml:space="preserve">│нормативными      │ │ ├───────────────────────────────────────────────────────────┤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│правовыми актами  │ │ │2) проверка соответствия рассматриваемой ОПУ стандарту.    │</w:t>
      </w:r>
    </w:p>
    <w:p>
      <w:pPr>
        <w:pStyle w:val="1"/>
        <w:jc w:val="both"/>
      </w:pPr>
      <w:r>
        <w:rPr>
          <w:sz w:val="20"/>
        </w:rPr>
        <w:t xml:space="preserve">│РФ требованиям к  │ │ │Оценка проводится даже при отсутствии нормативно           │</w:t>
      </w:r>
    </w:p>
    <w:p>
      <w:pPr>
        <w:pStyle w:val="1"/>
        <w:jc w:val="both"/>
      </w:pPr>
      <w:r>
        <w:rPr>
          <w:sz w:val="20"/>
        </w:rPr>
        <w:t xml:space="preserve">│ее содержанию:    ├─┤ │урегулированных требований к рассматриваемой ОПУ </w:t>
      </w:r>
      <w:hyperlink w:history="0" w:anchor="P125" w:tooltip="18. Не может являться основанием для отказа отсутствие нормативно урегулированных требований к общественно полезной услуге, за оценкой качества оказания которой обратился заявитель.">
        <w:r>
          <w:rPr>
            <w:sz w:val="20"/>
            <w:color w:val="0000ff"/>
          </w:rPr>
          <w:t xml:space="preserve">(п. 18)</w:t>
        </w:r>
      </w:hyperlink>
      <w:r>
        <w:rPr>
          <w:sz w:val="20"/>
        </w:rPr>
        <w:t xml:space="preserve">   │</w:t>
      </w:r>
    </w:p>
    <w:p>
      <w:pPr>
        <w:pStyle w:val="1"/>
        <w:jc w:val="both"/>
      </w:pPr>
      <w:r>
        <w:rPr>
          <w:sz w:val="20"/>
        </w:rPr>
        <w:t xml:space="preserve">│объем, сроки,     │ │ ├───────────────────────────────────────────────────────────┤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│качество          │ │ │3) при необходимости направить межведомственный запрос в   │</w:t>
      </w:r>
    </w:p>
    <w:p>
      <w:pPr>
        <w:pStyle w:val="1"/>
        <w:jc w:val="both"/>
      </w:pPr>
      <w:r>
        <w:rPr>
          <w:sz w:val="20"/>
        </w:rPr>
        <w:t xml:space="preserve">│предоставления    │ │ │государственные органы и иные организации </w:t>
      </w:r>
      <w:hyperlink w:history="0" w:anchor="P145" w:tooltip="26. При необходимости в случае непредставления заявителем документов, указанных в пункте 11 настоящего Временного порядка, ответственное структурное подразделение Департамента, запрашивает у иных органов государственной власти сведения в порядке межведомственного информационного взаимодействия.">
        <w:r>
          <w:rPr>
            <w:sz w:val="20"/>
            <w:color w:val="0000ff"/>
          </w:rPr>
          <w:t xml:space="preserve">(п. 26)</w:t>
        </w:r>
      </w:hyperlink>
      <w:r>
        <w:rPr>
          <w:sz w:val="20"/>
        </w:rPr>
        <w:t xml:space="preserve">          │</w:t>
      </w:r>
    </w:p>
    <w:p>
      <w:pPr>
        <w:pStyle w:val="1"/>
        <w:jc w:val="both"/>
      </w:pPr>
      <w:r>
        <w:rPr>
          <w:sz w:val="20"/>
        </w:rPr>
        <w:t xml:space="preserve">│                  │ │ ├───────────────────┬───────────────────┬───────────────────┤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                  │ │ │ИТОГ:              │ДА                 │НЕТ (отказ в       │</w:t>
      </w:r>
    </w:p>
    <w:p>
      <w:pPr>
        <w:pStyle w:val="1"/>
        <w:jc w:val="both"/>
      </w:pPr>
      <w:r>
        <w:rPr>
          <w:sz w:val="20"/>
        </w:rPr>
        <w:t xml:space="preserve">│                  │ │ │                   │                   │порядке </w:t>
      </w:r>
      <w:hyperlink w:history="0" w:anchor="P119" w:tooltip="17.1. Несоответствие общественно полезной услуги установленным нормативными правовыми актами Российской Федерации требованиям к ее содержанию (объем, сроки, качество предоставления).">
        <w:r>
          <w:rPr>
            <w:sz w:val="20"/>
            <w:color w:val="0000ff"/>
          </w:rPr>
          <w:t xml:space="preserve">п. 17.1</w:t>
        </w:r>
      </w:hyperlink>
      <w:r>
        <w:rPr>
          <w:sz w:val="20"/>
        </w:rPr>
        <w:t xml:space="preserve">)   │</w:t>
      </w:r>
    </w:p>
    <w:p>
      <w:pPr>
        <w:pStyle w:val="1"/>
        <w:jc w:val="both"/>
      </w:pPr>
      <w:r>
        <w:rPr>
          <w:sz w:val="20"/>
        </w:rPr>
        <w:t xml:space="preserve">└──────────────────┘ └─└───────────────────┴───────────────────┴───────────────────┘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┌──────────────────┐ ┌─┌───────────────────────────────────────────────────────────┐</w:t>
      </w:r>
    </w:p>
    <w:p>
      <w:pPr>
        <w:pStyle w:val="1"/>
        <w:jc w:val="both"/>
      </w:pPr>
      <w:r>
        <w:rPr>
          <w:sz w:val="20"/>
        </w:rPr>
        <w:t xml:space="preserve">│(2) Наличие у лиц,│ │ │1) проверка участия заявленных лиц (в т.ч. работников      │</w:t>
      </w:r>
    </w:p>
    <w:p>
      <w:pPr>
        <w:pStyle w:val="1"/>
        <w:jc w:val="both"/>
      </w:pPr>
      <w:r>
        <w:rPr>
          <w:sz w:val="20"/>
        </w:rPr>
        <w:t xml:space="preserve">│непосредственно   │ │ │СОНКО) в непосредственном оказании рассматриваемой ОПУ     │</w:t>
      </w:r>
    </w:p>
    <w:p>
      <w:pPr>
        <w:pStyle w:val="1"/>
        <w:jc w:val="both"/>
      </w:pPr>
      <w:r>
        <w:rPr>
          <w:sz w:val="20"/>
        </w:rPr>
        <w:t xml:space="preserve">│задействованных в │ │ ├───────────────────────────────────────────────────────────┤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│исполнении ОПУ (в │ │ │2) изучение представленных СОНКО документов, подтверждающих│</w:t>
      </w:r>
    </w:p>
    <w:p>
      <w:pPr>
        <w:pStyle w:val="1"/>
        <w:jc w:val="both"/>
      </w:pPr>
      <w:r>
        <w:rPr>
          <w:sz w:val="20"/>
        </w:rPr>
        <w:t xml:space="preserve">│том числе         │ │ │квалификацию, соответствующую рассматриваемой ОПУ (дипломы,│</w:t>
      </w:r>
    </w:p>
    <w:p>
      <w:pPr>
        <w:pStyle w:val="1"/>
        <w:jc w:val="both"/>
      </w:pPr>
      <w:r>
        <w:rPr>
          <w:sz w:val="20"/>
        </w:rPr>
        <w:t xml:space="preserve">│работников СОНКО),│ │ │сертификаты, удостоверения  и  пр.),  а  также  документов,│</w:t>
      </w:r>
    </w:p>
    <w:p>
      <w:pPr>
        <w:pStyle w:val="1"/>
        <w:jc w:val="both"/>
      </w:pPr>
      <w:r>
        <w:rPr>
          <w:sz w:val="20"/>
        </w:rPr>
        <w:t xml:space="preserve">│необходимой       │ │ │подтверждающих  опыт  работы   в   сфере,   соответствующей│</w:t>
      </w:r>
    </w:p>
    <w:p>
      <w:pPr>
        <w:pStyle w:val="1"/>
        <w:jc w:val="both"/>
      </w:pPr>
      <w:r>
        <w:rPr>
          <w:sz w:val="20"/>
        </w:rPr>
        <w:t xml:space="preserve">│квалификации      │ │ │рассматриваемой ОПУ (выписка из трудовой  книжки,  договоры│</w:t>
      </w:r>
    </w:p>
    <w:p>
      <w:pPr>
        <w:pStyle w:val="1"/>
        <w:jc w:val="both"/>
      </w:pPr>
      <w:r>
        <w:rPr>
          <w:sz w:val="20"/>
        </w:rPr>
        <w:t xml:space="preserve">│(профессионального│ │ │на выполнение соответствующих услуг,  отзывы  пользователей│</w:t>
      </w:r>
    </w:p>
    <w:p>
      <w:pPr>
        <w:pStyle w:val="1"/>
        <w:jc w:val="both"/>
      </w:pPr>
      <w:r>
        <w:rPr>
          <w:sz w:val="20"/>
        </w:rPr>
        <w:t xml:space="preserve">│образования, опыта│ │ │услуг и пр.) </w:t>
      </w:r>
      <w:hyperlink w:history="0" w:anchor="P107" w:tooltip="11.4. Документы, обосновывающие соответствие оказываемых организацией услуг установленным критериям оценки качества оказания общественно полезных услуг (справки, характеристики, экспертные заключения).">
        <w:r>
          <w:rPr>
            <w:sz w:val="20"/>
            <w:color w:val="0000ff"/>
          </w:rPr>
          <w:t xml:space="preserve">(п. 11.4)</w:t>
        </w:r>
      </w:hyperlink>
      <w:r>
        <w:rPr>
          <w:sz w:val="20"/>
        </w:rPr>
        <w:t xml:space="preserve">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│работы в          ├─┤ ├───────────────────────────────────────────────────────────┤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│соответствующей   │ │ │3) установление соответствия необходимого профессионального│</w:t>
      </w:r>
    </w:p>
    <w:p>
      <w:pPr>
        <w:pStyle w:val="1"/>
        <w:jc w:val="both"/>
      </w:pPr>
      <w:r>
        <w:rPr>
          <w:sz w:val="20"/>
        </w:rPr>
        <w:t xml:space="preserve">│сфере),           │ │ │образования и опыта работы в соответствующей сфере         │</w:t>
      </w:r>
    </w:p>
    <w:p>
      <w:pPr>
        <w:pStyle w:val="1"/>
        <w:jc w:val="both"/>
      </w:pPr>
      <w:r>
        <w:rPr>
          <w:sz w:val="20"/>
        </w:rPr>
        <w:t xml:space="preserve">│достаточность     │ │ │рассматриваемой ОПУ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│количества таких  │ │ ├───────────────────────────────────────────────────────────┤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│лиц               │ │ │4) изучение представленных СОНКО документов (трудовые      │</w:t>
      </w:r>
    </w:p>
    <w:p>
      <w:pPr>
        <w:pStyle w:val="1"/>
        <w:jc w:val="both"/>
      </w:pPr>
      <w:r>
        <w:rPr>
          <w:sz w:val="20"/>
        </w:rPr>
        <w:t xml:space="preserve">│                  │ │ │договоры, договоры гражданско-правового характера),        │</w:t>
      </w:r>
    </w:p>
    <w:p>
      <w:pPr>
        <w:pStyle w:val="1"/>
        <w:jc w:val="both"/>
      </w:pPr>
      <w:r>
        <w:rPr>
          <w:sz w:val="20"/>
        </w:rPr>
        <w:t xml:space="preserve">│                  │ │ │подтверждающих наличие специалистов и их достаточность для │</w:t>
      </w:r>
    </w:p>
    <w:p>
      <w:pPr>
        <w:pStyle w:val="1"/>
        <w:jc w:val="both"/>
      </w:pPr>
      <w:r>
        <w:rPr>
          <w:sz w:val="20"/>
        </w:rPr>
        <w:t xml:space="preserve">│                  │ │ │оказания рассматриваемой ОПУ                               │</w:t>
      </w:r>
    </w:p>
    <w:p>
      <w:pPr>
        <w:pStyle w:val="1"/>
        <w:jc w:val="both"/>
      </w:pPr>
      <w:r>
        <w:rPr>
          <w:sz w:val="20"/>
        </w:rPr>
        <w:t xml:space="preserve">│                  │ │ ├───────────────────┬───────────────────┬───────────────────┤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                  │ │ │ИТОГ:              │ДА                 │НЕТ (отказ в       │</w:t>
      </w:r>
    </w:p>
    <w:p>
      <w:pPr>
        <w:pStyle w:val="1"/>
        <w:jc w:val="both"/>
      </w:pPr>
      <w:r>
        <w:rPr>
          <w:sz w:val="20"/>
        </w:rPr>
        <w:t xml:space="preserve">│                  │ │ │                   │                   │порядке </w:t>
      </w:r>
      <w:hyperlink w:history="0" w:anchor="P120" w:tooltip="17.2. Отсутствие у лиц, непосредственно задействованных в исполнении общественно полезной услуги (в том числе работников организации и работников, привлеченных по договорам гражданско-правового характера), необходимой квалификации (в том числе профессионального образования, опыта работы в соответствующей сфере), недостаточность количества лиц, у которых есть необходимая квалификация.">
        <w:r>
          <w:rPr>
            <w:sz w:val="20"/>
            <w:color w:val="0000ff"/>
          </w:rPr>
          <w:t xml:space="preserve">п. 17.2</w:t>
        </w:r>
      </w:hyperlink>
      <w:r>
        <w:rPr>
          <w:sz w:val="20"/>
        </w:rPr>
        <w:t xml:space="preserve">)   │</w:t>
      </w:r>
    </w:p>
    <w:p>
      <w:pPr>
        <w:pStyle w:val="1"/>
        <w:jc w:val="both"/>
      </w:pPr>
      <w:r>
        <w:rPr>
          <w:sz w:val="20"/>
        </w:rPr>
        <w:t xml:space="preserve">└──────────────────┘ └─└───────────────────┴───────────────────┴───────────────────┘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┌──────────────────┐ ┌─┌───────────────────────────────────────────────────────────┐</w:t>
      </w:r>
    </w:p>
    <w:p>
      <w:pPr>
        <w:pStyle w:val="1"/>
        <w:jc w:val="both"/>
      </w:pPr>
      <w:r>
        <w:rPr>
          <w:sz w:val="20"/>
        </w:rPr>
        <w:t xml:space="preserve">│(3)               │ │ │1) проверить отсутствие в ДКгМ жалоб на действия           │</w:t>
      </w:r>
    </w:p>
    <w:p>
      <w:pPr>
        <w:pStyle w:val="1"/>
        <w:jc w:val="both"/>
      </w:pPr>
      <w:r>
        <w:rPr>
          <w:sz w:val="20"/>
        </w:rPr>
        <w:t xml:space="preserve">│Удовлетворенность │ │ │(бездействие) и (или) решения СОНКО в результате оказания  │</w:t>
      </w:r>
    </w:p>
    <w:p>
      <w:pPr>
        <w:pStyle w:val="1"/>
        <w:jc w:val="both"/>
      </w:pPr>
      <w:r>
        <w:rPr>
          <w:sz w:val="20"/>
        </w:rPr>
        <w:t xml:space="preserve">│получателей ОПУ   │ │ │рассматриваемой ОПУ в течение 2 лет, предшествующих выдаче │</w:t>
      </w:r>
    </w:p>
    <w:p>
      <w:pPr>
        <w:pStyle w:val="1"/>
        <w:jc w:val="both"/>
      </w:pPr>
      <w:r>
        <w:rPr>
          <w:sz w:val="20"/>
        </w:rPr>
        <w:t xml:space="preserve">│качеством их      │ │ │заключения   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│оказания          │ │ ├───────────────────────────────────────────────────────────┤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│(отсутствие жалоб │ │ │2) проверить отсутствие жалоб на действия (бездействие) и  │</w:t>
      </w:r>
    </w:p>
    <w:p>
      <w:pPr>
        <w:pStyle w:val="1"/>
        <w:jc w:val="both"/>
      </w:pPr>
      <w:r>
        <w:rPr>
          <w:sz w:val="20"/>
        </w:rPr>
        <w:t xml:space="preserve">│на действия       │ │ │(или) решения СОНКО в подведомственных ДКгМ организациях в │</w:t>
      </w:r>
    </w:p>
    <w:p>
      <w:pPr>
        <w:pStyle w:val="1"/>
        <w:jc w:val="both"/>
      </w:pPr>
      <w:r>
        <w:rPr>
          <w:sz w:val="20"/>
        </w:rPr>
        <w:t xml:space="preserve">│(бездействие) и   ├─┤ │течение 2 лет, предшествующих выдаче заключения, в т.ч.    │</w:t>
      </w:r>
    </w:p>
    <w:p>
      <w:pPr>
        <w:pStyle w:val="1"/>
        <w:jc w:val="both"/>
      </w:pPr>
      <w:r>
        <w:rPr>
          <w:sz w:val="20"/>
        </w:rPr>
        <w:t xml:space="preserve">│(или) решения     │ │ │посредством межведомственного запроса </w:t>
      </w:r>
      <w:hyperlink w:history="0" w:anchor="P145" w:tooltip="26. При необходимости в случае непредставления заявителем документов, указанных в пункте 11 настоящего Временного порядка, ответственное структурное подразделение Департамента, запрашивает у иных органов государственной власти сведения в порядке межведомственного информационного взаимодействия.">
        <w:r>
          <w:rPr>
            <w:sz w:val="20"/>
            <w:color w:val="0000ff"/>
          </w:rPr>
          <w:t xml:space="preserve">(п. 26)</w:t>
        </w:r>
      </w:hyperlink>
      <w:r>
        <w:rPr>
          <w:sz w:val="20"/>
        </w:rPr>
        <w:t xml:space="preserve">              │</w:t>
      </w:r>
    </w:p>
    <w:p>
      <w:pPr>
        <w:pStyle w:val="1"/>
        <w:jc w:val="both"/>
      </w:pPr>
      <w:r>
        <w:rPr>
          <w:sz w:val="20"/>
        </w:rPr>
        <w:t xml:space="preserve">│некоммерческой    │ │ ├───────────────────────────────────────────────────────────┤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│организации в     │ │ │3) изучение представленных СОНКО дипломов, благодарственных│</w:t>
      </w:r>
    </w:p>
    <w:p>
      <w:pPr>
        <w:pStyle w:val="1"/>
        <w:jc w:val="both"/>
      </w:pPr>
      <w:r>
        <w:rPr>
          <w:sz w:val="20"/>
        </w:rPr>
        <w:t xml:space="preserve">│течение 2 лет,    │ │ │писем и иных документов, подтверждающих удовлетворенность  │</w:t>
      </w:r>
    </w:p>
    <w:p>
      <w:pPr>
        <w:pStyle w:val="1"/>
        <w:jc w:val="both"/>
      </w:pPr>
      <w:r>
        <w:rPr>
          <w:sz w:val="20"/>
        </w:rPr>
        <w:t xml:space="preserve">│предшествующих    │ │ │получателей рассматриваемой ОПУ качеством ее оказания (п.  │</w:t>
      </w:r>
    </w:p>
    <w:p>
      <w:pPr>
        <w:pStyle w:val="1"/>
        <w:jc w:val="both"/>
      </w:pPr>
      <w:r>
        <w:rPr>
          <w:sz w:val="20"/>
        </w:rPr>
        <w:t xml:space="preserve">│выдаче заключения)│ │ │</w:t>
      </w:r>
      <w:hyperlink w:history="0" w:anchor="P109" w:tooltip="11.6. Дипломы и благодарственные письма.">
        <w:r>
          <w:rPr>
            <w:sz w:val="20"/>
            <w:color w:val="0000ff"/>
          </w:rPr>
          <w:t xml:space="preserve">11.6</w:t>
        </w:r>
      </w:hyperlink>
      <w:r>
        <w:rPr>
          <w:sz w:val="20"/>
        </w:rPr>
        <w:t xml:space="preserve">)        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              │ │ ├───────────────────┬───────────────────┬───────────────────┤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                  │ │ │ИТОГ:              │ДА                 │НЕТ (отказ в       │</w:t>
      </w:r>
    </w:p>
    <w:p>
      <w:pPr>
        <w:pStyle w:val="1"/>
        <w:jc w:val="both"/>
      </w:pPr>
      <w:r>
        <w:rPr>
          <w:sz w:val="20"/>
        </w:rPr>
        <w:t xml:space="preserve">│                  │ │ │                   │                   │порядке </w:t>
      </w:r>
      <w:hyperlink w:history="0" w:anchor="P121" w:tooltip="17.3. Наличие в течение 2 лет, предшествующих выдаче заключения, жалоб на действия (бездействие) и (или) решения организации, связанных с оказанием ею общественно полезных услуг, признанных обоснованными судом, органами государственного контроля (надзора) и муниципального надзора, иными государственными органами в соответствии с их компетенцией.">
        <w:r>
          <w:rPr>
            <w:sz w:val="20"/>
            <w:color w:val="0000ff"/>
          </w:rPr>
          <w:t xml:space="preserve">п. 17.3</w:t>
        </w:r>
      </w:hyperlink>
      <w:r>
        <w:rPr>
          <w:sz w:val="20"/>
        </w:rPr>
        <w:t xml:space="preserve">)   │</w:t>
      </w:r>
    </w:p>
    <w:p>
      <w:pPr>
        <w:pStyle w:val="1"/>
        <w:jc w:val="both"/>
      </w:pPr>
      <w:r>
        <w:rPr>
          <w:sz w:val="20"/>
        </w:rPr>
        <w:t xml:space="preserve">└──────────────────┘ └─└───────────────────┴───────────────────┴───────────────────┘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┌──────────────────┐ ┌─┌───────────────────────────────────────────────────────────┐</w:t>
      </w:r>
    </w:p>
    <w:p>
      <w:pPr>
        <w:pStyle w:val="1"/>
        <w:jc w:val="both"/>
      </w:pPr>
      <w:r>
        <w:rPr>
          <w:sz w:val="20"/>
        </w:rPr>
        <w:t xml:space="preserve">│(4) Открытость и  │ │ │1) зайти на официальный сайт СОНКО в сети Интернет         │</w:t>
      </w:r>
    </w:p>
    <w:p>
      <w:pPr>
        <w:pStyle w:val="1"/>
        <w:jc w:val="both"/>
      </w:pPr>
      <w:r>
        <w:rPr>
          <w:sz w:val="20"/>
        </w:rPr>
        <w:t xml:space="preserve">│доступность       │ │ ├───────────────────────────────────────────────────────────┤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│информации о НКО  │ │ │2) проверить официальный сайт СОНКО на наличие информации, │</w:t>
      </w:r>
    </w:p>
    <w:p>
      <w:pPr>
        <w:pStyle w:val="1"/>
        <w:jc w:val="both"/>
      </w:pPr>
      <w:r>
        <w:rPr>
          <w:sz w:val="20"/>
        </w:rPr>
        <w:t xml:space="preserve">│                  ├─┤ │указанной в </w:t>
      </w:r>
      <w:hyperlink w:history="0" r:id="rId30" w:tooltip="Федеральный закон от 12.01.1996 N 7-ФЗ (ред. от 30.09.2024) &quot;О некоммерческих организациях&quot; {КонсультантПлюс}">
        <w:r>
          <w:rPr>
            <w:sz w:val="20"/>
            <w:color w:val="0000ff"/>
          </w:rPr>
          <w:t xml:space="preserve">п. 3.3 ст. 32</w:t>
        </w:r>
      </w:hyperlink>
      <w:r>
        <w:rPr>
          <w:sz w:val="20"/>
        </w:rPr>
        <w:t xml:space="preserve"> Федерального закона от 12.01.1996│</w:t>
      </w:r>
    </w:p>
    <w:p>
      <w:pPr>
        <w:pStyle w:val="1"/>
        <w:jc w:val="both"/>
      </w:pPr>
      <w:r>
        <w:rPr>
          <w:sz w:val="20"/>
        </w:rPr>
        <w:t xml:space="preserve">│                  │ │ │N 7-ФЗ "О некоммерческих организациях"                     │</w:t>
      </w:r>
    </w:p>
    <w:p>
      <w:pPr>
        <w:pStyle w:val="1"/>
        <w:jc w:val="both"/>
      </w:pPr>
      <w:r>
        <w:rPr>
          <w:sz w:val="20"/>
        </w:rPr>
        <w:t xml:space="preserve">│                  │ │ ├───────────────────┬───────────────────┬───────────────────┤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                  │ │ │ИТОГ:              │ДА                 │НЕТ (отказ в       │</w:t>
      </w:r>
    </w:p>
    <w:p>
      <w:pPr>
        <w:pStyle w:val="1"/>
        <w:jc w:val="both"/>
      </w:pPr>
      <w:r>
        <w:rPr>
          <w:sz w:val="20"/>
        </w:rPr>
        <w:t xml:space="preserve">│                  │ │ │                   │                   │порядке </w:t>
      </w:r>
      <w:hyperlink w:history="0" w:anchor="P122" w:tooltip="17.4. Несоответствие уровня открытости и доступности информации об организации установленным нормативными правовыми актами Российской Федерации требованиям (при их наличии).">
        <w:r>
          <w:rPr>
            <w:sz w:val="20"/>
            <w:color w:val="0000ff"/>
          </w:rPr>
          <w:t xml:space="preserve">п. 17.4</w:t>
        </w:r>
      </w:hyperlink>
      <w:r>
        <w:rPr>
          <w:sz w:val="20"/>
        </w:rPr>
        <w:t xml:space="preserve">)   │</w:t>
      </w:r>
    </w:p>
    <w:p>
      <w:pPr>
        <w:pStyle w:val="1"/>
        <w:jc w:val="both"/>
      </w:pPr>
      <w:r>
        <w:rPr>
          <w:sz w:val="20"/>
        </w:rPr>
        <w:t xml:space="preserve">└──────────────────┘ └─└───────────────────┴───────────────────┴───────────────────┘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┌──────────────────┐ ┌─┌───────────────────────────────────────────────────────────┐</w:t>
      </w:r>
    </w:p>
    <w:p>
      <w:pPr>
        <w:pStyle w:val="1"/>
        <w:jc w:val="both"/>
      </w:pPr>
      <w:r>
        <w:rPr>
          <w:sz w:val="20"/>
        </w:rPr>
        <w:t xml:space="preserve">│(5) Отсутствие    │ │ │1) зайти на сайт </w:t>
      </w:r>
      <w:hyperlink w:history="0" r:id="rId31">
        <w:r>
          <w:rPr>
            <w:sz w:val="20"/>
            <w:color w:val="0000ff"/>
          </w:rPr>
          <w:t xml:space="preserve">zakupki.gov.ru</w:t>
        </w:r>
      </w:hyperlink>
      <w:r>
        <w:rPr>
          <w:sz w:val="20"/>
        </w:rPr>
        <w:t xml:space="preserve"> и открыть вкладку "Все     │</w:t>
      </w:r>
    </w:p>
    <w:p>
      <w:pPr>
        <w:pStyle w:val="1"/>
        <w:jc w:val="both"/>
      </w:pPr>
      <w:r>
        <w:rPr>
          <w:sz w:val="20"/>
        </w:rPr>
        <w:t xml:space="preserve">│НКО в реестре     │ │ │разделы", затем перейти по ссылке "Реестр недобросовестных │</w:t>
      </w:r>
    </w:p>
    <w:p>
      <w:pPr>
        <w:pStyle w:val="1"/>
        <w:jc w:val="both"/>
      </w:pPr>
      <w:r>
        <w:rPr>
          <w:sz w:val="20"/>
        </w:rPr>
        <w:t xml:space="preserve">│недобросовестных  │ │ │поставщиков (подрядчиков, исполнителей,                    │</w:t>
      </w:r>
    </w:p>
    <w:p>
      <w:pPr>
        <w:pStyle w:val="1"/>
        <w:jc w:val="both"/>
      </w:pPr>
      <w:r>
        <w:rPr>
          <w:sz w:val="20"/>
        </w:rPr>
        <w:t xml:space="preserve">│поставщиков       │ │ │подрядных организаций) (</w:t>
      </w:r>
      <w:hyperlink w:history="0" r:id="rId32" w:tooltip="Федеральный закон от 05.04.2013 N 44-ФЗ (ред. от 30.11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sz w:val="20"/>
            <w:color w:val="0000ff"/>
          </w:rPr>
          <w:t xml:space="preserve">44-ФЗ</w:t>
        </w:r>
      </w:hyperlink>
      <w:r>
        <w:rPr>
          <w:sz w:val="20"/>
        </w:rPr>
        <w:t xml:space="preserve">, </w:t>
      </w:r>
      <w:hyperlink w:history="0" r:id="rId33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10.2024) {КонсультантПлюс}">
        <w:r>
          <w:rPr>
            <w:sz w:val="20"/>
            <w:color w:val="0000ff"/>
          </w:rPr>
          <w:t xml:space="preserve">223-ФЗ</w:t>
        </w:r>
      </w:hyperlink>
      <w:r>
        <w:rPr>
          <w:sz w:val="20"/>
        </w:rPr>
        <w:t xml:space="preserve">, </w:t>
      </w:r>
      <w:hyperlink w:history="0" r:id="rId34" w:tooltip="Постановление Правительства РФ от 01.07.2016 N 615 (ред. от 17.09.2024) &quot;О порядке привлечения подрядных организаций для оказания услуг и (или) выполнения работ по капитальному ремонту общего имущества в многоквартирном доме, порядке осуществления закупок товаров, работ, услуг в целях выполнения функций специализированной некоммерческой организации, осуществляющей деятельность, направленную на обеспечение проведения капитального ремонта общего имущества в многоквартирных домах, о порядке осуществления специ {КонсультантПлюс}">
        <w:r>
          <w:rPr>
            <w:sz w:val="20"/>
            <w:color w:val="0000ff"/>
          </w:rPr>
          <w:t xml:space="preserve">ПП</w:t>
        </w:r>
      </w:hyperlink>
      <w:r>
        <w:rPr>
          <w:sz w:val="20"/>
        </w:rPr>
        <w:t xml:space="preserve"> РФ-615)"         │</w:t>
      </w:r>
    </w:p>
    <w:p>
      <w:pPr>
        <w:pStyle w:val="1"/>
        <w:jc w:val="both"/>
      </w:pPr>
      <w:r>
        <w:rPr>
          <w:sz w:val="20"/>
        </w:rPr>
        <w:t xml:space="preserve">│                  │ │ ├───────────────────────────────────────────────────────────┤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                  ├─┤ │2) проверить отсутствие СОНКО в реестре недобросовестных   │</w:t>
      </w:r>
    </w:p>
    <w:p>
      <w:pPr>
        <w:pStyle w:val="1"/>
        <w:jc w:val="both"/>
      </w:pPr>
      <w:r>
        <w:rPr>
          <w:sz w:val="20"/>
        </w:rPr>
        <w:t xml:space="preserve">│                  │ │ │поставщиков по результатам оказания рассматриваемой ОПУ    │</w:t>
      </w:r>
    </w:p>
    <w:p>
      <w:pPr>
        <w:pStyle w:val="1"/>
        <w:jc w:val="both"/>
      </w:pPr>
      <w:r>
        <w:rPr>
          <w:sz w:val="20"/>
        </w:rPr>
        <w:t xml:space="preserve">│                  │ │ ├───────────────────┬───────────────────┬───────────────────┤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                  │ │ │ИТОГ:              │ДА: проект         │НЕТ (отказ в       │</w:t>
      </w:r>
    </w:p>
    <w:p>
      <w:pPr>
        <w:pStyle w:val="1"/>
        <w:jc w:val="both"/>
      </w:pPr>
      <w:r>
        <w:rPr>
          <w:sz w:val="20"/>
        </w:rPr>
        <w:t xml:space="preserve">│                  │ │ │                   │заключения (п.     │порядке </w:t>
      </w:r>
      <w:hyperlink w:history="0" w:anchor="P123" w:tooltip="17.5. Наличие в течение 2 лет, предшествующих выдаче заключения, информации о присутствии организации в реестре недобросовестных поставщиков по результатам оказания услуги в рамках исполнения контрактов, заключенных в соответствии с Федеральным законом N 44-ФЗ.">
        <w:r>
          <w:rPr>
            <w:sz w:val="20"/>
            <w:color w:val="0000ff"/>
          </w:rPr>
          <w:t xml:space="preserve">п. 17.5</w:t>
        </w:r>
      </w:hyperlink>
      <w:r>
        <w:rPr>
          <w:sz w:val="20"/>
        </w:rPr>
        <w:t xml:space="preserve">);  │</w:t>
      </w:r>
    </w:p>
    <w:p>
      <w:pPr>
        <w:pStyle w:val="1"/>
        <w:jc w:val="both"/>
      </w:pPr>
      <w:r>
        <w:rPr>
          <w:sz w:val="20"/>
        </w:rPr>
        <w:t xml:space="preserve">│                  │ │ │                   │</w:t>
      </w:r>
      <w:hyperlink w:history="0" w:anchor="P150" w:tooltip="28.1. Проект заключения по примерной форме согласно приложению 4 к настоящему Временному порядку.">
        <w:r>
          <w:rPr>
            <w:sz w:val="20"/>
            <w:color w:val="0000ff"/>
          </w:rPr>
          <w:t xml:space="preserve">28.1</w:t>
        </w:r>
      </w:hyperlink>
      <w:r>
        <w:rPr>
          <w:sz w:val="20"/>
        </w:rPr>
        <w:t xml:space="preserve">)              │Уведомление об     │</w:t>
      </w:r>
    </w:p>
    <w:p>
      <w:pPr>
        <w:pStyle w:val="1"/>
        <w:jc w:val="both"/>
      </w:pPr>
      <w:r>
        <w:rPr>
          <w:sz w:val="20"/>
        </w:rPr>
        <w:t xml:space="preserve">│                  │ │ │                   │                   │отказе </w:t>
      </w:r>
      <w:hyperlink w:history="0" w:anchor="P151" w:tooltip="28.2. Уведомление об отказе в выдаче заключения по примерной форме согласно приложению 5 к настоящему Временному порядку при наличии оснований, указанных в пункте 17 настоящего Временного порядка.">
        <w:r>
          <w:rPr>
            <w:sz w:val="20"/>
            <w:color w:val="0000ff"/>
          </w:rPr>
          <w:t xml:space="preserve">(п. 28.2)</w:t>
        </w:r>
      </w:hyperlink>
      <w:r>
        <w:rPr>
          <w:sz w:val="20"/>
        </w:rPr>
        <w:t xml:space="preserve">   │</w:t>
      </w:r>
    </w:p>
    <w:p>
      <w:pPr>
        <w:pStyle w:val="1"/>
        <w:jc w:val="both"/>
      </w:pPr>
      <w:r>
        <w:rPr>
          <w:sz w:val="20"/>
        </w:rPr>
        <w:t xml:space="preserve">└──────────────────┘ └─└───────────────────┴───────────────────┴───────────────────┘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4</w:t>
      </w:r>
    </w:p>
    <w:p>
      <w:pPr>
        <w:pStyle w:val="0"/>
        <w:jc w:val="right"/>
      </w:pPr>
      <w:r>
        <w:rPr>
          <w:sz w:val="20"/>
        </w:rPr>
        <w:t xml:space="preserve">к Временному порядку выдачи</w:t>
      </w:r>
    </w:p>
    <w:p>
      <w:pPr>
        <w:pStyle w:val="0"/>
        <w:jc w:val="right"/>
      </w:pPr>
      <w:r>
        <w:rPr>
          <w:sz w:val="20"/>
        </w:rPr>
        <w:t xml:space="preserve">Департаментом культуры города</w:t>
      </w:r>
    </w:p>
    <w:p>
      <w:pPr>
        <w:pStyle w:val="0"/>
        <w:jc w:val="right"/>
      </w:pPr>
      <w:r>
        <w:rPr>
          <w:sz w:val="20"/>
        </w:rPr>
        <w:t xml:space="preserve">Москвы заключений о соответствии</w:t>
      </w:r>
    </w:p>
    <w:p>
      <w:pPr>
        <w:pStyle w:val="0"/>
        <w:jc w:val="right"/>
      </w:pPr>
      <w:r>
        <w:rPr>
          <w:sz w:val="20"/>
        </w:rPr>
        <w:t xml:space="preserve">качества оказываемых социально</w:t>
      </w:r>
    </w:p>
    <w:p>
      <w:pPr>
        <w:pStyle w:val="0"/>
        <w:jc w:val="right"/>
      </w:pPr>
      <w:r>
        <w:rPr>
          <w:sz w:val="20"/>
        </w:rPr>
        <w:t xml:space="preserve">ориентированной некоммерческой</w:t>
      </w:r>
    </w:p>
    <w:p>
      <w:pPr>
        <w:pStyle w:val="0"/>
        <w:jc w:val="right"/>
      </w:pPr>
      <w:r>
        <w:rPr>
          <w:sz w:val="20"/>
        </w:rPr>
        <w:t xml:space="preserve">организацией общественно полезных</w:t>
      </w:r>
    </w:p>
    <w:p>
      <w:pPr>
        <w:pStyle w:val="0"/>
        <w:jc w:val="right"/>
      </w:pPr>
      <w:r>
        <w:rPr>
          <w:sz w:val="20"/>
        </w:rPr>
        <w:t xml:space="preserve">услуг установленным критериям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(наименование организации)</w:t>
      </w:r>
    </w:p>
    <w:p>
      <w:pPr>
        <w:pStyle w:val="1"/>
        <w:jc w:val="both"/>
      </w:pPr>
      <w:r>
        <w:rPr>
          <w:sz w:val="20"/>
        </w:rPr>
        <w:t xml:space="preserve">                                          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(почтовый адрес/адрес электронной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почты)</w:t>
      </w:r>
    </w:p>
    <w:p>
      <w:pPr>
        <w:pStyle w:val="1"/>
        <w:jc w:val="both"/>
      </w:pPr>
      <w:r>
        <w:rPr>
          <w:sz w:val="20"/>
        </w:rPr>
      </w:r>
    </w:p>
    <w:bookmarkStart w:id="509" w:name="P509"/>
    <w:bookmarkEnd w:id="509"/>
    <w:p>
      <w:pPr>
        <w:pStyle w:val="1"/>
        <w:jc w:val="both"/>
      </w:pPr>
      <w:r>
        <w:rPr>
          <w:sz w:val="20"/>
        </w:rPr>
        <w:t xml:space="preserve">                                ЗАКЛЮЧЕНИЕ</w:t>
      </w:r>
    </w:p>
    <w:p>
      <w:pPr>
        <w:pStyle w:val="1"/>
        <w:jc w:val="both"/>
      </w:pPr>
      <w:r>
        <w:rPr>
          <w:sz w:val="20"/>
        </w:rPr>
        <w:t xml:space="preserve">               о соответствии качества оказываемых социально</w:t>
      </w:r>
    </w:p>
    <w:p>
      <w:pPr>
        <w:pStyle w:val="1"/>
        <w:jc w:val="both"/>
      </w:pPr>
      <w:r>
        <w:rPr>
          <w:sz w:val="20"/>
        </w:rPr>
        <w:t xml:space="preserve">          ориентированной некоммерческой организацией общественно</w:t>
      </w:r>
    </w:p>
    <w:p>
      <w:pPr>
        <w:pStyle w:val="1"/>
        <w:jc w:val="both"/>
      </w:pPr>
      <w:r>
        <w:rPr>
          <w:sz w:val="20"/>
        </w:rPr>
        <w:t xml:space="preserve">                  полезных услуг установленным критериям *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Департамент  культуры города Москвы, рассмотрев  ваше  обращение  от...</w:t>
      </w:r>
    </w:p>
    <w:p>
      <w:pPr>
        <w:pStyle w:val="1"/>
        <w:jc w:val="both"/>
      </w:pPr>
      <w:r>
        <w:rPr>
          <w:sz w:val="20"/>
        </w:rPr>
        <w:t xml:space="preserve">вх...N...,   подтверждает,  что  социально  ориентированная  некоммерческая</w:t>
      </w:r>
    </w:p>
    <w:p>
      <w:pPr>
        <w:pStyle w:val="1"/>
        <w:jc w:val="both"/>
      </w:pPr>
      <w:r>
        <w:rPr>
          <w:sz w:val="20"/>
        </w:rPr>
        <w:t xml:space="preserve">организация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(полное наименование и основной государственный регистрационный номер</w:t>
      </w:r>
    </w:p>
    <w:p>
      <w:pPr>
        <w:pStyle w:val="1"/>
        <w:jc w:val="both"/>
      </w:pPr>
      <w:r>
        <w:rPr>
          <w:sz w:val="20"/>
        </w:rPr>
        <w:t xml:space="preserve">           социально ориентированной некоммерческой организации)</w:t>
      </w:r>
    </w:p>
    <w:p>
      <w:pPr>
        <w:pStyle w:val="1"/>
        <w:jc w:val="both"/>
      </w:pPr>
      <w:r>
        <w:rPr>
          <w:sz w:val="20"/>
        </w:rPr>
        <w:t xml:space="preserve">на протяжении ____________ оказывает следующие общественно полезные услуги,</w:t>
      </w:r>
    </w:p>
    <w:p>
      <w:pPr>
        <w:pStyle w:val="1"/>
        <w:jc w:val="both"/>
      </w:pPr>
      <w:r>
        <w:rPr>
          <w:sz w:val="20"/>
        </w:rPr>
        <w:t xml:space="preserve">соответствующие  критериям  оценки  качества  оказания общественно полезных</w:t>
      </w:r>
    </w:p>
    <w:p>
      <w:pPr>
        <w:pStyle w:val="1"/>
        <w:jc w:val="both"/>
      </w:pPr>
      <w:r>
        <w:rPr>
          <w:sz w:val="20"/>
        </w:rPr>
        <w:t xml:space="preserve">услуг, утвержденным постановлением Правительства Российской Федерации от 27</w:t>
      </w:r>
    </w:p>
    <w:p>
      <w:pPr>
        <w:pStyle w:val="1"/>
        <w:jc w:val="both"/>
      </w:pPr>
      <w:r>
        <w:rPr>
          <w:sz w:val="20"/>
        </w:rPr>
        <w:t xml:space="preserve">октября 2016 г. N 1096 "Об утверждении перечня общественно полезных услуг и</w:t>
      </w:r>
    </w:p>
    <w:p>
      <w:pPr>
        <w:pStyle w:val="1"/>
        <w:jc w:val="both"/>
      </w:pPr>
      <w:r>
        <w:rPr>
          <w:sz w:val="20"/>
        </w:rPr>
        <w:t xml:space="preserve">критериев оценки качества их оказания":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             (наименования общественно полезных услуг)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Должность                                                      И.О. Фамилия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* Заключение оформляется на бланке Департамента.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5</w:t>
      </w:r>
    </w:p>
    <w:p>
      <w:pPr>
        <w:pStyle w:val="0"/>
        <w:jc w:val="right"/>
      </w:pPr>
      <w:r>
        <w:rPr>
          <w:sz w:val="20"/>
        </w:rPr>
        <w:t xml:space="preserve">к Временному порядку выдачи</w:t>
      </w:r>
    </w:p>
    <w:p>
      <w:pPr>
        <w:pStyle w:val="0"/>
        <w:jc w:val="right"/>
      </w:pPr>
      <w:r>
        <w:rPr>
          <w:sz w:val="20"/>
        </w:rPr>
        <w:t xml:space="preserve">Департаментом культуры города</w:t>
      </w:r>
    </w:p>
    <w:p>
      <w:pPr>
        <w:pStyle w:val="0"/>
        <w:jc w:val="right"/>
      </w:pPr>
      <w:r>
        <w:rPr>
          <w:sz w:val="20"/>
        </w:rPr>
        <w:t xml:space="preserve">Москвы заключений о соответствии</w:t>
      </w:r>
    </w:p>
    <w:p>
      <w:pPr>
        <w:pStyle w:val="0"/>
        <w:jc w:val="right"/>
      </w:pPr>
      <w:r>
        <w:rPr>
          <w:sz w:val="20"/>
        </w:rPr>
        <w:t xml:space="preserve">качества оказываемых социально</w:t>
      </w:r>
    </w:p>
    <w:p>
      <w:pPr>
        <w:pStyle w:val="0"/>
        <w:jc w:val="right"/>
      </w:pPr>
      <w:r>
        <w:rPr>
          <w:sz w:val="20"/>
        </w:rPr>
        <w:t xml:space="preserve">ориентированной некоммерческой</w:t>
      </w:r>
    </w:p>
    <w:p>
      <w:pPr>
        <w:pStyle w:val="0"/>
        <w:jc w:val="right"/>
      </w:pPr>
      <w:r>
        <w:rPr>
          <w:sz w:val="20"/>
        </w:rPr>
        <w:t xml:space="preserve">организацией общественно полезных</w:t>
      </w:r>
    </w:p>
    <w:p>
      <w:pPr>
        <w:pStyle w:val="0"/>
        <w:jc w:val="right"/>
      </w:pPr>
      <w:r>
        <w:rPr>
          <w:sz w:val="20"/>
        </w:rPr>
        <w:t xml:space="preserve">услуг установленным критериям</w:t>
      </w:r>
    </w:p>
    <w:p>
      <w:pPr>
        <w:pStyle w:val="0"/>
        <w:jc w:val="both"/>
      </w:pPr>
      <w:r>
        <w:rPr>
          <w:sz w:val="20"/>
        </w:rPr>
      </w:r>
    </w:p>
    <w:bookmarkStart w:id="547" w:name="P547"/>
    <w:bookmarkEnd w:id="547"/>
    <w:p>
      <w:pPr>
        <w:pStyle w:val="1"/>
        <w:jc w:val="both"/>
      </w:pPr>
      <w:r>
        <w:rPr>
          <w:sz w:val="20"/>
        </w:rPr>
        <w:t xml:space="preserve">                               УВЕДОМЛЕНИЕ *</w:t>
      </w:r>
    </w:p>
    <w:p>
      <w:pPr>
        <w:pStyle w:val="1"/>
        <w:jc w:val="both"/>
      </w:pPr>
      <w:r>
        <w:rPr>
          <w:sz w:val="20"/>
        </w:rPr>
        <w:t xml:space="preserve">           об отказе в выдаче заключения о соответствии качества</w:t>
      </w:r>
    </w:p>
    <w:p>
      <w:pPr>
        <w:pStyle w:val="1"/>
        <w:jc w:val="both"/>
      </w:pPr>
      <w:r>
        <w:rPr>
          <w:sz w:val="20"/>
        </w:rPr>
        <w:t xml:space="preserve">           оказываемых социально ориентированной некоммерческой</w:t>
      </w:r>
    </w:p>
    <w:p>
      <w:pPr>
        <w:pStyle w:val="1"/>
        <w:jc w:val="both"/>
      </w:pPr>
      <w:r>
        <w:rPr>
          <w:sz w:val="20"/>
        </w:rPr>
        <w:t xml:space="preserve">                  организацией общественно полезных услуг</w:t>
      </w:r>
    </w:p>
    <w:p>
      <w:pPr>
        <w:pStyle w:val="1"/>
        <w:jc w:val="both"/>
      </w:pPr>
      <w:r>
        <w:rPr>
          <w:sz w:val="20"/>
        </w:rPr>
        <w:t xml:space="preserve">                          установленным критериям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* Уведомление оформляется на бланке Департамента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Департамент культуры города Москвы, рассмотрев  ваше  обращение  от...вх...</w:t>
      </w:r>
    </w:p>
    <w:p>
      <w:pPr>
        <w:pStyle w:val="1"/>
        <w:jc w:val="both"/>
      </w:pPr>
      <w:r>
        <w:rPr>
          <w:sz w:val="20"/>
        </w:rPr>
        <w:t xml:space="preserve">N..., уведомляет 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(наименование, ОГРН организации)</w:t>
      </w:r>
    </w:p>
    <w:p>
      <w:pPr>
        <w:pStyle w:val="1"/>
        <w:jc w:val="both"/>
      </w:pPr>
      <w:r>
        <w:rPr>
          <w:sz w:val="20"/>
        </w:rPr>
        <w:t xml:space="preserve">об отказе в выдаче заключения о соответствии качества оказываемых социально</w:t>
      </w:r>
    </w:p>
    <w:p>
      <w:pPr>
        <w:pStyle w:val="1"/>
        <w:jc w:val="both"/>
      </w:pPr>
      <w:r>
        <w:rPr>
          <w:sz w:val="20"/>
        </w:rPr>
        <w:t xml:space="preserve">ориентированной  некоммерческой  организацией  общественно  полезных  услуг</w:t>
      </w:r>
    </w:p>
    <w:p>
      <w:pPr>
        <w:pStyle w:val="1"/>
        <w:jc w:val="both"/>
      </w:pPr>
      <w:r>
        <w:rPr>
          <w:sz w:val="20"/>
        </w:rPr>
        <w:t xml:space="preserve">установленным критериям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(наименование общественно полезной услуги)</w:t>
      </w:r>
    </w:p>
    <w:p>
      <w:pPr>
        <w:pStyle w:val="1"/>
        <w:jc w:val="both"/>
      </w:pPr>
      <w:r>
        <w:rPr>
          <w:sz w:val="20"/>
        </w:rPr>
        <w:t xml:space="preserve">по следующим основаниям: ** 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** Указать основания отказа в выдаче заключения:</w:t>
      </w:r>
    </w:p>
    <w:p>
      <w:pPr>
        <w:pStyle w:val="1"/>
        <w:jc w:val="both"/>
      </w:pPr>
      <w:r>
        <w:rPr>
          <w:sz w:val="20"/>
        </w:rPr>
        <w:t xml:space="preserve">    1)    несоответствие    общественно   полезной   услуги   установленным</w:t>
      </w:r>
    </w:p>
    <w:p>
      <w:pPr>
        <w:pStyle w:val="1"/>
        <w:jc w:val="both"/>
      </w:pPr>
      <w:r>
        <w:rPr>
          <w:sz w:val="20"/>
        </w:rPr>
        <w:t xml:space="preserve">нормативными   правовыми  актами  Российской  Федерации  требованиям  к  ее</w:t>
      </w:r>
    </w:p>
    <w:p>
      <w:pPr>
        <w:pStyle w:val="1"/>
        <w:jc w:val="both"/>
      </w:pPr>
      <w:r>
        <w:rPr>
          <w:sz w:val="20"/>
        </w:rPr>
        <w:t xml:space="preserve">содержанию (объем, сроки, качество предоставления);</w:t>
      </w:r>
    </w:p>
    <w:p>
      <w:pPr>
        <w:pStyle w:val="1"/>
        <w:jc w:val="both"/>
      </w:pPr>
      <w:r>
        <w:rPr>
          <w:sz w:val="20"/>
        </w:rPr>
        <w:t xml:space="preserve">    2)  отсутствие  у  лиц,  непосредственно  задействованных  в исполнении</w:t>
      </w:r>
    </w:p>
    <w:p>
      <w:pPr>
        <w:pStyle w:val="1"/>
        <w:jc w:val="both"/>
      </w:pPr>
      <w:r>
        <w:rPr>
          <w:sz w:val="20"/>
        </w:rPr>
        <w:t xml:space="preserve">общественно   полезной   услуги  (в  том  числе  работников  организации  и</w:t>
      </w:r>
    </w:p>
    <w:p>
      <w:pPr>
        <w:pStyle w:val="1"/>
        <w:jc w:val="both"/>
      </w:pPr>
      <w:r>
        <w:rPr>
          <w:sz w:val="20"/>
        </w:rPr>
        <w:t xml:space="preserve">работников,  привлеченных  по  договорам  гражданско-правового  характера),</w:t>
      </w:r>
    </w:p>
    <w:p>
      <w:pPr>
        <w:pStyle w:val="1"/>
        <w:jc w:val="both"/>
      </w:pPr>
      <w:r>
        <w:rPr>
          <w:sz w:val="20"/>
        </w:rPr>
        <w:t xml:space="preserve">необходимой  квалификации (в том числе профессионального образования, опыта</w:t>
      </w:r>
    </w:p>
    <w:p>
      <w:pPr>
        <w:pStyle w:val="1"/>
        <w:jc w:val="both"/>
      </w:pPr>
      <w:r>
        <w:rPr>
          <w:sz w:val="20"/>
        </w:rPr>
        <w:t xml:space="preserve">работы  в соответствующей сфере), недостаточность количества лиц, у которых</w:t>
      </w:r>
    </w:p>
    <w:p>
      <w:pPr>
        <w:pStyle w:val="1"/>
        <w:jc w:val="both"/>
      </w:pPr>
      <w:r>
        <w:rPr>
          <w:sz w:val="20"/>
        </w:rPr>
        <w:t xml:space="preserve">есть необходимая квалификация;</w:t>
      </w:r>
    </w:p>
    <w:p>
      <w:pPr>
        <w:pStyle w:val="1"/>
        <w:jc w:val="both"/>
      </w:pPr>
      <w:r>
        <w:rPr>
          <w:sz w:val="20"/>
        </w:rPr>
        <w:t xml:space="preserve">    3)  наличие в течение 2 лет, предшествующих выдаче заключения, жалоб на</w:t>
      </w:r>
    </w:p>
    <w:p>
      <w:pPr>
        <w:pStyle w:val="1"/>
        <w:jc w:val="both"/>
      </w:pPr>
      <w:r>
        <w:rPr>
          <w:sz w:val="20"/>
        </w:rPr>
        <w:t xml:space="preserve">действия  (бездействие)  и (или) решения организации, связанных с оказанием</w:t>
      </w:r>
    </w:p>
    <w:p>
      <w:pPr>
        <w:pStyle w:val="1"/>
        <w:jc w:val="both"/>
      </w:pPr>
      <w:r>
        <w:rPr>
          <w:sz w:val="20"/>
        </w:rPr>
        <w:t xml:space="preserve">ею  общественно  полезных  услуг,  признанных обоснованными судом, органами</w:t>
      </w:r>
    </w:p>
    <w:p>
      <w:pPr>
        <w:pStyle w:val="1"/>
        <w:jc w:val="both"/>
      </w:pPr>
      <w:r>
        <w:rPr>
          <w:sz w:val="20"/>
        </w:rPr>
        <w:t xml:space="preserve">государственного   контроля   (надзора)  и  муниципального  надзора,  иными</w:t>
      </w:r>
    </w:p>
    <w:p>
      <w:pPr>
        <w:pStyle w:val="1"/>
        <w:jc w:val="both"/>
      </w:pPr>
      <w:r>
        <w:rPr>
          <w:sz w:val="20"/>
        </w:rPr>
        <w:t xml:space="preserve">государственными органами в соответствии с их компетенцией;</w:t>
      </w:r>
    </w:p>
    <w:p>
      <w:pPr>
        <w:pStyle w:val="1"/>
        <w:jc w:val="both"/>
      </w:pPr>
      <w:r>
        <w:rPr>
          <w:sz w:val="20"/>
        </w:rPr>
        <w:t xml:space="preserve">    4)   несоответствие  уровня  открытости  и  доступности  информации  об</w:t>
      </w:r>
    </w:p>
    <w:p>
      <w:pPr>
        <w:pStyle w:val="1"/>
        <w:jc w:val="both"/>
      </w:pPr>
      <w:r>
        <w:rPr>
          <w:sz w:val="20"/>
        </w:rPr>
        <w:t xml:space="preserve">организации   установленным   нормативными   правовыми   актами  Российской</w:t>
      </w:r>
    </w:p>
    <w:p>
      <w:pPr>
        <w:pStyle w:val="1"/>
        <w:jc w:val="both"/>
      </w:pPr>
      <w:r>
        <w:rPr>
          <w:sz w:val="20"/>
        </w:rPr>
        <w:t xml:space="preserve">Федерации требованиям (при их наличии);</w:t>
      </w:r>
    </w:p>
    <w:p>
      <w:pPr>
        <w:pStyle w:val="1"/>
        <w:jc w:val="both"/>
      </w:pPr>
      <w:r>
        <w:rPr>
          <w:sz w:val="20"/>
        </w:rPr>
        <w:t xml:space="preserve">    5)   наличие   в  течение  2  лет,  предшествующих  выдаче  заключения,</w:t>
      </w:r>
    </w:p>
    <w:p>
      <w:pPr>
        <w:pStyle w:val="1"/>
        <w:jc w:val="both"/>
      </w:pPr>
      <w:r>
        <w:rPr>
          <w:sz w:val="20"/>
        </w:rPr>
        <w:t xml:space="preserve">информации   об  организации  в  реестре  недобросовестных  поставщиков  по</w:t>
      </w:r>
    </w:p>
    <w:p>
      <w:pPr>
        <w:pStyle w:val="1"/>
        <w:jc w:val="both"/>
      </w:pPr>
      <w:r>
        <w:rPr>
          <w:sz w:val="20"/>
        </w:rPr>
        <w:t xml:space="preserve">результатам  оказания  услуги в рамках исполнения контрактов, заключенных в</w:t>
      </w:r>
    </w:p>
    <w:p>
      <w:pPr>
        <w:pStyle w:val="1"/>
        <w:jc w:val="both"/>
      </w:pPr>
      <w:r>
        <w:rPr>
          <w:sz w:val="20"/>
        </w:rPr>
        <w:t xml:space="preserve">соответствии   с  Федеральным  </w:t>
      </w:r>
      <w:hyperlink w:history="0" r:id="rId35" w:tooltip="Федеральный закон от 05.04.2013 N 44-ФЗ (ред. от 30.11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 от  5  апреля  2013  г.  N 44-ФЗ "О</w:t>
      </w:r>
    </w:p>
    <w:p>
      <w:pPr>
        <w:pStyle w:val="1"/>
        <w:jc w:val="both"/>
      </w:pPr>
      <w:r>
        <w:rPr>
          <w:sz w:val="20"/>
        </w:rPr>
        <w:t xml:space="preserve">контрактной  системе  в сфере закупок товаров, работ, услуг для обеспечения</w:t>
      </w:r>
    </w:p>
    <w:p>
      <w:pPr>
        <w:pStyle w:val="1"/>
        <w:jc w:val="both"/>
      </w:pPr>
      <w:r>
        <w:rPr>
          <w:sz w:val="20"/>
        </w:rPr>
        <w:t xml:space="preserve">государственных и муниципальных нужд";</w:t>
      </w:r>
    </w:p>
    <w:p>
      <w:pPr>
        <w:pStyle w:val="1"/>
        <w:jc w:val="both"/>
      </w:pPr>
      <w:r>
        <w:rPr>
          <w:sz w:val="20"/>
        </w:rPr>
        <w:t xml:space="preserve">    6)  представление  документов,  содержащих недостоверные сведения, либо</w:t>
      </w:r>
    </w:p>
    <w:p>
      <w:pPr>
        <w:pStyle w:val="1"/>
        <w:jc w:val="both"/>
      </w:pPr>
      <w:r>
        <w:rPr>
          <w:sz w:val="20"/>
        </w:rPr>
        <w:t xml:space="preserve">документов, оформленных в ненадлежащем порядке.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Должность                                                      И.О. Фамилия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Департамента культуры г. Москвы от 01.02.2021 N 37/ОД</w:t>
            <w:br/>
            <w:t>(ред. от 04.06.2024)</w:t>
            <w:br/>
            <w:t>"Об утверждении Временного порядка выд...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MLAW&amp;n=244546&amp;dst=100006" TargetMode = "External"/>
	<Relationship Id="rId8" Type="http://schemas.openxmlformats.org/officeDocument/2006/relationships/hyperlink" Target="https://login.consultant.ru/link/?req=doc&amp;base=MLAW&amp;n=244640&amp;dst=100212" TargetMode = "External"/>
	<Relationship Id="rId9" Type="http://schemas.openxmlformats.org/officeDocument/2006/relationships/hyperlink" Target="https://login.consultant.ru/link/?req=doc&amp;base=MLAW&amp;n=244546&amp;dst=100006" TargetMode = "External"/>
	<Relationship Id="rId10" Type="http://schemas.openxmlformats.org/officeDocument/2006/relationships/hyperlink" Target="https://login.consultant.ru/link/?req=doc&amp;base=LAW&amp;n=442867" TargetMode = "External"/>
	<Relationship Id="rId11" Type="http://schemas.openxmlformats.org/officeDocument/2006/relationships/hyperlink" Target="https://login.consultant.ru/link/?req=doc&amp;base=MLAW&amp;n=244640" TargetMode = "External"/>
	<Relationship Id="rId12" Type="http://schemas.openxmlformats.org/officeDocument/2006/relationships/hyperlink" Target="https://www.mos.ru/kultura" TargetMode = "External"/>
	<Relationship Id="rId13" Type="http://schemas.openxmlformats.org/officeDocument/2006/relationships/hyperlink" Target="https://login.consultant.ru/link/?req=doc&amp;base=LAW&amp;n=493198" TargetMode = "External"/>
	<Relationship Id="rId14" Type="http://schemas.openxmlformats.org/officeDocument/2006/relationships/hyperlink" Target="https://login.consultant.ru/link/?req=doc&amp;base=LAW&amp;n=442867" TargetMode = "External"/>
	<Relationship Id="rId15" Type="http://schemas.openxmlformats.org/officeDocument/2006/relationships/hyperlink" Target="https://login.consultant.ru/link/?req=doc&amp;base=LAW&amp;n=284305" TargetMode = "External"/>
	<Relationship Id="rId16" Type="http://schemas.openxmlformats.org/officeDocument/2006/relationships/hyperlink" Target="https://login.consultant.ru/link/?req=doc&amp;base=LAW&amp;n=328600&amp;dst=100109" TargetMode = "External"/>
	<Relationship Id="rId17" Type="http://schemas.openxmlformats.org/officeDocument/2006/relationships/hyperlink" Target="https://login.consultant.ru/link/?req=doc&amp;base=LAW&amp;n=442867&amp;dst=15" TargetMode = "External"/>
	<Relationship Id="rId18" Type="http://schemas.openxmlformats.org/officeDocument/2006/relationships/hyperlink" Target="https://login.consultant.ru/link/?req=doc&amp;base=LAW&amp;n=492046" TargetMode = "External"/>
	<Relationship Id="rId19" Type="http://schemas.openxmlformats.org/officeDocument/2006/relationships/hyperlink" Target="https://login.consultant.ru/link/?req=doc&amp;base=LAW&amp;n=328600&amp;dst=100109" TargetMode = "External"/>
	<Relationship Id="rId20" Type="http://schemas.openxmlformats.org/officeDocument/2006/relationships/hyperlink" Target="https://login.consultant.ru/link/?req=doc&amp;base=LAW&amp;n=480453&amp;dst=43" TargetMode = "External"/>
	<Relationship Id="rId21" Type="http://schemas.openxmlformats.org/officeDocument/2006/relationships/hyperlink" Target="https://login.consultant.ru/link/?req=doc&amp;base=LAW&amp;n=480453&amp;dst=290" TargetMode = "External"/>
	<Relationship Id="rId22" Type="http://schemas.openxmlformats.org/officeDocument/2006/relationships/hyperlink" Target="https://login.consultant.ru/link/?req=doc&amp;base=LAW&amp;n=480453" TargetMode = "External"/>
	<Relationship Id="rId23" Type="http://schemas.openxmlformats.org/officeDocument/2006/relationships/hyperlink" Target="https://login.consultant.ru/link/?req=doc&amp;base=LAW&amp;n=492046" TargetMode = "External"/>
	<Relationship Id="rId24" Type="http://schemas.openxmlformats.org/officeDocument/2006/relationships/hyperlink" Target="https://login.consultant.ru/link/?req=doc&amp;base=LAW&amp;n=328600" TargetMode = "External"/>
	<Relationship Id="rId25" Type="http://schemas.openxmlformats.org/officeDocument/2006/relationships/hyperlink" Target="https://login.consultant.ru/link/?req=doc&amp;base=LAW&amp;n=328600&amp;dst=100109" TargetMode = "External"/>
	<Relationship Id="rId26" Type="http://schemas.openxmlformats.org/officeDocument/2006/relationships/hyperlink" Target="https://login.consultant.ru/link/?req=doc&amp;base=LAW&amp;n=328600&amp;dst=100109" TargetMode = "External"/>
	<Relationship Id="rId27" Type="http://schemas.openxmlformats.org/officeDocument/2006/relationships/hyperlink" Target="https://login.consultant.ru/link/?req=doc&amp;base=LAW&amp;n=492046" TargetMode = "External"/>
	<Relationship Id="rId28" Type="http://schemas.openxmlformats.org/officeDocument/2006/relationships/hyperlink" Target="https://login.consultant.ru/link/?req=doc&amp;base=MLAW&amp;n=244546&amp;dst=100006" TargetMode = "External"/>
	<Relationship Id="rId29" Type="http://schemas.openxmlformats.org/officeDocument/2006/relationships/hyperlink" Target="https://login.consultant.ru/link/?req=doc&amp;base=LAW&amp;n=420985" TargetMode = "External"/>
	<Relationship Id="rId30" Type="http://schemas.openxmlformats.org/officeDocument/2006/relationships/hyperlink" Target="https://login.consultant.ru/link/?req=doc&amp;base=LAW&amp;n=487023&amp;dst=517" TargetMode = "External"/>
	<Relationship Id="rId31" Type="http://schemas.openxmlformats.org/officeDocument/2006/relationships/hyperlink" Target="zakupki.gov.ru" TargetMode = "External"/>
	<Relationship Id="rId32" Type="http://schemas.openxmlformats.org/officeDocument/2006/relationships/hyperlink" Target="https://login.consultant.ru/link/?req=doc&amp;base=LAW&amp;n=492046" TargetMode = "External"/>
	<Relationship Id="rId33" Type="http://schemas.openxmlformats.org/officeDocument/2006/relationships/hyperlink" Target="https://login.consultant.ru/link/?req=doc&amp;base=LAW&amp;n=482901" TargetMode = "External"/>
	<Relationship Id="rId34" Type="http://schemas.openxmlformats.org/officeDocument/2006/relationships/hyperlink" Target="https://login.consultant.ru/link/?req=doc&amp;base=LAW&amp;n=486158" TargetMode = "External"/>
	<Relationship Id="rId35" Type="http://schemas.openxmlformats.org/officeDocument/2006/relationships/hyperlink" Target="https://login.consultant.ru/link/?req=doc&amp;base=LAW&amp;n=492046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Департамента культуры г. Москвы от 01.02.2021 N 37/ОД
(ред. от 04.06.2024)
"Об утверждении Временного порядка выдачи Департаментом культуры города Москвы заключений о соответствии качества оказываемых социально ориентированной некоммерческой организацией общественно полезных услуг установленным критериям"</dc:title>
  <dcterms:created xsi:type="dcterms:W3CDTF">2024-12-20T16:56:53Z</dcterms:created>
</cp:coreProperties>
</file>