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09.03.2023 N 183-ПП</w:t>
              <w:br/>
              <w:t xml:space="preserve">"О предоставлении грантов в форме субсидий из областного бюджета образовательным организациям на развитие студенческих спортивных клубов"</w:t>
              <w:br/>
              <w:t xml:space="preserve">(вместе с "Порядком предоставления грантов в форме субсидий из областного бюджета образовательным организациям на развитие студенческих спортивных клубов")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марта 2023 г. N 183-ПП</w:t>
      </w:r>
    </w:p>
    <w:p>
      <w:pPr>
        <w:pStyle w:val="2"/>
        <w:jc w:val="center"/>
      </w:pPr>
      <w:r>
        <w:rPr>
          <w:sz w:val="20"/>
        </w:rPr>
      </w:r>
    </w:p>
    <w:p>
      <w:pPr>
        <w:pStyle w:val="2"/>
        <w:jc w:val="center"/>
      </w:pPr>
      <w:r>
        <w:rPr>
          <w:sz w:val="20"/>
        </w:rPr>
        <w:t xml:space="preserve">О ПРЕДОСТАВЛЕНИИ ГРАНТОВ В ФОРМЕ СУБСИДИЙ ИЗ ОБЛАСТНОГО</w:t>
      </w:r>
    </w:p>
    <w:p>
      <w:pPr>
        <w:pStyle w:val="2"/>
        <w:jc w:val="center"/>
      </w:pPr>
      <w:r>
        <w:rPr>
          <w:sz w:val="20"/>
        </w:rPr>
        <w:t xml:space="preserve">БЮДЖЕТА ОБРАЗОВАТЕЛЬНЫМ ОРГАНИЗАЦИЯМ НА РАЗВИТИЕ</w:t>
      </w:r>
    </w:p>
    <w:p>
      <w:pPr>
        <w:pStyle w:val="2"/>
        <w:jc w:val="center"/>
      </w:pPr>
      <w:r>
        <w:rPr>
          <w:sz w:val="20"/>
        </w:rPr>
        <w:t xml:space="preserve">СТУДЕНЧЕСКИХ СПОРТИВНЫХ КЛУБОВ</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Мурманской области постановляет:</w:t>
      </w:r>
    </w:p>
    <w:p>
      <w:pPr>
        <w:pStyle w:val="0"/>
        <w:spacing w:before="200" w:line-rule="auto"/>
        <w:ind w:firstLine="540"/>
        <w:jc w:val="both"/>
      </w:pPr>
      <w:r>
        <w:rPr>
          <w:sz w:val="20"/>
        </w:rPr>
        <w:t xml:space="preserve">утвердить прилагаемый </w:t>
      </w:r>
      <w:hyperlink w:history="0" w:anchor="P26" w:tooltip="ПОРЯДОК">
        <w:r>
          <w:rPr>
            <w:sz w:val="20"/>
            <w:color w:val="0000ff"/>
          </w:rPr>
          <w:t xml:space="preserve">Порядок</w:t>
        </w:r>
      </w:hyperlink>
      <w:r>
        <w:rPr>
          <w:sz w:val="20"/>
        </w:rPr>
        <w:t xml:space="preserve"> предоставления грантов в форме субсидий из областного бюджета образовательным организациям на развитие студенческих спортивных клубов.</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9 марта 2023 г. N 183-ПП</w:t>
      </w:r>
    </w:p>
    <w:p>
      <w:pPr>
        <w:pStyle w:val="0"/>
        <w:jc w:val="both"/>
      </w:pPr>
      <w:r>
        <w:rPr>
          <w:sz w:val="20"/>
        </w:rPr>
      </w:r>
    </w:p>
    <w:bookmarkStart w:id="26" w:name="P26"/>
    <w:bookmarkEnd w:id="26"/>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ОБРАЗОВАТЕЛЬНЫМ ОРГАНИЗАЦИЯМ НА РАЗВИТИЕ</w:t>
      </w:r>
    </w:p>
    <w:p>
      <w:pPr>
        <w:pStyle w:val="2"/>
        <w:jc w:val="center"/>
      </w:pPr>
      <w:r>
        <w:rPr>
          <w:sz w:val="20"/>
        </w:rPr>
        <w:t xml:space="preserve">СТУДЕНЧЕСКИХ СПОРТИВНЫХ КЛУБОВ</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грантов в форме субсидий из областного бюджета некоммерческим образовательным организациям, не являющимся казенными учреждениями и реализующим образовательные программы среднего профессионального и (или) высшего образования по очной (дневной) форме обучения (далее - образовательные организации), на развитие студенческих спортивных клубов (далее - грант) разработан 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и определяет условия конкурсного отбора на предоставление гранта и правила предоставления грантов (далее - соответственно Порядок, грант).</w:t>
      </w:r>
    </w:p>
    <w:bookmarkStart w:id="34" w:name="P34"/>
    <w:bookmarkEnd w:id="34"/>
    <w:p>
      <w:pPr>
        <w:pStyle w:val="0"/>
        <w:spacing w:before="200" w:line-rule="auto"/>
        <w:ind w:firstLine="540"/>
        <w:jc w:val="both"/>
      </w:pPr>
      <w:r>
        <w:rPr>
          <w:sz w:val="20"/>
        </w:rPr>
        <w:t xml:space="preserve">1.2. Целью предоставления гранта является финансовое обеспечение затрат, направленных на развитие студенческих спортивных клубов и вовлеченности обучающихся Мурманской области в систематические занятия физической культурой и спортом.</w:t>
      </w:r>
    </w:p>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является Министерство спорта Мурманской области (далее - Главный распорядитель).</w:t>
      </w:r>
    </w:p>
    <w:bookmarkStart w:id="36" w:name="P36"/>
    <w:bookmarkEnd w:id="36"/>
    <w:p>
      <w:pPr>
        <w:pStyle w:val="0"/>
        <w:spacing w:before="200" w:line-rule="auto"/>
        <w:ind w:firstLine="540"/>
        <w:jc w:val="both"/>
      </w:pPr>
      <w:r>
        <w:rPr>
          <w:sz w:val="20"/>
        </w:rPr>
        <w:t xml:space="preserve">1.4. Грант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в рамках основного мероприятия "Поддержка социально ориентированных некоммерческих организаций, осуществляющих деятельность в сфере физической культуры и спорта" </w:t>
      </w:r>
      <w:hyperlink w:history="0" r:id="rId10" w:tooltip="Постановление Правительства Мурманской области от 13.11.2020 N 794-ПП (ред. от 27.05.2023) &quot;О государственной программе Мурманской области &quot;Физическая культура и спорт&quot; {КонсультантПлюс}">
        <w:r>
          <w:rPr>
            <w:sz w:val="20"/>
            <w:color w:val="0000ff"/>
          </w:rPr>
          <w:t xml:space="preserve">подпрограммы</w:t>
        </w:r>
      </w:hyperlink>
      <w:r>
        <w:rPr>
          <w:sz w:val="20"/>
        </w:rPr>
        <w:t xml:space="preserve"> "Развитие массового спорта, реализация мероприятий по информированию граждан" государственной программы Мурманской области "Физическая культура и спорт", утвержденной постановлением Правительства Мурманской области от 13.11.2020 N 794-ПП (далее - Государственная программа).</w:t>
      </w:r>
    </w:p>
    <w:p>
      <w:pPr>
        <w:pStyle w:val="0"/>
        <w:spacing w:before="200" w:line-rule="auto"/>
        <w:ind w:firstLine="540"/>
        <w:jc w:val="both"/>
      </w:pPr>
      <w:r>
        <w:rPr>
          <w:sz w:val="20"/>
        </w:rPr>
        <w:t xml:space="preserve">Размер гранта составляет:</w:t>
      </w:r>
    </w:p>
    <w:p>
      <w:pPr>
        <w:pStyle w:val="0"/>
        <w:spacing w:before="200" w:line-rule="auto"/>
        <w:ind w:firstLine="540"/>
        <w:jc w:val="both"/>
      </w:pPr>
      <w:r>
        <w:rPr>
          <w:sz w:val="20"/>
        </w:rPr>
        <w:t xml:space="preserve">- образовательным организациям, реализующим образовательные программы среднего профессионального образования (очная (дневная) форма обучения), - 730000 рублей;</w:t>
      </w:r>
    </w:p>
    <w:p>
      <w:pPr>
        <w:pStyle w:val="0"/>
        <w:spacing w:before="200" w:line-rule="auto"/>
        <w:ind w:firstLine="540"/>
        <w:jc w:val="both"/>
      </w:pPr>
      <w:r>
        <w:rPr>
          <w:sz w:val="20"/>
        </w:rPr>
        <w:t xml:space="preserve">- образовательным организациям, реализующим образовательные программы высшего образования (очная (дневная) форма обучения), - 1500000 рублей.</w:t>
      </w:r>
    </w:p>
    <w:bookmarkStart w:id="40" w:name="P40"/>
    <w:bookmarkEnd w:id="40"/>
    <w:p>
      <w:pPr>
        <w:pStyle w:val="0"/>
        <w:spacing w:before="200" w:line-rule="auto"/>
        <w:ind w:firstLine="540"/>
        <w:jc w:val="both"/>
      </w:pPr>
      <w:r>
        <w:rPr>
          <w:sz w:val="20"/>
        </w:rPr>
        <w:t xml:space="preserve">1.5. Гранты предоставляются образовательным организациям, осуществляющим свою деятельность на территории Мурманской области:</w:t>
      </w:r>
    </w:p>
    <w:p>
      <w:pPr>
        <w:pStyle w:val="0"/>
        <w:spacing w:before="200" w:line-rule="auto"/>
        <w:ind w:firstLine="540"/>
        <w:jc w:val="both"/>
      </w:pPr>
      <w:r>
        <w:rPr>
          <w:sz w:val="20"/>
        </w:rPr>
        <w:t xml:space="preserve">- имеющим студенческий спортивный клуб (далее - ССК),</w:t>
      </w:r>
    </w:p>
    <w:p>
      <w:pPr>
        <w:pStyle w:val="0"/>
        <w:spacing w:before="200" w:line-rule="auto"/>
        <w:ind w:firstLine="540"/>
        <w:jc w:val="both"/>
      </w:pPr>
      <w:r>
        <w:rPr>
          <w:sz w:val="20"/>
        </w:rPr>
        <w:t xml:space="preserve">- прошедшим конкурсный отбор на основании заявок, направленных образовательными организациями для участия в конкурсном отборе (далее - получатель гранта, заявка),</w:t>
      </w:r>
    </w:p>
    <w:p>
      <w:pPr>
        <w:pStyle w:val="0"/>
        <w:spacing w:before="200" w:line-rule="auto"/>
        <w:ind w:firstLine="540"/>
        <w:jc w:val="both"/>
      </w:pPr>
      <w:r>
        <w:rPr>
          <w:sz w:val="20"/>
        </w:rPr>
        <w:t xml:space="preserve">- соответствующим критериям конкурсного отбора для получения гранта.</w:t>
      </w:r>
    </w:p>
    <w:bookmarkStart w:id="44" w:name="P44"/>
    <w:bookmarkEnd w:id="44"/>
    <w:p>
      <w:pPr>
        <w:pStyle w:val="0"/>
        <w:spacing w:before="200" w:line-rule="auto"/>
        <w:ind w:firstLine="540"/>
        <w:jc w:val="both"/>
      </w:pPr>
      <w:r>
        <w:rPr>
          <w:sz w:val="20"/>
        </w:rPr>
        <w:t xml:space="preserve">1.6. За счет средств гранта предусматриваются затраты по следующим видам расходов:</w:t>
      </w:r>
    </w:p>
    <w:p>
      <w:pPr>
        <w:pStyle w:val="0"/>
        <w:spacing w:before="200" w:line-rule="auto"/>
        <w:ind w:firstLine="540"/>
        <w:jc w:val="both"/>
      </w:pPr>
      <w:r>
        <w:rPr>
          <w:sz w:val="20"/>
        </w:rPr>
        <w:t xml:space="preserve">- расходы на организацию и проведение физкультурных и спортивных мероприятий на территории Мурманской области согласно плану мероприятий, утвержденному образовательной организацией, включающему перечень физкультурных и спортивных мероприятий (аренда спортивных объектов и спортивных сооружений, приобретение наградной и сувенирной продукции, приобретение спортивной экипировки);</w:t>
      </w:r>
    </w:p>
    <w:p>
      <w:pPr>
        <w:pStyle w:val="0"/>
        <w:spacing w:before="200" w:line-rule="auto"/>
        <w:ind w:firstLine="540"/>
        <w:jc w:val="both"/>
      </w:pPr>
      <w:r>
        <w:rPr>
          <w:sz w:val="20"/>
        </w:rPr>
        <w:t xml:space="preserve">- расходы на участие в студенческих физкультурных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на текущий год, утвержденный приказом Минспорта России, в календарный план официальных физкультурных мероприятий и спортивных мероприятий Мурманской области на текущий год, утвержденный приказом Министерства спорта Мурманской области (приобретение спортивной экипировки, проезд (кроме такси) к месту проведения мероприятия и обратно по тарифу экономического класса, а также проживание в гостинице не выше стоимости одноместного номера экономкласса).</w:t>
      </w:r>
    </w:p>
    <w:p>
      <w:pPr>
        <w:pStyle w:val="0"/>
        <w:spacing w:before="200" w:line-rule="auto"/>
        <w:ind w:firstLine="540"/>
        <w:jc w:val="both"/>
      </w:pPr>
      <w:r>
        <w:rPr>
          <w:sz w:val="20"/>
        </w:rPr>
        <w:t xml:space="preserve">1.7. Получатель гранта обязан вести обособленный аналитический учет гранта.</w:t>
      </w:r>
    </w:p>
    <w:bookmarkStart w:id="48" w:name="P48"/>
    <w:bookmarkEnd w:id="48"/>
    <w:p>
      <w:pPr>
        <w:pStyle w:val="0"/>
        <w:spacing w:before="200" w:line-rule="auto"/>
        <w:ind w:firstLine="540"/>
        <w:jc w:val="both"/>
      </w:pPr>
      <w:r>
        <w:rPr>
          <w:sz w:val="20"/>
        </w:rPr>
        <w:t xml:space="preserve">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у участника конкурсного отбора отсутствует просроченная задолженность по возврату в областной бюджет субсидий, бюджетных инвестиций, а также иная просроченная (неурегулированная) задолженность по денежным обязательствам перед Мурманской областью;</w:t>
      </w:r>
    </w:p>
    <w:p>
      <w:pPr>
        <w:pStyle w:val="0"/>
        <w:spacing w:before="200" w:line-rule="auto"/>
        <w:ind w:firstLine="540"/>
        <w:jc w:val="both"/>
      </w:pPr>
      <w:r>
        <w:rPr>
          <w:sz w:val="20"/>
        </w:rPr>
        <w:t xml:space="preserve">-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(для юридического лица);</w:t>
      </w:r>
    </w:p>
    <w:p>
      <w:pPr>
        <w:pStyle w:val="0"/>
        <w:spacing w:before="200" w:line-rule="auto"/>
        <w:ind w:firstLine="540"/>
        <w:jc w:val="both"/>
      </w:pPr>
      <w:r>
        <w:rPr>
          <w:sz w:val="20"/>
        </w:rPr>
        <w:t xml:space="preserve">- участник конкурсного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РФ)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 участник конкурсного отбора не получает средства из областного бюджета в соответствии с иными нормативными правовыми актами на цель, указанную в </w:t>
      </w:r>
      <w:hyperlink w:history="0" w:anchor="P34" w:tooltip="1.2. Целью предоставления гранта является финансовое обеспечение затрат, направленных на развитие студенческих спортивных клубов и вовлеченности обучающихся Мурманской области в систематические занятия физической культурой и спортом.">
        <w:r>
          <w:rPr>
            <w:sz w:val="20"/>
            <w:color w:val="0000ff"/>
          </w:rPr>
          <w:t xml:space="preserve">пункте 1.2</w:t>
        </w:r>
      </w:hyperlink>
      <w:r>
        <w:rPr>
          <w:sz w:val="20"/>
        </w:rPr>
        <w:t xml:space="preserve"> Порядка.</w:t>
      </w:r>
    </w:p>
    <w:p>
      <w:pPr>
        <w:pStyle w:val="0"/>
        <w:spacing w:before="200" w:line-rule="auto"/>
        <w:ind w:firstLine="540"/>
        <w:jc w:val="both"/>
      </w:pPr>
      <w:r>
        <w:rPr>
          <w:sz w:val="20"/>
        </w:rPr>
        <w:t xml:space="preserve">1.9. Сведения о гранте не позднее 15-го рабочего дня, следующего за днем принятия закона о бюджете (закона о внесении изменений в закон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порядке, утвержденном Минфином РФ.</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Организатором конкурсного отбора является Главный распорядитель, который принимает решение о проведении конкурсного отбора и оформляет его приказом.</w:t>
      </w:r>
    </w:p>
    <w:p>
      <w:pPr>
        <w:pStyle w:val="0"/>
        <w:spacing w:before="200" w:line-rule="auto"/>
        <w:ind w:firstLine="540"/>
        <w:jc w:val="both"/>
      </w:pPr>
      <w:r>
        <w:rPr>
          <w:sz w:val="20"/>
        </w:rPr>
        <w:t xml:space="preserve">2.2. Объявление о проведении конкурсного отбора опубликовывается на официальном сайте Главного распорядителя и на едином портале в течение 5 рабочих дней со дня издания приказа Главным распорядителем и должно содержать информацию с указанием:</w:t>
      </w:r>
    </w:p>
    <w:p>
      <w:pPr>
        <w:pStyle w:val="0"/>
        <w:spacing w:before="200" w:line-rule="auto"/>
        <w:ind w:firstLine="540"/>
        <w:jc w:val="both"/>
      </w:pPr>
      <w:r>
        <w:rPr>
          <w:sz w:val="20"/>
        </w:rPr>
        <w:t xml:space="preserve">- сроков проведения конкурсного отбора;</w:t>
      </w:r>
    </w:p>
    <w:p>
      <w:pPr>
        <w:pStyle w:val="0"/>
        <w:spacing w:before="200" w:line-rule="auto"/>
        <w:ind w:firstLine="540"/>
        <w:jc w:val="both"/>
      </w:pPr>
      <w:r>
        <w:rPr>
          <w:sz w:val="20"/>
        </w:rPr>
        <w:t xml:space="preserve">- даты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Главного распорядителя;</w:t>
      </w:r>
    </w:p>
    <w:p>
      <w:pPr>
        <w:pStyle w:val="0"/>
        <w:spacing w:before="200" w:line-rule="auto"/>
        <w:ind w:firstLine="540"/>
        <w:jc w:val="both"/>
      </w:pPr>
      <w:r>
        <w:rPr>
          <w:sz w:val="20"/>
        </w:rPr>
        <w:t xml:space="preserve">- результатов предоставления гранта в соответствии с </w:t>
      </w:r>
      <w:hyperlink w:history="0" w:anchor="P158" w:tooltip="4.1. Получатель гранта представляет Главному распорядителю ежеквартально, не позднее 15-го числа месяца, следующего за отчетным периодом, отчет об осуществлении расходов, источником финансового обеспечения которых является грант,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гранта.">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 категорий участника конкурсного отбора, указанных в </w:t>
      </w:r>
      <w:hyperlink w:history="0" w:anchor="P40" w:tooltip="1.5. Гранты предоставляются образовательным организациям, осуществляющим свою деятельность на территории Мурманской области:">
        <w:r>
          <w:rPr>
            <w:sz w:val="20"/>
            <w:color w:val="0000ff"/>
          </w:rPr>
          <w:t xml:space="preserve">пункте 1.5</w:t>
        </w:r>
      </w:hyperlink>
      <w:r>
        <w:rPr>
          <w:sz w:val="20"/>
        </w:rPr>
        <w:t xml:space="preserve"> настоящего Порядка, и требований к участникам конкурсного отбора, указанных в </w:t>
      </w:r>
      <w:hyperlink w:history="0" w:anchor="P48" w:tooltip="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
        <w:r>
          <w:rPr>
            <w:sz w:val="20"/>
            <w:color w:val="0000ff"/>
          </w:rPr>
          <w:t xml:space="preserve">пункте 1.8</w:t>
        </w:r>
      </w:hyperlink>
      <w:r>
        <w:rPr>
          <w:sz w:val="20"/>
        </w:rPr>
        <w:t xml:space="preserve"> настоящего Порядка, а также перечня документов, представляемых для подтверждения соответствия указанным категориям и требованиям;</w:t>
      </w:r>
    </w:p>
    <w:p>
      <w:pPr>
        <w:pStyle w:val="0"/>
        <w:spacing w:before="200" w:line-rule="auto"/>
        <w:ind w:firstLine="540"/>
        <w:jc w:val="both"/>
      </w:pPr>
      <w:r>
        <w:rPr>
          <w:sz w:val="20"/>
        </w:rPr>
        <w:t xml:space="preserve">-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history="0" w:anchor="P75" w:tooltip="2.4.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в сети Интернет и на едином портале, представляет Главному распорядителю:">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 порядка отзыва заявок участниками конкурсного отбора, порядка возврата заявок участникам конкурсного отбора, определяющего в том числе основания для возврата заявок участникам конкурсного отбора, порядка внесения изменений в заявки участниками конкурсного отбора;</w:t>
      </w:r>
    </w:p>
    <w:p>
      <w:pPr>
        <w:pStyle w:val="0"/>
        <w:spacing w:before="200" w:line-rule="auto"/>
        <w:ind w:firstLine="540"/>
        <w:jc w:val="both"/>
      </w:pPr>
      <w:r>
        <w:rPr>
          <w:sz w:val="20"/>
        </w:rPr>
        <w:t xml:space="preserve">- правил рассмотрения и оценки заявок участников конкурсного отбора;</w:t>
      </w:r>
    </w:p>
    <w:p>
      <w:pPr>
        <w:pStyle w:val="0"/>
        <w:spacing w:before="200" w:line-rule="auto"/>
        <w:ind w:firstLine="540"/>
        <w:jc w:val="both"/>
      </w:pPr>
      <w:r>
        <w:rPr>
          <w:sz w:val="20"/>
        </w:rPr>
        <w:t xml:space="preserve">-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конкурсного отбора должен (должны) подписать соглашение о предоставлении гранта (далее - соглашение);</w:t>
      </w:r>
    </w:p>
    <w:p>
      <w:pPr>
        <w:pStyle w:val="0"/>
        <w:spacing w:before="200" w:line-rule="auto"/>
        <w:ind w:firstLine="540"/>
        <w:jc w:val="both"/>
      </w:pPr>
      <w:r>
        <w:rPr>
          <w:sz w:val="20"/>
        </w:rPr>
        <w:t xml:space="preserve">- условий признания победителя (победителей) конкурсного отбора уклонившимся (уклонившимися) от заключения соглашения;</w:t>
      </w:r>
    </w:p>
    <w:p>
      <w:pPr>
        <w:pStyle w:val="0"/>
        <w:spacing w:before="200" w:line-rule="auto"/>
        <w:ind w:firstLine="540"/>
        <w:jc w:val="both"/>
      </w:pPr>
      <w:r>
        <w:rPr>
          <w:sz w:val="20"/>
        </w:rPr>
        <w:t xml:space="preserve">- даты размещения результатов конкурсного отбора на официальном сайте Главного распорядителя в сети Интернет и на едином портале, которая не может быть позднее 14-го календарного дня, следующего за днем определения победителя конкурсного отбора.</w:t>
      </w:r>
    </w:p>
    <w:p>
      <w:pPr>
        <w:pStyle w:val="0"/>
        <w:spacing w:before="200" w:line-rule="auto"/>
        <w:ind w:firstLine="540"/>
        <w:jc w:val="both"/>
      </w:pPr>
      <w:r>
        <w:rPr>
          <w:sz w:val="20"/>
        </w:rPr>
        <w:t xml:space="preserve">Объявление о проведении конкурсного отбора публикуется в срок не менее чем за 1 календарный день до начала приема заявок.</w:t>
      </w:r>
    </w:p>
    <w:p>
      <w:pPr>
        <w:pStyle w:val="0"/>
        <w:spacing w:before="200" w:line-rule="auto"/>
        <w:ind w:firstLine="540"/>
        <w:jc w:val="both"/>
      </w:pPr>
      <w:r>
        <w:rPr>
          <w:sz w:val="20"/>
        </w:rPr>
        <w:t xml:space="preserve">2.3. К участию в конкурсном отборе допускаются образовательные организации, соответствующие требованиям, указанным в </w:t>
      </w:r>
      <w:hyperlink w:history="0" w:anchor="P48" w:tooltip="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
        <w:r>
          <w:rPr>
            <w:sz w:val="20"/>
            <w:color w:val="0000ff"/>
          </w:rPr>
          <w:t xml:space="preserve">пункте 1.8</w:t>
        </w:r>
      </w:hyperlink>
      <w:r>
        <w:rPr>
          <w:sz w:val="20"/>
        </w:rPr>
        <w:t xml:space="preserve"> настоящего Порядка, на 1-е число месяца, предшествующего месяцу, в котором планируется проведение конкурсного отбора, и подавшие Заявку в установленные в объявлении о проведении конкурсного отбора сроки.</w:t>
      </w:r>
    </w:p>
    <w:bookmarkStart w:id="75" w:name="P75"/>
    <w:bookmarkEnd w:id="75"/>
    <w:p>
      <w:pPr>
        <w:pStyle w:val="0"/>
        <w:spacing w:before="200" w:line-rule="auto"/>
        <w:ind w:firstLine="540"/>
        <w:jc w:val="both"/>
      </w:pPr>
      <w:r>
        <w:rPr>
          <w:sz w:val="20"/>
        </w:rPr>
        <w:t xml:space="preserve">2.4.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в сети Интернет и на едином портале, представляет Главному распорядителю:</w:t>
      </w:r>
    </w:p>
    <w:p>
      <w:pPr>
        <w:pStyle w:val="0"/>
        <w:spacing w:before="200" w:line-rule="auto"/>
        <w:ind w:firstLine="540"/>
        <w:jc w:val="both"/>
      </w:pPr>
      <w:r>
        <w:rPr>
          <w:sz w:val="20"/>
        </w:rPr>
        <w:t xml:space="preserve">- заявку на участие в конкурсном отборе на предоставление гранта, составленную в произвольной форме, содержащую информацию о наименовании участника конкурсного отбора, месте нахождения и адресе участника конкурсного отбора, а также согласие участника конкурсного отбора на публикацию (размещение) в сети Интернет информации об участнике конкурсного отбора, о подаваемой получателем гранта заявке, иной информации об участнике конкурсного отбора, связанной с соответствующим конкурсным отбором;</w:t>
      </w:r>
    </w:p>
    <w:p>
      <w:pPr>
        <w:pStyle w:val="0"/>
        <w:spacing w:before="200" w:line-rule="auto"/>
        <w:ind w:firstLine="540"/>
        <w:jc w:val="both"/>
      </w:pPr>
      <w:r>
        <w:rPr>
          <w:sz w:val="20"/>
        </w:rPr>
        <w:t xml:space="preserve">- информацию в произвольной форме о направлении расходов, планируемых к использованию, в соответствии с </w:t>
      </w:r>
      <w:hyperlink w:history="0" w:anchor="P44" w:tooltip="1.6. За счет средств гранта предусматриваются затраты по следующим видам расходов:">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 информацию в произвольной форме за подписью руководителя образовательной организации о ССК с указанием даты создания ССК, количества занимающихся в данном клубе с разбивкой по видам спорта, развиваемым в клубе, проведенных физкультурных и спортивных мероприятий в течение года, предшествующего году подачи заявки, наличия материально-технической базы (спортивного зала и (или) спортивной площадки, спортивного оборудования и инвентаря) для занятий обучающихся в ССК;</w:t>
      </w:r>
    </w:p>
    <w:p>
      <w:pPr>
        <w:pStyle w:val="0"/>
        <w:spacing w:before="200" w:line-rule="auto"/>
        <w:ind w:firstLine="540"/>
        <w:jc w:val="both"/>
      </w:pPr>
      <w:r>
        <w:rPr>
          <w:sz w:val="20"/>
        </w:rPr>
        <w:t xml:space="preserve">- копию устава образовательной организации с отметкой о регистрации, заверенную руководителем участника конкурсного отбора;</w:t>
      </w:r>
    </w:p>
    <w:p>
      <w:pPr>
        <w:pStyle w:val="0"/>
        <w:spacing w:before="200" w:line-rule="auto"/>
        <w:ind w:firstLine="540"/>
        <w:jc w:val="both"/>
      </w:pPr>
      <w:r>
        <w:rPr>
          <w:sz w:val="20"/>
        </w:rPr>
        <w:t xml:space="preserve">- копию документа, в соответствии с которым осуществляется деятельность ССК, заверенную руководителем участника конкурсного отбора (положение о ССК или устав ССК);</w:t>
      </w:r>
    </w:p>
    <w:bookmarkStart w:id="81" w:name="P81"/>
    <w:bookmarkEnd w:id="81"/>
    <w:p>
      <w:pPr>
        <w:pStyle w:val="0"/>
        <w:spacing w:before="200" w:line-rule="auto"/>
        <w:ind w:firstLine="540"/>
        <w:jc w:val="both"/>
      </w:pPr>
      <w:r>
        <w:rPr>
          <w:sz w:val="20"/>
        </w:rPr>
        <w:t xml:space="preserve">- копию плана мероприятий, утвержденного образовательной организацией, включающего перечень физкультурных и спортивных мероприятий, на предыдущий и текущий учебные года, заверенную руководителем участника конкурсного отбора;</w:t>
      </w:r>
    </w:p>
    <w:bookmarkStart w:id="82" w:name="P82"/>
    <w:bookmarkEnd w:id="82"/>
    <w:p>
      <w:pPr>
        <w:pStyle w:val="0"/>
        <w:spacing w:before="200" w:line-rule="auto"/>
        <w:ind w:firstLine="540"/>
        <w:jc w:val="both"/>
      </w:pPr>
      <w:r>
        <w:rPr>
          <w:sz w:val="20"/>
        </w:rPr>
        <w:t xml:space="preserve">- согласие органа, осуществляющего функции учредителя, на участие участника конкурсного отбора в конкурсном отборе, оформленное на официальном бланке учредителя;</w:t>
      </w:r>
    </w:p>
    <w:bookmarkStart w:id="83" w:name="P83"/>
    <w:bookmarkEnd w:id="83"/>
    <w:p>
      <w:pPr>
        <w:pStyle w:val="0"/>
        <w:spacing w:before="200" w:line-rule="auto"/>
        <w:ind w:firstLine="540"/>
        <w:jc w:val="both"/>
      </w:pPr>
      <w:r>
        <w:rPr>
          <w:sz w:val="20"/>
        </w:rPr>
        <w:t xml:space="preserve">- выписку из Единого государственного реестра юридических лиц, выданную на 1-е число месяца, предшествующего месяцу, в котором планируется проведение конкурсного отбора;</w:t>
      </w:r>
    </w:p>
    <w:bookmarkStart w:id="84" w:name="P84"/>
    <w:bookmarkEnd w:id="84"/>
    <w:p>
      <w:pPr>
        <w:pStyle w:val="0"/>
        <w:spacing w:before="200" w:line-rule="auto"/>
        <w:ind w:firstLine="540"/>
        <w:jc w:val="both"/>
      </w:pPr>
      <w:r>
        <w:rPr>
          <w:sz w:val="20"/>
        </w:rPr>
        <w:t xml:space="preserve">- справку территориального органа Федеральной налоговой службы, подписанную ее руководителем (иным уполномоченным лицом), по состоянию на 1-е число месяца, предшествующего месяцу, в котором планируется проведение конкурсного отбора, подтверждающую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5" w:name="P85"/>
    <w:bookmarkEnd w:id="85"/>
    <w:p>
      <w:pPr>
        <w:pStyle w:val="0"/>
        <w:spacing w:before="200" w:line-rule="auto"/>
        <w:ind w:firstLine="540"/>
        <w:jc w:val="both"/>
      </w:pPr>
      <w:r>
        <w:rPr>
          <w:sz w:val="20"/>
        </w:rPr>
        <w:t xml:space="preserve">- </w:t>
      </w:r>
      <w:hyperlink w:history="0" w:anchor="P204" w:tooltip="СПРАВКА">
        <w:r>
          <w:rPr>
            <w:sz w:val="20"/>
            <w:color w:val="0000ff"/>
          </w:rPr>
          <w:t xml:space="preserve">справку</w:t>
        </w:r>
      </w:hyperlink>
      <w:r>
        <w:rPr>
          <w:sz w:val="20"/>
        </w:rPr>
        <w:t xml:space="preserve">, подтверждающую отсутствие у участника конкурсного отбора по состоянию на 1-е число месяца, предшествующего месяцу, в котором планируется проведение конкурсного отбора,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 по форме согласно приложению к настоящему Порядку;</w:t>
      </w:r>
    </w:p>
    <w:p>
      <w:pPr>
        <w:pStyle w:val="0"/>
        <w:spacing w:before="200" w:line-rule="auto"/>
        <w:ind w:firstLine="540"/>
        <w:jc w:val="both"/>
      </w:pPr>
      <w:r>
        <w:rPr>
          <w:sz w:val="20"/>
        </w:rPr>
        <w:t xml:space="preserve">- информацию, подписанную руководителем участника конкурсного отбора, подтверждающую, что в реестре дисквалифицированных лиц на 1-е число месяца, предшествующего месяцу, в котором планируется проведение конкурсного отбора,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pPr>
        <w:pStyle w:val="0"/>
        <w:spacing w:before="200" w:line-rule="auto"/>
        <w:ind w:firstLine="540"/>
        <w:jc w:val="both"/>
      </w:pPr>
      <w:r>
        <w:rPr>
          <w:sz w:val="20"/>
        </w:rPr>
        <w:t xml:space="preserve">- письменное согласие участника конкурсного отбора на осуществление Главным распорядителем и уполномоченным органом государственного финансового контроля проверки соблюдения им условий и порядка предоставления гранта;</w:t>
      </w:r>
    </w:p>
    <w:p>
      <w:pPr>
        <w:pStyle w:val="0"/>
        <w:spacing w:before="200" w:line-rule="auto"/>
        <w:ind w:firstLine="540"/>
        <w:jc w:val="both"/>
      </w:pPr>
      <w:r>
        <w:rPr>
          <w:sz w:val="20"/>
        </w:rPr>
        <w:t xml:space="preserve">- согласия субъектов персональных данных, оформленные в соответствии с Федеральным </w:t>
      </w:r>
      <w:hyperlink w:history="0" r:id="rId1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(в случае если в заявку включена информация, содержащая персональные данные).</w:t>
      </w:r>
    </w:p>
    <w:p>
      <w:pPr>
        <w:pStyle w:val="0"/>
        <w:spacing w:before="200" w:line-rule="auto"/>
        <w:ind w:firstLine="540"/>
        <w:jc w:val="both"/>
      </w:pPr>
      <w:r>
        <w:rPr>
          <w:sz w:val="20"/>
        </w:rPr>
        <w:t xml:space="preserve">Документы, указанные в </w:t>
      </w:r>
      <w:hyperlink w:history="0" w:anchor="P83" w:tooltip="- выписку из Единого государственного реестра юридических лиц, выданную на 1-е число месяца, предшествующего месяцу, в котором планируется проведение конкурсного отбора;">
        <w:r>
          <w:rPr>
            <w:sz w:val="20"/>
            <w:color w:val="0000ff"/>
          </w:rPr>
          <w:t xml:space="preserve">абзацах девятом</w:t>
        </w:r>
      </w:hyperlink>
      <w:r>
        <w:rPr>
          <w:sz w:val="20"/>
        </w:rPr>
        <w:t xml:space="preserve"> и </w:t>
      </w:r>
      <w:hyperlink w:history="0" w:anchor="P84" w:tooltip="- справку территориального органа Федеральной налоговой службы, подписанную ее руководителем (иным уполномоченным лицом), по состоянию на 1-е число месяца, предшествующего месяцу, в котором планируется проведение конкурсного отбора, подтверждающую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десятом</w:t>
        </w:r>
      </w:hyperlink>
      <w:r>
        <w:rPr>
          <w:sz w:val="20"/>
        </w:rPr>
        <w:t xml:space="preserve"> настоящего пункта, запрашиваются Главным распорядителем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участник конкурсного отбора не представил указанные документы по собственной инициативе.</w:t>
      </w:r>
    </w:p>
    <w:bookmarkStart w:id="90" w:name="P90"/>
    <w:bookmarkEnd w:id="90"/>
    <w:p>
      <w:pPr>
        <w:pStyle w:val="0"/>
        <w:spacing w:before="200" w:line-rule="auto"/>
        <w:ind w:firstLine="540"/>
        <w:jc w:val="both"/>
      </w:pPr>
      <w:r>
        <w:rPr>
          <w:sz w:val="20"/>
        </w:rPr>
        <w:t xml:space="preserve">2.5. Главный распорядитель в течение 7 рабочих дней со дня окончания срока подачи (приема) заявок рассматривает представленные участником конкурсного отбора документы, в том числе осуществляет на основании документов, указанных в </w:t>
      </w:r>
      <w:hyperlink w:history="0" w:anchor="P81" w:tooltip="- копию плана мероприятий, утвержденного образовательной организацией, включающего перечень физкультурных и спортивных мероприятий, на предыдущий и текущий учебные года, заверенную руководителем участника конкурсного отбора;">
        <w:r>
          <w:rPr>
            <w:sz w:val="20"/>
            <w:color w:val="0000ff"/>
          </w:rPr>
          <w:t xml:space="preserve">абзацах седьмом</w:t>
        </w:r>
      </w:hyperlink>
      <w:r>
        <w:rPr>
          <w:sz w:val="20"/>
        </w:rPr>
        <w:t xml:space="preserve"> - </w:t>
      </w:r>
      <w:hyperlink w:history="0" w:anchor="P85" w:tooltip="- справку, подтверждающую отсутствие у участника конкурсного отбора по состоянию на 1-е число месяца, предшествующего месяцу, в котором планируется проведение конкурсного отбора, просроченной задолженности по возврату в областной бюджет субсидий, бюджетных инвестиций, а также иной просроченной (неурегулированной) задолженности по денежным обязательствам перед Мурманской областью, по форме согласно приложению к настоящему Порядку;">
        <w:r>
          <w:rPr>
            <w:sz w:val="20"/>
            <w:color w:val="0000ff"/>
          </w:rPr>
          <w:t xml:space="preserve">одиннадцатом пункта 2.4</w:t>
        </w:r>
      </w:hyperlink>
      <w:r>
        <w:rPr>
          <w:sz w:val="20"/>
        </w:rPr>
        <w:t xml:space="preserve"> настоящего Порядка, проверку участника конкурсного отбора на соответствие требованиям, указанным в </w:t>
      </w:r>
      <w:hyperlink w:history="0" w:anchor="P48" w:tooltip="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В случае если участник конкурсного отбора не представил по собственной инициативе документы, указанные в </w:t>
      </w:r>
      <w:hyperlink w:history="0" w:anchor="P81" w:tooltip="- копию плана мероприятий, утвержденного образовательной организацией, включающего перечень физкультурных и спортивных мероприятий, на предыдущий и текущий учебные года, заверенную руководителем участника конкурсного отбора;">
        <w:r>
          <w:rPr>
            <w:sz w:val="20"/>
            <w:color w:val="0000ff"/>
          </w:rPr>
          <w:t xml:space="preserve">абзацах седьмом</w:t>
        </w:r>
      </w:hyperlink>
      <w:r>
        <w:rPr>
          <w:sz w:val="20"/>
        </w:rPr>
        <w:t xml:space="preserve"> и </w:t>
      </w:r>
      <w:hyperlink w:history="0" w:anchor="P82" w:tooltip="- согласие органа, осуществляющего функции учредителя, на участие участника конкурсного отбора в конкурсном отборе, оформленное на официальном бланке учредителя;">
        <w:r>
          <w:rPr>
            <w:sz w:val="20"/>
            <w:color w:val="0000ff"/>
          </w:rPr>
          <w:t xml:space="preserve">восьмом пункта 2.4</w:t>
        </w:r>
      </w:hyperlink>
      <w:r>
        <w:rPr>
          <w:sz w:val="20"/>
        </w:rPr>
        <w:t xml:space="preserve"> настоящего Порядка, Главный распорядитель осуществляет проверку в соответствии с </w:t>
      </w:r>
      <w:hyperlink w:history="0" w:anchor="P90" w:tooltip="2.5. Главный распорядитель в течение 7 рабочих дней со дня окончания срока подачи (приема) заявок рассматривает представленные участником конкурсного отбора документы, в том числе осуществляет на основании документов, указанных в абзацах седьмом - одиннадцатом пункта 2.4 настоящего Порядка, проверку участника конкурсного отбора на соответствие требованиям, указанным в пункте 1.8 настоящего Порядка.">
        <w:r>
          <w:rPr>
            <w:sz w:val="20"/>
            <w:color w:val="0000ff"/>
          </w:rPr>
          <w:t xml:space="preserve">абзацем первым</w:t>
        </w:r>
      </w:hyperlink>
      <w:r>
        <w:rPr>
          <w:sz w:val="20"/>
        </w:rPr>
        <w:t xml:space="preserve"> настоящего пункта в день получения ответа на соответствующий межведомственный запрос.</w:t>
      </w:r>
    </w:p>
    <w:p>
      <w:pPr>
        <w:pStyle w:val="0"/>
        <w:spacing w:before="200" w:line-rule="auto"/>
        <w:ind w:firstLine="540"/>
        <w:jc w:val="both"/>
      </w:pPr>
      <w:r>
        <w:rPr>
          <w:sz w:val="20"/>
        </w:rPr>
        <w:t xml:space="preserve">2.6. В случае если по окончании срока приема заявок не поступило ни одной заявки, Главный распорядитель в течение дня, следующего за днем окончания срока приема заявок, принимает решение о продлении срока приема заявок не более чем на 10 рабочих дней, которое размещается Главным распорядителем на своем официальном сайте в сети Интернет и едином портале.</w:t>
      </w:r>
    </w:p>
    <w:p>
      <w:pPr>
        <w:pStyle w:val="0"/>
        <w:spacing w:before="200" w:line-rule="auto"/>
        <w:ind w:firstLine="540"/>
        <w:jc w:val="both"/>
      </w:pPr>
      <w:r>
        <w:rPr>
          <w:sz w:val="20"/>
        </w:rPr>
        <w:t xml:space="preserve">2.7. Главный распорядитель вправе отменить конкурсный отбор не позднее чем за 10 рабочих дней до даты окончания срока подачи заявок на участие в конкурсном отборе при уменьшении лимитов бюджетных обязательств на предоставление грантов на соответствующий финансовый год.</w:t>
      </w:r>
    </w:p>
    <w:p>
      <w:pPr>
        <w:pStyle w:val="0"/>
        <w:spacing w:before="200" w:line-rule="auto"/>
        <w:ind w:firstLine="540"/>
        <w:jc w:val="both"/>
      </w:pPr>
      <w:r>
        <w:rPr>
          <w:sz w:val="20"/>
        </w:rPr>
        <w:t xml:space="preserve">Решение об отмене конкурсного отбора размещается на официальном сайте Главного распорядителя и едином портале, а также незамедлительно доводится до сведения участников конкурсного отбора, подавших заявки. Конкурсный отбор считается отмененным с момента размещения решения о его отмене на официальном сайте Главного распорядителя и едином портале.</w:t>
      </w:r>
    </w:p>
    <w:p>
      <w:pPr>
        <w:pStyle w:val="0"/>
        <w:spacing w:before="200" w:line-rule="auto"/>
        <w:ind w:firstLine="540"/>
        <w:jc w:val="both"/>
      </w:pPr>
      <w:r>
        <w:rPr>
          <w:sz w:val="20"/>
        </w:rPr>
        <w:t xml:space="preserve">2.8. Рассмотрение поступивших заявок, принятие решения о допуске к участию в конкурсном отборе либо об отказе в участии в конкурсном отборе осуществляется в течение 10 рабочих дней с даты завершения приема документов комиссией по проведению конкурсного отбора (далее - конкурсная комиссия), состав которой утверждается приказом Главного распорядителя.</w:t>
      </w:r>
    </w:p>
    <w:p>
      <w:pPr>
        <w:pStyle w:val="0"/>
        <w:spacing w:before="200" w:line-rule="auto"/>
        <w:ind w:firstLine="540"/>
        <w:jc w:val="both"/>
      </w:pPr>
      <w:r>
        <w:rPr>
          <w:sz w:val="20"/>
        </w:rPr>
        <w:t xml:space="preserve">Конкурсная комиссия является коллегиальным органом. В ее состав входят председатель конкурсной комиссии, заместитель председателя конкурсной комиссии, секретарь и члены конкурсной комиссии. Количество членов конкурсной комиссии - не менее 7 человек из представителей Главного распорядителя и Министерства образования и науки Мурманской области.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На заседании конкурсной комиссии должно присутствовать не менее двух третей от ее состава.</w:t>
      </w:r>
    </w:p>
    <w:p>
      <w:pPr>
        <w:pStyle w:val="0"/>
        <w:spacing w:before="200" w:line-rule="auto"/>
        <w:ind w:firstLine="540"/>
        <w:jc w:val="both"/>
      </w:pPr>
      <w:r>
        <w:rPr>
          <w:sz w:val="20"/>
        </w:rPr>
        <w:t xml:space="preserve">2.9. Основаниями для отказа в участии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40" w:tooltip="1.5. Гранты предоставляются образовательным организациям, осуществляющим свою деятельность на территории Мурманской области:">
        <w:r>
          <w:rPr>
            <w:sz w:val="20"/>
            <w:color w:val="0000ff"/>
          </w:rPr>
          <w:t xml:space="preserve">пунктах 1.5</w:t>
        </w:r>
      </w:hyperlink>
      <w:r>
        <w:rPr>
          <w:sz w:val="20"/>
        </w:rPr>
        <w:t xml:space="preserve">, </w:t>
      </w:r>
      <w:hyperlink w:history="0" w:anchor="P48" w:tooltip="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участником конкурсного отбора документов требованиям, определенным в соответствии с </w:t>
      </w:r>
      <w:hyperlink w:history="0" w:anchor="P75" w:tooltip="2.4.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в сети Интернет и на едином портале, представляет Главному распорядителю:">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несоответствие представленных участником конкурсного отбора заявки и документов требованиям к заявкам участников конкурсного отбора, установленным в объявлении о проведении конкурсного отбора;</w:t>
      </w:r>
    </w:p>
    <w:p>
      <w:pPr>
        <w:pStyle w:val="0"/>
        <w:spacing w:before="200" w:line-rule="auto"/>
        <w:ind w:firstLine="540"/>
        <w:jc w:val="both"/>
      </w:pPr>
      <w:r>
        <w:rPr>
          <w:sz w:val="20"/>
        </w:rPr>
        <w:t xml:space="preserve">- недостоверность представленной участником конкурсного отбора информации, в том числе информации о месте нахождения и адресе участника конкурсного отбора;</w:t>
      </w:r>
    </w:p>
    <w:p>
      <w:pPr>
        <w:pStyle w:val="0"/>
        <w:spacing w:before="200" w:line-rule="auto"/>
        <w:ind w:firstLine="540"/>
        <w:jc w:val="both"/>
      </w:pPr>
      <w:r>
        <w:rPr>
          <w:sz w:val="20"/>
        </w:rPr>
        <w:t xml:space="preserve">- предоставление участником конкурсного отбора заявки после даты, установленной для подачи заявок в объявлении о проведении конкурсного отбора.</w:t>
      </w:r>
    </w:p>
    <w:p>
      <w:pPr>
        <w:pStyle w:val="0"/>
        <w:spacing w:before="200" w:line-rule="auto"/>
        <w:ind w:firstLine="540"/>
        <w:jc w:val="both"/>
      </w:pPr>
      <w:r>
        <w:rPr>
          <w:sz w:val="20"/>
        </w:rPr>
        <w:t xml:space="preserve">2.10. Решение о допуске к участию в конкурсном отборе либо об отказе в участии в конкурсном отборе оформляется протоколом конкурсной комиссии, который размещается на официальном сайте Главного распорядителя и едином портале в течение 3 рабочих дней после подписания протокола, включающего следующие сведения:</w:t>
      </w:r>
    </w:p>
    <w:p>
      <w:pPr>
        <w:pStyle w:val="0"/>
        <w:spacing w:before="200" w:line-rule="auto"/>
        <w:ind w:firstLine="540"/>
        <w:jc w:val="both"/>
      </w:pPr>
      <w:r>
        <w:rPr>
          <w:sz w:val="20"/>
        </w:rPr>
        <w:t xml:space="preserve">- дата, время и место проведения оценки предоставленных заявок;</w:t>
      </w:r>
    </w:p>
    <w:p>
      <w:pPr>
        <w:pStyle w:val="0"/>
        <w:spacing w:before="200" w:line-rule="auto"/>
        <w:ind w:firstLine="540"/>
        <w:jc w:val="both"/>
      </w:pPr>
      <w:r>
        <w:rPr>
          <w:sz w:val="20"/>
        </w:rPr>
        <w:t xml:space="preserve">- 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2.11. Оценка представленных заявок на соответствие каждому критерию осуществляется членами конкурсной комиссии на основании информации, подготовленной секретарем конкурсной комиссии с учетом представленной участником отбора информации.</w:t>
      </w:r>
    </w:p>
    <w:p>
      <w:pPr>
        <w:pStyle w:val="0"/>
        <w:spacing w:before="200" w:line-rule="auto"/>
        <w:ind w:firstLine="540"/>
        <w:jc w:val="both"/>
      </w:pPr>
      <w:r>
        <w:rPr>
          <w:sz w:val="20"/>
        </w:rPr>
        <w:t xml:space="preserve">Оценка осуществляется по балльной системе по каждому из критериев: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7030"/>
        <w:gridCol w:w="1507"/>
      </w:tblGrid>
      <w:tr>
        <w:tc>
          <w:tcPr>
            <w:tcW w:w="528" w:type="dxa"/>
          </w:tcPr>
          <w:p>
            <w:pPr>
              <w:pStyle w:val="0"/>
              <w:jc w:val="center"/>
            </w:pPr>
            <w:r>
              <w:rPr>
                <w:sz w:val="20"/>
              </w:rPr>
              <w:t xml:space="preserve">N п/п</w:t>
            </w:r>
          </w:p>
        </w:tc>
        <w:tc>
          <w:tcPr>
            <w:tcW w:w="7030" w:type="dxa"/>
          </w:tcPr>
          <w:p>
            <w:pPr>
              <w:pStyle w:val="0"/>
              <w:jc w:val="center"/>
            </w:pPr>
            <w:r>
              <w:rPr>
                <w:sz w:val="20"/>
              </w:rPr>
              <w:t xml:space="preserve">Критерии</w:t>
            </w:r>
          </w:p>
        </w:tc>
        <w:tc>
          <w:tcPr>
            <w:tcW w:w="1507" w:type="dxa"/>
          </w:tcPr>
          <w:p>
            <w:pPr>
              <w:pStyle w:val="0"/>
              <w:jc w:val="center"/>
            </w:pPr>
            <w:r>
              <w:rPr>
                <w:sz w:val="20"/>
              </w:rPr>
              <w:t xml:space="preserve">Количество баллов</w:t>
            </w:r>
          </w:p>
        </w:tc>
      </w:tr>
      <w:tr>
        <w:tc>
          <w:tcPr>
            <w:tcW w:w="528" w:type="dxa"/>
          </w:tcPr>
          <w:p>
            <w:pPr>
              <w:pStyle w:val="0"/>
              <w:jc w:val="center"/>
            </w:pPr>
            <w:r>
              <w:rPr>
                <w:sz w:val="20"/>
              </w:rPr>
              <w:t xml:space="preserve">1</w:t>
            </w:r>
          </w:p>
        </w:tc>
        <w:tc>
          <w:tcPr>
            <w:tcW w:w="7030" w:type="dxa"/>
          </w:tcPr>
          <w:p>
            <w:pPr>
              <w:pStyle w:val="0"/>
            </w:pPr>
            <w:r>
              <w:rPr>
                <w:sz w:val="20"/>
              </w:rPr>
              <w:t xml:space="preserve">Наличие занимающихся в ССК участника конкурсного отбора</w:t>
            </w:r>
          </w:p>
        </w:tc>
        <w:tc>
          <w:tcPr>
            <w:tcW w:w="1507" w:type="dxa"/>
          </w:tcPr>
          <w:p>
            <w:pPr>
              <w:pStyle w:val="0"/>
              <w:jc w:val="center"/>
            </w:pPr>
            <w:r>
              <w:rPr>
                <w:sz w:val="20"/>
              </w:rPr>
              <w:t xml:space="preserve">5</w:t>
            </w:r>
          </w:p>
        </w:tc>
      </w:tr>
      <w:tr>
        <w:tc>
          <w:tcPr>
            <w:tcW w:w="528" w:type="dxa"/>
          </w:tcPr>
          <w:p>
            <w:pPr>
              <w:pStyle w:val="0"/>
              <w:jc w:val="center"/>
            </w:pPr>
            <w:r>
              <w:rPr>
                <w:sz w:val="20"/>
              </w:rPr>
              <w:t xml:space="preserve">2</w:t>
            </w:r>
          </w:p>
        </w:tc>
        <w:tc>
          <w:tcPr>
            <w:tcW w:w="7030" w:type="dxa"/>
          </w:tcPr>
          <w:p>
            <w:pPr>
              <w:pStyle w:val="0"/>
            </w:pPr>
            <w:r>
              <w:rPr>
                <w:sz w:val="20"/>
              </w:rPr>
              <w:t xml:space="preserve">Проведение ССК участника конкурсного отбора физкультурных и спортивных мероприятий в течение года, предшествующего году подачи заявки, согласно плану мероприятий, включающему перечень физкультурных и спортивных мероприятий</w:t>
            </w:r>
          </w:p>
        </w:tc>
        <w:tc>
          <w:tcPr>
            <w:tcW w:w="1507" w:type="dxa"/>
          </w:tcPr>
          <w:p>
            <w:pPr>
              <w:pStyle w:val="0"/>
              <w:jc w:val="center"/>
            </w:pPr>
            <w:r>
              <w:rPr>
                <w:sz w:val="20"/>
              </w:rPr>
              <w:t xml:space="preserve">5</w:t>
            </w:r>
          </w:p>
        </w:tc>
      </w:tr>
      <w:tr>
        <w:tc>
          <w:tcPr>
            <w:tcW w:w="528" w:type="dxa"/>
          </w:tcPr>
          <w:p>
            <w:pPr>
              <w:pStyle w:val="0"/>
              <w:jc w:val="center"/>
            </w:pPr>
            <w:r>
              <w:rPr>
                <w:sz w:val="20"/>
              </w:rPr>
              <w:t xml:space="preserve">3</w:t>
            </w:r>
          </w:p>
        </w:tc>
        <w:tc>
          <w:tcPr>
            <w:tcW w:w="7030" w:type="dxa"/>
          </w:tcPr>
          <w:p>
            <w:pPr>
              <w:pStyle w:val="0"/>
            </w:pPr>
            <w:r>
              <w:rPr>
                <w:sz w:val="20"/>
              </w:rPr>
              <w:t xml:space="preserve">Наличие материально-технической базы (спортивного зала и (или) спортивной площадки, спортивного оборудования и инвентаря) для занятий обучающихся в ССК участника конкурсного отбора</w:t>
            </w:r>
          </w:p>
        </w:tc>
        <w:tc>
          <w:tcPr>
            <w:tcW w:w="1507" w:type="dxa"/>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Итоговая оценка определяется путем суммирования количества набранных баллов.</w:t>
      </w:r>
    </w:p>
    <w:p>
      <w:pPr>
        <w:pStyle w:val="0"/>
        <w:spacing w:before="200" w:line-rule="auto"/>
        <w:ind w:firstLine="540"/>
        <w:jc w:val="both"/>
      </w:pPr>
      <w:r>
        <w:rPr>
          <w:sz w:val="20"/>
        </w:rPr>
        <w:t xml:space="preserve">По итогам оценки конкурсная комиссия формирует список участников конкурсного отбора в соответствии с набранными баллами.</w:t>
      </w:r>
    </w:p>
    <w:p>
      <w:pPr>
        <w:pStyle w:val="0"/>
        <w:spacing w:before="200" w:line-rule="auto"/>
        <w:ind w:firstLine="540"/>
        <w:jc w:val="both"/>
      </w:pPr>
      <w:r>
        <w:rPr>
          <w:sz w:val="20"/>
        </w:rPr>
        <w:t xml:space="preserve">Участники считаются прошедшими конкурсный отбор в случае, если они набрали не меньше 15 баллов.</w:t>
      </w:r>
    </w:p>
    <w:p>
      <w:pPr>
        <w:pStyle w:val="0"/>
        <w:spacing w:before="200" w:line-rule="auto"/>
        <w:ind w:firstLine="540"/>
        <w:jc w:val="both"/>
      </w:pPr>
      <w:r>
        <w:rPr>
          <w:sz w:val="20"/>
        </w:rPr>
        <w:t xml:space="preserve">2.12. Конкурсная комиссия подводит итоги конкурсного отбора в течение 5 рабочих дней с даты принятия решения о допуске к участию в конкурсном отборе.</w:t>
      </w:r>
    </w:p>
    <w:p>
      <w:pPr>
        <w:pStyle w:val="0"/>
        <w:spacing w:before="200" w:line-rule="auto"/>
        <w:ind w:firstLine="540"/>
        <w:jc w:val="both"/>
      </w:pPr>
      <w:r>
        <w:rPr>
          <w:sz w:val="20"/>
        </w:rPr>
        <w:t xml:space="preserve">2.13. Итоги конкурсного отбора оформляются протоколом заседания конкурсной комиссии. Протокол подписывается всеми членами конкурсной комиссии.</w:t>
      </w:r>
    </w:p>
    <w:p>
      <w:pPr>
        <w:pStyle w:val="0"/>
        <w:spacing w:before="200" w:line-rule="auto"/>
        <w:ind w:firstLine="540"/>
        <w:jc w:val="both"/>
      </w:pPr>
      <w:r>
        <w:rPr>
          <w:sz w:val="20"/>
        </w:rPr>
        <w:t xml:space="preserve">2.14. Информация о результатах проведения конкурсного отбора, в том числе информация об участниках конкурсного отбора, наименовании получателей гранта, с которыми заключаются соглашения, и размере предоставляемого им гранта, размещается на официальном сайте Главного распорядителя и едином портале в течение 5 рабочих дней после подписания протокола.</w:t>
      </w:r>
    </w:p>
    <w:bookmarkStart w:id="129" w:name="P129"/>
    <w:bookmarkEnd w:id="129"/>
    <w:p>
      <w:pPr>
        <w:pStyle w:val="0"/>
        <w:spacing w:before="200" w:line-rule="auto"/>
        <w:ind w:firstLine="540"/>
        <w:jc w:val="both"/>
      </w:pPr>
      <w:r>
        <w:rPr>
          <w:sz w:val="20"/>
        </w:rPr>
        <w:t xml:space="preserve">2.15. Итоги конкурсного отбора утверждаются приказом Главного распорядителя.</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Условиями предоставления гранта являются:</w:t>
      </w:r>
    </w:p>
    <w:p>
      <w:pPr>
        <w:pStyle w:val="0"/>
        <w:spacing w:before="200" w:line-rule="auto"/>
        <w:ind w:firstLine="540"/>
        <w:jc w:val="both"/>
      </w:pPr>
      <w:r>
        <w:rPr>
          <w:sz w:val="20"/>
        </w:rPr>
        <w:t xml:space="preserve">3.1.1. Соответствие получателя гранта требованиям, установленным </w:t>
      </w:r>
      <w:hyperlink w:history="0" w:anchor="P40" w:tooltip="1.5. Гранты предоставляются образовательным организациям, осуществляющим свою деятельность на территории Мурманской области:">
        <w:r>
          <w:rPr>
            <w:sz w:val="20"/>
            <w:color w:val="0000ff"/>
          </w:rPr>
          <w:t xml:space="preserve">пунктами 1.5</w:t>
        </w:r>
      </w:hyperlink>
      <w:r>
        <w:rPr>
          <w:sz w:val="20"/>
        </w:rPr>
        <w:t xml:space="preserve">, </w:t>
      </w:r>
      <w:hyperlink w:history="0" w:anchor="P48" w:tooltip="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3.1.2. Запрет на приобретение за счет предоставленного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3.1.3. Наличие согласия получателя гранта, а также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и порядка предоставления гранта 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3.1.4. Наличие согласия органа, осуществляющего функции и полномочия учредителя в отношении участника конкурсного отбора (далее - учредитель), на участие участника конкурсного отбора в конкурсном отборе, оформленного на официальном бланке учредителя.</w:t>
      </w:r>
    </w:p>
    <w:p>
      <w:pPr>
        <w:pStyle w:val="0"/>
        <w:spacing w:before="200" w:line-rule="auto"/>
        <w:ind w:firstLine="540"/>
        <w:jc w:val="both"/>
      </w:pPr>
      <w:r>
        <w:rPr>
          <w:sz w:val="20"/>
        </w:rPr>
        <w:t xml:space="preserve">3.2. Основаниями для отказа в предоставлении гранта являются:</w:t>
      </w:r>
    </w:p>
    <w:p>
      <w:pPr>
        <w:pStyle w:val="0"/>
        <w:spacing w:before="200" w:line-rule="auto"/>
        <w:ind w:firstLine="540"/>
        <w:jc w:val="both"/>
      </w:pPr>
      <w:r>
        <w:rPr>
          <w:sz w:val="20"/>
        </w:rPr>
        <w:t xml:space="preserve">- несоответствие получателя гранта требованиям, установленным </w:t>
      </w:r>
      <w:hyperlink w:history="0" w:anchor="P40" w:tooltip="1.5. Гранты предоставляются образовательным организациям, осуществляющим свою деятельность на территории Мурманской области:">
        <w:r>
          <w:rPr>
            <w:sz w:val="20"/>
            <w:color w:val="0000ff"/>
          </w:rPr>
          <w:t xml:space="preserve">пунктами 1.5</w:t>
        </w:r>
      </w:hyperlink>
      <w:r>
        <w:rPr>
          <w:sz w:val="20"/>
        </w:rPr>
        <w:t xml:space="preserve">, </w:t>
      </w:r>
      <w:hyperlink w:history="0" w:anchor="P48" w:tooltip="1.8. К участию в конкурсном отборе допускаются образовательные организации, подавшие заявку на участие в конкурсном отборе и соответствующие следующим требованиям на 1-е число месяца, предшествующего месяцу, в котором планируется проведение конкурсного отбора:">
        <w:r>
          <w:rPr>
            <w:sz w:val="20"/>
            <w:color w:val="0000ff"/>
          </w:rPr>
          <w:t xml:space="preserve">1.8</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получателем гранта документов требованиям, определенным в соответствии с </w:t>
      </w:r>
      <w:hyperlink w:history="0" w:anchor="P75" w:tooltip="2.4. Для получения гранта и заключения соглашения участник конкурсного отбора в сроки, указанные в объявлении о проведении конкурсного отбора, размещенном Главным распорядителем на своем официальном сайте в сети Интернет и на едином портале, представляет Главному распорядителю:">
        <w:r>
          <w:rPr>
            <w:sz w:val="20"/>
            <w:color w:val="0000ff"/>
          </w:rPr>
          <w:t xml:space="preserve">пунктом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3.3. По итогам конкурсного отбора Главный распорядитель в течение 5 рабочих дней со дня издания приказа, указанного в </w:t>
      </w:r>
      <w:hyperlink w:history="0" w:anchor="P129" w:tooltip="2.15. Итоги конкурсного отбора утверждаются приказом Главного распорядителя.">
        <w:r>
          <w:rPr>
            <w:sz w:val="20"/>
            <w:color w:val="0000ff"/>
          </w:rPr>
          <w:t xml:space="preserve">пункте 2.15</w:t>
        </w:r>
      </w:hyperlink>
      <w:r>
        <w:rPr>
          <w:sz w:val="20"/>
        </w:rPr>
        <w:t xml:space="preserve"> настоящего Порядка, заключает с получателями гранта соглашение в соответствии с типовой формой, утвержденной Министерством финансов Мурманской области (далее - типовая форма).</w:t>
      </w:r>
    </w:p>
    <w:p>
      <w:pPr>
        <w:pStyle w:val="0"/>
        <w:spacing w:before="200" w:line-rule="auto"/>
        <w:ind w:firstLine="540"/>
        <w:jc w:val="both"/>
      </w:pPr>
      <w:r>
        <w:rPr>
          <w:sz w:val="20"/>
        </w:rPr>
        <w:t xml:space="preserve">В случае необходимости заключения дополнительного соглашения оно также заключается в соответствии с типовой формой.</w:t>
      </w:r>
    </w:p>
    <w:p>
      <w:pPr>
        <w:pStyle w:val="0"/>
        <w:spacing w:before="200" w:line-rule="auto"/>
        <w:ind w:firstLine="540"/>
        <w:jc w:val="both"/>
      </w:pPr>
      <w:r>
        <w:rPr>
          <w:sz w:val="20"/>
        </w:rPr>
        <w:t xml:space="preserve">3.4. В случае если претендент на получение гранта, прошедший конкурсный отбор, в течение 14 дней с момента направления ему соглашения не направил Главному распорядителю подписанное соглашение, то он считается уклонившимся от заключения соглашения.</w:t>
      </w:r>
    </w:p>
    <w:p>
      <w:pPr>
        <w:pStyle w:val="0"/>
        <w:spacing w:before="200" w:line-rule="auto"/>
        <w:ind w:firstLine="540"/>
        <w:jc w:val="both"/>
      </w:pPr>
      <w:r>
        <w:rPr>
          <w:sz w:val="20"/>
        </w:rPr>
        <w:t xml:space="preserve">В случае если соглашение не заключено по вине претендента на получение гранта, прошедшего конкурсный отбор, то он теряет право на получение гранта.</w:t>
      </w:r>
    </w:p>
    <w:p>
      <w:pPr>
        <w:pStyle w:val="0"/>
        <w:spacing w:before="200" w:line-rule="auto"/>
        <w:ind w:firstLine="540"/>
        <w:jc w:val="both"/>
      </w:pPr>
      <w:r>
        <w:rPr>
          <w:sz w:val="20"/>
        </w:rPr>
        <w:t xml:space="preserve">3.5. Перечисление гранта осуществляется Главным распорядителем на расчетный счет получателя гранта, открытый в кредитной организации, в соответствии с планом-графиком перечисления субсидии по форме, прилагаемой к соглашению.</w:t>
      </w:r>
    </w:p>
    <w:p>
      <w:pPr>
        <w:pStyle w:val="0"/>
        <w:spacing w:before="200" w:line-rule="auto"/>
        <w:ind w:firstLine="540"/>
        <w:jc w:val="both"/>
      </w:pPr>
      <w:r>
        <w:rPr>
          <w:sz w:val="20"/>
        </w:rPr>
        <w:t xml:space="preserve">3.6. В случае формирования на конец финансового года остатков средств гранта, предоставленного за счет средств областного бюджета, получатель гранта не позднее 20 января года, следующего за годом предоставления гранта, перечисляет в областной бюджет сумму остатка.</w:t>
      </w:r>
    </w:p>
    <w:p>
      <w:pPr>
        <w:pStyle w:val="0"/>
        <w:spacing w:before="200" w:line-rule="auto"/>
        <w:ind w:firstLine="540"/>
        <w:jc w:val="both"/>
      </w:pPr>
      <w:r>
        <w:rPr>
          <w:sz w:val="20"/>
        </w:rPr>
        <w:t xml:space="preserve">В случае отказа в возврате, невозврата или возврата не в полном объеме средств гранта в установленные сроки взыскание осуществляется в порядке, установленном законодательством.</w:t>
      </w:r>
    </w:p>
    <w:p>
      <w:pPr>
        <w:pStyle w:val="0"/>
        <w:spacing w:before="200" w:line-rule="auto"/>
        <w:ind w:firstLine="540"/>
        <w:jc w:val="both"/>
      </w:pPr>
      <w:r>
        <w:rPr>
          <w:sz w:val="20"/>
        </w:rPr>
        <w:t xml:space="preserve">3.7. В случае уменьшения Главному распорядителю ранее доведенных лимитов бюджетных обязательств, указанных в </w:t>
      </w:r>
      <w:hyperlink w:history="0" w:anchor="P36" w:tooltip="1.4. Грант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в рамках основного мероприятия &quot;Поддержка социально ориентированных некоммерческих организаций, осуществляющих деятельность в сфере физической культуры и спорта&quot; подпрограммы &quot;Развитие массового спорта, реализация мероприятий по информированию граждан&quot; государственной программы Мурманской области &quot;Фи...">
        <w:r>
          <w:rPr>
            <w:sz w:val="20"/>
            <w:color w:val="0000ff"/>
          </w:rPr>
          <w:t xml:space="preserve">пункте 1.4</w:t>
        </w:r>
      </w:hyperlink>
      <w:r>
        <w:rPr>
          <w:sz w:val="20"/>
        </w:rPr>
        <w:t xml:space="preserve"> настоящего Порядка, приводящего к невозможности предоставления гранта в размере, определенном в соглашении, Главный распорядитель заключает с получателем гранта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3.8. Грант носит целевой характер и не может быть использован на другие цели.</w:t>
      </w:r>
    </w:p>
    <w:p>
      <w:pPr>
        <w:pStyle w:val="0"/>
        <w:spacing w:before="200" w:line-rule="auto"/>
        <w:ind w:firstLine="540"/>
        <w:jc w:val="both"/>
      </w:pPr>
      <w:r>
        <w:rPr>
          <w:sz w:val="20"/>
        </w:rPr>
        <w:t xml:space="preserve">3.9. Планируемым результатом предоставления гранта является:</w:t>
      </w:r>
    </w:p>
    <w:p>
      <w:pPr>
        <w:pStyle w:val="0"/>
        <w:spacing w:before="200" w:line-rule="auto"/>
        <w:ind w:firstLine="540"/>
        <w:jc w:val="both"/>
      </w:pPr>
      <w:r>
        <w:rPr>
          <w:sz w:val="20"/>
        </w:rPr>
        <w:t xml:space="preserve">- количество проведенных ССК физкультурных и спортивных мероприятий;</w:t>
      </w:r>
    </w:p>
    <w:p>
      <w:pPr>
        <w:pStyle w:val="0"/>
        <w:spacing w:before="200" w:line-rule="auto"/>
        <w:ind w:firstLine="540"/>
        <w:jc w:val="both"/>
      </w:pPr>
      <w:r>
        <w:rPr>
          <w:sz w:val="20"/>
        </w:rPr>
        <w:t xml:space="preserve">- количество физкультурных и спортивных мероприятий, в которых ССК принял участие, в том числе на территории Мурманской области.</w:t>
      </w:r>
    </w:p>
    <w:p>
      <w:pPr>
        <w:pStyle w:val="0"/>
        <w:spacing w:before="200" w:line-rule="auto"/>
        <w:ind w:firstLine="540"/>
        <w:jc w:val="both"/>
      </w:pPr>
      <w:r>
        <w:rPr>
          <w:sz w:val="20"/>
        </w:rPr>
        <w:t xml:space="preserve">Точная дата завершения и конечное значение результатов предоставления гранта устанавливаются в соглашении.</w:t>
      </w:r>
    </w:p>
    <w:p>
      <w:pPr>
        <w:pStyle w:val="0"/>
        <w:jc w:val="both"/>
      </w:pPr>
      <w:r>
        <w:rPr>
          <w:sz w:val="20"/>
        </w:rPr>
      </w:r>
    </w:p>
    <w:bookmarkStart w:id="156" w:name="P156"/>
    <w:bookmarkEnd w:id="156"/>
    <w:p>
      <w:pPr>
        <w:pStyle w:val="2"/>
        <w:outlineLvl w:val="1"/>
        <w:jc w:val="center"/>
      </w:pPr>
      <w:r>
        <w:rPr>
          <w:sz w:val="20"/>
        </w:rPr>
        <w:t xml:space="preserve">4. Требования к отчетности</w:t>
      </w:r>
    </w:p>
    <w:p>
      <w:pPr>
        <w:pStyle w:val="0"/>
        <w:jc w:val="both"/>
      </w:pPr>
      <w:r>
        <w:rPr>
          <w:sz w:val="20"/>
        </w:rPr>
      </w:r>
    </w:p>
    <w:bookmarkStart w:id="158" w:name="P158"/>
    <w:bookmarkEnd w:id="158"/>
    <w:p>
      <w:pPr>
        <w:pStyle w:val="0"/>
        <w:ind w:firstLine="540"/>
        <w:jc w:val="both"/>
      </w:pPr>
      <w:r>
        <w:rPr>
          <w:sz w:val="20"/>
        </w:rPr>
        <w:t xml:space="preserve">4.1. Получатель гранта представляет Главному распорядителю ежеквартально, не позднее 15-го числа месяца, следующего за отчетным периодом, отчет об осуществлении расходов, источником финансового обеспечения которых является грант, по форме, прилагаемой к соглашению, содержащий информацию по расходам, с приложением копий всех первичных документов и платежных поручений, подтверждающих понесенные расходы, заверенных подписью руководителя и печатью получателя гранта.</w:t>
      </w:r>
    </w:p>
    <w:p>
      <w:pPr>
        <w:pStyle w:val="0"/>
        <w:spacing w:before="200" w:line-rule="auto"/>
        <w:ind w:firstLine="540"/>
        <w:jc w:val="both"/>
      </w:pPr>
      <w:r>
        <w:rPr>
          <w:sz w:val="20"/>
        </w:rPr>
        <w:t xml:space="preserve">Предварительный отчет за год получатель гранта представляет Главному распорядителю до 5 декабря текущего года.</w:t>
      </w:r>
    </w:p>
    <w:p>
      <w:pPr>
        <w:pStyle w:val="0"/>
        <w:spacing w:before="200" w:line-rule="auto"/>
        <w:ind w:firstLine="540"/>
        <w:jc w:val="both"/>
      </w:pPr>
      <w:r>
        <w:rPr>
          <w:sz w:val="20"/>
        </w:rPr>
        <w:t xml:space="preserve">4.2. Главный распорядитель вправе устанавливать в соглашении о предоставлении гранта сроки и формы предоставления получателем гранта дополнительной отчетности.</w:t>
      </w:r>
    </w:p>
    <w:p>
      <w:pPr>
        <w:pStyle w:val="0"/>
        <w:spacing w:before="200" w:line-rule="auto"/>
        <w:ind w:firstLine="540"/>
        <w:jc w:val="both"/>
      </w:pPr>
      <w:r>
        <w:rPr>
          <w:sz w:val="20"/>
        </w:rPr>
        <w:t xml:space="preserve">4.3. Получатель гранта в срок до 20 января года, следующего за отчетным, представляет Главному распорядителю отчет о достижении значений результатов предоставления гранта по форме, прилагаемой к соглашению, с предоставлением подтверждающих документов (положений и отчетов о проведении мероприятий, протоколов соревнований).</w:t>
      </w:r>
    </w:p>
    <w:p>
      <w:pPr>
        <w:pStyle w:val="0"/>
        <w:spacing w:before="200" w:line-rule="auto"/>
        <w:ind w:firstLine="540"/>
        <w:jc w:val="both"/>
      </w:pPr>
      <w:r>
        <w:rPr>
          <w:sz w:val="20"/>
        </w:rPr>
        <w:t xml:space="preserve">Главный распорядитель не позднее 1 февраля года, следующего за отчетным, осуществляет оценку достижения получателем гранта значения результата предоставления гранта.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ответственность за их несоблюдение</w:t>
      </w:r>
    </w:p>
    <w:p>
      <w:pPr>
        <w:pStyle w:val="0"/>
        <w:jc w:val="both"/>
      </w:pPr>
      <w:r>
        <w:rPr>
          <w:sz w:val="20"/>
        </w:rPr>
      </w:r>
    </w:p>
    <w:p>
      <w:pPr>
        <w:pStyle w:val="0"/>
        <w:ind w:firstLine="540"/>
        <w:jc w:val="both"/>
      </w:pPr>
      <w:r>
        <w:rPr>
          <w:sz w:val="20"/>
        </w:rPr>
        <w:t xml:space="preserve">5.1. Получатель гранта несет ответственность за достоверность представляемых документов и сведений, а также за соблюдение условий и порядка предоставления гранта.</w:t>
      </w:r>
    </w:p>
    <w:p>
      <w:pPr>
        <w:pStyle w:val="0"/>
        <w:spacing w:before="200" w:line-rule="auto"/>
        <w:ind w:firstLine="540"/>
        <w:jc w:val="both"/>
      </w:pPr>
      <w:r>
        <w:rPr>
          <w:sz w:val="20"/>
        </w:rPr>
        <w:t xml:space="preserve">5.2. Главный распорядитель осуществляет проверки по соблюдению получателем субсидии порядка и условий ее предоставления,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Мурманской области осуществляют проверки по соблюдению получателем порядка и условий ее предоставления в соответствии со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71" w:name="P171"/>
    <w:bookmarkEnd w:id="171"/>
    <w:p>
      <w:pPr>
        <w:pStyle w:val="0"/>
        <w:spacing w:before="200" w:line-rule="auto"/>
        <w:ind w:firstLine="540"/>
        <w:jc w:val="both"/>
      </w:pPr>
      <w:r>
        <w:rPr>
          <w:sz w:val="20"/>
        </w:rPr>
        <w:t xml:space="preserve">5.3. Грант подлежит возврату в доход бюджета Мурманской области в следующих случаях:</w:t>
      </w:r>
    </w:p>
    <w:p>
      <w:pPr>
        <w:pStyle w:val="0"/>
        <w:spacing w:before="200" w:line-rule="auto"/>
        <w:ind w:firstLine="540"/>
        <w:jc w:val="both"/>
      </w:pPr>
      <w:r>
        <w:rPr>
          <w:sz w:val="20"/>
        </w:rPr>
        <w:t xml:space="preserve">- нарушение условий предоставления гранта;</w:t>
      </w:r>
    </w:p>
    <w:p>
      <w:pPr>
        <w:pStyle w:val="0"/>
        <w:spacing w:before="200" w:line-rule="auto"/>
        <w:ind w:firstLine="540"/>
        <w:jc w:val="both"/>
      </w:pPr>
      <w:r>
        <w:rPr>
          <w:sz w:val="20"/>
        </w:rPr>
        <w:t xml:space="preserve">- выявление факта нецелевого использования гранта;</w:t>
      </w:r>
    </w:p>
    <w:p>
      <w:pPr>
        <w:pStyle w:val="0"/>
        <w:spacing w:before="200" w:line-rule="auto"/>
        <w:ind w:firstLine="540"/>
        <w:jc w:val="both"/>
      </w:pPr>
      <w:r>
        <w:rPr>
          <w:sz w:val="20"/>
        </w:rPr>
        <w:t xml:space="preserve">- недостижение получателем гранта результатов предоставления гранта и показателей, необходимых для достижения результатов предоставления гранта;</w:t>
      </w:r>
    </w:p>
    <w:p>
      <w:pPr>
        <w:pStyle w:val="0"/>
        <w:spacing w:before="200" w:line-rule="auto"/>
        <w:ind w:firstLine="540"/>
        <w:jc w:val="both"/>
      </w:pPr>
      <w:r>
        <w:rPr>
          <w:sz w:val="20"/>
        </w:rPr>
        <w:t xml:space="preserve">- нарушение сроков представления отчетности.</w:t>
      </w:r>
    </w:p>
    <w:p>
      <w:pPr>
        <w:pStyle w:val="0"/>
        <w:spacing w:before="200" w:line-rule="auto"/>
        <w:ind w:firstLine="540"/>
        <w:jc w:val="both"/>
      </w:pPr>
      <w:r>
        <w:rPr>
          <w:sz w:val="20"/>
        </w:rPr>
        <w:t xml:space="preserve">5.4. При наступлении случаев, указанных в </w:t>
      </w:r>
      <w:hyperlink w:history="0" w:anchor="P171" w:tooltip="5.3. Грант подлежит возврату в доход бюджета Мурманской области в следующих случаях:">
        <w:r>
          <w:rPr>
            <w:sz w:val="20"/>
            <w:color w:val="0000ff"/>
          </w:rPr>
          <w:t xml:space="preserve">пункте 5.3</w:t>
        </w:r>
      </w:hyperlink>
      <w:r>
        <w:rPr>
          <w:sz w:val="20"/>
        </w:rPr>
        <w:t xml:space="preserve"> настоящего Порядка, получатель гранта возвращает средства гранта в областной бюджет в следующем порядке:</w:t>
      </w:r>
    </w:p>
    <w:p>
      <w:pPr>
        <w:pStyle w:val="0"/>
        <w:spacing w:before="200" w:line-rule="auto"/>
        <w:ind w:firstLine="540"/>
        <w:jc w:val="both"/>
      </w:pPr>
      <w:r>
        <w:rPr>
          <w:sz w:val="20"/>
        </w:rPr>
        <w:t xml:space="preserve">5.4.1. Главный распорядитель в течение 10 рабочих дней со дня выявления нарушения направляет получателю гранта требование о возврате средств гранта с указанием суммы, подлежащей возврату, и реквизитов платежа, необходимых для возврата гранта в региональный бюджет. Сумма, подлежащая возврату, рассчитывается в соответствии с </w:t>
      </w:r>
      <w:hyperlink w:history="0" w:anchor="P183" w:tooltip="5.5. В случае установления в ходе проверок фактов нарушения условий предоставления гранта грант подлежит возврату в областной бюджет в полном объеме.">
        <w:r>
          <w:rPr>
            <w:sz w:val="20"/>
            <w:color w:val="0000ff"/>
          </w:rPr>
          <w:t xml:space="preserve">пунктами 5.5</w:t>
        </w:r>
      </w:hyperlink>
      <w:r>
        <w:rPr>
          <w:sz w:val="20"/>
        </w:rPr>
        <w:t xml:space="preserve"> - </w:t>
      </w:r>
      <w:hyperlink w:history="0" w:anchor="P194" w:tooltip="5.8. В случае нарушения сроков предоставления отчетности, указанных в пункте 4 настоящего Порядка,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указанным в пункте 4 настоящего Порядка.">
        <w:r>
          <w:rPr>
            <w:sz w:val="20"/>
            <w:color w:val="0000ff"/>
          </w:rPr>
          <w:t xml:space="preserve">5.8</w:t>
        </w:r>
      </w:hyperlink>
      <w:r>
        <w:rPr>
          <w:sz w:val="20"/>
        </w:rPr>
        <w:t xml:space="preserve"> настоящего Порядка.</w:t>
      </w:r>
    </w:p>
    <w:p>
      <w:pPr>
        <w:pStyle w:val="0"/>
        <w:spacing w:before="200" w:line-rule="auto"/>
        <w:ind w:firstLine="540"/>
        <w:jc w:val="both"/>
      </w:pPr>
      <w:r>
        <w:rPr>
          <w:sz w:val="20"/>
        </w:rPr>
        <w:t xml:space="preserve">5.4.2. Получатель гранта в течение десяти дней со дня получения требования обязан перечислить на лицевой счет Главного распорядителя указанную сумму.</w:t>
      </w:r>
    </w:p>
    <w:p>
      <w:pPr>
        <w:pStyle w:val="0"/>
        <w:spacing w:before="200" w:line-rule="auto"/>
        <w:ind w:firstLine="540"/>
        <w:jc w:val="both"/>
      </w:pPr>
      <w:r>
        <w:rPr>
          <w:sz w:val="20"/>
        </w:rPr>
        <w:t xml:space="preserve">В случаях направления требования Главным распорядителем по почте заказным письмом датой его получения считается шестой рабочий день со дня отправки заказного письма.</w:t>
      </w:r>
    </w:p>
    <w:p>
      <w:pPr>
        <w:pStyle w:val="0"/>
        <w:spacing w:before="200" w:line-rule="auto"/>
        <w:ind w:firstLine="540"/>
        <w:jc w:val="both"/>
      </w:pPr>
      <w:r>
        <w:rPr>
          <w:sz w:val="20"/>
        </w:rPr>
        <w:t xml:space="preserve">В случае направления требования Главным распорядителем по факсу и (или) электронной почте, указанным в заявлении на участие в конкурсе, датой его получения считается рабочий день, следующий за днем направления требования.</w:t>
      </w:r>
    </w:p>
    <w:p>
      <w:pPr>
        <w:pStyle w:val="0"/>
        <w:spacing w:before="200" w:line-rule="auto"/>
        <w:ind w:firstLine="540"/>
        <w:jc w:val="both"/>
      </w:pPr>
      <w:r>
        <w:rPr>
          <w:sz w:val="20"/>
        </w:rPr>
        <w:t xml:space="preserve">Требование считается доставленным и в тех случаях, если оно поступило получателю гранта, но по обстоятельствам, зависящим от него, не было ему вручено, или получатель гранта не ознакомился с ним.</w:t>
      </w:r>
    </w:p>
    <w:p>
      <w:pPr>
        <w:pStyle w:val="0"/>
        <w:spacing w:before="200" w:line-rule="auto"/>
        <w:ind w:firstLine="540"/>
        <w:jc w:val="both"/>
      </w:pPr>
      <w:r>
        <w:rPr>
          <w:sz w:val="20"/>
        </w:rPr>
        <w:t xml:space="preserve">5.4.3. В случае неисполнения требования Главного распорядителя грант подлежит взысканию в бюджет Мурманской области в соответствии с законодательством Российской Федерации.</w:t>
      </w:r>
    </w:p>
    <w:bookmarkStart w:id="183" w:name="P183"/>
    <w:bookmarkEnd w:id="183"/>
    <w:p>
      <w:pPr>
        <w:pStyle w:val="0"/>
        <w:spacing w:before="200" w:line-rule="auto"/>
        <w:ind w:firstLine="540"/>
        <w:jc w:val="both"/>
      </w:pPr>
      <w:r>
        <w:rPr>
          <w:sz w:val="20"/>
        </w:rPr>
        <w:t xml:space="preserve">5.5. В случае установления в ходе проверок фактов нарушения условий предоставления гранта грант подлежит возврату в областной бюджет в полном объеме.</w:t>
      </w:r>
    </w:p>
    <w:p>
      <w:pPr>
        <w:pStyle w:val="0"/>
        <w:spacing w:before="200" w:line-rule="auto"/>
        <w:ind w:firstLine="540"/>
        <w:jc w:val="both"/>
      </w:pPr>
      <w:r>
        <w:rPr>
          <w:sz w:val="20"/>
        </w:rPr>
        <w:t xml:space="preserve">5.6. В случае выявления фактов нецелевого использования гранта он подлежит возврату в бюджет Мурманской области в объеме, равном сумме нецелевого использования.</w:t>
      </w:r>
    </w:p>
    <w:p>
      <w:pPr>
        <w:pStyle w:val="0"/>
        <w:spacing w:before="200" w:line-rule="auto"/>
        <w:ind w:firstLine="540"/>
        <w:jc w:val="both"/>
      </w:pPr>
      <w:r>
        <w:rPr>
          <w:sz w:val="20"/>
        </w:rPr>
        <w:t xml:space="preserve">5.7. В случае недостижения значений показателей, определенных соглашением, объем средств, подлежащих возврату в областной бюджет, рассчитывается по формуле:</w:t>
      </w:r>
    </w:p>
    <w:p>
      <w:pPr>
        <w:pStyle w:val="0"/>
        <w:jc w:val="both"/>
      </w:pPr>
      <w:r>
        <w:rPr>
          <w:sz w:val="20"/>
        </w:rPr>
      </w:r>
    </w:p>
    <w:p>
      <w:pPr>
        <w:pStyle w:val="0"/>
        <w:jc w:val="center"/>
      </w:pPr>
      <w:r>
        <w:rPr>
          <w:sz w:val="20"/>
        </w:rPr>
        <w:t xml:space="preserve">Vвзр = (1 - Фзн / Пзн) x VC x 0,01,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Vвзр - объем средств, подлежащий возврату в областной бюджет;</w:t>
      </w:r>
    </w:p>
    <w:p>
      <w:pPr>
        <w:pStyle w:val="0"/>
        <w:spacing w:before="200" w:line-rule="auto"/>
        <w:ind w:firstLine="540"/>
        <w:jc w:val="both"/>
      </w:pPr>
      <w:r>
        <w:rPr>
          <w:sz w:val="20"/>
        </w:rPr>
        <w:t xml:space="preserve">Фзн - фактическое (достигнутое) значение показателя результата предоставления гранта в отчетном году;</w:t>
      </w:r>
    </w:p>
    <w:p>
      <w:pPr>
        <w:pStyle w:val="0"/>
        <w:spacing w:before="200" w:line-rule="auto"/>
        <w:ind w:firstLine="540"/>
        <w:jc w:val="both"/>
      </w:pPr>
      <w:r>
        <w:rPr>
          <w:sz w:val="20"/>
        </w:rPr>
        <w:t xml:space="preserve">Пзн - плановое значение показателя результата предоставления гранта;</w:t>
      </w:r>
    </w:p>
    <w:p>
      <w:pPr>
        <w:pStyle w:val="0"/>
        <w:spacing w:before="200" w:line-rule="auto"/>
        <w:ind w:firstLine="540"/>
        <w:jc w:val="both"/>
      </w:pPr>
      <w:r>
        <w:rPr>
          <w:sz w:val="20"/>
        </w:rPr>
        <w:t xml:space="preserve">VC - объем гранта, перечисленный Получателю гранта в отчетном году.</w:t>
      </w:r>
    </w:p>
    <w:bookmarkStart w:id="194" w:name="P194"/>
    <w:bookmarkEnd w:id="194"/>
    <w:p>
      <w:pPr>
        <w:pStyle w:val="0"/>
        <w:spacing w:before="200" w:line-rule="auto"/>
        <w:ind w:firstLine="540"/>
        <w:jc w:val="both"/>
      </w:pPr>
      <w:r>
        <w:rPr>
          <w:sz w:val="20"/>
        </w:rPr>
        <w:t xml:space="preserve">5.8. В случае нарушения сроков предоставления отчетности, указанных в </w:t>
      </w:r>
      <w:hyperlink w:history="0" w:anchor="P156" w:tooltip="4. Требования к отчетности">
        <w:r>
          <w:rPr>
            <w:sz w:val="20"/>
            <w:color w:val="0000ff"/>
          </w:rPr>
          <w:t xml:space="preserve">пункте 4</w:t>
        </w:r>
      </w:hyperlink>
      <w:r>
        <w:rPr>
          <w:sz w:val="20"/>
        </w:rPr>
        <w:t xml:space="preserve"> настоящего Порядка,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указанным в </w:t>
      </w:r>
      <w:hyperlink w:history="0" w:anchor="P156" w:tooltip="4. Требования к отчетност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5.9.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Минфином РФ, осуществляется Главным распорядителем.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both"/>
      </w:pPr>
      <w:r>
        <w:rPr>
          <w:sz w:val="20"/>
        </w:rPr>
      </w:r>
    </w:p>
    <w:bookmarkStart w:id="204" w:name="P204"/>
    <w:bookmarkEnd w:id="204"/>
    <w:p>
      <w:pPr>
        <w:pStyle w:val="0"/>
        <w:jc w:val="center"/>
      </w:pPr>
      <w:r>
        <w:rPr>
          <w:sz w:val="20"/>
        </w:rPr>
        <w:t xml:space="preserve">СПРАВКА</w:t>
      </w:r>
    </w:p>
    <w:p>
      <w:pPr>
        <w:pStyle w:val="0"/>
        <w:jc w:val="center"/>
      </w:pPr>
      <w:r>
        <w:rPr>
          <w:sz w:val="20"/>
        </w:rPr>
        <w:t xml:space="preserve">О ПРОСРОЧЕННОЙ ЗАДОЛЖЕННОСТИ ПО ВОЗВРАТУ В ОБЛАСТНОЙ БЮДЖЕТ</w:t>
      </w:r>
    </w:p>
    <w:p>
      <w:pPr>
        <w:pStyle w:val="0"/>
        <w:jc w:val="center"/>
      </w:pPr>
      <w:r>
        <w:rPr>
          <w:sz w:val="20"/>
        </w:rPr>
        <w:t xml:space="preserve">СУБСИДИЙ, БЮДЖЕТНЫХ ИНВЕСТИЦИЙ, А ТАКЖЕ ИНОЙ ПРОСРОЧЕННОЙ</w:t>
      </w:r>
    </w:p>
    <w:p>
      <w:pPr>
        <w:pStyle w:val="0"/>
        <w:jc w:val="center"/>
      </w:pPr>
      <w:r>
        <w:rPr>
          <w:sz w:val="20"/>
        </w:rPr>
        <w:t xml:space="preserve">(НЕУРЕГУЛИРОВАННОЙ) ЗАДОЛЖЕННОСТИ ПО ДЕНЕЖНЫМ ОБЯЗАТЕЛЬСТВАМ</w:t>
      </w:r>
    </w:p>
    <w:p>
      <w:pPr>
        <w:pStyle w:val="0"/>
        <w:jc w:val="center"/>
      </w:pPr>
      <w:r>
        <w:rPr>
          <w:sz w:val="20"/>
        </w:rPr>
        <w:t xml:space="preserve">ПЕРЕД МУРМАНСКОЙ ОБЛАСТЬЮ НА "___" ____________ 20___ Г.</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both"/>
            </w:pPr>
            <w:r>
              <w:rPr>
                <w:sz w:val="20"/>
              </w:rPr>
              <w:t xml:space="preserve">Наименование участника конкурсного отбора _________________________________</w:t>
            </w:r>
          </w:p>
        </w:tc>
      </w:tr>
      <w:tr>
        <w:tc>
          <w:tcPr>
            <w:tcW w:w="9014" w:type="dxa"/>
            <w:tcBorders>
              <w:top w:val="nil"/>
              <w:left w:val="nil"/>
              <w:bottom w:val="nil"/>
              <w:right w:val="nil"/>
            </w:tcBorders>
          </w:tcPr>
          <w:p>
            <w:pPr>
              <w:pStyle w:val="0"/>
              <w:jc w:val="both"/>
            </w:pPr>
            <w:r>
              <w:rPr>
                <w:sz w:val="20"/>
              </w:rPr>
              <w:t xml:space="preserve">Кому: ___________________________________________________________________</w:t>
            </w:r>
          </w:p>
        </w:tc>
      </w:tr>
      <w:tr>
        <w:tc>
          <w:tcPr>
            <w:tcW w:w="9014" w:type="dxa"/>
            <w:tcBorders>
              <w:top w:val="nil"/>
              <w:left w:val="nil"/>
              <w:bottom w:val="nil"/>
              <w:right w:val="nil"/>
            </w:tcBorders>
          </w:tcPr>
          <w:p>
            <w:pPr>
              <w:pStyle w:val="0"/>
              <w:jc w:val="center"/>
            </w:pPr>
            <w:r>
              <w:rPr>
                <w:sz w:val="20"/>
              </w:rPr>
              <w:t xml:space="preserve">(Наименование Главного распорядителя средств областного бюджета)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624"/>
        <w:gridCol w:w="725"/>
        <w:gridCol w:w="859"/>
        <w:gridCol w:w="1795"/>
        <w:gridCol w:w="658"/>
        <w:gridCol w:w="821"/>
        <w:gridCol w:w="1094"/>
        <w:gridCol w:w="749"/>
        <w:gridCol w:w="1644"/>
        <w:gridCol w:w="680"/>
        <w:gridCol w:w="869"/>
        <w:gridCol w:w="1181"/>
        <w:gridCol w:w="737"/>
        <w:gridCol w:w="1644"/>
      </w:tblGrid>
      <w:tr>
        <w:tc>
          <w:tcPr>
            <w:tcW w:w="1984" w:type="dxa"/>
            <w:vMerge w:val="restart"/>
          </w:tcPr>
          <w:p>
            <w:pPr>
              <w:pStyle w:val="0"/>
              <w:jc w:val="center"/>
            </w:pPr>
            <w:r>
              <w:rPr>
                <w:sz w:val="20"/>
              </w:rPr>
              <w:t xml:space="preserve">Наименование средств, предоставленных из областного бюджета</w:t>
            </w:r>
          </w:p>
        </w:tc>
        <w:tc>
          <w:tcPr>
            <w:gridSpan w:val="4"/>
            <w:tcW w:w="4003" w:type="dxa"/>
          </w:tcPr>
          <w:p>
            <w:pPr>
              <w:pStyle w:val="0"/>
              <w:jc w:val="center"/>
            </w:pPr>
            <w:r>
              <w:rPr>
                <w:sz w:val="20"/>
              </w:rPr>
              <w:t xml:space="preserve">Нормативный правовой акт Мурманской области, в соответствии с которым Получателю субсидии предоставлены средства из областного бюджета</w:t>
            </w:r>
          </w:p>
        </w:tc>
        <w:tc>
          <w:tcPr>
            <w:gridSpan w:val="5"/>
            <w:tcW w:w="4966" w:type="dxa"/>
          </w:tcPr>
          <w:p>
            <w:pPr>
              <w:pStyle w:val="0"/>
              <w:jc w:val="center"/>
            </w:pPr>
            <w:r>
              <w:rPr>
                <w:sz w:val="20"/>
              </w:rPr>
              <w:t xml:space="preserve">Соглашение (договор), заключенный между главным распорядителем средств областного бюджета и Получателем субсидии на предоставление из областного бюджета средств</w:t>
            </w:r>
          </w:p>
        </w:tc>
        <w:tc>
          <w:tcPr>
            <w:gridSpan w:val="5"/>
            <w:tcW w:w="5111" w:type="dxa"/>
          </w:tcPr>
          <w:p>
            <w:pPr>
              <w:pStyle w:val="0"/>
              <w:jc w:val="center"/>
            </w:pPr>
            <w:r>
              <w:rPr>
                <w:sz w:val="20"/>
              </w:rPr>
              <w:t xml:space="preserve">Договоры (контракты), заключенные Получателем субсидии в целях исполнения обязательств в рамках соглашения (договора)</w:t>
            </w:r>
          </w:p>
        </w:tc>
      </w:tr>
      <w:tr>
        <w:tc>
          <w:tcPr>
            <w:vMerge w:val="continue"/>
          </w:tcPr>
          <w:p/>
        </w:tc>
        <w:tc>
          <w:tcPr>
            <w:tcW w:w="624" w:type="dxa"/>
          </w:tcPr>
          <w:p>
            <w:pPr>
              <w:pStyle w:val="0"/>
              <w:jc w:val="center"/>
            </w:pPr>
            <w:r>
              <w:rPr>
                <w:sz w:val="20"/>
              </w:rPr>
              <w:t xml:space="preserve">вид</w:t>
            </w:r>
          </w:p>
        </w:tc>
        <w:tc>
          <w:tcPr>
            <w:tcW w:w="725" w:type="dxa"/>
          </w:tcPr>
          <w:p>
            <w:pPr>
              <w:pStyle w:val="0"/>
              <w:jc w:val="center"/>
            </w:pPr>
            <w:r>
              <w:rPr>
                <w:sz w:val="20"/>
              </w:rPr>
              <w:t xml:space="preserve">дата</w:t>
            </w:r>
          </w:p>
        </w:tc>
        <w:tc>
          <w:tcPr>
            <w:tcW w:w="859" w:type="dxa"/>
          </w:tcPr>
          <w:p>
            <w:pPr>
              <w:pStyle w:val="0"/>
              <w:jc w:val="center"/>
            </w:pPr>
            <w:r>
              <w:rPr>
                <w:sz w:val="20"/>
              </w:rPr>
              <w:t xml:space="preserve">номер</w:t>
            </w:r>
          </w:p>
        </w:tc>
        <w:tc>
          <w:tcPr>
            <w:tcW w:w="1795" w:type="dxa"/>
          </w:tcPr>
          <w:p>
            <w:pPr>
              <w:pStyle w:val="0"/>
              <w:jc w:val="center"/>
            </w:pPr>
            <w:r>
              <w:rPr>
                <w:sz w:val="20"/>
              </w:rPr>
              <w:t xml:space="preserve">цели предоставления</w:t>
            </w:r>
          </w:p>
        </w:tc>
        <w:tc>
          <w:tcPr>
            <w:tcW w:w="658" w:type="dxa"/>
          </w:tcPr>
          <w:p>
            <w:pPr>
              <w:pStyle w:val="0"/>
              <w:jc w:val="center"/>
            </w:pPr>
            <w:r>
              <w:rPr>
                <w:sz w:val="20"/>
              </w:rPr>
              <w:t xml:space="preserve">дата</w:t>
            </w:r>
          </w:p>
        </w:tc>
        <w:tc>
          <w:tcPr>
            <w:tcW w:w="821" w:type="dxa"/>
          </w:tcPr>
          <w:p>
            <w:pPr>
              <w:pStyle w:val="0"/>
              <w:jc w:val="center"/>
            </w:pPr>
            <w:r>
              <w:rPr>
                <w:sz w:val="20"/>
              </w:rPr>
              <w:t xml:space="preserve">номер</w:t>
            </w:r>
          </w:p>
        </w:tc>
        <w:tc>
          <w:tcPr>
            <w:tcW w:w="1094" w:type="dxa"/>
          </w:tcPr>
          <w:p>
            <w:pPr>
              <w:pStyle w:val="0"/>
              <w:jc w:val="center"/>
            </w:pPr>
            <w:r>
              <w:rPr>
                <w:sz w:val="20"/>
              </w:rPr>
              <w:t xml:space="preserve">сумма, тыс. руб.</w:t>
            </w:r>
          </w:p>
        </w:tc>
        <w:tc>
          <w:tcPr>
            <w:gridSpan w:val="2"/>
            <w:tcW w:w="2393" w:type="dxa"/>
          </w:tcPr>
          <w:p>
            <w:pPr>
              <w:pStyle w:val="0"/>
              <w:jc w:val="center"/>
            </w:pPr>
            <w:r>
              <w:rPr>
                <w:sz w:val="20"/>
              </w:rPr>
              <w:t xml:space="preserve">из них имеется задолженность</w:t>
            </w:r>
          </w:p>
        </w:tc>
        <w:tc>
          <w:tcPr>
            <w:tcW w:w="680" w:type="dxa"/>
          </w:tcPr>
          <w:p>
            <w:pPr>
              <w:pStyle w:val="0"/>
              <w:jc w:val="center"/>
            </w:pPr>
            <w:r>
              <w:rPr>
                <w:sz w:val="20"/>
              </w:rPr>
              <w:t xml:space="preserve">дата</w:t>
            </w:r>
          </w:p>
        </w:tc>
        <w:tc>
          <w:tcPr>
            <w:tcW w:w="869" w:type="dxa"/>
          </w:tcPr>
          <w:p>
            <w:pPr>
              <w:pStyle w:val="0"/>
              <w:jc w:val="center"/>
            </w:pPr>
            <w:r>
              <w:rPr>
                <w:sz w:val="20"/>
              </w:rPr>
              <w:t xml:space="preserve">номер</w:t>
            </w:r>
          </w:p>
        </w:tc>
        <w:tc>
          <w:tcPr>
            <w:tcW w:w="1181" w:type="dxa"/>
          </w:tcPr>
          <w:p>
            <w:pPr>
              <w:pStyle w:val="0"/>
              <w:jc w:val="center"/>
            </w:pPr>
            <w:r>
              <w:rPr>
                <w:sz w:val="20"/>
              </w:rPr>
              <w:t xml:space="preserve">сумма, тыс. руб.</w:t>
            </w:r>
          </w:p>
        </w:tc>
        <w:tc>
          <w:tcPr>
            <w:gridSpan w:val="2"/>
            <w:tcW w:w="2381" w:type="dxa"/>
          </w:tcPr>
          <w:p>
            <w:pPr>
              <w:pStyle w:val="0"/>
              <w:jc w:val="center"/>
            </w:pPr>
            <w:r>
              <w:rPr>
                <w:sz w:val="20"/>
              </w:rPr>
              <w:t xml:space="preserve">из них имеется задолженность</w:t>
            </w:r>
          </w:p>
        </w:tc>
      </w:tr>
      <w:tr>
        <w:tc>
          <w:tcPr>
            <w:tcW w:w="1984" w:type="dxa"/>
          </w:tcPr>
          <w:p>
            <w:pPr>
              <w:pStyle w:val="0"/>
            </w:pPr>
            <w:r>
              <w:rPr>
                <w:sz w:val="20"/>
              </w:rPr>
            </w:r>
          </w:p>
        </w:tc>
        <w:tc>
          <w:tcPr>
            <w:tcW w:w="624" w:type="dxa"/>
          </w:tcPr>
          <w:p>
            <w:pPr>
              <w:pStyle w:val="0"/>
            </w:pPr>
            <w:r>
              <w:rPr>
                <w:sz w:val="20"/>
              </w:rPr>
            </w:r>
          </w:p>
        </w:tc>
        <w:tc>
          <w:tcPr>
            <w:tcW w:w="725" w:type="dxa"/>
          </w:tcPr>
          <w:p>
            <w:pPr>
              <w:pStyle w:val="0"/>
            </w:pPr>
            <w:r>
              <w:rPr>
                <w:sz w:val="20"/>
              </w:rPr>
            </w:r>
          </w:p>
        </w:tc>
        <w:tc>
          <w:tcPr>
            <w:tcW w:w="859" w:type="dxa"/>
          </w:tcPr>
          <w:p>
            <w:pPr>
              <w:pStyle w:val="0"/>
            </w:pPr>
            <w:r>
              <w:rPr>
                <w:sz w:val="20"/>
              </w:rPr>
            </w:r>
          </w:p>
        </w:tc>
        <w:tc>
          <w:tcPr>
            <w:tcW w:w="1795" w:type="dxa"/>
          </w:tcPr>
          <w:p>
            <w:pPr>
              <w:pStyle w:val="0"/>
            </w:pPr>
            <w:r>
              <w:rPr>
                <w:sz w:val="20"/>
              </w:rPr>
            </w:r>
          </w:p>
        </w:tc>
        <w:tc>
          <w:tcPr>
            <w:tcW w:w="658" w:type="dxa"/>
          </w:tcPr>
          <w:p>
            <w:pPr>
              <w:pStyle w:val="0"/>
            </w:pPr>
            <w:r>
              <w:rPr>
                <w:sz w:val="20"/>
              </w:rPr>
            </w:r>
          </w:p>
        </w:tc>
        <w:tc>
          <w:tcPr>
            <w:tcW w:w="821" w:type="dxa"/>
          </w:tcPr>
          <w:p>
            <w:pPr>
              <w:pStyle w:val="0"/>
            </w:pPr>
            <w:r>
              <w:rPr>
                <w:sz w:val="20"/>
              </w:rPr>
            </w:r>
          </w:p>
        </w:tc>
        <w:tc>
          <w:tcPr>
            <w:tcW w:w="1094" w:type="dxa"/>
          </w:tcPr>
          <w:p>
            <w:pPr>
              <w:pStyle w:val="0"/>
            </w:pPr>
            <w:r>
              <w:rPr>
                <w:sz w:val="20"/>
              </w:rPr>
            </w:r>
          </w:p>
        </w:tc>
        <w:tc>
          <w:tcPr>
            <w:tcW w:w="749" w:type="dxa"/>
          </w:tcPr>
          <w:p>
            <w:pPr>
              <w:pStyle w:val="0"/>
              <w:jc w:val="center"/>
            </w:pPr>
            <w:r>
              <w:rPr>
                <w:sz w:val="20"/>
              </w:rPr>
              <w:t xml:space="preserve">всего</w:t>
            </w:r>
          </w:p>
        </w:tc>
        <w:tc>
          <w:tcPr>
            <w:tcW w:w="1644" w:type="dxa"/>
          </w:tcPr>
          <w:p>
            <w:pPr>
              <w:pStyle w:val="0"/>
              <w:jc w:val="center"/>
            </w:pPr>
            <w:r>
              <w:rPr>
                <w:sz w:val="20"/>
              </w:rPr>
              <w:t xml:space="preserve">в том числе просроченная</w:t>
            </w:r>
          </w:p>
        </w:tc>
        <w:tc>
          <w:tcPr>
            <w:tcW w:w="680" w:type="dxa"/>
          </w:tcPr>
          <w:p>
            <w:pPr>
              <w:pStyle w:val="0"/>
            </w:pPr>
            <w:r>
              <w:rPr>
                <w:sz w:val="20"/>
              </w:rPr>
            </w:r>
          </w:p>
        </w:tc>
        <w:tc>
          <w:tcPr>
            <w:tcW w:w="869" w:type="dxa"/>
          </w:tcPr>
          <w:p>
            <w:pPr>
              <w:pStyle w:val="0"/>
            </w:pPr>
            <w:r>
              <w:rPr>
                <w:sz w:val="20"/>
              </w:rPr>
            </w:r>
          </w:p>
        </w:tc>
        <w:tc>
          <w:tcPr>
            <w:tcW w:w="1181" w:type="dxa"/>
          </w:tcPr>
          <w:p>
            <w:pPr>
              <w:pStyle w:val="0"/>
            </w:pPr>
            <w:r>
              <w:rPr>
                <w:sz w:val="20"/>
              </w:rPr>
            </w:r>
          </w:p>
        </w:tc>
        <w:tc>
          <w:tcPr>
            <w:tcW w:w="737" w:type="dxa"/>
          </w:tcPr>
          <w:p>
            <w:pPr>
              <w:pStyle w:val="0"/>
              <w:jc w:val="center"/>
            </w:pPr>
            <w:r>
              <w:rPr>
                <w:sz w:val="20"/>
              </w:rPr>
              <w:t xml:space="preserve">всего</w:t>
            </w:r>
          </w:p>
        </w:tc>
        <w:tc>
          <w:tcPr>
            <w:tcW w:w="1644" w:type="dxa"/>
          </w:tcPr>
          <w:p>
            <w:pPr>
              <w:pStyle w:val="0"/>
              <w:jc w:val="center"/>
            </w:pPr>
            <w:r>
              <w:rPr>
                <w:sz w:val="20"/>
              </w:rPr>
              <w:t xml:space="preserve">в том числе просроченная</w:t>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799"/>
        <w:gridCol w:w="945"/>
        <w:gridCol w:w="1644"/>
        <w:gridCol w:w="420"/>
        <w:gridCol w:w="1395"/>
        <w:gridCol w:w="435"/>
        <w:gridCol w:w="630"/>
        <w:gridCol w:w="450"/>
        <w:gridCol w:w="1304"/>
      </w:tblGrid>
      <w:tr>
        <w:tblPrEx>
          <w:tblBorders>
            <w:insideH w:val="single" w:sz="4"/>
          </w:tblBorders>
        </w:tblPrEx>
        <w:tc>
          <w:tcPr>
            <w:gridSpan w:val="2"/>
            <w:tcW w:w="2744" w:type="dxa"/>
            <w:tcBorders>
              <w:top w:val="nil"/>
              <w:left w:val="nil"/>
              <w:bottom w:val="nil"/>
              <w:right w:val="nil"/>
            </w:tcBorders>
            <w:vMerge w:val="restart"/>
          </w:tcPr>
          <w:p>
            <w:pPr>
              <w:pStyle w:val="0"/>
              <w:jc w:val="both"/>
            </w:pPr>
            <w:r>
              <w:rPr>
                <w:sz w:val="20"/>
              </w:rPr>
              <w:t xml:space="preserve">Руководитель</w:t>
            </w:r>
          </w:p>
          <w:p>
            <w:pPr>
              <w:pStyle w:val="0"/>
              <w:jc w:val="both"/>
            </w:pPr>
            <w:r>
              <w:rPr>
                <w:sz w:val="20"/>
              </w:rPr>
              <w:t xml:space="preserve">(уполномоченное лицо)</w:t>
            </w:r>
          </w:p>
        </w:tc>
        <w:tc>
          <w:tcPr>
            <w:tcW w:w="1644"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pPr>
            <w:r>
              <w:rPr>
                <w:sz w:val="20"/>
              </w:rPr>
            </w:r>
          </w:p>
        </w:tc>
        <w:tc>
          <w:tcPr>
            <w:tcW w:w="1395" w:type="dxa"/>
            <w:tcBorders>
              <w:top w:val="nil"/>
              <w:left w:val="nil"/>
              <w:bottom w:val="single" w:sz="4"/>
              <w:right w:val="nil"/>
            </w:tcBorders>
          </w:tcPr>
          <w:p>
            <w:pPr>
              <w:pStyle w:val="0"/>
            </w:pPr>
            <w:r>
              <w:rPr>
                <w:sz w:val="20"/>
              </w:rPr>
            </w:r>
          </w:p>
        </w:tc>
        <w:tc>
          <w:tcPr>
            <w:tcW w:w="435" w:type="dxa"/>
            <w:tcBorders>
              <w:top w:val="nil"/>
              <w:left w:val="nil"/>
              <w:bottom w:val="nil"/>
              <w:right w:val="nil"/>
            </w:tcBorders>
          </w:tcPr>
          <w:p>
            <w:pPr>
              <w:pStyle w:val="0"/>
            </w:pPr>
            <w:r>
              <w:rPr>
                <w:sz w:val="20"/>
              </w:rPr>
            </w:r>
          </w:p>
        </w:tc>
        <w:tc>
          <w:tcPr>
            <w:gridSpan w:val="3"/>
            <w:tcW w:w="2384"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1644" w:type="dxa"/>
            <w:tcBorders>
              <w:top w:val="single" w:sz="4"/>
              <w:left w:val="nil"/>
              <w:bottom w:val="nil"/>
              <w:right w:val="nil"/>
            </w:tcBorders>
          </w:tcPr>
          <w:p>
            <w:pPr>
              <w:pStyle w:val="0"/>
              <w:jc w:val="center"/>
            </w:pPr>
            <w:r>
              <w:rPr>
                <w:sz w:val="20"/>
              </w:rPr>
              <w:t xml:space="preserve">(должность)</w:t>
            </w:r>
          </w:p>
        </w:tc>
        <w:tc>
          <w:tcPr>
            <w:tcW w:w="420" w:type="dxa"/>
            <w:tcBorders>
              <w:top w:val="nil"/>
              <w:left w:val="nil"/>
              <w:bottom w:val="nil"/>
              <w:right w:val="nil"/>
            </w:tcBorders>
          </w:tcPr>
          <w:p>
            <w:pPr>
              <w:pStyle w:val="0"/>
            </w:pPr>
            <w:r>
              <w:rPr>
                <w:sz w:val="20"/>
              </w:rPr>
            </w:r>
          </w:p>
        </w:tc>
        <w:tc>
          <w:tcPr>
            <w:tcW w:w="1395" w:type="dxa"/>
            <w:tcBorders>
              <w:top w:val="single" w:sz="4"/>
              <w:left w:val="nil"/>
              <w:bottom w:val="nil"/>
              <w:right w:val="nil"/>
            </w:tcBorders>
          </w:tcPr>
          <w:p>
            <w:pPr>
              <w:pStyle w:val="0"/>
              <w:jc w:val="center"/>
            </w:pPr>
            <w:r>
              <w:rPr>
                <w:sz w:val="20"/>
              </w:rPr>
              <w:t xml:space="preserve">(подпись)</w:t>
            </w:r>
          </w:p>
        </w:tc>
        <w:tc>
          <w:tcPr>
            <w:tcW w:w="435" w:type="dxa"/>
            <w:tcBorders>
              <w:top w:val="nil"/>
              <w:left w:val="nil"/>
              <w:bottom w:val="nil"/>
              <w:right w:val="nil"/>
            </w:tcBorders>
          </w:tcPr>
          <w:p>
            <w:pPr>
              <w:pStyle w:val="0"/>
            </w:pPr>
            <w:r>
              <w:rPr>
                <w:sz w:val="20"/>
              </w:rPr>
            </w:r>
          </w:p>
        </w:tc>
        <w:tc>
          <w:tcPr>
            <w:gridSpan w:val="3"/>
            <w:tcW w:w="2384" w:type="dxa"/>
            <w:tcBorders>
              <w:top w:val="single" w:sz="4"/>
              <w:left w:val="nil"/>
              <w:bottom w:val="nil"/>
              <w:right w:val="nil"/>
            </w:tcBorders>
          </w:tcPr>
          <w:p>
            <w:pPr>
              <w:pStyle w:val="0"/>
              <w:jc w:val="center"/>
            </w:pPr>
            <w:r>
              <w:rPr>
                <w:sz w:val="20"/>
              </w:rPr>
              <w:t xml:space="preserve">(расшифровка подписи)</w:t>
            </w:r>
          </w:p>
        </w:tc>
      </w:tr>
      <w:tr>
        <w:tc>
          <w:tcPr>
            <w:tcW w:w="1799" w:type="dxa"/>
            <w:tcBorders>
              <w:top w:val="nil"/>
              <w:left w:val="nil"/>
              <w:bottom w:val="nil"/>
              <w:right w:val="nil"/>
            </w:tcBorders>
          </w:tcPr>
          <w:p>
            <w:pPr>
              <w:pStyle w:val="0"/>
              <w:jc w:val="both"/>
            </w:pPr>
            <w:r>
              <w:rPr>
                <w:sz w:val="20"/>
              </w:rPr>
              <w:t xml:space="preserve">Исполнитель</w:t>
            </w:r>
          </w:p>
        </w:tc>
        <w:tc>
          <w:tcPr>
            <w:gridSpan w:val="2"/>
            <w:tcW w:w="2589" w:type="dxa"/>
            <w:tcBorders>
              <w:top w:val="nil"/>
              <w:left w:val="nil"/>
              <w:bottom w:val="single" w:sz="4"/>
              <w:right w:val="nil"/>
            </w:tcBorders>
          </w:tcPr>
          <w:p>
            <w:pPr>
              <w:pStyle w:val="0"/>
            </w:pPr>
            <w:r>
              <w:rPr>
                <w:sz w:val="20"/>
              </w:rPr>
            </w:r>
          </w:p>
        </w:tc>
        <w:tc>
          <w:tcPr>
            <w:tcW w:w="420" w:type="dxa"/>
            <w:tcBorders>
              <w:top w:val="nil"/>
              <w:left w:val="nil"/>
              <w:bottom w:val="nil"/>
              <w:right w:val="nil"/>
            </w:tcBorders>
          </w:tcPr>
          <w:p>
            <w:pPr>
              <w:pStyle w:val="0"/>
            </w:pPr>
            <w:r>
              <w:rPr>
                <w:sz w:val="20"/>
              </w:rPr>
            </w:r>
          </w:p>
        </w:tc>
        <w:tc>
          <w:tcPr>
            <w:gridSpan w:val="3"/>
            <w:tcW w:w="2460" w:type="dxa"/>
            <w:tcBorders>
              <w:top w:val="nil"/>
              <w:left w:val="nil"/>
              <w:bottom w:val="single" w:sz="4"/>
              <w:right w:val="nil"/>
            </w:tcBorders>
          </w:tcPr>
          <w:p>
            <w:pPr>
              <w:pStyle w:val="0"/>
            </w:pPr>
            <w:r>
              <w:rPr>
                <w:sz w:val="20"/>
              </w:rPr>
            </w:r>
          </w:p>
        </w:tc>
        <w:tc>
          <w:tcPr>
            <w:tcW w:w="45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r>
      <w:tr>
        <w:tc>
          <w:tcPr>
            <w:tcW w:w="1799" w:type="dxa"/>
            <w:tcBorders>
              <w:top w:val="nil"/>
              <w:left w:val="nil"/>
              <w:bottom w:val="nil"/>
              <w:right w:val="nil"/>
            </w:tcBorders>
          </w:tcPr>
          <w:p>
            <w:pPr>
              <w:pStyle w:val="0"/>
            </w:pPr>
            <w:r>
              <w:rPr>
                <w:sz w:val="20"/>
              </w:rPr>
            </w:r>
          </w:p>
        </w:tc>
        <w:tc>
          <w:tcPr>
            <w:gridSpan w:val="2"/>
            <w:tcW w:w="2589" w:type="dxa"/>
            <w:tcBorders>
              <w:top w:val="single" w:sz="4"/>
              <w:left w:val="nil"/>
              <w:bottom w:val="nil"/>
              <w:right w:val="nil"/>
            </w:tcBorders>
          </w:tcPr>
          <w:p>
            <w:pPr>
              <w:pStyle w:val="0"/>
              <w:jc w:val="center"/>
            </w:pPr>
            <w:r>
              <w:rPr>
                <w:sz w:val="20"/>
              </w:rPr>
              <w:t xml:space="preserve">(должность)</w:t>
            </w:r>
          </w:p>
        </w:tc>
        <w:tc>
          <w:tcPr>
            <w:tcW w:w="420" w:type="dxa"/>
            <w:tcBorders>
              <w:top w:val="nil"/>
              <w:left w:val="nil"/>
              <w:bottom w:val="nil"/>
              <w:right w:val="nil"/>
            </w:tcBorders>
          </w:tcPr>
          <w:p>
            <w:pPr>
              <w:pStyle w:val="0"/>
            </w:pPr>
            <w:r>
              <w:rPr>
                <w:sz w:val="20"/>
              </w:rPr>
            </w:r>
          </w:p>
        </w:tc>
        <w:tc>
          <w:tcPr>
            <w:gridSpan w:val="3"/>
            <w:tcW w:w="2460" w:type="dxa"/>
            <w:tcBorders>
              <w:top w:val="single" w:sz="4"/>
              <w:left w:val="nil"/>
              <w:bottom w:val="nil"/>
              <w:right w:val="nil"/>
            </w:tcBorders>
          </w:tcPr>
          <w:p>
            <w:pPr>
              <w:pStyle w:val="0"/>
              <w:jc w:val="center"/>
            </w:pPr>
            <w:r>
              <w:rPr>
                <w:sz w:val="20"/>
              </w:rPr>
              <w:t xml:space="preserve">(фамилия, имя, отчество)</w:t>
            </w:r>
          </w:p>
        </w:tc>
        <w:tc>
          <w:tcPr>
            <w:tcW w:w="45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(телефон)</w:t>
            </w:r>
          </w:p>
        </w:tc>
      </w:tr>
      <w:tr>
        <w:tc>
          <w:tcPr>
            <w:gridSpan w:val="9"/>
            <w:tcW w:w="9022" w:type="dxa"/>
            <w:tcBorders>
              <w:top w:val="nil"/>
              <w:left w:val="nil"/>
              <w:bottom w:val="nil"/>
              <w:right w:val="nil"/>
            </w:tcBorders>
          </w:tcPr>
          <w:p>
            <w:pPr>
              <w:pStyle w:val="0"/>
              <w:jc w:val="both"/>
            </w:pPr>
            <w:r>
              <w:rPr>
                <w:sz w:val="20"/>
              </w:rPr>
              <w:t xml:space="preserve">"___" 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09.03.2023 N 183-ПП</w:t>
            <w:br/>
            <w:t>"О предоставлении грантов в форме субсидий из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09.03.2023 N 183-ПП</w:t>
            <w:br/>
            <w:t>"О предоставлении грантов в форме субсидий из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F9F6F4A0CFE1FB664358A1B629D24F56844B3BAFF87386705891813627436E9D40861E39FA1B514448E6A8BDBA97C1ED33189CFA3DANBDAK" TargetMode = "External"/>
	<Relationship Id="rId8" Type="http://schemas.openxmlformats.org/officeDocument/2006/relationships/hyperlink" Target="consultantplus://offline/ref=9F9F6F4A0CFE1FB664358A1B629D24F56844B4BBF486386705891813627436E9D40861E698A3E54E548A23DFD1B67B06CD3597CFNAD0K" TargetMode = "External"/>
	<Relationship Id="rId9" Type="http://schemas.openxmlformats.org/officeDocument/2006/relationships/hyperlink" Target="consultantplus://offline/ref=9F9F6F4A0CFE1FB664358A1B629D24F56844B3BAFF87386705891813627436E9D40861E39FA1B514448E6A8BDBA97C1ED33189CFA3DANBDAK" TargetMode = "External"/>
	<Relationship Id="rId10" Type="http://schemas.openxmlformats.org/officeDocument/2006/relationships/hyperlink" Target="consultantplus://offline/ref=9F9F6F4A0CFE1FB66435941674F17AF06B4CEFB5FD8530395EDB1E443D2430BC944867B3DBECBC1E10DF2EDEDFA32F5197629ACCA4C6B9A78723AE1ANDD7K" TargetMode = "External"/>
	<Relationship Id="rId11" Type="http://schemas.openxmlformats.org/officeDocument/2006/relationships/hyperlink" Target="consultantplus://offline/ref=9F9F6F4A0CFE1FB664358A1B629D24F56844B8BAFC86386705891813627436E9C60839EA99AFAF1F16C12CDED4NADBK" TargetMode = "External"/>
	<Relationship Id="rId12" Type="http://schemas.openxmlformats.org/officeDocument/2006/relationships/hyperlink" Target="consultantplus://offline/ref=9F9F6F4A0CFE1FB664358A1B629D24F56844B3BAFF87386705891813627436E9D40861E49FA8B514448E6A8BDBA97C1ED33189CFA3DANBDAK" TargetMode = "External"/>
	<Relationship Id="rId13" Type="http://schemas.openxmlformats.org/officeDocument/2006/relationships/hyperlink" Target="consultantplus://offline/ref=9F9F6F4A0CFE1FB664358A1B629D24F56844B3BAFF87386705891813627436E9D40861E49FAAB314448E6A8BDBA97C1ED33189CFA3DANBDAK" TargetMode = "External"/>
	<Relationship Id="rId14" Type="http://schemas.openxmlformats.org/officeDocument/2006/relationships/hyperlink" Target="consultantplus://offline/ref=9F9F6F4A0CFE1FB664358A1B629D24F56844B3BAFF87386705891813627436E9D40861E49FA8B514448E6A8BDBA97C1ED33189CFA3DANBDAK" TargetMode = "External"/>
	<Relationship Id="rId15" Type="http://schemas.openxmlformats.org/officeDocument/2006/relationships/hyperlink" Target="consultantplus://offline/ref=9F9F6F4A0CFE1FB664358A1B629D24F56844B3BAFF87386705891813627436E9D40861E49FAAB314448E6A8BDBA97C1ED33189CFA3DANBDAK" TargetMode = "External"/>
	<Relationship Id="rId16" Type="http://schemas.openxmlformats.org/officeDocument/2006/relationships/header" Target="header2.xml"/>
	<Relationship Id="rId1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09.03.2023 N 183-ПП
"О предоставлении грантов в форме субсидий из областного бюджета образовательным организациям на развитие студенческих спортивных клубов"
(вместе с "Порядком предоставления грантов в форме субсидий из областного бюджета образовательным организациям на развитие студенческих спортивных клубов")</dc:title>
  <dcterms:created xsi:type="dcterms:W3CDTF">2023-06-17T10:03:13Z</dcterms:created>
</cp:coreProperties>
</file>