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Приказ Минтрудсоцразвития Мурманской области от 29.03.2024 N 201</w:t>
              <w:br/>
              <w:t xml:space="preserve">"О проведении конкурса среди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</w:t>
              <w:br/>
              <w:t xml:space="preserve">(вместе с "Журналом учета заявок на участие в конкурсе среди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граждан", "Методическими рекомендациями по оформлению программ (проектов), предоставляемых на конкурс среди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граждан", "Оценочным листом члена конкурсной комиссии по оценке социально значимых программ (проектов), направленных на решение социальных проблем населения в сфере социальной защиты граждан", "Составом конкурсной комиссии по рассмотрению заявок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2024 г. N 201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СРЕДИ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МУРМАНСКОЙ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ПРОГРАММ (ПРОЕКТОВ)</w:t>
      </w:r>
    </w:p>
    <w:p>
      <w:pPr>
        <w:pStyle w:val="2"/>
        <w:jc w:val="center"/>
      </w:pPr>
      <w:r>
        <w:rPr>
          <w:sz w:val="20"/>
        </w:rPr>
        <w:t xml:space="preserve">В СФЕРАХ СОЦИАЛЬНОГО ОБСЛУЖИВАНИЯ И СОЦИАЛЬНОЙ ЗАЩИТЫ</w:t>
      </w:r>
    </w:p>
    <w:p>
      <w:pPr>
        <w:pStyle w:val="2"/>
        <w:jc w:val="center"/>
      </w:pPr>
      <w:r>
        <w:rPr>
          <w:sz w:val="20"/>
        </w:rPr>
        <w:t xml:space="preserve">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Закон Мурманской области от 05.03.2012 N 1450-01-ЗМО (ред. от 30.05.2022) &quot;О государственной поддержке социально ориентированных некоммерческих организаций в Мурманской области&quot; (принят Мурманской областной Думой 16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05.03.2012 N 1450-01-ЗМО "О государственной поддержке социально ориентированных некоммерческих организаций в Мурманской области", государственной </w:t>
      </w:r>
      <w:hyperlink w:history="0" r:id="rId8" w:tooltip="Постановление Правительства Мурманской области от 11.11.2020 N 788-ПП (ред. от 19.02.2024) &quot;Об утверждении государственной программы Мурманской области &quot;Социальная поддерж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поддержка", </w:t>
      </w:r>
      <w:hyperlink w:history="0" r:id="rId9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 (в редакции постановления Правительства Мурманской области от 21.03.2024 N 177-ПП)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проведения конкурса среди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 (далее - конкурс) с 08.04.2024 по 24.05.2024;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приема заявок от участников конкурса с 08.04.2024 по 07.05.2024;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проведения заседаний конкурсной комиссии по рассмотрению заявок с 13.05.2024 по 23.05.2024;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издания приказа Министерства труда и социального развития Мурманской области об итогах конкурса не позднее 24.05.2024.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социальной защиты, опеки и попечительства (Киперь Ж.М.) обеспечить организацию проведения конкурса в сроки, установленные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40" w:tooltip="ЖУРНАЛ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учета заявок на участие в конкурсе среди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Методические </w:t>
      </w:r>
      <w:hyperlink w:history="0" w:anchor="P71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оформлению программ (проектов), предоставляемых на конкурс среди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Оценочный </w:t>
      </w:r>
      <w:hyperlink w:history="0" w:anchor="P275" w:tooltip="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члена конкурсной комиссии по оценке социально значимых программ (проектов), направленных на решение социальных проблем населения в сфере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w:anchor="P37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рассмотрению заявок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Шипилова И.В.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С.Б.МЯКИШЕВ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2024 г. N 201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ЗАЯВОК НА УЧАСТИЕ В КОНКУРСЕ СРЕДИ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 МУРМАНСКОЙ</w:t>
      </w:r>
    </w:p>
    <w:p>
      <w:pPr>
        <w:pStyle w:val="0"/>
        <w:jc w:val="center"/>
      </w:pPr>
      <w:r>
        <w:rPr>
          <w:sz w:val="20"/>
        </w:rPr>
        <w:t xml:space="preserve">ОБЛАСТИ НА ПРАВО ПРЕДОСТАВЛЕНИЯ В 2024 ГОДУ СУБСИДИЙ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НА РЕАЛИЗАЦИЮ СОЦИАЛЬНО ЗНАЧИМЫХ</w:t>
      </w:r>
    </w:p>
    <w:p>
      <w:pPr>
        <w:pStyle w:val="0"/>
        <w:jc w:val="center"/>
      </w:pPr>
      <w:r>
        <w:rPr>
          <w:sz w:val="20"/>
        </w:rPr>
        <w:t xml:space="preserve">ПРОГРАММ (ПРОЕКТОВ) В СФЕРАХ СОЦИАЛЬНОГО ОБСЛУЖИВАНИЯ</w:t>
      </w:r>
    </w:p>
    <w:p>
      <w:pPr>
        <w:pStyle w:val="0"/>
        <w:jc w:val="center"/>
      </w:pPr>
      <w:r>
        <w:rPr>
          <w:sz w:val="20"/>
        </w:rPr>
        <w:t xml:space="preserve">И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2154"/>
        <w:gridCol w:w="5386"/>
      </w:tblGrid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заявки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заявки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подавшей заявку</w:t>
            </w:r>
          </w:p>
        </w:tc>
      </w:tr>
      <w:tr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2024 г. N 201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ОФОРМЛЕНИЮ ПРОГРАММ (ПРОЕКТОВ), ПРЕДОСТАВЛЯЕМЫХ</w:t>
      </w:r>
    </w:p>
    <w:p>
      <w:pPr>
        <w:pStyle w:val="2"/>
        <w:jc w:val="center"/>
      </w:pPr>
      <w:r>
        <w:rPr>
          <w:sz w:val="20"/>
        </w:rPr>
        <w:t xml:space="preserve">НА КОНКУРС СРЕДИ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МУРМАНСКОЙ ОБЛАСТИ НА ПРАВО ПРЕДОСТАВЛЕНИЯ</w:t>
      </w:r>
    </w:p>
    <w:p>
      <w:pPr>
        <w:pStyle w:val="2"/>
        <w:jc w:val="center"/>
      </w:pPr>
      <w:r>
        <w:rPr>
          <w:sz w:val="20"/>
        </w:rPr>
        <w:t xml:space="preserve">В 2024 ГОДУ СУБСИДИЙ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ПРОГРАММ (ПРОЕКТОВ) В СФЕРАХ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И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Заявка на участие в конкурсе (далее - конкурс) среди социально ориентированных некоммерческих организаций (далее - СО НКО) подается в соответствии с </w:t>
      </w:r>
      <w:hyperlink w:history="0" r:id="rId10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20.03.2017 N 141-ПП "Об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граждан" (далее - Порядок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Заявка на участие в конкурсе представляется в Министерство труда и социального развития Мурманской области (далее - Министерство) по адресу: г. Мурманск, ул. Полярные Зори, д. 46а, либо на электронный адрес: mintrudsoc@gov-murman.ru.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Заявка на участие в конкурсе представляется в соответствии с требованиями, установленными </w:t>
      </w:r>
      <w:hyperlink w:history="0" r:id="rId11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разделом 6</w:t>
        </w:r>
      </w:hyperlink>
      <w:r>
        <w:rPr>
          <w:sz w:val="20"/>
        </w:rPr>
        <w:t xml:space="preserve">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оформлению заявок на конкурс: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набирается на компьютере через одинарный межстрочный интервал с применением шрифта Times New Roman, размер шрифта - 12 или 14pt, равняется по ширине 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должна быть представлена в папке-скоросшивателе (в случае ее подачи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Титульный лист должен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СО НКО-заявителя (в соответствии с уставом);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программы (короткое);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приоритетного направления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Заявка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</w:t>
      </w:r>
      <w:hyperlink w:history="0" r:id="rId12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участии в конкурсе по форме, утвержденной приложением N 2 к Порядку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документы, установленные </w:t>
      </w:r>
      <w:hyperlink w:history="0" r:id="rId13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пунктом 6.1</w:t>
        </w:r>
      </w:hyperlink>
      <w:r>
        <w:rPr>
          <w:sz w:val="20"/>
        </w:rPr>
        <w:t xml:space="preserve">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r:id="rId14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и </w:t>
      </w:r>
      <w:hyperlink w:history="0" r:id="rId15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указанного пункта Порядка, запрашиваются Министерством в рамках межведомственного взаимодействия с территориальным органом Федеральной налоговой службы, в том числе в электронной форме с использованием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заявки на участие в конкурсе может быть включена только одна программа (проект), соответствующая видам программ (проектов), указанным в </w:t>
      </w:r>
      <w:hyperlink w:history="0" r:id="rId16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в соответствии с Федеральным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Программа (проект) должна включать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общая характеристика ситуации в соответствующей сфере на начало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(цели) и задачи программы (проекта) (последовательное перечисление целей, поставленных для решения выбранной проблемы, и задач, требующих решения для достижения поставленных целей);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география программы (проекта) - указываются наименования муниципальных образований Мурманской области, на территории которых предполагается реализация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целевая аудитория (например, люди пожилого возраста, инвалиды, семьи с детьми, дети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 целевой аудитории, которых планируется охватить реализацией социально значимой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описание основных мероприятий, этапы и сроки реализации программы (проекта) (календарный план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партнеры программы (проекта) - указываются партнеры программы (проекта), при участии которых планируется реализация программы (проекта), вид их поддержки (финансовая поддержка, имущественная поддержка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полная стоимость программы (проекта) - указывается общая сумма, запланированная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запрашиваемый объем финансирования программы (проекта) - указывается запрашиваемый на конкурсной основе объем финансовых средств (в рублях)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 на реализацию программы (проекта) с ее финансово-экономическим обоснованием. В случае наличия за счет средств субсидии расходов на проведение ремонта помещений заявителей дополнительно предоставляется обоснование стоимости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программы (проекта) согласно </w:t>
      </w:r>
      <w:hyperlink w:history="0" r:id="rId18" w:tooltip="Постановление Правительства Мурманской области от 20.03.2017 N 141-ПП (ред. от 21.03.2024) &quot;Об утверждении порядка предоставления субсидий социально ориентированным некоммерческим организациям Мурманской области на реализацию социально значимых программ (проектов) в сферах социального обслуживания и социальной защиты граждан&quot; {КонсультантПлюс}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Порядку предоставления субсидии (например, "обучение правилам использования технических средств реабилитации пройдут 50 инвалидов").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реализации программы (проекта) включаются в договор о предоставлении субсидии как показатель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полные реквизиты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программу (проект) также может быть включена другая дополнительная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Требования к подаче заявки по электронной почте: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формат документов - Adobe 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каждый отдельный документ направляется отдельным файлом;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названии файла требуется прописать официальное название документа и количество страниц на русском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качество файлов - от 200 DPI.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Форма календарного плана реализации программа (проекта):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2835"/>
        <w:gridCol w:w="1871"/>
        <w:gridCol w:w="3742"/>
      </w:tblGrid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 (календарный месяц, год)</w:t>
            </w:r>
          </w:p>
        </w:tc>
        <w:tc>
          <w:tcPr>
            <w:tcW w:w="37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(с указанием результатов, их количественных показателей, количества участников)</w:t>
            </w:r>
          </w:p>
        </w:tc>
      </w:tr>
      <w:tr>
        <w:tc>
          <w:tcPr>
            <w:tcW w:w="5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Форма сметы расходов программы (проекта) (табличный вариант в формате Microsoft Excel):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1954"/>
        <w:gridCol w:w="964"/>
        <w:gridCol w:w="859"/>
        <w:gridCol w:w="994"/>
        <w:gridCol w:w="1849"/>
        <w:gridCol w:w="3064"/>
        <w:gridCol w:w="1264"/>
      </w:tblGrid>
      <w:tr>
        <w:tc>
          <w:tcPr>
            <w:tcW w:w="4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 (наименование мероприятия) </w:t>
            </w:r>
            <w:hyperlink w:history="0" w:anchor="P263" w:tooltip="&lt;*&gt; При налич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Ед-ца изм-ния</w:t>
            </w:r>
          </w:p>
        </w:tc>
        <w:tc>
          <w:tcPr>
            <w:tcW w:w="8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</w:t>
            </w:r>
          </w:p>
        </w:tc>
        <w:tc>
          <w:tcPr>
            <w:gridSpan w:val="3"/>
            <w:tcW w:w="6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затрат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финансирования программы (проекта)</w:t>
            </w:r>
          </w:p>
        </w:tc>
        <w:tc>
          <w:tcPr>
            <w:gridSpan w:val="2"/>
            <w:tcW w:w="4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Собственные/привлеченные средства </w:t>
            </w:r>
            <w:hyperlink w:history="0" w:anchor="P263" w:tooltip="&lt;*&gt; При налич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</w:tr>
      <w:tr>
        <w:tc>
          <w:tcPr>
            <w:tcW w:w="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14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 Выплата заработной платы персоналу, взносы на обязательное социальное страхование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 должностям, состоящим в штате организации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налог на доходы физических лиц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выплаты персоналу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взносы на обязательное социальное страхование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77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1 разделу: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1432" w:type="dxa"/>
          </w:tcPr>
          <w:p>
            <w:pPr>
              <w:pStyle w:val="0"/>
            </w:pPr>
            <w:r>
              <w:rPr>
                <w:sz w:val="20"/>
              </w:rPr>
              <w:t xml:space="preserve">2. Закупка работ и услуг, включая услуги по договору ГПХ, всего, из них: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5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Перечень работ и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77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2 разделу: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143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 Закупка непроизведенных активов, нематериальных активов, материальных запасов и основных средств, всего, из них: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95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(перечень закупок непроизведенных активов, нематериальных активов, материальных запасов и основных средств)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77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3 разделу: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77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наличии.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2024 г. N 201</w:t>
      </w:r>
    </w:p>
    <w:p>
      <w:pPr>
        <w:pStyle w:val="0"/>
        <w:jc w:val="both"/>
      </w:pPr>
      <w:r>
        <w:rPr>
          <w:sz w:val="20"/>
        </w:rPr>
      </w:r>
    </w:p>
    <w:bookmarkStart w:id="275" w:name="P275"/>
    <w:bookmarkEnd w:id="275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ЧЛЕНА КОНКУРСНОЙ КОМИССИИ ПО ОЦЕНКЕ СОЦИАЛЬНО ЗНАЧИМЫХ</w:t>
      </w:r>
    </w:p>
    <w:p>
      <w:pPr>
        <w:pStyle w:val="0"/>
        <w:jc w:val="center"/>
      </w:pPr>
      <w:r>
        <w:rPr>
          <w:sz w:val="20"/>
        </w:rPr>
        <w:t xml:space="preserve">ПРОГРАММ (ПРОЕКТОВ), НАПРАВЛЕННЫХ НА РЕШЕНИЕ СОЦИАЛЬНЫХ</w:t>
      </w:r>
    </w:p>
    <w:p>
      <w:pPr>
        <w:pStyle w:val="0"/>
        <w:jc w:val="center"/>
      </w:pPr>
      <w:r>
        <w:rPr>
          <w:sz w:val="20"/>
        </w:rPr>
        <w:t xml:space="preserve">ПРОБЛЕМ НАСЕЛЕНИЯ В СФЕРЕ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9"/>
        <w:gridCol w:w="794"/>
        <w:gridCol w:w="3118"/>
      </w:tblGrid>
      <w:tr>
        <w:tc>
          <w:tcPr>
            <w:tcW w:w="51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 Фамилия, имя, отчество члена конкурсной комиссии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2. Наименование приоритетного направления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ОЦЕНКА ЗАЯВКИ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"/>
        <w:gridCol w:w="1969"/>
        <w:gridCol w:w="1759"/>
        <w:gridCol w:w="1504"/>
        <w:gridCol w:w="1534"/>
        <w:gridCol w:w="1774"/>
        <w:gridCol w:w="1624"/>
        <w:gridCol w:w="2584"/>
        <w:gridCol w:w="1459"/>
        <w:gridCol w:w="1609"/>
        <w:gridCol w:w="1594"/>
        <w:gridCol w:w="1144"/>
      </w:tblGrid>
      <w:tr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1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социально ориентированной некоммерческой организации - участника конкурса</w:t>
            </w:r>
          </w:p>
        </w:tc>
        <w:tc>
          <w:tcPr>
            <w:gridSpan w:val="9"/>
            <w:tcW w:w="15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1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 заявки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программы (проекта) приоритетным направлениям предоставления субсидии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Актуальность и социальная значимость программы (проекта)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мероприятий программы (проекта) ее целям, задачам и ожидаемым результатам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Экономическая обоснованность бюджета программы (проекта)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используемых собственных и (или) привлеченных средств при реализации программы (проекта)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организаций-партнеров в реализации программы (проекта), подтвержденное письмами поддержки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опыта в реализации аналогичных программ (проектов)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в программе мероприятий, направленных на поддержку семей участников специальной военной операции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признана исполнителем общественно полезных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2381"/>
        <w:gridCol w:w="3175"/>
      </w:tblGrid>
      <w:tr>
        <w:tc>
          <w:tcPr>
            <w:tcW w:w="351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члена комиссии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2024 г. N 201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РАССМОТРЕНИЮ ЗАЯВОК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МУРМАНСКОЙ</w:t>
      </w:r>
    </w:p>
    <w:p>
      <w:pPr>
        <w:pStyle w:val="2"/>
        <w:jc w:val="center"/>
      </w:pPr>
      <w:r>
        <w:rPr>
          <w:sz w:val="20"/>
        </w:rPr>
        <w:t xml:space="preserve">ОБЛАСТИ НА ПРАВО ПРЕДОСТАВЛЕНИЯ В 2024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ПРОГРАММ (ПРОЕКТОВ) В СФЕРАХ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И СОЦИАЛЬНОЙ ЗАЩИТЫ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350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Шипилов Игорь Викторович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труда и социального развития Мурманской области - председатель конкурсной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Киперь Жанна Михайловна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социальной защиты, опеки и попечительства Министерства труда и социального развития Мурманской области - заместитель председателя конкурсной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Кастрам Тамара Васильевна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социальной защиты, опеки и попечительства Министерства труда и социального развития Мурманской области - секретарь конкурсной комиссии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Верховод Елена Станиславовна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управления стратегического планирования Министерства развития Арктики и экономики Мурманской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Гуляк Никита Сергеевич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социальной защиты, опеки и попечительства Министерства труда и социального развития Мурманской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Королева Елена Васильевна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социального обслуживания Министерства труда и социального развития Мурманской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Лапшина Галина Анатольевна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бюджетного учета и отчетности Министерства труда и социального развития Мурманской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29.03.2024 N 201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29.03.2024 N 201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7&amp;n=115933" TargetMode = "External"/>
	<Relationship Id="rId8" Type="http://schemas.openxmlformats.org/officeDocument/2006/relationships/hyperlink" Target="https://login.consultant.ru/link/?req=doc&amp;base=RLAW087&amp;n=130025&amp;dst=100009" TargetMode = "External"/>
	<Relationship Id="rId9" Type="http://schemas.openxmlformats.org/officeDocument/2006/relationships/hyperlink" Target="https://login.consultant.ru/link/?req=doc&amp;base=RLAW087&amp;n=130636" TargetMode = "External"/>
	<Relationship Id="rId10" Type="http://schemas.openxmlformats.org/officeDocument/2006/relationships/hyperlink" Target="https://login.consultant.ru/link/?req=doc&amp;base=RLAW087&amp;n=130636" TargetMode = "External"/>
	<Relationship Id="rId11" Type="http://schemas.openxmlformats.org/officeDocument/2006/relationships/hyperlink" Target="https://login.consultant.ru/link/?req=doc&amp;base=RLAW087&amp;n=130636&amp;dst=123" TargetMode = "External"/>
	<Relationship Id="rId12" Type="http://schemas.openxmlformats.org/officeDocument/2006/relationships/hyperlink" Target="https://login.consultant.ru/link/?req=doc&amp;base=RLAW087&amp;n=130636&amp;dst=101503" TargetMode = "External"/>
	<Relationship Id="rId13" Type="http://schemas.openxmlformats.org/officeDocument/2006/relationships/hyperlink" Target="https://login.consultant.ru/link/?req=doc&amp;base=RLAW087&amp;n=130636&amp;dst=124" TargetMode = "External"/>
	<Relationship Id="rId14" Type="http://schemas.openxmlformats.org/officeDocument/2006/relationships/hyperlink" Target="https://login.consultant.ru/link/?req=doc&amp;base=RLAW087&amp;n=130636&amp;dst=127" TargetMode = "External"/>
	<Relationship Id="rId15" Type="http://schemas.openxmlformats.org/officeDocument/2006/relationships/hyperlink" Target="https://login.consultant.ru/link/?req=doc&amp;base=RLAW087&amp;n=130636&amp;dst=130" TargetMode = "External"/>
	<Relationship Id="rId16" Type="http://schemas.openxmlformats.org/officeDocument/2006/relationships/hyperlink" Target="https://login.consultant.ru/link/?req=doc&amp;base=RLAW087&amp;n=130636&amp;dst=101404" TargetMode = "External"/>
	<Relationship Id="rId17" Type="http://schemas.openxmlformats.org/officeDocument/2006/relationships/hyperlink" Target="https://login.consultant.ru/link/?req=doc&amp;base=LAW&amp;n=439201" TargetMode = "External"/>
	<Relationship Id="rId18" Type="http://schemas.openxmlformats.org/officeDocument/2006/relationships/hyperlink" Target="https://login.consultant.ru/link/?req=doc&amp;base=RLAW087&amp;n=130636&amp;dst=300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29.03.2024 N 201
"О проведении конкурса среди социально ориентированных некоммерческих организаций Мурманской области на право предоставления в 2024 году субсидий из областного бюджета на реализацию социально значимых программ (проектов) в сферах социального обслуживания и социальной защиты граждан"
(вместе с "Журналом учета заявок на участие в конкурсе среди социально ориентированных некоммерческих организаций Мурманской области на право предоставления в 2024</dc:title>
  <dcterms:created xsi:type="dcterms:W3CDTF">2024-05-26T17:06:08Z</dcterms:created>
</cp:coreProperties>
</file>