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Нижегородской области от 09.10.2024 N 619</w:t>
              <w:br/>
              <w:t xml:space="preserve">"Об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08.01.2025</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0"/>
        </w:rPr>
      </w:r>
    </w:p>
    <w:p>
      <w:pPr>
        <w:pStyle w:val="2"/>
        <w:outlineLvl w:val="0"/>
        <w:jc w:val="center"/>
      </w:pPr>
      <w:r>
        <w:rPr>
          <w:sz w:val="20"/>
        </w:rPr>
        <w:t xml:space="preserve">ПРАВИТЕЛЬСТВО НИЖЕГОРОДСКОЙ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9 октября 2024 г. N 619</w:t>
      </w:r>
    </w:p>
    <w:p>
      <w:pPr>
        <w:pStyle w:val="2"/>
      </w:pPr>
      <w:r>
        <w:rPr>
          <w:sz w:val="20"/>
        </w:rPr>
      </w:r>
    </w:p>
    <w:p>
      <w:pPr>
        <w:pStyle w:val="2"/>
        <w:jc w:val="center"/>
      </w:pPr>
      <w:r>
        <w:rPr>
          <w:sz w:val="20"/>
        </w:rPr>
        <w:t xml:space="preserve">ОБ УТВЕРЖДЕНИИ ПОРЯДКА ПРОВЕДЕНИЯ ОТБОРА СОЦИАЛЬНО</w:t>
      </w:r>
    </w:p>
    <w:p>
      <w:pPr>
        <w:pStyle w:val="2"/>
        <w:jc w:val="center"/>
      </w:pPr>
      <w:r>
        <w:rPr>
          <w:sz w:val="20"/>
        </w:rPr>
        <w:t xml:space="preserve">ОРИЕНТИРОВАННЫХ НЕКОММЕРЧЕСКИХ ОРГАНИЗАЦИЙ ДЛЯ ОКАЗАНИЯ</w:t>
      </w:r>
    </w:p>
    <w:p>
      <w:pPr>
        <w:pStyle w:val="2"/>
        <w:jc w:val="center"/>
      </w:pPr>
      <w:r>
        <w:rPr>
          <w:sz w:val="20"/>
        </w:rPr>
        <w:t xml:space="preserve">ИНФОРМАЦИОННОЙ ПОДДЕРЖКИ В ФОРМЕ СОДЕЙСТВИЯ В СОЗДАНИИ</w:t>
      </w:r>
    </w:p>
    <w:p>
      <w:pPr>
        <w:pStyle w:val="2"/>
        <w:jc w:val="center"/>
      </w:pPr>
      <w:r>
        <w:rPr>
          <w:sz w:val="20"/>
        </w:rPr>
        <w:t xml:space="preserve">ОФИЦИАЛЬНЫХ САЙТОВ В ИНФОРМАЦИОННО-ТЕЛЕКОММУНИКАЦИОННОЙ СЕТИ</w:t>
      </w:r>
    </w:p>
    <w:p>
      <w:pPr>
        <w:pStyle w:val="2"/>
        <w:jc w:val="center"/>
      </w:pPr>
      <w:r>
        <w:rPr>
          <w:sz w:val="20"/>
        </w:rPr>
        <w:t xml:space="preserve">"ИНТЕРНЕТ" И (ИЛИ) ОБЕСПЕЧЕНИИ ИХ ФУНКЦИОНИРОВАНИЯ ПУТЕМ</w:t>
      </w:r>
    </w:p>
    <w:p>
      <w:pPr>
        <w:pStyle w:val="2"/>
        <w:jc w:val="center"/>
      </w:pPr>
      <w:r>
        <w:rPr>
          <w:sz w:val="20"/>
        </w:rPr>
        <w:t xml:space="preserve">ИСПОЛЬЗОВАНИЯ ФЕДЕРАЛЬНОЙ ГОСУДАРСТВЕННОЙ ИНФОРМАЦИОННОЙ</w:t>
      </w:r>
    </w:p>
    <w:p>
      <w:pPr>
        <w:pStyle w:val="2"/>
        <w:jc w:val="center"/>
      </w:pPr>
      <w:r>
        <w:rPr>
          <w:sz w:val="20"/>
        </w:rPr>
        <w:t xml:space="preserve">СИСТЕМЫ "ЕДИНЫЙ ПОРТАЛ ГОСУДАРСТВЕННЫХ</w:t>
      </w:r>
    </w:p>
    <w:p>
      <w:pPr>
        <w:pStyle w:val="2"/>
        <w:jc w:val="center"/>
      </w:pPr>
      <w:r>
        <w:rPr>
          <w:sz w:val="20"/>
        </w:rPr>
        <w:t xml:space="preserve">И МУНИЦИПАЛЬНЫХ УСЛУГ (ФУНКЦИЙ)"</w:t>
      </w:r>
    </w:p>
    <w:p>
      <w:pPr>
        <w:pStyle w:val="0"/>
        <w:ind w:firstLine="540"/>
        <w:jc w:val="both"/>
      </w:pPr>
      <w:r>
        <w:rPr>
          <w:sz w:val="20"/>
        </w:rPr>
      </w:r>
    </w:p>
    <w:p>
      <w:pPr>
        <w:pStyle w:val="0"/>
        <w:ind w:firstLine="540"/>
        <w:jc w:val="both"/>
      </w:pPr>
      <w:r>
        <w:rPr>
          <w:sz w:val="20"/>
        </w:rPr>
        <w:t xml:space="preserve">В соответствии с </w:t>
      </w:r>
      <w:hyperlink w:history="0" r:id="rId7" w:tooltip="Постановление Правительства РФ от 29.11.2023 N 2022 &quot;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quot;Интернет&quot; и (или) обеспечении их функционирования путем использования федеральной государственной информационной системы &quot;Единый портал государственных и муниципальных услуг (функций)&quot; {КонсультантПлюс}">
        <w:r>
          <w:rPr>
            <w:sz w:val="20"/>
            <w:color w:val="0000ff"/>
          </w:rPr>
          <w:t xml:space="preserve">пунктом 3</w:t>
        </w:r>
      </w:hyperlink>
      <w:r>
        <w:rPr>
          <w:sz w:val="20"/>
        </w:rPr>
        <w:t xml:space="preserve"> постановления Правительства Российской Федерации от 29 ноября 2023 г. N 2022 "Об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 Правительство Нижегородской области постановляет:</w:t>
      </w:r>
    </w:p>
    <w:p>
      <w:pPr>
        <w:pStyle w:val="0"/>
        <w:spacing w:before="200" w:line-rule="auto"/>
        <w:ind w:firstLine="540"/>
        <w:jc w:val="both"/>
      </w:pPr>
      <w:r>
        <w:rPr>
          <w:sz w:val="20"/>
        </w:rPr>
        <w:t xml:space="preserve">1. Утвердить прилагаемый </w:t>
      </w:r>
      <w:hyperlink w:history="0" w:anchor="P32" w:tooltip="ПОРЯДОК">
        <w:r>
          <w:rPr>
            <w:sz w:val="20"/>
            <w:color w:val="0000ff"/>
          </w:rPr>
          <w:t xml:space="preserve">Порядок</w:t>
        </w:r>
      </w:hyperlink>
      <w:r>
        <w:rPr>
          <w:sz w:val="20"/>
        </w:rPr>
        <w:t xml:space="preserve">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p>
    <w:p>
      <w:pPr>
        <w:pStyle w:val="0"/>
        <w:spacing w:before="200" w:line-rule="auto"/>
        <w:ind w:firstLine="540"/>
        <w:jc w:val="both"/>
      </w:pPr>
      <w:r>
        <w:rPr>
          <w:sz w:val="20"/>
        </w:rPr>
        <w:t xml:space="preserve">2. Контроль за исполнением настоящего постановления возложить на заместителя Губернатора Нижегородской области Гнеушева А.Н.</w:t>
      </w:r>
    </w:p>
    <w:p>
      <w:pPr>
        <w:pStyle w:val="0"/>
        <w:spacing w:before="200" w:line-rule="auto"/>
        <w:ind w:firstLine="540"/>
        <w:jc w:val="both"/>
      </w:pPr>
      <w:r>
        <w:rPr>
          <w:sz w:val="20"/>
        </w:rPr>
        <w:t xml:space="preserve">3. Настоящее постановление вступает в силу со дня его подписания и подлежит официальному опубликованию.</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Г.С.НИКИТИН</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Нижегородской области</w:t>
      </w:r>
    </w:p>
    <w:p>
      <w:pPr>
        <w:pStyle w:val="0"/>
        <w:jc w:val="right"/>
      </w:pPr>
      <w:r>
        <w:rPr>
          <w:sz w:val="20"/>
        </w:rPr>
        <w:t xml:space="preserve">от 9 октября 2024 г. N 619</w:t>
      </w:r>
    </w:p>
    <w:p>
      <w:pPr>
        <w:pStyle w:val="0"/>
        <w:ind w:firstLine="540"/>
        <w:jc w:val="both"/>
      </w:pPr>
      <w:r>
        <w:rPr>
          <w:sz w:val="20"/>
        </w:rPr>
      </w:r>
    </w:p>
    <w:bookmarkStart w:id="32" w:name="P32"/>
    <w:bookmarkEnd w:id="32"/>
    <w:p>
      <w:pPr>
        <w:pStyle w:val="2"/>
        <w:jc w:val="center"/>
      </w:pPr>
      <w:r>
        <w:rPr>
          <w:sz w:val="20"/>
        </w:rPr>
        <w:t xml:space="preserve">ПОРЯДОК</w:t>
      </w:r>
    </w:p>
    <w:p>
      <w:pPr>
        <w:pStyle w:val="2"/>
        <w:jc w:val="center"/>
      </w:pPr>
      <w:r>
        <w:rPr>
          <w:sz w:val="20"/>
        </w:rPr>
        <w:t xml:space="preserve">ПРОВЕДЕНИЯ ОТБОРА СОЦИАЛЬНО ОРИЕНТИРОВАННЫХ</w:t>
      </w:r>
    </w:p>
    <w:p>
      <w:pPr>
        <w:pStyle w:val="2"/>
        <w:jc w:val="center"/>
      </w:pPr>
      <w:r>
        <w:rPr>
          <w:sz w:val="20"/>
        </w:rPr>
        <w:t xml:space="preserve">НЕКОММЕРЧЕСКИХ ОРГАНИЗАЦИЙ ДЛЯ ОКАЗАНИЯ ИНФОРМАЦИОННОЙ</w:t>
      </w:r>
    </w:p>
    <w:p>
      <w:pPr>
        <w:pStyle w:val="2"/>
        <w:jc w:val="center"/>
      </w:pPr>
      <w:r>
        <w:rPr>
          <w:sz w:val="20"/>
        </w:rPr>
        <w:t xml:space="preserve">ПОДДЕРЖКИ В ФОРМЕ СОДЕЙСТВИЯ В СОЗДАНИИ ОФИЦИАЛЬНЫХ САЙТОВ</w:t>
      </w:r>
    </w:p>
    <w:p>
      <w:pPr>
        <w:pStyle w:val="2"/>
        <w:jc w:val="center"/>
      </w:pPr>
      <w:r>
        <w:rPr>
          <w:sz w:val="20"/>
        </w:rPr>
        <w:t xml:space="preserve">В ИНФОРМАЦИОННО-ТЕЛЕКОММУНИКАЦИОННОЙ СЕТИ "ИНТЕРНЕТ"</w:t>
      </w:r>
    </w:p>
    <w:p>
      <w:pPr>
        <w:pStyle w:val="2"/>
        <w:jc w:val="center"/>
      </w:pPr>
      <w:r>
        <w:rPr>
          <w:sz w:val="20"/>
        </w:rPr>
        <w:t xml:space="preserve">И (ИЛИ) ОБЕСПЕЧЕНИИ ИХ ФУНКЦИОНИРОВАНИЯ ПУТЕМ ИСПОЛЬЗОВАНИЯ</w:t>
      </w:r>
    </w:p>
    <w:p>
      <w:pPr>
        <w:pStyle w:val="2"/>
        <w:jc w:val="center"/>
      </w:pPr>
      <w:r>
        <w:rPr>
          <w:sz w:val="20"/>
        </w:rPr>
        <w:t xml:space="preserve">ФЕДЕРАЛЬНОЙ ГОСУДАРСТВЕННОЙ ИНФОРМАЦИОННОЙ СИСТЕМЫ "ЕДИНЫЙ</w:t>
      </w:r>
    </w:p>
    <w:p>
      <w:pPr>
        <w:pStyle w:val="2"/>
        <w:jc w:val="center"/>
      </w:pPr>
      <w:r>
        <w:rPr>
          <w:sz w:val="20"/>
        </w:rPr>
        <w:t xml:space="preserve">ПОРТАЛ ГОСУДАРСТВЕННЫХ И МУНИЦИПАЛЬНЫХ УСЛУГ (ФУНКЦИЙ)"</w:t>
      </w:r>
    </w:p>
    <w:p>
      <w:pPr>
        <w:pStyle w:val="0"/>
        <w:ind w:firstLine="540"/>
        <w:jc w:val="both"/>
      </w:pPr>
      <w:r>
        <w:rPr>
          <w:sz w:val="20"/>
        </w:rPr>
      </w:r>
    </w:p>
    <w:p>
      <w:pPr>
        <w:pStyle w:val="0"/>
        <w:ind w:firstLine="540"/>
        <w:jc w:val="both"/>
      </w:pPr>
      <w:r>
        <w:rPr>
          <w:sz w:val="20"/>
        </w:rPr>
        <w:t xml:space="preserve">1. Настоящий Порядок определяет правила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(далее - сеть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 (далее соответственно - информационная поддержка, отбор, участник отбора), которая осуществляется Министерством цифрового развития, связи и массовых коммуникаций Российской Федерации (далее - Минцифры России) в соответствии с </w:t>
      </w:r>
      <w:hyperlink w:history="0" r:id="rId8" w:tooltip="Постановление Правительства РФ от 29.11.2023 N 2022 &quot;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quot;Интернет&quot; и (или) обеспечении их функционирования путем использования федеральной государственной информационной системы &quot;Единый портал государственных и муниципальных услуг (функций)&quot; {КонсультантПлюс}">
        <w:r>
          <w:rPr>
            <w:sz w:val="20"/>
            <w:color w:val="0000ff"/>
          </w:rPr>
          <w:t xml:space="preserve">постановлением</w:t>
        </w:r>
      </w:hyperlink>
      <w:r>
        <w:rPr>
          <w:sz w:val="20"/>
        </w:rPr>
        <w:t xml:space="preserve"> Правительства Российской Федерации от 29 ноября 2023 г. N 2022 "Об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 (далее - Правила).</w:t>
      </w:r>
    </w:p>
    <w:p>
      <w:pPr>
        <w:pStyle w:val="0"/>
        <w:spacing w:before="200" w:line-rule="auto"/>
        <w:ind w:firstLine="540"/>
        <w:jc w:val="both"/>
      </w:pPr>
      <w:r>
        <w:rPr>
          <w:sz w:val="20"/>
        </w:rPr>
        <w:t xml:space="preserve">2. Организатором отбора является министерство социальной политики Нижегородской области (далее - Министерство).</w:t>
      </w:r>
    </w:p>
    <w:p>
      <w:pPr>
        <w:pStyle w:val="0"/>
        <w:spacing w:before="200" w:line-rule="auto"/>
        <w:ind w:firstLine="540"/>
        <w:jc w:val="both"/>
      </w:pPr>
      <w:r>
        <w:rPr>
          <w:sz w:val="20"/>
        </w:rPr>
        <w:t xml:space="preserve">3. Министерство в срок не позднее чем за один рабочий день до начала срока приема заявок размещает на своем официальном сайте в сети "Интернет" объявление о проведении отбора с указанием:</w:t>
      </w:r>
    </w:p>
    <w:p>
      <w:pPr>
        <w:pStyle w:val="0"/>
        <w:spacing w:before="200" w:line-rule="auto"/>
        <w:ind w:firstLine="540"/>
        <w:jc w:val="both"/>
      </w:pPr>
      <w:r>
        <w:rPr>
          <w:sz w:val="20"/>
        </w:rPr>
        <w:t xml:space="preserve">а) срока проведения отбора (даты и время начала и окончания подачи (приема) заявок участников отбора);</w:t>
      </w:r>
    </w:p>
    <w:p>
      <w:pPr>
        <w:pStyle w:val="0"/>
        <w:spacing w:before="200" w:line-rule="auto"/>
        <w:ind w:firstLine="540"/>
        <w:jc w:val="both"/>
      </w:pPr>
      <w:r>
        <w:rPr>
          <w:sz w:val="20"/>
        </w:rPr>
        <w:t xml:space="preserve">б) наименования, места нахождения, почтового адреса, адреса электронной почты Министерства для подачи заявки, предусмотренной </w:t>
      </w:r>
      <w:hyperlink w:history="0" w:anchor="P63" w:tooltip="5. Отбор осуществляется на основании поступивших от участников отбора заявок и в рамках предельного количества некоммерческих организаций, имеющих право на получение информационной поддержки, установленного для Нижегородской области согласно приложению к Правилам.">
        <w:r>
          <w:rPr>
            <w:sz w:val="20"/>
            <w:color w:val="0000ff"/>
          </w:rPr>
          <w:t xml:space="preserve">пунктом 5</w:t>
        </w:r>
      </w:hyperlink>
      <w:r>
        <w:rPr>
          <w:sz w:val="20"/>
        </w:rPr>
        <w:t xml:space="preserve"> настоящего Порядка;</w:t>
      </w:r>
    </w:p>
    <w:p>
      <w:pPr>
        <w:pStyle w:val="0"/>
        <w:spacing w:before="200" w:line-rule="auto"/>
        <w:ind w:firstLine="540"/>
        <w:jc w:val="both"/>
      </w:pPr>
      <w:r>
        <w:rPr>
          <w:sz w:val="20"/>
        </w:rPr>
        <w:t xml:space="preserve">в) требований к участникам отбора, установленных пунктом 4 настоящего Порядка;</w:t>
      </w:r>
    </w:p>
    <w:p>
      <w:pPr>
        <w:pStyle w:val="0"/>
        <w:spacing w:before="200" w:line-rule="auto"/>
        <w:ind w:firstLine="540"/>
        <w:jc w:val="both"/>
      </w:pPr>
      <w:r>
        <w:rPr>
          <w:sz w:val="20"/>
        </w:rPr>
        <w:t xml:space="preserve">г) порядка подачи заявок и требований, предъявляемых к содержанию заявок;</w:t>
      </w:r>
    </w:p>
    <w:p>
      <w:pPr>
        <w:pStyle w:val="0"/>
        <w:spacing w:before="200" w:line-rule="auto"/>
        <w:ind w:firstLine="540"/>
        <w:jc w:val="both"/>
      </w:pPr>
      <w:r>
        <w:rPr>
          <w:sz w:val="20"/>
        </w:rPr>
        <w:t xml:space="preserve">д) правил рассмотрения и оценки заявок участников отбора в соответствии с настоящим Порядком;</w:t>
      </w:r>
    </w:p>
    <w:p>
      <w:pPr>
        <w:pStyle w:val="0"/>
        <w:spacing w:before="200" w:line-rule="auto"/>
        <w:ind w:firstLine="540"/>
        <w:jc w:val="both"/>
      </w:pPr>
      <w:r>
        <w:rPr>
          <w:sz w:val="20"/>
        </w:rPr>
        <w:t xml:space="preserve">е) даты размещения результатов отбора на официальном сайте Министерства.</w:t>
      </w:r>
    </w:p>
    <w:bookmarkStart w:id="50" w:name="P50"/>
    <w:bookmarkEnd w:id="50"/>
    <w:p>
      <w:pPr>
        <w:pStyle w:val="0"/>
        <w:spacing w:before="200" w:line-rule="auto"/>
        <w:ind w:firstLine="540"/>
        <w:jc w:val="both"/>
      </w:pPr>
      <w:r>
        <w:rPr>
          <w:sz w:val="20"/>
        </w:rPr>
        <w:t xml:space="preserve">4. Участниками отбора являются социально ориентированные некоммерческие организации, осуществляющие деятельность на территории Нижегородской области, включенные в реестр социально ориентированных некоммерческих организаций в соответствии с </w:t>
      </w:r>
      <w:hyperlink w:history="0" r:id="rId9" w:tooltip="Постановление Правительства РФ от 30.07.2021 N 1290 (ред. от 17.01.2024) &quot;О реестре социально ориентированных некоммерческих организаций&quot; (вместе с &quot;Положением о порядке ведения реестра социально ориентированных некоммерческих организаций&quot;) {КонсультантПлюс}">
        <w:r>
          <w:rPr>
            <w:sz w:val="20"/>
            <w:color w:val="0000ff"/>
          </w:rPr>
          <w:t xml:space="preserve">постановлением</w:t>
        </w:r>
      </w:hyperlink>
      <w:r>
        <w:rPr>
          <w:sz w:val="20"/>
        </w:rPr>
        <w:t xml:space="preserve"> Правительства Российской Федерации от 30 июля 2021 г. N 1290 "О реестре социально ориентированных некоммерческих организаций" (далее - некоммерческая организация), соответствующие следующим требованиям:</w:t>
      </w:r>
    </w:p>
    <w:bookmarkStart w:id="51" w:name="P51"/>
    <w:bookmarkEnd w:id="51"/>
    <w:p>
      <w:pPr>
        <w:pStyle w:val="0"/>
        <w:spacing w:before="200" w:line-rule="auto"/>
        <w:ind w:firstLine="540"/>
        <w:jc w:val="both"/>
      </w:pPr>
      <w:r>
        <w:rPr>
          <w:sz w:val="20"/>
        </w:rPr>
        <w:t xml:space="preserve">а) некоммерческая организация зарегистрирована как юридическое лицо на территории Нижегородской области не менее чем за один год до дня подачи заявки, предусмотренной </w:t>
      </w:r>
      <w:hyperlink w:history="0" w:anchor="P63" w:tooltip="5. Отбор осуществляется на основании поступивших от участников отбора заявок и в рамках предельного количества некоммерческих организаций, имеющих право на получение информационной поддержки, установленного для Нижегородской области согласно приложению к Правилам.">
        <w:r>
          <w:rPr>
            <w:sz w:val="20"/>
            <w:color w:val="0000ff"/>
          </w:rPr>
          <w:t xml:space="preserve">пунктом 5</w:t>
        </w:r>
      </w:hyperlink>
      <w:r>
        <w:rPr>
          <w:sz w:val="20"/>
        </w:rPr>
        <w:t xml:space="preserve"> настоящего Порядка, и осуществляет в соответствии с учредительными документами в том числе один или несколько из видов следующей деятельности:</w:t>
      </w:r>
    </w:p>
    <w:p>
      <w:pPr>
        <w:pStyle w:val="0"/>
        <w:spacing w:before="200" w:line-rule="auto"/>
        <w:ind w:firstLine="540"/>
        <w:jc w:val="both"/>
      </w:pPr>
      <w:r>
        <w:rPr>
          <w:sz w:val="20"/>
        </w:rPr>
        <w:t xml:space="preserve">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pPr>
        <w:pStyle w:val="0"/>
        <w:spacing w:before="200" w:line-rule="auto"/>
        <w:ind w:firstLine="540"/>
        <w:jc w:val="both"/>
      </w:pPr>
      <w:r>
        <w:rPr>
          <w:sz w:val="20"/>
        </w:rPr>
        <w:t xml:space="preserve">благотворительная деятельность, а также деятельность в области организации и поддержки благотворительности и добровольчества (волонтерства);</w:t>
      </w:r>
    </w:p>
    <w:p>
      <w:pPr>
        <w:pStyle w:val="0"/>
        <w:spacing w:before="200" w:line-rule="auto"/>
        <w:ind w:firstLine="540"/>
        <w:jc w:val="both"/>
      </w:pPr>
      <w:r>
        <w:rPr>
          <w:sz w:val="20"/>
        </w:rPr>
        <w:t xml:space="preserve">деятельность в сфере патриотического, в том числе военно-патриотического, воспитания граждан Российской Федерации;</w:t>
      </w:r>
    </w:p>
    <w:p>
      <w:pPr>
        <w:pStyle w:val="0"/>
        <w:spacing w:before="200" w:line-rule="auto"/>
        <w:ind w:firstLine="540"/>
        <w:jc w:val="both"/>
      </w:pPr>
      <w:r>
        <w:rPr>
          <w:sz w:val="20"/>
        </w:rPr>
        <w:t xml:space="preserve">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pPr>
        <w:pStyle w:val="0"/>
        <w:spacing w:before="200" w:line-rule="auto"/>
        <w:ind w:firstLine="540"/>
        <w:jc w:val="both"/>
      </w:pPr>
      <w:r>
        <w:rPr>
          <w:sz w:val="20"/>
        </w:rPr>
        <w:t xml:space="preserve">б) некоммерческая организация не имеет просроченной задолженности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в) некоммерческая организация не находится в процессе реорганизации, ликвидации, в отношении нее не введена процедура банкротства, ее деятельность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г) некоммерческая организация не является российским юридическим лицом, учредителями (участниками, членами) которого являются иностранные граждане и (или) организации либо лица без гражданства;</w:t>
      </w:r>
    </w:p>
    <w:p>
      <w:pPr>
        <w:pStyle w:val="0"/>
        <w:spacing w:before="200" w:line-rule="auto"/>
        <w:ind w:firstLine="540"/>
        <w:jc w:val="both"/>
      </w:pPr>
      <w:r>
        <w:rPr>
          <w:sz w:val="20"/>
        </w:rPr>
        <w:t xml:space="preserve">д) некоммерческая организация не является получателем средств из федерального бюджета, бюджета субъекта Российской Федерации и (или) местного бюджета на цели обеспечения доступа пользователей к информации, размещаемой на официальном сайте некоммерческой организации в сети "Интернет";</w:t>
      </w:r>
    </w:p>
    <w:p>
      <w:pPr>
        <w:pStyle w:val="0"/>
        <w:spacing w:before="200" w:line-rule="auto"/>
        <w:ind w:firstLine="540"/>
        <w:jc w:val="both"/>
      </w:pPr>
      <w:r>
        <w:rPr>
          <w:sz w:val="20"/>
        </w:rPr>
        <w:t xml:space="preserve">е) некоммерческая организация не включена в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w:t>
      </w:r>
      <w:hyperlink w:history="0" r:id="rId10"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ж) некоммерческая организация не включена в реестр иностранных агентов;</w:t>
      </w:r>
    </w:p>
    <w:p>
      <w:pPr>
        <w:pStyle w:val="0"/>
        <w:spacing w:before="200" w:line-rule="auto"/>
        <w:ind w:firstLine="540"/>
        <w:jc w:val="both"/>
      </w:pPr>
      <w:r>
        <w:rPr>
          <w:sz w:val="20"/>
        </w:rPr>
        <w:t xml:space="preserve">з) в отношении некоммерческой организации отсутствуют факты привлечения к административной ответственности по административным правонарушениям, предусмотренным </w:t>
      </w:r>
      <w:hyperlink w:history="0" r:id="rId11" w:tooltip="&quot;Кодекс Российской Федерации об административных правонарушениях&quot; от 30.12.2001 N 195-ФЗ (ред. от 26.12.2024) ------------ Недействующая редакция {КонсультантПлюс}">
        <w:r>
          <w:rPr>
            <w:sz w:val="20"/>
            <w:color w:val="0000ff"/>
          </w:rPr>
          <w:t xml:space="preserve">статьями 13.15</w:t>
        </w:r>
      </w:hyperlink>
      <w:r>
        <w:rPr>
          <w:sz w:val="20"/>
        </w:rPr>
        <w:t xml:space="preserve">, </w:t>
      </w:r>
      <w:hyperlink w:history="0" r:id="rId12" w:tooltip="&quot;Кодекс Российской Федерации об административных правонарушениях&quot; от 30.12.2001 N 195-ФЗ (ред. от 26.12.2024) ------------ Недействующая редакция {КонсультантПлюс}">
        <w:r>
          <w:rPr>
            <w:sz w:val="20"/>
            <w:color w:val="0000ff"/>
          </w:rPr>
          <w:t xml:space="preserve">20.2</w:t>
        </w:r>
      </w:hyperlink>
      <w:r>
        <w:rPr>
          <w:sz w:val="20"/>
        </w:rPr>
        <w:t xml:space="preserve"> и </w:t>
      </w:r>
      <w:hyperlink w:history="0" r:id="rId13" w:tooltip="&quot;Кодекс Российской Федерации об административных правонарушениях&quot; от 30.12.2001 N 195-ФЗ (ред. от 26.12.2024) ------------ Недействующая редакция {КонсультантПлюс}">
        <w:r>
          <w:rPr>
            <w:sz w:val="20"/>
            <w:color w:val="0000ff"/>
          </w:rPr>
          <w:t xml:space="preserve">20.3.3</w:t>
        </w:r>
      </w:hyperlink>
      <w:r>
        <w:rPr>
          <w:sz w:val="20"/>
        </w:rPr>
        <w:t xml:space="preserve"> Кодекса Российской Федерации об административных правонарушениях.</w:t>
      </w:r>
    </w:p>
    <w:bookmarkStart w:id="63" w:name="P63"/>
    <w:bookmarkEnd w:id="63"/>
    <w:p>
      <w:pPr>
        <w:pStyle w:val="0"/>
        <w:spacing w:before="200" w:line-rule="auto"/>
        <w:ind w:firstLine="540"/>
        <w:jc w:val="both"/>
      </w:pPr>
      <w:r>
        <w:rPr>
          <w:sz w:val="20"/>
        </w:rPr>
        <w:t xml:space="preserve">5. Отбор осуществляется на основании поступивших от участников отбора заявок и в рамках предельного количества некоммерческих организаций, имеющих право на получение информационной поддержки, установленного для Нижегородской области согласно приложению к Правилам.</w:t>
      </w:r>
    </w:p>
    <w:p>
      <w:pPr>
        <w:pStyle w:val="0"/>
        <w:spacing w:before="200" w:line-rule="auto"/>
        <w:ind w:firstLine="540"/>
        <w:jc w:val="both"/>
      </w:pPr>
      <w:r>
        <w:rPr>
          <w:sz w:val="20"/>
        </w:rPr>
        <w:t xml:space="preserve">Срок для приема заявок на участие в отборе не может быть менее 30 календарных дней.</w:t>
      </w:r>
    </w:p>
    <w:p>
      <w:pPr>
        <w:pStyle w:val="0"/>
        <w:spacing w:before="200" w:line-rule="auto"/>
        <w:ind w:firstLine="540"/>
        <w:jc w:val="both"/>
      </w:pPr>
      <w:r>
        <w:rPr>
          <w:sz w:val="20"/>
        </w:rPr>
        <w:t xml:space="preserve">6. Заявка на участие в отборе составляется по форме, утвержденной приказом Министерства, и должна содержать:</w:t>
      </w:r>
    </w:p>
    <w:p>
      <w:pPr>
        <w:pStyle w:val="0"/>
        <w:spacing w:before="200" w:line-rule="auto"/>
        <w:ind w:firstLine="540"/>
        <w:jc w:val="both"/>
      </w:pPr>
      <w:r>
        <w:rPr>
          <w:sz w:val="20"/>
        </w:rPr>
        <w:t xml:space="preserve">а) информацию об участнике отбора: полное и сокращенное (при наличии) наименование, основной государственный регистрационный номер (ОГРН), контактные данные некоммерческой организации (место нахождения и адрес, номер телефона и адрес электронной почты), руководителя некоммерческой организации (номер телефона и адрес электронной почты);</w:t>
      </w:r>
    </w:p>
    <w:p>
      <w:pPr>
        <w:pStyle w:val="0"/>
        <w:spacing w:before="200" w:line-rule="auto"/>
        <w:ind w:firstLine="540"/>
        <w:jc w:val="both"/>
      </w:pPr>
      <w:r>
        <w:rPr>
          <w:sz w:val="20"/>
        </w:rPr>
        <w:t xml:space="preserve">б) информацию о деятельности участника отбора по направлениям деятельности, указанным в </w:t>
      </w:r>
      <w:hyperlink w:history="0" w:anchor="P51" w:tooltip="а) некоммерческая организация зарегистрирована как юридическое лицо на территории Нижегородской области не менее чем за один год до дня подачи заявки, предусмотренной пунктом 5 настоящего Порядка, и осуществляет в соответствии с учредительными документами в том числе один или несколько из видов следующей деятельности:">
        <w:r>
          <w:rPr>
            <w:sz w:val="20"/>
            <w:color w:val="0000ff"/>
          </w:rPr>
          <w:t xml:space="preserve">подпункте "а" пункта 4</w:t>
        </w:r>
      </w:hyperlink>
      <w:r>
        <w:rPr>
          <w:sz w:val="20"/>
        </w:rPr>
        <w:t xml:space="preserve"> настоящего Порядка: информация об основных мероприятиях и реализуемых проектах участника отбора не менее чем за один год до даты подачи заявки, включая охват участников мероприятий и (или) проектов, материалы, содержащие и (или) подтверждающие информацию о деятельности участника отбора, размещенная в средствах массовой информации (печатные издания, радио, телевидение, сеть "Интернет");</w:t>
      </w:r>
    </w:p>
    <w:p>
      <w:pPr>
        <w:pStyle w:val="0"/>
        <w:spacing w:before="200" w:line-rule="auto"/>
        <w:ind w:firstLine="540"/>
        <w:jc w:val="both"/>
      </w:pPr>
      <w:r>
        <w:rPr>
          <w:sz w:val="20"/>
        </w:rPr>
        <w:t xml:space="preserve">в) согласие на публикацию (размещение) в сети "Интернет" информации об участнике отбора, о заявке, иной информации об участнике отбора, связанной с отбором;</w:t>
      </w:r>
    </w:p>
    <w:p>
      <w:pPr>
        <w:pStyle w:val="0"/>
        <w:spacing w:before="200" w:line-rule="auto"/>
        <w:ind w:firstLine="540"/>
        <w:jc w:val="both"/>
      </w:pPr>
      <w:r>
        <w:rPr>
          <w:sz w:val="20"/>
        </w:rPr>
        <w:t xml:space="preserve">г) обязательство участника отбора в случае включения его в перечень некоммерческих организаций Нижегородской области, по результатам отбора имеющих право на получение информационной поддержки (далее - Перечень), о предоставлении в Министерство информации об изменении сведений о нем (полное и сокращенное (при наличии) наименование; основной государственный регистрационный номер (ОГРН); контактные данные некоммерческой организации (место нахождения и адрес, номер телефона и адрес электронной почты), руководителя некоммерческой организации (номер телефона и адрес электронной почты)) в течение 5 рабочих дней с даты такого изменения.</w:t>
      </w:r>
    </w:p>
    <w:p>
      <w:pPr>
        <w:pStyle w:val="0"/>
        <w:spacing w:before="200" w:line-rule="auto"/>
        <w:ind w:firstLine="540"/>
        <w:jc w:val="both"/>
      </w:pPr>
      <w:r>
        <w:rPr>
          <w:sz w:val="20"/>
        </w:rPr>
        <w:t xml:space="preserve">Участник отбора декларирует в заявке соответствие его категории и требованиям, указанным в </w:t>
      </w:r>
      <w:hyperlink w:history="0" w:anchor="P50" w:tooltip="4. Участниками отбора являются социально ориентированные некоммерческие организации, осуществляющие деятельность на территории Нижегородской области,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 N 1290 &quot;О реестре социально ориентированных некоммерческих организаций&quot; (далее - некоммерческая организация), соответствующие следующим требованиям:">
        <w:r>
          <w:rPr>
            <w:sz w:val="20"/>
            <w:color w:val="0000ff"/>
          </w:rPr>
          <w:t xml:space="preserve">пункте 4</w:t>
        </w:r>
      </w:hyperlink>
      <w:r>
        <w:rPr>
          <w:sz w:val="20"/>
        </w:rPr>
        <w:t xml:space="preserve"> настоящего Порядка.</w:t>
      </w:r>
    </w:p>
    <w:p>
      <w:pPr>
        <w:pStyle w:val="0"/>
        <w:spacing w:before="200" w:line-rule="auto"/>
        <w:ind w:firstLine="540"/>
        <w:jc w:val="both"/>
      </w:pPr>
      <w:r>
        <w:rPr>
          <w:sz w:val="20"/>
        </w:rPr>
        <w:t xml:space="preserve">Участник отбора несет ответственность за правильность оформления, достоверность, полноту и актуальность представленной им информации в соответствии с действующим законодательством Российской Федерации.</w:t>
      </w:r>
    </w:p>
    <w:p>
      <w:pPr>
        <w:pStyle w:val="0"/>
        <w:spacing w:before="200" w:line-rule="auto"/>
        <w:ind w:firstLine="540"/>
        <w:jc w:val="both"/>
      </w:pPr>
      <w:r>
        <w:rPr>
          <w:sz w:val="20"/>
        </w:rPr>
        <w:t xml:space="preserve">7. Заявка подписывается руководителем участника отбора (иным уполномоченным лицом), скрепляется печатью (при наличии) и представляется в Министерство способом, указанным в объявлении о проведении отбора.</w:t>
      </w:r>
    </w:p>
    <w:bookmarkStart w:id="73" w:name="P73"/>
    <w:bookmarkEnd w:id="73"/>
    <w:p>
      <w:pPr>
        <w:pStyle w:val="0"/>
        <w:spacing w:before="200" w:line-rule="auto"/>
        <w:ind w:firstLine="540"/>
        <w:jc w:val="both"/>
      </w:pPr>
      <w:r>
        <w:rPr>
          <w:sz w:val="20"/>
        </w:rPr>
        <w:t xml:space="preserve">8. Участник отбора в дополнение к заявке вправе по собственной инициативе представить следующие документы:</w:t>
      </w:r>
    </w:p>
    <w:p>
      <w:pPr>
        <w:pStyle w:val="0"/>
        <w:spacing w:before="200" w:line-rule="auto"/>
        <w:ind w:firstLine="540"/>
        <w:jc w:val="both"/>
      </w:pPr>
      <w:r>
        <w:rPr>
          <w:sz w:val="20"/>
        </w:rPr>
        <w:t xml:space="preserve">а) справку налогового органа об исполнении налогоплательщиком (плательщиком сбора, налоговым агентом) обязанности по уплате налогов, сборов, страховых взносов, пеней, штрафов, процентов, выданную не ранее чем за 30 календарных дней до дня подачи заявки;</w:t>
      </w:r>
    </w:p>
    <w:p>
      <w:pPr>
        <w:pStyle w:val="0"/>
        <w:spacing w:before="200" w:line-rule="auto"/>
        <w:ind w:firstLine="540"/>
        <w:jc w:val="both"/>
      </w:pPr>
      <w:r>
        <w:rPr>
          <w:sz w:val="20"/>
        </w:rPr>
        <w:t xml:space="preserve">б) выписку из Единого государственного реестра юридических лиц, выданную не ранее чем за 30 календарных дней до дня подачи заявки.</w:t>
      </w:r>
    </w:p>
    <w:p>
      <w:pPr>
        <w:pStyle w:val="0"/>
        <w:spacing w:before="200" w:line-rule="auto"/>
        <w:ind w:firstLine="540"/>
        <w:jc w:val="both"/>
      </w:pPr>
      <w:r>
        <w:rPr>
          <w:sz w:val="20"/>
        </w:rPr>
        <w:t xml:space="preserve">9. В случае непредставления участником отбора по собственной инициативе документов, указанных в </w:t>
      </w:r>
      <w:hyperlink w:history="0" w:anchor="P73" w:tooltip="8. Участник отбора в дополнение к заявке вправе по собственной инициативе представить следующие документы:">
        <w:r>
          <w:rPr>
            <w:sz w:val="20"/>
            <w:color w:val="0000ff"/>
          </w:rPr>
          <w:t xml:space="preserve">пункте 8</w:t>
        </w:r>
      </w:hyperlink>
      <w:r>
        <w:rPr>
          <w:sz w:val="20"/>
        </w:rPr>
        <w:t xml:space="preserve"> настоящего Порядка, Министерство в срок не позднее 5 рабочих дней со дня поступления заявки запрашивает у соответствующих органов необходимую информацию, в том числе посредством автоматизированной системы межведомственного электронного взаимодействия.</w:t>
      </w:r>
    </w:p>
    <w:p>
      <w:pPr>
        <w:pStyle w:val="0"/>
        <w:spacing w:before="200" w:line-rule="auto"/>
        <w:ind w:firstLine="540"/>
        <w:jc w:val="both"/>
      </w:pPr>
      <w:r>
        <w:rPr>
          <w:sz w:val="20"/>
        </w:rPr>
        <w:t xml:space="preserve">10. Заявки, поступившие в Министерство, подлежат регистрации в порядке, установленном в </w:t>
      </w:r>
      <w:hyperlink w:history="0" r:id="rId14" w:tooltip="Постановление Правительства Нижегородской области от 28.12.2018 N 912 (ред. от 21.11.2019) &quot;Об утверждении Инструкции по делопроизводству в органах исполнительной власти Нижегородской области и их структурных подразделениях&quot; {КонсультантПлюс}">
        <w:r>
          <w:rPr>
            <w:sz w:val="20"/>
            <w:color w:val="0000ff"/>
          </w:rPr>
          <w:t xml:space="preserve">Инструкции</w:t>
        </w:r>
      </w:hyperlink>
      <w:r>
        <w:rPr>
          <w:sz w:val="20"/>
        </w:rPr>
        <w:t xml:space="preserve"> по делопроизводству в органах исполнительной власти Нижегородской области и их структурных подразделениях, утвержденной постановлением Правительства Нижегородской области от 28 декабря 2018 г. N 912.</w:t>
      </w:r>
    </w:p>
    <w:p>
      <w:pPr>
        <w:pStyle w:val="0"/>
        <w:spacing w:before="200" w:line-rule="auto"/>
        <w:ind w:firstLine="540"/>
        <w:jc w:val="both"/>
      </w:pPr>
      <w:r>
        <w:rPr>
          <w:sz w:val="20"/>
        </w:rPr>
        <w:t xml:space="preserve">11. Министерство в течение 10 рабочих дней с даты окончания приема заявок рассматривает поступившие заявки и:</w:t>
      </w:r>
    </w:p>
    <w:p>
      <w:pPr>
        <w:pStyle w:val="0"/>
        <w:spacing w:before="200" w:line-rule="auto"/>
        <w:ind w:firstLine="540"/>
        <w:jc w:val="both"/>
      </w:pPr>
      <w:r>
        <w:rPr>
          <w:sz w:val="20"/>
        </w:rPr>
        <w:t xml:space="preserve">- при отсутствии оснований для отклонения заявки, указанных в </w:t>
      </w:r>
      <w:hyperlink w:history="0" w:anchor="P81" w:tooltip="12. Основания для отклонения заявки на стадии рассмотрения заявок Министерством:">
        <w:r>
          <w:rPr>
            <w:sz w:val="20"/>
            <w:color w:val="0000ff"/>
          </w:rPr>
          <w:t xml:space="preserve">пункте 12</w:t>
        </w:r>
      </w:hyperlink>
      <w:r>
        <w:rPr>
          <w:sz w:val="20"/>
        </w:rPr>
        <w:t xml:space="preserve"> настоящего Порядка, передает заявку в комиссию по проведению отбора некоммерческих организаций для оказания информационной поддержки (далее - Комиссия);</w:t>
      </w:r>
    </w:p>
    <w:p>
      <w:pPr>
        <w:pStyle w:val="0"/>
        <w:spacing w:before="200" w:line-rule="auto"/>
        <w:ind w:firstLine="540"/>
        <w:jc w:val="both"/>
      </w:pPr>
      <w:r>
        <w:rPr>
          <w:sz w:val="20"/>
        </w:rPr>
        <w:t xml:space="preserve">- при наличии оснований для отклонения заявки, указанных в пункте 12 настоящего Порядка, отклоняет заявку письменным уведомлением с мотивированным обоснованием отказа.</w:t>
      </w:r>
    </w:p>
    <w:bookmarkStart w:id="81" w:name="P81"/>
    <w:bookmarkEnd w:id="81"/>
    <w:p>
      <w:pPr>
        <w:pStyle w:val="0"/>
        <w:spacing w:before="200" w:line-rule="auto"/>
        <w:ind w:firstLine="540"/>
        <w:jc w:val="both"/>
      </w:pPr>
      <w:r>
        <w:rPr>
          <w:sz w:val="20"/>
        </w:rPr>
        <w:t xml:space="preserve">12. Основания для отклонения заявки на стадии рассмотрения заявок Министерством:</w:t>
      </w:r>
    </w:p>
    <w:p>
      <w:pPr>
        <w:pStyle w:val="0"/>
        <w:spacing w:before="200" w:line-rule="auto"/>
        <w:ind w:firstLine="540"/>
        <w:jc w:val="both"/>
      </w:pPr>
      <w:r>
        <w:rPr>
          <w:sz w:val="20"/>
        </w:rPr>
        <w:t xml:space="preserve">а) несоответствие участника отбора категории и (или) требованиям, установленным </w:t>
      </w:r>
      <w:hyperlink w:history="0" w:anchor="P50" w:tooltip="4. Участниками отбора являются социально ориентированные некоммерческие организации, осуществляющие деятельность на территории Нижегородской области,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 N 1290 &quot;О реестре социально ориентированных некоммерческих организаций&quot; (далее - некоммерческая организация), соответствующие следующим требованиям:">
        <w:r>
          <w:rPr>
            <w:sz w:val="20"/>
            <w:color w:val="0000ff"/>
          </w:rPr>
          <w:t xml:space="preserve">пунктом 4</w:t>
        </w:r>
      </w:hyperlink>
      <w:r>
        <w:rPr>
          <w:sz w:val="20"/>
        </w:rPr>
        <w:t xml:space="preserve"> настоящего Порядка;</w:t>
      </w:r>
    </w:p>
    <w:p>
      <w:pPr>
        <w:pStyle w:val="0"/>
        <w:spacing w:before="200" w:line-rule="auto"/>
        <w:ind w:firstLine="540"/>
        <w:jc w:val="both"/>
      </w:pPr>
      <w:r>
        <w:rPr>
          <w:sz w:val="20"/>
        </w:rPr>
        <w:t xml:space="preserve">б) несоответствие представленных участником отбора заявок и обязательных для представления документов требованиям к заявкам участников отбора, установленным в объявлении о проведении отбора;</w:t>
      </w:r>
    </w:p>
    <w:p>
      <w:pPr>
        <w:pStyle w:val="0"/>
        <w:spacing w:before="200" w:line-rule="auto"/>
        <w:ind w:firstLine="540"/>
        <w:jc w:val="both"/>
      </w:pPr>
      <w:r>
        <w:rPr>
          <w:sz w:val="20"/>
        </w:rPr>
        <w:t xml:space="preserve">в) недостоверность представленной участником отбора информации, в том числе информации о месте нахождения и адресе некоммерческой организации;</w:t>
      </w:r>
    </w:p>
    <w:p>
      <w:pPr>
        <w:pStyle w:val="0"/>
        <w:spacing w:before="200" w:line-rule="auto"/>
        <w:ind w:firstLine="540"/>
        <w:jc w:val="both"/>
      </w:pPr>
      <w:r>
        <w:rPr>
          <w:sz w:val="20"/>
        </w:rPr>
        <w:t xml:space="preserve">г) подача участником отбора заявки после даты окончания приема заявок, определенной в объявлении о проведении отбора.</w:t>
      </w:r>
    </w:p>
    <w:p>
      <w:pPr>
        <w:pStyle w:val="0"/>
        <w:spacing w:before="200" w:line-rule="auto"/>
        <w:ind w:firstLine="540"/>
        <w:jc w:val="both"/>
      </w:pPr>
      <w:r>
        <w:rPr>
          <w:sz w:val="20"/>
        </w:rPr>
        <w:t xml:space="preserve">Под недостоверной информацией в настоящем Порядке понимается наличие в содержании представленных документов сведений, не соответствующих действительности.</w:t>
      </w:r>
    </w:p>
    <w:p>
      <w:pPr>
        <w:pStyle w:val="0"/>
        <w:spacing w:before="200" w:line-rule="auto"/>
        <w:ind w:firstLine="540"/>
        <w:jc w:val="both"/>
      </w:pPr>
      <w:r>
        <w:rPr>
          <w:sz w:val="20"/>
        </w:rPr>
        <w:t xml:space="preserve">13. Отбор осуществляет Комиссия.</w:t>
      </w:r>
    </w:p>
    <w:p>
      <w:pPr>
        <w:pStyle w:val="0"/>
        <w:spacing w:before="200" w:line-rule="auto"/>
        <w:ind w:firstLine="540"/>
        <w:jc w:val="both"/>
      </w:pPr>
      <w:r>
        <w:rPr>
          <w:sz w:val="20"/>
        </w:rPr>
        <w:t xml:space="preserve">Состав Комиссии и положение о ней утверждаются приказом Министерства.</w:t>
      </w:r>
    </w:p>
    <w:p>
      <w:pPr>
        <w:pStyle w:val="0"/>
        <w:spacing w:before="200" w:line-rule="auto"/>
        <w:ind w:firstLine="540"/>
        <w:jc w:val="both"/>
      </w:pPr>
      <w:r>
        <w:rPr>
          <w:sz w:val="20"/>
        </w:rPr>
        <w:t xml:space="preserve">Заседание Комиссии проводится в срок не позднее 20 рабочих дней со дня окончания приема заявок.</w:t>
      </w:r>
    </w:p>
    <w:p>
      <w:pPr>
        <w:pStyle w:val="0"/>
        <w:spacing w:before="200" w:line-rule="auto"/>
        <w:ind w:firstLine="540"/>
        <w:jc w:val="both"/>
      </w:pPr>
      <w:r>
        <w:rPr>
          <w:sz w:val="20"/>
        </w:rPr>
        <w:t xml:space="preserve">Каждый член Комиссии оценивает заявки в соответствии с </w:t>
      </w:r>
      <w:hyperlink w:history="0" w:anchor="P133" w:tooltip="КРИТЕРИИ ОЦЕНКИ">
        <w:r>
          <w:rPr>
            <w:sz w:val="20"/>
            <w:color w:val="0000ff"/>
          </w:rPr>
          <w:t xml:space="preserve">критериями оценки</w:t>
        </w:r>
      </w:hyperlink>
      <w:r>
        <w:rPr>
          <w:sz w:val="20"/>
        </w:rPr>
        <w:t xml:space="preserve"> заявок, представленных некоммерческими организациями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 указанными в приложении к настоящему Порядку, и определяет итоговую оценку каждой заявки.</w:t>
      </w:r>
    </w:p>
    <w:p>
      <w:pPr>
        <w:pStyle w:val="0"/>
        <w:spacing w:before="200" w:line-rule="auto"/>
        <w:ind w:firstLine="540"/>
        <w:jc w:val="both"/>
      </w:pPr>
      <w:r>
        <w:rPr>
          <w:sz w:val="20"/>
        </w:rPr>
        <w:t xml:space="preserve">Итоговая оценка заявки определяется по формуле:</w:t>
      </w:r>
    </w:p>
    <w:p>
      <w:pPr>
        <w:pStyle w:val="0"/>
        <w:ind w:firstLine="540"/>
        <w:jc w:val="both"/>
      </w:pPr>
      <w:r>
        <w:rPr>
          <w:sz w:val="20"/>
        </w:rPr>
      </w:r>
    </w:p>
    <w:p>
      <w:pPr>
        <w:pStyle w:val="0"/>
        <w:jc w:val="center"/>
      </w:pPr>
      <w:r>
        <w:rPr>
          <w:sz w:val="20"/>
        </w:rPr>
        <w:t xml:space="preserve">И = К1 + К2 + К3 + К4 + К5 + К6,</w:t>
      </w:r>
    </w:p>
    <w:p>
      <w:pPr>
        <w:pStyle w:val="0"/>
        <w:ind w:firstLine="54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И - итоговая оценка заявки;</w:t>
      </w:r>
    </w:p>
    <w:p>
      <w:pPr>
        <w:pStyle w:val="0"/>
        <w:spacing w:before="200" w:line-rule="auto"/>
        <w:ind w:firstLine="540"/>
        <w:jc w:val="both"/>
      </w:pPr>
      <w:r>
        <w:rPr>
          <w:sz w:val="20"/>
        </w:rPr>
        <w:t xml:space="preserve">К1 - значение оценки по критерию "Актуальность и социальная значимость реализуемых организацией проектов";</w:t>
      </w:r>
    </w:p>
    <w:p>
      <w:pPr>
        <w:pStyle w:val="0"/>
        <w:spacing w:before="200" w:line-rule="auto"/>
        <w:ind w:firstLine="540"/>
        <w:jc w:val="both"/>
      </w:pPr>
      <w:r>
        <w:rPr>
          <w:sz w:val="20"/>
        </w:rPr>
        <w:t xml:space="preserve">К2 - значение оценки по критерию "Уникальность реализуемых организацией проектов";</w:t>
      </w:r>
    </w:p>
    <w:p>
      <w:pPr>
        <w:pStyle w:val="0"/>
        <w:spacing w:before="200" w:line-rule="auto"/>
        <w:ind w:firstLine="540"/>
        <w:jc w:val="both"/>
      </w:pPr>
      <w:r>
        <w:rPr>
          <w:sz w:val="20"/>
        </w:rPr>
        <w:t xml:space="preserve">К3 - значение оценки по критерию "Охват участников и/или благополучателей";</w:t>
      </w:r>
    </w:p>
    <w:p>
      <w:pPr>
        <w:pStyle w:val="0"/>
        <w:spacing w:before="200" w:line-rule="auto"/>
        <w:ind w:firstLine="540"/>
        <w:jc w:val="both"/>
      </w:pPr>
      <w:r>
        <w:rPr>
          <w:sz w:val="20"/>
        </w:rPr>
        <w:t xml:space="preserve">К4 - значение оценки по критерию "Информационная открытость, публичность деятельности организации";</w:t>
      </w:r>
    </w:p>
    <w:p>
      <w:pPr>
        <w:pStyle w:val="0"/>
        <w:spacing w:before="200" w:line-rule="auto"/>
        <w:ind w:firstLine="540"/>
        <w:jc w:val="both"/>
      </w:pPr>
      <w:r>
        <w:rPr>
          <w:sz w:val="20"/>
        </w:rPr>
        <w:t xml:space="preserve">К5 - значение оценки по критерию "Наличие (объем) собственных средств, привлеченных средств и ресурсов для реализации проектов";</w:t>
      </w:r>
    </w:p>
    <w:p>
      <w:pPr>
        <w:pStyle w:val="0"/>
        <w:spacing w:before="200" w:line-rule="auto"/>
        <w:ind w:firstLine="540"/>
        <w:jc w:val="both"/>
      </w:pPr>
      <w:r>
        <w:rPr>
          <w:sz w:val="20"/>
        </w:rPr>
        <w:t xml:space="preserve">К6 - значение оценки по критерию "Соответствие реализованных проектов и мероприятий уставной деятельности организаций".</w:t>
      </w:r>
    </w:p>
    <w:p>
      <w:pPr>
        <w:pStyle w:val="0"/>
        <w:spacing w:before="200" w:line-rule="auto"/>
        <w:ind w:firstLine="540"/>
        <w:jc w:val="both"/>
      </w:pPr>
      <w:r>
        <w:rPr>
          <w:sz w:val="20"/>
        </w:rPr>
        <w:t xml:space="preserve">На основании итоговых оценок заявок, присвоенных им всеми членами Комиссии, выводится итоговая сумма баллов по каждой заявке, которая исчисляется как среднее арифметическое всех итоговых оценок заявки, присвоенных заявке каждым членом Комиссии.</w:t>
      </w:r>
    </w:p>
    <w:p>
      <w:pPr>
        <w:pStyle w:val="0"/>
        <w:spacing w:before="200" w:line-rule="auto"/>
        <w:ind w:firstLine="540"/>
        <w:jc w:val="both"/>
      </w:pPr>
      <w:r>
        <w:rPr>
          <w:sz w:val="20"/>
        </w:rPr>
        <w:t xml:space="preserve">Комиссия:</w:t>
      </w:r>
    </w:p>
    <w:p>
      <w:pPr>
        <w:pStyle w:val="0"/>
        <w:spacing w:before="200" w:line-rule="auto"/>
        <w:ind w:firstLine="540"/>
        <w:jc w:val="both"/>
      </w:pPr>
      <w:r>
        <w:rPr>
          <w:sz w:val="20"/>
        </w:rPr>
        <w:t xml:space="preserve">- на основании итоговых оценок формируется рейтинг заявок в порядке убывания присвоенных им итоговых сумм баллов (далее - рейтинг);</w:t>
      </w:r>
    </w:p>
    <w:p>
      <w:pPr>
        <w:pStyle w:val="0"/>
        <w:spacing w:before="200" w:line-rule="auto"/>
        <w:ind w:firstLine="540"/>
        <w:jc w:val="both"/>
      </w:pPr>
      <w:r>
        <w:rPr>
          <w:sz w:val="20"/>
        </w:rPr>
        <w:t xml:space="preserve">- на основании рейтинга формирует Перечень.</w:t>
      </w:r>
    </w:p>
    <w:p>
      <w:pPr>
        <w:pStyle w:val="0"/>
        <w:spacing w:before="200" w:line-rule="auto"/>
        <w:ind w:firstLine="540"/>
        <w:jc w:val="both"/>
      </w:pPr>
      <w:r>
        <w:rPr>
          <w:sz w:val="20"/>
        </w:rPr>
        <w:t xml:space="preserve">Победителями признаются некоммерческие организации, чьи заявки по результатам оценки набрали наибольшее количество баллов, численность которых определяется с учетом предельного количества некоммерческих организаций, имеющих право на получение информационной поддержки, установленного Нижегородской области в приложении к Правилам.</w:t>
      </w:r>
    </w:p>
    <w:p>
      <w:pPr>
        <w:pStyle w:val="0"/>
        <w:spacing w:before="200" w:line-rule="auto"/>
        <w:ind w:firstLine="540"/>
        <w:jc w:val="both"/>
      </w:pPr>
      <w:r>
        <w:rPr>
          <w:sz w:val="20"/>
        </w:rPr>
        <w:t xml:space="preserve">В случае, если заявки нескольких участников отбора набрали равное количество баллов, Министерство включает в Перечень участника отбора, подавшего заявку ранее других.</w:t>
      </w:r>
    </w:p>
    <w:bookmarkStart w:id="109" w:name="P109"/>
    <w:bookmarkEnd w:id="109"/>
    <w:p>
      <w:pPr>
        <w:pStyle w:val="0"/>
        <w:spacing w:before="200" w:line-rule="auto"/>
        <w:ind w:firstLine="540"/>
        <w:jc w:val="both"/>
      </w:pPr>
      <w:r>
        <w:rPr>
          <w:sz w:val="20"/>
        </w:rPr>
        <w:t xml:space="preserve">14. Решение Комиссии оформляется протоколом подведения итогов отбора (далее - протокол) в течение пяти рабочих дней со дня проведения заседания Комиссии и включает в себя следующие сведения:</w:t>
      </w:r>
    </w:p>
    <w:p>
      <w:pPr>
        <w:pStyle w:val="0"/>
        <w:spacing w:before="200" w:line-rule="auto"/>
        <w:ind w:firstLine="540"/>
        <w:jc w:val="both"/>
      </w:pPr>
      <w:r>
        <w:rPr>
          <w:sz w:val="20"/>
        </w:rPr>
        <w:t xml:space="preserve">- дата, время и место проведения заседания Комиссии;</w:t>
      </w:r>
    </w:p>
    <w:p>
      <w:pPr>
        <w:pStyle w:val="0"/>
        <w:spacing w:before="200" w:line-rule="auto"/>
        <w:ind w:firstLine="540"/>
        <w:jc w:val="both"/>
      </w:pPr>
      <w:r>
        <w:rPr>
          <w:sz w:val="20"/>
        </w:rPr>
        <w:t xml:space="preserve">- информация об участниках отбора, заявки которых были рассмотрены;</w:t>
      </w:r>
    </w:p>
    <w:p>
      <w:pPr>
        <w:pStyle w:val="0"/>
        <w:spacing w:before="200" w:line-rule="auto"/>
        <w:ind w:firstLine="540"/>
        <w:jc w:val="both"/>
      </w:pPr>
      <w:r>
        <w:rPr>
          <w:sz w:val="20"/>
        </w:rPr>
        <w:t xml:space="preserve">- рейтинг заявок в порядке убывания присвоенных им итоговых сумм баллов;</w:t>
      </w:r>
    </w:p>
    <w:p>
      <w:pPr>
        <w:pStyle w:val="0"/>
        <w:spacing w:before="200" w:line-rule="auto"/>
        <w:ind w:firstLine="540"/>
        <w:jc w:val="both"/>
      </w:pPr>
      <w:r>
        <w:rPr>
          <w:sz w:val="20"/>
        </w:rPr>
        <w:t xml:space="preserve">- Перечень.</w:t>
      </w:r>
    </w:p>
    <w:p>
      <w:pPr>
        <w:pStyle w:val="0"/>
        <w:spacing w:before="200" w:line-rule="auto"/>
        <w:ind w:firstLine="540"/>
        <w:jc w:val="both"/>
      </w:pPr>
      <w:r>
        <w:rPr>
          <w:sz w:val="20"/>
        </w:rPr>
        <w:t xml:space="preserve">Протокол подписывается председателем Комиссии (в случае его отсутствия заместителем председателя Комиссии) и всеми присутствовавшими на заседании членами Комиссии и в срок, указанный в </w:t>
      </w:r>
      <w:hyperlink w:history="0" w:anchor="P109" w:tooltip="14. Решение Комиссии оформляется протоколом подведения итогов отбора (далее - протокол) в течение пяти рабочих дней со дня проведения заседания Комиссии и включает в себя следующие сведения:">
        <w:r>
          <w:rPr>
            <w:sz w:val="20"/>
            <w:color w:val="0000ff"/>
          </w:rPr>
          <w:t xml:space="preserve">абзаце первом</w:t>
        </w:r>
      </w:hyperlink>
      <w:r>
        <w:rPr>
          <w:sz w:val="20"/>
        </w:rPr>
        <w:t xml:space="preserve"> настоящего пункта, передается в Министерство.</w:t>
      </w:r>
    </w:p>
    <w:p>
      <w:pPr>
        <w:pStyle w:val="0"/>
        <w:spacing w:before="200" w:line-rule="auto"/>
        <w:ind w:firstLine="540"/>
        <w:jc w:val="both"/>
      </w:pPr>
      <w:r>
        <w:rPr>
          <w:sz w:val="20"/>
        </w:rPr>
        <w:t xml:space="preserve">15. Министерство:</w:t>
      </w:r>
    </w:p>
    <w:p>
      <w:pPr>
        <w:pStyle w:val="0"/>
        <w:spacing w:before="200" w:line-rule="auto"/>
        <w:ind w:firstLine="540"/>
        <w:jc w:val="both"/>
      </w:pPr>
      <w:r>
        <w:rPr>
          <w:sz w:val="20"/>
        </w:rPr>
        <w:t xml:space="preserve">15.1. В срок не позднее 30 рабочих дней с даты подписания протокола размещает его на официальном сайте Министерства в сети "Интернет".</w:t>
      </w:r>
    </w:p>
    <w:p>
      <w:pPr>
        <w:pStyle w:val="0"/>
        <w:spacing w:before="200" w:line-rule="auto"/>
        <w:ind w:firstLine="540"/>
        <w:jc w:val="both"/>
      </w:pPr>
      <w:r>
        <w:rPr>
          <w:sz w:val="20"/>
        </w:rPr>
        <w:t xml:space="preserve">15.2. На основании протокола формирует указанные в </w:t>
      </w:r>
      <w:hyperlink w:history="0" r:id="rId15" w:tooltip="Постановление Правительства РФ от 29.11.2023 N 2022 &quot;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quot;Интернет&quot; и (или) обеспечении их функционирования путем использования федеральной государственной информационной системы &quot;Единый портал государственных и муниципальных услуг (функций)&quot; {КонсультантПлюс}">
        <w:r>
          <w:rPr>
            <w:sz w:val="20"/>
            <w:color w:val="0000ff"/>
          </w:rPr>
          <w:t xml:space="preserve">пункте 6</w:t>
        </w:r>
      </w:hyperlink>
      <w:r>
        <w:rPr>
          <w:sz w:val="20"/>
        </w:rPr>
        <w:t xml:space="preserve"> Правил сведения о некоммерческих организациях, по результатам отбора имеющих право на получение информационной поддержки (далее - сведения), для дальнейшего их направления в Минцифры России в порядке и сроки, установленные пунктом 6 Правил.</w:t>
      </w:r>
    </w:p>
    <w:p>
      <w:pPr>
        <w:pStyle w:val="0"/>
        <w:spacing w:before="200" w:line-rule="auto"/>
        <w:ind w:firstLine="540"/>
        <w:jc w:val="both"/>
      </w:pPr>
      <w:r>
        <w:rPr>
          <w:sz w:val="20"/>
        </w:rPr>
        <w:t xml:space="preserve">16. В случае изменения сведений Министерство обеспечивает их актуализацию для дальнейшего их направления в Минцифры России в порядке и сроки, установленные </w:t>
      </w:r>
      <w:hyperlink w:history="0" r:id="rId16" w:tooltip="Постановление Правительства РФ от 29.11.2023 N 2022 &quot;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телекоммуникационной сети &quot;Интернет&quot; и (или) обеспечении их функционирования путем использования федеральной государственной информационной системы &quot;Единый портал государственных и муниципальных услуг (функций)&quot; {КонсультантПлюс}">
        <w:r>
          <w:rPr>
            <w:sz w:val="20"/>
            <w:color w:val="0000ff"/>
          </w:rPr>
          <w:t xml:space="preserve">пунктом 6</w:t>
        </w:r>
      </w:hyperlink>
      <w:r>
        <w:rPr>
          <w:sz w:val="20"/>
        </w:rPr>
        <w:t xml:space="preserve"> Правил.</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w:t>
      </w:r>
    </w:p>
    <w:p>
      <w:pPr>
        <w:pStyle w:val="0"/>
        <w:jc w:val="right"/>
      </w:pPr>
      <w:r>
        <w:rPr>
          <w:sz w:val="20"/>
        </w:rPr>
        <w:t xml:space="preserve">к Порядку проведения отбора социально ориентированных</w:t>
      </w:r>
    </w:p>
    <w:p>
      <w:pPr>
        <w:pStyle w:val="0"/>
        <w:jc w:val="right"/>
      </w:pPr>
      <w:r>
        <w:rPr>
          <w:sz w:val="20"/>
        </w:rPr>
        <w:t xml:space="preserve">некоммерческих организаций для оказания информационной</w:t>
      </w:r>
    </w:p>
    <w:p>
      <w:pPr>
        <w:pStyle w:val="0"/>
        <w:jc w:val="right"/>
      </w:pPr>
      <w:r>
        <w:rPr>
          <w:sz w:val="20"/>
        </w:rPr>
        <w:t xml:space="preserve">поддержки в форме содействия в создании официальных сайтов</w:t>
      </w:r>
    </w:p>
    <w:p>
      <w:pPr>
        <w:pStyle w:val="0"/>
        <w:jc w:val="right"/>
      </w:pPr>
      <w:r>
        <w:rPr>
          <w:sz w:val="20"/>
        </w:rPr>
        <w:t xml:space="preserve">в информационно-телекоммуникационной сети "Интернет"</w:t>
      </w:r>
    </w:p>
    <w:p>
      <w:pPr>
        <w:pStyle w:val="0"/>
        <w:jc w:val="right"/>
      </w:pPr>
      <w:r>
        <w:rPr>
          <w:sz w:val="20"/>
        </w:rPr>
        <w:t xml:space="preserve">и (или) обеспечении их функционирования путем использования</w:t>
      </w:r>
    </w:p>
    <w:p>
      <w:pPr>
        <w:pStyle w:val="0"/>
        <w:jc w:val="right"/>
      </w:pPr>
      <w:r>
        <w:rPr>
          <w:sz w:val="20"/>
        </w:rPr>
        <w:t xml:space="preserve">федеральной государственной информационной системы "Единый</w:t>
      </w:r>
    </w:p>
    <w:p>
      <w:pPr>
        <w:pStyle w:val="0"/>
        <w:jc w:val="right"/>
      </w:pPr>
      <w:r>
        <w:rPr>
          <w:sz w:val="20"/>
        </w:rPr>
        <w:t xml:space="preserve">портал государственных и муниципальных услуг (функций)"</w:t>
      </w:r>
    </w:p>
    <w:p>
      <w:pPr>
        <w:pStyle w:val="0"/>
        <w:ind w:firstLine="540"/>
        <w:jc w:val="both"/>
      </w:pPr>
      <w:r>
        <w:rPr>
          <w:sz w:val="20"/>
        </w:rPr>
      </w:r>
    </w:p>
    <w:bookmarkStart w:id="133" w:name="P133"/>
    <w:bookmarkEnd w:id="133"/>
    <w:p>
      <w:pPr>
        <w:pStyle w:val="2"/>
        <w:jc w:val="center"/>
      </w:pPr>
      <w:r>
        <w:rPr>
          <w:sz w:val="20"/>
        </w:rPr>
        <w:t xml:space="preserve">КРИТЕРИИ ОЦЕНКИ</w:t>
      </w:r>
    </w:p>
    <w:p>
      <w:pPr>
        <w:pStyle w:val="2"/>
        <w:jc w:val="center"/>
      </w:pPr>
      <w:r>
        <w:rPr>
          <w:sz w:val="20"/>
        </w:rPr>
        <w:t xml:space="preserve">ЗАЯВОК, ПРЕДСТАВЛЕННЫХ СОЦИАЛЬНО ОРИЕНТИРОВАННЫМИ</w:t>
      </w:r>
    </w:p>
    <w:p>
      <w:pPr>
        <w:pStyle w:val="2"/>
        <w:jc w:val="center"/>
      </w:pPr>
      <w:r>
        <w:rPr>
          <w:sz w:val="20"/>
        </w:rPr>
        <w:t xml:space="preserve">НЕКОММЕРЧЕСКИМИ ОРГАНИЗАЦИЯМИ ДЛЯ ОКАЗАНИЯ ИНФОРМАЦИОННОЙ</w:t>
      </w:r>
    </w:p>
    <w:p>
      <w:pPr>
        <w:pStyle w:val="2"/>
        <w:jc w:val="center"/>
      </w:pPr>
      <w:r>
        <w:rPr>
          <w:sz w:val="20"/>
        </w:rPr>
        <w:t xml:space="preserve">ПОДДЕРЖКИ В ФОРМЕ СОДЕЙСТВИЯ В СОЗДАНИИ ОФИЦИАЛЬНЫХ САЙТОВ</w:t>
      </w:r>
    </w:p>
    <w:p>
      <w:pPr>
        <w:pStyle w:val="2"/>
        <w:jc w:val="center"/>
      </w:pPr>
      <w:r>
        <w:rPr>
          <w:sz w:val="20"/>
        </w:rPr>
        <w:t xml:space="preserve">В ИНФОРМАЦИОННО-ТЕЛЕКОММУНИКАЦИОННОЙ СЕТИ "ИНТЕРНЕТ"</w:t>
      </w:r>
    </w:p>
    <w:p>
      <w:pPr>
        <w:pStyle w:val="2"/>
        <w:jc w:val="center"/>
      </w:pPr>
      <w:r>
        <w:rPr>
          <w:sz w:val="20"/>
        </w:rPr>
        <w:t xml:space="preserve">И (ИЛИ) ОБЕСПЕЧЕНИИ ИХ ФУНКЦИОНИРОВАНИЯ ПУТЕМ ИСПОЛЬЗОВАНИЯ</w:t>
      </w:r>
    </w:p>
    <w:p>
      <w:pPr>
        <w:pStyle w:val="2"/>
        <w:jc w:val="center"/>
      </w:pPr>
      <w:r>
        <w:rPr>
          <w:sz w:val="20"/>
        </w:rPr>
        <w:t xml:space="preserve">ФЕДЕРАЛЬНОЙ ГОСУДАРСТВЕННОЙ ИНФОРМАЦИОННОЙ СИСТЕМЫ "ЕДИНЫЙ</w:t>
      </w:r>
    </w:p>
    <w:p>
      <w:pPr>
        <w:pStyle w:val="2"/>
        <w:jc w:val="center"/>
      </w:pPr>
      <w:r>
        <w:rPr>
          <w:sz w:val="20"/>
        </w:rPr>
        <w:t xml:space="preserve">ПОРТАЛ ГОСУДАРСТВЕННЫХ И МУНИЦИПАЛЬНЫХ УСЛУГ (ФУНКЦИЙ)"</w:t>
      </w:r>
    </w:p>
    <w:p>
      <w:pPr>
        <w:pStyle w:val="0"/>
        <w:ind w:firstLine="54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6123"/>
        <w:gridCol w:w="2438"/>
      </w:tblGrid>
      <w:tr>
        <w:tc>
          <w:tcPr>
            <w:tcW w:w="510" w:type="dxa"/>
          </w:tcPr>
          <w:p>
            <w:pPr>
              <w:pStyle w:val="0"/>
              <w:jc w:val="center"/>
            </w:pPr>
            <w:r>
              <w:rPr>
                <w:sz w:val="20"/>
              </w:rPr>
              <w:t xml:space="preserve">N</w:t>
            </w:r>
          </w:p>
        </w:tc>
        <w:tc>
          <w:tcPr>
            <w:tcW w:w="6123" w:type="dxa"/>
          </w:tcPr>
          <w:p>
            <w:pPr>
              <w:pStyle w:val="0"/>
              <w:jc w:val="center"/>
            </w:pPr>
            <w:r>
              <w:rPr>
                <w:sz w:val="20"/>
              </w:rPr>
              <w:t xml:space="preserve">Наименование критерия</w:t>
            </w:r>
          </w:p>
        </w:tc>
        <w:tc>
          <w:tcPr>
            <w:tcW w:w="2438" w:type="dxa"/>
          </w:tcPr>
          <w:p>
            <w:pPr>
              <w:pStyle w:val="0"/>
              <w:jc w:val="center"/>
            </w:pPr>
            <w:r>
              <w:rPr>
                <w:sz w:val="20"/>
              </w:rPr>
              <w:t xml:space="preserve">Значения критерия</w:t>
            </w:r>
          </w:p>
        </w:tc>
      </w:tr>
      <w:tr>
        <w:tc>
          <w:tcPr>
            <w:tcW w:w="510" w:type="dxa"/>
          </w:tcPr>
          <w:p>
            <w:pPr>
              <w:pStyle w:val="0"/>
              <w:jc w:val="center"/>
            </w:pPr>
            <w:r>
              <w:rPr>
                <w:sz w:val="20"/>
              </w:rPr>
              <w:t xml:space="preserve">1.</w:t>
            </w:r>
          </w:p>
        </w:tc>
        <w:tc>
          <w:tcPr>
            <w:tcW w:w="6123" w:type="dxa"/>
          </w:tcPr>
          <w:p>
            <w:pPr>
              <w:pStyle w:val="0"/>
              <w:jc w:val="both"/>
            </w:pPr>
            <w:r>
              <w:rPr>
                <w:sz w:val="20"/>
              </w:rPr>
              <w:t xml:space="preserve">Актуальность и социальная значимость реализуемых организацией проектов</w:t>
            </w:r>
          </w:p>
        </w:tc>
        <w:tc>
          <w:tcPr>
            <w:tcW w:w="2438" w:type="dxa"/>
          </w:tcPr>
          <w:p>
            <w:pPr>
              <w:pStyle w:val="0"/>
              <w:jc w:val="center"/>
            </w:pPr>
            <w:r>
              <w:rPr>
                <w:sz w:val="20"/>
              </w:rPr>
              <w:t xml:space="preserve">от 0 до 5 баллов</w:t>
            </w:r>
          </w:p>
        </w:tc>
      </w:tr>
      <w:tr>
        <w:tc>
          <w:tcPr>
            <w:tcW w:w="510" w:type="dxa"/>
          </w:tcPr>
          <w:p>
            <w:pPr>
              <w:pStyle w:val="0"/>
              <w:jc w:val="center"/>
            </w:pPr>
            <w:r>
              <w:rPr>
                <w:sz w:val="20"/>
              </w:rPr>
              <w:t xml:space="preserve">2.</w:t>
            </w:r>
          </w:p>
        </w:tc>
        <w:tc>
          <w:tcPr>
            <w:tcW w:w="6123" w:type="dxa"/>
          </w:tcPr>
          <w:p>
            <w:pPr>
              <w:pStyle w:val="0"/>
              <w:jc w:val="both"/>
            </w:pPr>
            <w:r>
              <w:rPr>
                <w:sz w:val="20"/>
              </w:rPr>
              <w:t xml:space="preserve">Уникальность реализуемых организацией проектов</w:t>
            </w:r>
          </w:p>
        </w:tc>
        <w:tc>
          <w:tcPr>
            <w:tcW w:w="2438" w:type="dxa"/>
          </w:tcPr>
          <w:p>
            <w:pPr>
              <w:pStyle w:val="0"/>
              <w:jc w:val="center"/>
            </w:pPr>
            <w:r>
              <w:rPr>
                <w:sz w:val="20"/>
              </w:rPr>
              <w:t xml:space="preserve">от 0 до 5 баллов</w:t>
            </w:r>
          </w:p>
        </w:tc>
      </w:tr>
      <w:tr>
        <w:tc>
          <w:tcPr>
            <w:tcW w:w="510" w:type="dxa"/>
          </w:tcPr>
          <w:p>
            <w:pPr>
              <w:pStyle w:val="0"/>
              <w:jc w:val="center"/>
            </w:pPr>
            <w:r>
              <w:rPr>
                <w:sz w:val="20"/>
              </w:rPr>
              <w:t xml:space="preserve">3.</w:t>
            </w:r>
          </w:p>
        </w:tc>
        <w:tc>
          <w:tcPr>
            <w:tcW w:w="6123" w:type="dxa"/>
          </w:tcPr>
          <w:p>
            <w:pPr>
              <w:pStyle w:val="0"/>
              <w:jc w:val="both"/>
            </w:pPr>
            <w:r>
              <w:rPr>
                <w:sz w:val="20"/>
              </w:rPr>
              <w:t xml:space="preserve">Охват участников и/или благополучателей</w:t>
            </w:r>
          </w:p>
        </w:tc>
        <w:tc>
          <w:tcPr>
            <w:tcW w:w="2438" w:type="dxa"/>
          </w:tcPr>
          <w:p>
            <w:pPr>
              <w:pStyle w:val="0"/>
              <w:jc w:val="center"/>
            </w:pPr>
            <w:r>
              <w:rPr>
                <w:sz w:val="20"/>
              </w:rPr>
              <w:t xml:space="preserve">от 0 до 5 баллов</w:t>
            </w:r>
          </w:p>
        </w:tc>
      </w:tr>
      <w:tr>
        <w:tc>
          <w:tcPr>
            <w:tcW w:w="510" w:type="dxa"/>
          </w:tcPr>
          <w:p>
            <w:pPr>
              <w:pStyle w:val="0"/>
              <w:jc w:val="center"/>
            </w:pPr>
            <w:r>
              <w:rPr>
                <w:sz w:val="20"/>
              </w:rPr>
              <w:t xml:space="preserve">4.</w:t>
            </w:r>
          </w:p>
        </w:tc>
        <w:tc>
          <w:tcPr>
            <w:tcW w:w="6123" w:type="dxa"/>
          </w:tcPr>
          <w:p>
            <w:pPr>
              <w:pStyle w:val="0"/>
              <w:jc w:val="both"/>
            </w:pPr>
            <w:r>
              <w:rPr>
                <w:sz w:val="20"/>
              </w:rPr>
              <w:t xml:space="preserve">Информационная открытость, публичность деятельности организации</w:t>
            </w:r>
          </w:p>
        </w:tc>
        <w:tc>
          <w:tcPr>
            <w:tcW w:w="2438" w:type="dxa"/>
          </w:tcPr>
          <w:p>
            <w:pPr>
              <w:pStyle w:val="0"/>
              <w:jc w:val="center"/>
            </w:pPr>
            <w:r>
              <w:rPr>
                <w:sz w:val="20"/>
              </w:rPr>
              <w:t xml:space="preserve">от 0 до 5 баллов</w:t>
            </w:r>
          </w:p>
        </w:tc>
      </w:tr>
      <w:tr>
        <w:tc>
          <w:tcPr>
            <w:tcW w:w="510" w:type="dxa"/>
          </w:tcPr>
          <w:p>
            <w:pPr>
              <w:pStyle w:val="0"/>
              <w:jc w:val="center"/>
            </w:pPr>
            <w:r>
              <w:rPr>
                <w:sz w:val="20"/>
              </w:rPr>
              <w:t xml:space="preserve">5.</w:t>
            </w:r>
          </w:p>
        </w:tc>
        <w:tc>
          <w:tcPr>
            <w:tcW w:w="6123" w:type="dxa"/>
          </w:tcPr>
          <w:p>
            <w:pPr>
              <w:pStyle w:val="0"/>
              <w:jc w:val="both"/>
            </w:pPr>
            <w:r>
              <w:rPr>
                <w:sz w:val="20"/>
              </w:rPr>
              <w:t xml:space="preserve">Наличие (объем) собственных средств, привлеченных средств и ресурсов для реализации проектов</w:t>
            </w:r>
          </w:p>
        </w:tc>
        <w:tc>
          <w:tcPr>
            <w:tcW w:w="2438" w:type="dxa"/>
          </w:tcPr>
          <w:p>
            <w:pPr>
              <w:pStyle w:val="0"/>
              <w:jc w:val="center"/>
            </w:pPr>
            <w:r>
              <w:rPr>
                <w:sz w:val="20"/>
              </w:rPr>
              <w:t xml:space="preserve">от 0 до 5 баллов</w:t>
            </w:r>
          </w:p>
        </w:tc>
      </w:tr>
      <w:tr>
        <w:tc>
          <w:tcPr>
            <w:tcW w:w="510" w:type="dxa"/>
          </w:tcPr>
          <w:p>
            <w:pPr>
              <w:pStyle w:val="0"/>
              <w:jc w:val="center"/>
            </w:pPr>
            <w:r>
              <w:rPr>
                <w:sz w:val="20"/>
              </w:rPr>
              <w:t xml:space="preserve">6.</w:t>
            </w:r>
          </w:p>
        </w:tc>
        <w:tc>
          <w:tcPr>
            <w:tcW w:w="6123" w:type="dxa"/>
          </w:tcPr>
          <w:p>
            <w:pPr>
              <w:pStyle w:val="0"/>
              <w:jc w:val="both"/>
            </w:pPr>
            <w:r>
              <w:rPr>
                <w:sz w:val="20"/>
              </w:rPr>
              <w:t xml:space="preserve">Соответствие реализованных проектов и мероприятий уставной деятельности организаций</w:t>
            </w:r>
          </w:p>
        </w:tc>
        <w:tc>
          <w:tcPr>
            <w:tcW w:w="2438" w:type="dxa"/>
          </w:tcPr>
          <w:p>
            <w:pPr>
              <w:pStyle w:val="0"/>
              <w:jc w:val="center"/>
            </w:pPr>
            <w:r>
              <w:rPr>
                <w:sz w:val="20"/>
              </w:rPr>
              <w:t xml:space="preserve">от 0 до 5 баллов</w:t>
            </w:r>
          </w:p>
        </w:tc>
      </w:tr>
    </w:tbl>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Нижегородской области от 09.10.2024 N 619</w:t>
            <w:br/>
            <w:t>"Об утверждении Порядка проведения отбора социальн...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3268&amp;dst=100007" TargetMode = "External"/>
	<Relationship Id="rId8" Type="http://schemas.openxmlformats.org/officeDocument/2006/relationships/hyperlink" Target="https://login.consultant.ru/link/?req=doc&amp;base=LAW&amp;n=463268&amp;dst=100007" TargetMode = "External"/>
	<Relationship Id="rId9" Type="http://schemas.openxmlformats.org/officeDocument/2006/relationships/hyperlink" Target="https://login.consultant.ru/link/?req=doc&amp;base=LAW&amp;n=467527" TargetMode = "External"/>
	<Relationship Id="rId10" Type="http://schemas.openxmlformats.org/officeDocument/2006/relationships/hyperlink" Target="https://login.consultant.ru/link/?req=doc&amp;base=LAW&amp;n=121087&amp;dst=100142" TargetMode = "External"/>
	<Relationship Id="rId11" Type="http://schemas.openxmlformats.org/officeDocument/2006/relationships/hyperlink" Target="https://login.consultant.ru/link/?req=doc&amp;base=LAW&amp;n=494455&amp;dst=1659" TargetMode = "External"/>
	<Relationship Id="rId12" Type="http://schemas.openxmlformats.org/officeDocument/2006/relationships/hyperlink" Target="https://login.consultant.ru/link/?req=doc&amp;base=LAW&amp;n=494455&amp;dst=3601" TargetMode = "External"/>
	<Relationship Id="rId13" Type="http://schemas.openxmlformats.org/officeDocument/2006/relationships/hyperlink" Target="https://login.consultant.ru/link/?req=doc&amp;base=LAW&amp;n=494455&amp;dst=10633" TargetMode = "External"/>
	<Relationship Id="rId14" Type="http://schemas.openxmlformats.org/officeDocument/2006/relationships/hyperlink" Target="https://login.consultant.ru/link/?req=doc&amp;base=RLAW187&amp;n=206201&amp;dst=100017" TargetMode = "External"/>
	<Relationship Id="rId15" Type="http://schemas.openxmlformats.org/officeDocument/2006/relationships/hyperlink" Target="https://login.consultant.ru/link/?req=doc&amp;base=LAW&amp;n=463268&amp;dst=100029" TargetMode = "External"/>
	<Relationship Id="rId16" Type="http://schemas.openxmlformats.org/officeDocument/2006/relationships/hyperlink" Target="https://login.consultant.ru/link/?req=doc&amp;base=LAW&amp;n=463268&amp;dst=100029"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Нижегородской области от 09.10.2024 N 619
"Об утверждении Порядка проведения отбора социально ориентированных некоммерческих организаций для оказания информационной поддержки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dc:title>
  <dcterms:created xsi:type="dcterms:W3CDTF">2025-01-08T08:59:18Z</dcterms:created>
</cp:coreProperties>
</file>