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Нижегородской области от 23.10.2024 N 639</w:t>
              <w:br/>
              <w:t xml:space="preserve">(ред. от 24.01.2025)</w:t>
              <w:br/>
              <w:t xml:space="preserve">"О прогнозе социально-экономического развития Нижегородской области на среднесрочный период (на 2025 год и на плановый период 2026 и 2027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20.05.2025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НИЖЕГОРОДСКОЙ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октября 2024 г. N 639</w:t>
      </w:r>
    </w:p>
    <w:p>
      <w:pPr>
        <w:pStyle w:val="2"/>
      </w:pPr>
      <w:r>
        <w:rPr>
          <w:sz w:val="20"/>
        </w:rPr>
      </w:r>
    </w:p>
    <w:p>
      <w:pPr>
        <w:pStyle w:val="2"/>
        <w:jc w:val="center"/>
      </w:pPr>
      <w:r>
        <w:rPr>
          <w:sz w:val="20"/>
        </w:rPr>
        <w:t xml:space="preserve">О ПРОГНОЗЕ СОЦИАЛЬНО-ЭКОНОМИЧЕСКОГО РАЗВИТИЯ</w:t>
      </w:r>
    </w:p>
    <w:p>
      <w:pPr>
        <w:pStyle w:val="2"/>
        <w:jc w:val="center"/>
      </w:pPr>
      <w:r>
        <w:rPr>
          <w:sz w:val="20"/>
        </w:rPr>
        <w:t xml:space="preserve">НИЖЕГОРОДСКОЙ ОБЛАСТИ НА СРЕДНЕСРОЧНЫЙ ПЕРИОД</w:t>
      </w:r>
    </w:p>
    <w:p>
      <w:pPr>
        <w:pStyle w:val="2"/>
        <w:jc w:val="center"/>
      </w:pPr>
      <w:r>
        <w:rPr>
          <w:sz w:val="20"/>
        </w:rPr>
        <w:t xml:space="preserve">(НА 2025 ГОД И НА ПЛАНОВЫЙ ПЕРИОД 2026 И 2027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Нижегородской области от 24.01.2025 N 28 &quot;О внесении изменений в прогноз социально-экономического развития Нижегородской области на среднесрочный период (на 2025 год и на плановый период 2026 и 2027 годов), одобренный постановлением Правительства Нижегородской области от 23 октября 2024 г. N 639&quot; {КонсультантПлюс}">
              <w:r>
                <w:rPr>
                  <w:sz w:val="20"/>
                  <w:color w:val="0000ff"/>
                </w:rPr>
                <w:t xml:space="preserve">постановления</w:t>
              </w:r>
            </w:hyperlink>
            <w:r>
              <w:rPr>
                <w:sz w:val="20"/>
                <w:color w:val="392c69"/>
              </w:rPr>
              <w:t xml:space="preserve"> Правительства Нижегородской области</w:t>
            </w:r>
          </w:p>
          <w:p>
            <w:pPr>
              <w:pStyle w:val="0"/>
              <w:jc w:val="center"/>
            </w:pPr>
            <w:r>
              <w:rPr>
                <w:sz w:val="20"/>
                <w:color w:val="392c69"/>
              </w:rPr>
              <w:t xml:space="preserve">от 24.01.2025 N 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целях формирования областного бюджета Правительство Нижегородской области постановляет:</w:t>
      </w:r>
    </w:p>
    <w:p>
      <w:pPr>
        <w:pStyle w:val="0"/>
        <w:spacing w:before="200" w:line-rule="auto"/>
        <w:ind w:firstLine="540"/>
        <w:jc w:val="both"/>
      </w:pPr>
      <w:r>
        <w:rPr>
          <w:sz w:val="20"/>
        </w:rPr>
        <w:t xml:space="preserve">1. Одобрить прилагаемый </w:t>
      </w:r>
      <w:hyperlink w:history="0" w:anchor="P31" w:tooltip="ПРОГНОЗ">
        <w:r>
          <w:rPr>
            <w:sz w:val="20"/>
            <w:color w:val="0000ff"/>
          </w:rPr>
          <w:t xml:space="preserve">прогноз</w:t>
        </w:r>
      </w:hyperlink>
      <w:r>
        <w:rPr>
          <w:sz w:val="20"/>
        </w:rPr>
        <w:t xml:space="preserve"> социально-экономического развития Нижегородской области на среднесрочный период (на 2025 год и на плановый период 2026 и 2027 годов) (далее - прогноз).</w:t>
      </w:r>
    </w:p>
    <w:p>
      <w:pPr>
        <w:pStyle w:val="0"/>
        <w:spacing w:before="200" w:line-rule="auto"/>
        <w:ind w:firstLine="540"/>
        <w:jc w:val="both"/>
      </w:pPr>
      <w:r>
        <w:rPr>
          <w:sz w:val="20"/>
        </w:rPr>
        <w:t xml:space="preserve">2. Министерству экономического развития и инвестиций Нижегородской области ежеквартально осуществлять мониторинг реализации прогноза.</w:t>
      </w:r>
    </w:p>
    <w:p>
      <w:pPr>
        <w:pStyle w:val="0"/>
        <w:spacing w:before="200" w:line-rule="auto"/>
        <w:ind w:firstLine="540"/>
        <w:jc w:val="both"/>
      </w:pPr>
      <w:r>
        <w:rPr>
          <w:sz w:val="20"/>
        </w:rPr>
        <w:t xml:space="preserve">3. Исполнительным органам Нижегородской области - ответственным исполнителям государственных программ Нижегородской области после принятия закона Нижегородской области "Об областном бюджете на 2025 год и на плановый период 2026 и 2027 годов" привести показатели государственных программ Нижегородской области в соответствие с показателями прогноза.</w:t>
      </w:r>
    </w:p>
    <w:p>
      <w:pPr>
        <w:pStyle w:val="0"/>
        <w:spacing w:before="200" w:line-rule="auto"/>
        <w:ind w:firstLine="540"/>
        <w:jc w:val="both"/>
      </w:pPr>
      <w:r>
        <w:rPr>
          <w:sz w:val="20"/>
        </w:rPr>
        <w:t xml:space="preserve">4. Настоящее постановление подлежит официальному опубликованию.</w:t>
      </w:r>
    </w:p>
    <w:p>
      <w:pPr>
        <w:pStyle w:val="0"/>
        <w:ind w:firstLine="540"/>
        <w:jc w:val="both"/>
      </w:pPr>
      <w:r>
        <w:rPr>
          <w:sz w:val="20"/>
        </w:rPr>
      </w:r>
    </w:p>
    <w:p>
      <w:pPr>
        <w:pStyle w:val="0"/>
        <w:jc w:val="right"/>
      </w:pPr>
      <w:r>
        <w:rPr>
          <w:sz w:val="20"/>
        </w:rPr>
        <w:t xml:space="preserve">И.о. Губернатора</w:t>
      </w:r>
    </w:p>
    <w:p>
      <w:pPr>
        <w:pStyle w:val="0"/>
        <w:jc w:val="right"/>
      </w:pPr>
      <w:r>
        <w:rPr>
          <w:sz w:val="20"/>
        </w:rPr>
        <w:t xml:space="preserve">Е.Н.ПОЛЯКОВ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Одобрен</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23 октября 2024 г. N 639</w:t>
      </w:r>
    </w:p>
    <w:p>
      <w:pPr>
        <w:pStyle w:val="0"/>
        <w:ind w:firstLine="540"/>
        <w:jc w:val="both"/>
      </w:pPr>
      <w:r>
        <w:rPr>
          <w:sz w:val="20"/>
        </w:rPr>
      </w:r>
    </w:p>
    <w:bookmarkStart w:id="31" w:name="P31"/>
    <w:bookmarkEnd w:id="31"/>
    <w:p>
      <w:pPr>
        <w:pStyle w:val="2"/>
        <w:jc w:val="center"/>
      </w:pPr>
      <w:r>
        <w:rPr>
          <w:sz w:val="20"/>
        </w:rPr>
        <w:t xml:space="preserve">ПРОГНОЗ</w:t>
      </w:r>
    </w:p>
    <w:p>
      <w:pPr>
        <w:pStyle w:val="2"/>
        <w:jc w:val="center"/>
      </w:pPr>
      <w:r>
        <w:rPr>
          <w:sz w:val="20"/>
        </w:rPr>
        <w:t xml:space="preserve">СОЦИАЛЬНО-ЭКОНОМИЧЕСКОГО РАЗВИТИЯ НИЖЕГОРОДСКОЙ ОБЛАСТИ</w:t>
      </w:r>
    </w:p>
    <w:p>
      <w:pPr>
        <w:pStyle w:val="2"/>
        <w:jc w:val="center"/>
      </w:pPr>
      <w:r>
        <w:rPr>
          <w:sz w:val="20"/>
        </w:rPr>
        <w:t xml:space="preserve">НА СРЕДНЕСРОЧНЫЙ ПЕРИОД (НА 2025 ГОД И НА ПЛАНОВЫЙ ПЕРИОД</w:t>
      </w:r>
    </w:p>
    <w:p>
      <w:pPr>
        <w:pStyle w:val="2"/>
        <w:jc w:val="center"/>
      </w:pPr>
      <w:r>
        <w:rPr>
          <w:sz w:val="20"/>
        </w:rPr>
        <w:t xml:space="preserve">2026 И 2027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остановление Правительства Нижегородской области от 24.01.2025 N 28 &quot;О внесении изменений в прогноз социально-экономического развития Нижегородской области на среднесрочный период (на 2025 год и на плановый период 2026 и 2027 годов), одобренный постановлением Правительства Нижегородской области от 23 октября 2024 г. N 639&quot; {КонсультантПлюс}">
              <w:r>
                <w:rPr>
                  <w:sz w:val="20"/>
                  <w:color w:val="0000ff"/>
                </w:rPr>
                <w:t xml:space="preserve">постановления</w:t>
              </w:r>
            </w:hyperlink>
            <w:r>
              <w:rPr>
                <w:sz w:val="20"/>
                <w:color w:val="392c69"/>
              </w:rPr>
              <w:t xml:space="preserve"> Правительства Нижегородской области</w:t>
            </w:r>
          </w:p>
          <w:p>
            <w:pPr>
              <w:pStyle w:val="0"/>
              <w:jc w:val="center"/>
            </w:pPr>
            <w:r>
              <w:rPr>
                <w:sz w:val="20"/>
                <w:color w:val="392c69"/>
              </w:rPr>
              <w:t xml:space="preserve">от 24.01.2025 N 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Прогноз социально-экономического развития Нижегородской</w:t>
      </w:r>
    </w:p>
    <w:p>
      <w:pPr>
        <w:pStyle w:val="2"/>
        <w:jc w:val="center"/>
      </w:pPr>
      <w:r>
        <w:rPr>
          <w:sz w:val="20"/>
        </w:rPr>
        <w:t xml:space="preserve">области на среднесрочный период (на 2025 год и на плановый</w:t>
      </w:r>
    </w:p>
    <w:p>
      <w:pPr>
        <w:pStyle w:val="2"/>
        <w:jc w:val="center"/>
      </w:pPr>
      <w:r>
        <w:rPr>
          <w:sz w:val="20"/>
        </w:rPr>
        <w:t xml:space="preserve">период 2026 и 2027 годов)</w:t>
      </w:r>
    </w:p>
    <w:p>
      <w:pPr>
        <w:pStyle w:val="0"/>
        <w:ind w:firstLine="540"/>
        <w:jc w:val="both"/>
      </w:pPr>
      <w:r>
        <w:rPr>
          <w:sz w:val="20"/>
        </w:rPr>
      </w:r>
    </w:p>
    <w:p>
      <w:pPr>
        <w:pStyle w:val="2"/>
        <w:outlineLvl w:val="2"/>
        <w:jc w:val="center"/>
      </w:pPr>
      <w:r>
        <w:rPr>
          <w:sz w:val="20"/>
        </w:rPr>
        <w:t xml:space="preserve">1.1. Фактические итоги и оценка социально-экономического</w:t>
      </w:r>
    </w:p>
    <w:p>
      <w:pPr>
        <w:pStyle w:val="2"/>
        <w:jc w:val="center"/>
      </w:pPr>
      <w:r>
        <w:rPr>
          <w:sz w:val="20"/>
        </w:rPr>
        <w:t xml:space="preserve">развития Нижегородской области</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58"/>
        <w:gridCol w:w="1757"/>
        <w:gridCol w:w="1247"/>
        <w:gridCol w:w="1361"/>
        <w:gridCol w:w="1245"/>
      </w:tblGrid>
      <w:tr>
        <w:tc>
          <w:tcPr>
            <w:tcW w:w="3458" w:type="dxa"/>
            <w:vMerge w:val="restart"/>
          </w:tcPr>
          <w:p>
            <w:pPr>
              <w:pStyle w:val="0"/>
              <w:jc w:val="center"/>
            </w:pPr>
            <w:r>
              <w:rPr>
                <w:sz w:val="20"/>
              </w:rPr>
              <w:t xml:space="preserve">Показатели</w:t>
            </w:r>
          </w:p>
        </w:tc>
        <w:tc>
          <w:tcPr>
            <w:tcW w:w="1757" w:type="dxa"/>
            <w:vMerge w:val="restart"/>
          </w:tcPr>
          <w:p>
            <w:pPr>
              <w:pStyle w:val="0"/>
              <w:jc w:val="center"/>
            </w:pPr>
            <w:r>
              <w:rPr>
                <w:sz w:val="20"/>
              </w:rPr>
              <w:t xml:space="preserve">Единицы измерения</w:t>
            </w:r>
          </w:p>
        </w:tc>
        <w:tc>
          <w:tcPr>
            <w:gridSpan w:val="2"/>
            <w:tcW w:w="2608" w:type="dxa"/>
          </w:tcPr>
          <w:p>
            <w:pPr>
              <w:pStyle w:val="0"/>
              <w:jc w:val="center"/>
            </w:pPr>
            <w:r>
              <w:rPr>
                <w:sz w:val="20"/>
              </w:rPr>
              <w:t xml:space="preserve">Отчет </w:t>
            </w:r>
            <w:hyperlink w:history="0" w:anchor="P293" w:tooltip="&lt;1&gt; Используются фактические статистические данные, которые разрабатываются субъектами официального статистического учета, приведены по состоянию на 20 сентября 2024 года.">
              <w:r>
                <w:rPr>
                  <w:sz w:val="20"/>
                  <w:color w:val="0000ff"/>
                </w:rPr>
                <w:t xml:space="preserve">&lt;1&gt;</w:t>
              </w:r>
            </w:hyperlink>
          </w:p>
        </w:tc>
        <w:tc>
          <w:tcPr>
            <w:tcW w:w="1245" w:type="dxa"/>
            <w:vMerge w:val="restart"/>
          </w:tcPr>
          <w:p>
            <w:pPr>
              <w:pStyle w:val="0"/>
              <w:jc w:val="center"/>
            </w:pPr>
            <w:r>
              <w:rPr>
                <w:sz w:val="20"/>
              </w:rPr>
              <w:t xml:space="preserve">Оценка 2024 года</w:t>
            </w:r>
          </w:p>
        </w:tc>
      </w:tr>
      <w:tr>
        <w:tc>
          <w:tcPr>
            <w:vMerge w:val="continue"/>
          </w:tcPr>
          <w:p/>
        </w:tc>
        <w:tc>
          <w:tcPr>
            <w:vMerge w:val="continue"/>
          </w:tcPr>
          <w:p/>
        </w:tc>
        <w:tc>
          <w:tcPr>
            <w:tcW w:w="1247" w:type="dxa"/>
          </w:tcPr>
          <w:p>
            <w:pPr>
              <w:pStyle w:val="0"/>
              <w:jc w:val="center"/>
            </w:pPr>
            <w:r>
              <w:rPr>
                <w:sz w:val="20"/>
              </w:rPr>
              <w:t xml:space="preserve">2023 год</w:t>
            </w:r>
          </w:p>
        </w:tc>
        <w:tc>
          <w:tcPr>
            <w:tcW w:w="1361" w:type="dxa"/>
          </w:tcPr>
          <w:p>
            <w:pPr>
              <w:pStyle w:val="0"/>
              <w:jc w:val="center"/>
            </w:pPr>
            <w:r>
              <w:rPr>
                <w:sz w:val="20"/>
              </w:rPr>
              <w:t xml:space="preserve">январь - июнь 2024 года</w:t>
            </w:r>
          </w:p>
        </w:tc>
        <w:tc>
          <w:tcPr>
            <w:vMerge w:val="continue"/>
          </w:tcPr>
          <w:p/>
        </w:tc>
      </w:tr>
      <w:tr>
        <w:tc>
          <w:tcPr>
            <w:gridSpan w:val="5"/>
            <w:tcW w:w="9068" w:type="dxa"/>
          </w:tcPr>
          <w:p>
            <w:pPr>
              <w:pStyle w:val="0"/>
              <w:outlineLvl w:val="3"/>
              <w:jc w:val="both"/>
            </w:pPr>
            <w:r>
              <w:rPr>
                <w:sz w:val="20"/>
              </w:rPr>
              <w:t xml:space="preserve">Население</w:t>
            </w:r>
          </w:p>
        </w:tc>
      </w:tr>
      <w:tr>
        <w:tc>
          <w:tcPr>
            <w:tcW w:w="3458" w:type="dxa"/>
          </w:tcPr>
          <w:p>
            <w:pPr>
              <w:pStyle w:val="0"/>
              <w:jc w:val="both"/>
            </w:pPr>
            <w:r>
              <w:rPr>
                <w:sz w:val="20"/>
              </w:rPr>
              <w:t xml:space="preserve">Численность населения</w:t>
            </w:r>
          </w:p>
        </w:tc>
        <w:tc>
          <w:tcPr>
            <w:tcW w:w="1757" w:type="dxa"/>
          </w:tcPr>
          <w:p>
            <w:pPr>
              <w:pStyle w:val="0"/>
              <w:jc w:val="center"/>
            </w:pPr>
            <w:r>
              <w:rPr>
                <w:sz w:val="20"/>
              </w:rPr>
              <w:t xml:space="preserve">в среднегодовом исчислении, тыс. чел.</w:t>
            </w:r>
          </w:p>
        </w:tc>
        <w:tc>
          <w:tcPr>
            <w:tcW w:w="1247" w:type="dxa"/>
          </w:tcPr>
          <w:p>
            <w:pPr>
              <w:pStyle w:val="0"/>
              <w:jc w:val="center"/>
            </w:pPr>
            <w:r>
              <w:rPr>
                <w:sz w:val="20"/>
              </w:rPr>
              <w:t xml:space="preserve">3071,1 </w:t>
            </w:r>
            <w:hyperlink w:history="0" w:anchor="P294" w:tooltip="&lt;2&gt; С учетом итогов Всероссийской переписи населения 2020 года.">
              <w:r>
                <w:rPr>
                  <w:sz w:val="20"/>
                  <w:color w:val="0000ff"/>
                </w:rPr>
                <w:t xml:space="preserve">&lt;2&gt;</w:t>
              </w:r>
            </w:hyperlink>
          </w:p>
        </w:tc>
        <w:tc>
          <w:tcPr>
            <w:tcW w:w="1361" w:type="dxa"/>
          </w:tcPr>
          <w:p>
            <w:pPr>
              <w:pStyle w:val="0"/>
              <w:jc w:val="center"/>
            </w:pPr>
            <w:r>
              <w:rPr>
                <w:sz w:val="20"/>
              </w:rPr>
              <w:t xml:space="preserve">-</w:t>
            </w:r>
          </w:p>
        </w:tc>
        <w:tc>
          <w:tcPr>
            <w:tcW w:w="1245" w:type="dxa"/>
          </w:tcPr>
          <w:p>
            <w:pPr>
              <w:pStyle w:val="0"/>
              <w:jc w:val="center"/>
            </w:pPr>
            <w:r>
              <w:rPr>
                <w:sz w:val="20"/>
              </w:rPr>
              <w:t xml:space="preserve">3052</w:t>
            </w:r>
          </w:p>
        </w:tc>
      </w:tr>
      <w:tr>
        <w:tc>
          <w:tcPr>
            <w:tcW w:w="3458" w:type="dxa"/>
          </w:tcPr>
          <w:p>
            <w:pPr>
              <w:pStyle w:val="0"/>
              <w:jc w:val="both"/>
            </w:pPr>
            <w:r>
              <w:rPr>
                <w:sz w:val="20"/>
              </w:rPr>
              <w:t xml:space="preserve">Численность населения трудоспособного возраста (на 1 января года)</w:t>
            </w:r>
          </w:p>
        </w:tc>
        <w:tc>
          <w:tcPr>
            <w:tcW w:w="1757" w:type="dxa"/>
          </w:tcPr>
          <w:p>
            <w:pPr>
              <w:pStyle w:val="0"/>
              <w:jc w:val="center"/>
            </w:pPr>
            <w:r>
              <w:rPr>
                <w:sz w:val="20"/>
              </w:rPr>
              <w:t xml:space="preserve">тыс. чел.</w:t>
            </w:r>
          </w:p>
        </w:tc>
        <w:tc>
          <w:tcPr>
            <w:tcW w:w="1247" w:type="dxa"/>
          </w:tcPr>
          <w:p>
            <w:pPr>
              <w:pStyle w:val="0"/>
              <w:jc w:val="center"/>
            </w:pPr>
            <w:r>
              <w:rPr>
                <w:sz w:val="20"/>
              </w:rPr>
              <w:t xml:space="preserve">1713,9 &lt;2&gt;</w:t>
            </w:r>
          </w:p>
        </w:tc>
        <w:tc>
          <w:tcPr>
            <w:tcW w:w="1361" w:type="dxa"/>
          </w:tcPr>
          <w:p>
            <w:pPr>
              <w:pStyle w:val="0"/>
              <w:jc w:val="center"/>
            </w:pPr>
            <w:r>
              <w:rPr>
                <w:sz w:val="20"/>
              </w:rPr>
              <w:t xml:space="preserve">-</w:t>
            </w:r>
          </w:p>
        </w:tc>
        <w:tc>
          <w:tcPr>
            <w:tcW w:w="1245" w:type="dxa"/>
          </w:tcPr>
          <w:p>
            <w:pPr>
              <w:pStyle w:val="0"/>
              <w:jc w:val="center"/>
            </w:pPr>
            <w:r>
              <w:rPr>
                <w:sz w:val="20"/>
              </w:rPr>
              <w:t xml:space="preserve">1734,7</w:t>
            </w:r>
          </w:p>
        </w:tc>
      </w:tr>
      <w:tr>
        <w:tc>
          <w:tcPr>
            <w:tcW w:w="3458" w:type="dxa"/>
          </w:tcPr>
          <w:p>
            <w:pPr>
              <w:pStyle w:val="0"/>
              <w:jc w:val="both"/>
            </w:pPr>
            <w:r>
              <w:rPr>
                <w:sz w:val="20"/>
              </w:rPr>
              <w:t xml:space="preserve">Ожидаемая продолжительность жизни при рождении</w:t>
            </w:r>
          </w:p>
        </w:tc>
        <w:tc>
          <w:tcPr>
            <w:tcW w:w="1757" w:type="dxa"/>
          </w:tcPr>
          <w:p>
            <w:pPr>
              <w:pStyle w:val="0"/>
              <w:jc w:val="center"/>
            </w:pPr>
            <w:r>
              <w:rPr>
                <w:sz w:val="20"/>
              </w:rPr>
              <w:t xml:space="preserve">число лет</w:t>
            </w:r>
          </w:p>
        </w:tc>
        <w:tc>
          <w:tcPr>
            <w:tcW w:w="1247" w:type="dxa"/>
          </w:tcPr>
          <w:p>
            <w:pPr>
              <w:pStyle w:val="0"/>
              <w:jc w:val="center"/>
            </w:pPr>
            <w:r>
              <w:rPr>
                <w:sz w:val="20"/>
              </w:rPr>
              <w:t xml:space="preserve">72,1</w:t>
            </w:r>
          </w:p>
        </w:tc>
        <w:tc>
          <w:tcPr>
            <w:tcW w:w="1361" w:type="dxa"/>
          </w:tcPr>
          <w:p>
            <w:pPr>
              <w:pStyle w:val="0"/>
              <w:jc w:val="center"/>
            </w:pPr>
            <w:r>
              <w:rPr>
                <w:sz w:val="20"/>
              </w:rPr>
              <w:t xml:space="preserve">-</w:t>
            </w:r>
          </w:p>
        </w:tc>
        <w:tc>
          <w:tcPr>
            <w:tcW w:w="1245" w:type="dxa"/>
          </w:tcPr>
          <w:p>
            <w:pPr>
              <w:pStyle w:val="0"/>
              <w:jc w:val="center"/>
            </w:pPr>
            <w:r>
              <w:rPr>
                <w:sz w:val="20"/>
              </w:rPr>
              <w:t xml:space="preserve">72,14</w:t>
            </w:r>
          </w:p>
        </w:tc>
      </w:tr>
      <w:tr>
        <w:tc>
          <w:tcPr>
            <w:tcW w:w="3458" w:type="dxa"/>
          </w:tcPr>
          <w:p>
            <w:pPr>
              <w:pStyle w:val="0"/>
              <w:jc w:val="both"/>
            </w:pPr>
            <w:r>
              <w:rPr>
                <w:sz w:val="20"/>
              </w:rPr>
              <w:t xml:space="preserve">Общий коэффициент рождаемости</w:t>
            </w:r>
          </w:p>
        </w:tc>
        <w:tc>
          <w:tcPr>
            <w:tcW w:w="1757" w:type="dxa"/>
          </w:tcPr>
          <w:p>
            <w:pPr>
              <w:pStyle w:val="0"/>
              <w:jc w:val="center"/>
            </w:pPr>
            <w:r>
              <w:rPr>
                <w:sz w:val="20"/>
              </w:rPr>
              <w:t xml:space="preserve">число родившихся живыми на 1000 человек населения</w:t>
            </w:r>
          </w:p>
        </w:tc>
        <w:tc>
          <w:tcPr>
            <w:tcW w:w="1247" w:type="dxa"/>
          </w:tcPr>
          <w:p>
            <w:pPr>
              <w:pStyle w:val="0"/>
              <w:jc w:val="center"/>
            </w:pPr>
            <w:r>
              <w:rPr>
                <w:sz w:val="20"/>
              </w:rPr>
              <w:t xml:space="preserve">7,5</w:t>
            </w:r>
          </w:p>
        </w:tc>
        <w:tc>
          <w:tcPr>
            <w:tcW w:w="1361" w:type="dxa"/>
          </w:tcPr>
          <w:p>
            <w:pPr>
              <w:pStyle w:val="0"/>
              <w:jc w:val="center"/>
            </w:pPr>
            <w:r>
              <w:rPr>
                <w:sz w:val="20"/>
              </w:rPr>
              <w:t xml:space="preserve">7,2</w:t>
            </w:r>
          </w:p>
        </w:tc>
        <w:tc>
          <w:tcPr>
            <w:tcW w:w="1245" w:type="dxa"/>
          </w:tcPr>
          <w:p>
            <w:pPr>
              <w:pStyle w:val="0"/>
              <w:jc w:val="center"/>
            </w:pPr>
            <w:r>
              <w:rPr>
                <w:sz w:val="20"/>
              </w:rPr>
              <w:t xml:space="preserve">7,3</w:t>
            </w:r>
          </w:p>
        </w:tc>
      </w:tr>
      <w:tr>
        <w:tc>
          <w:tcPr>
            <w:tcW w:w="3458" w:type="dxa"/>
          </w:tcPr>
          <w:p>
            <w:pPr>
              <w:pStyle w:val="0"/>
              <w:jc w:val="both"/>
            </w:pPr>
            <w:r>
              <w:rPr>
                <w:sz w:val="20"/>
              </w:rPr>
              <w:t xml:space="preserve">Суммарный коэффициент рождаемости</w:t>
            </w:r>
          </w:p>
        </w:tc>
        <w:tc>
          <w:tcPr>
            <w:tcW w:w="1757" w:type="dxa"/>
          </w:tcPr>
          <w:p>
            <w:pPr>
              <w:pStyle w:val="0"/>
              <w:jc w:val="center"/>
            </w:pPr>
            <w:r>
              <w:rPr>
                <w:sz w:val="20"/>
              </w:rPr>
              <w:t xml:space="preserve">число детей на 1 женщину</w:t>
            </w:r>
          </w:p>
        </w:tc>
        <w:tc>
          <w:tcPr>
            <w:tcW w:w="1247" w:type="dxa"/>
          </w:tcPr>
          <w:p>
            <w:pPr>
              <w:pStyle w:val="0"/>
              <w:jc w:val="center"/>
            </w:pPr>
            <w:r>
              <w:rPr>
                <w:sz w:val="20"/>
              </w:rPr>
              <w:t xml:space="preserve">1,309</w:t>
            </w:r>
          </w:p>
        </w:tc>
        <w:tc>
          <w:tcPr>
            <w:tcW w:w="1361" w:type="dxa"/>
          </w:tcPr>
          <w:p>
            <w:pPr>
              <w:pStyle w:val="0"/>
              <w:jc w:val="center"/>
            </w:pPr>
            <w:r>
              <w:rPr>
                <w:sz w:val="20"/>
              </w:rPr>
              <w:t xml:space="preserve">-</w:t>
            </w:r>
          </w:p>
        </w:tc>
        <w:tc>
          <w:tcPr>
            <w:tcW w:w="1245" w:type="dxa"/>
          </w:tcPr>
          <w:p>
            <w:pPr>
              <w:pStyle w:val="0"/>
              <w:jc w:val="center"/>
            </w:pPr>
            <w:r>
              <w:rPr>
                <w:sz w:val="20"/>
              </w:rPr>
              <w:t xml:space="preserve">1,318</w:t>
            </w:r>
          </w:p>
        </w:tc>
      </w:tr>
      <w:tr>
        <w:tc>
          <w:tcPr>
            <w:tcW w:w="3458" w:type="dxa"/>
          </w:tcPr>
          <w:p>
            <w:pPr>
              <w:pStyle w:val="0"/>
              <w:jc w:val="both"/>
            </w:pPr>
            <w:r>
              <w:rPr>
                <w:sz w:val="20"/>
              </w:rPr>
              <w:t xml:space="preserve">Общий коэффициент смертности</w:t>
            </w:r>
          </w:p>
        </w:tc>
        <w:tc>
          <w:tcPr>
            <w:tcW w:w="1757" w:type="dxa"/>
          </w:tcPr>
          <w:p>
            <w:pPr>
              <w:pStyle w:val="0"/>
              <w:jc w:val="center"/>
            </w:pPr>
            <w:r>
              <w:rPr>
                <w:sz w:val="20"/>
              </w:rPr>
              <w:t xml:space="preserve">число умерших на 1000 человек населения</w:t>
            </w:r>
          </w:p>
        </w:tc>
        <w:tc>
          <w:tcPr>
            <w:tcW w:w="1247" w:type="dxa"/>
          </w:tcPr>
          <w:p>
            <w:pPr>
              <w:pStyle w:val="0"/>
              <w:jc w:val="center"/>
            </w:pPr>
            <w:r>
              <w:rPr>
                <w:sz w:val="20"/>
              </w:rPr>
              <w:t xml:space="preserve">14,6</w:t>
            </w:r>
          </w:p>
        </w:tc>
        <w:tc>
          <w:tcPr>
            <w:tcW w:w="1361" w:type="dxa"/>
          </w:tcPr>
          <w:p>
            <w:pPr>
              <w:pStyle w:val="0"/>
              <w:jc w:val="center"/>
            </w:pPr>
            <w:r>
              <w:rPr>
                <w:sz w:val="20"/>
              </w:rPr>
              <w:t xml:space="preserve">15,3</w:t>
            </w:r>
          </w:p>
        </w:tc>
        <w:tc>
          <w:tcPr>
            <w:tcW w:w="1245" w:type="dxa"/>
          </w:tcPr>
          <w:p>
            <w:pPr>
              <w:pStyle w:val="0"/>
              <w:jc w:val="center"/>
            </w:pPr>
            <w:r>
              <w:rPr>
                <w:sz w:val="20"/>
              </w:rPr>
              <w:t xml:space="preserve">14,5</w:t>
            </w:r>
          </w:p>
        </w:tc>
      </w:tr>
      <w:tr>
        <w:tc>
          <w:tcPr>
            <w:tcW w:w="3458" w:type="dxa"/>
          </w:tcPr>
          <w:p>
            <w:pPr>
              <w:pStyle w:val="0"/>
              <w:jc w:val="both"/>
            </w:pPr>
            <w:r>
              <w:rPr>
                <w:sz w:val="20"/>
              </w:rPr>
              <w:t xml:space="preserve">Коэффициент естественного прироста населения</w:t>
            </w:r>
          </w:p>
        </w:tc>
        <w:tc>
          <w:tcPr>
            <w:tcW w:w="1757" w:type="dxa"/>
          </w:tcPr>
          <w:p>
            <w:pPr>
              <w:pStyle w:val="0"/>
              <w:jc w:val="center"/>
            </w:pPr>
            <w:r>
              <w:rPr>
                <w:sz w:val="20"/>
              </w:rPr>
              <w:t xml:space="preserve">на 1000 человек населения</w:t>
            </w:r>
          </w:p>
        </w:tc>
        <w:tc>
          <w:tcPr>
            <w:tcW w:w="1247" w:type="dxa"/>
          </w:tcPr>
          <w:p>
            <w:pPr>
              <w:pStyle w:val="0"/>
              <w:jc w:val="center"/>
            </w:pPr>
            <w:r>
              <w:rPr>
                <w:sz w:val="20"/>
              </w:rPr>
              <w:t xml:space="preserve">-7,1</w:t>
            </w:r>
          </w:p>
        </w:tc>
        <w:tc>
          <w:tcPr>
            <w:tcW w:w="1361" w:type="dxa"/>
          </w:tcPr>
          <w:p>
            <w:pPr>
              <w:pStyle w:val="0"/>
              <w:jc w:val="center"/>
            </w:pPr>
            <w:r>
              <w:rPr>
                <w:sz w:val="20"/>
              </w:rPr>
              <w:t xml:space="preserve">-8,1</w:t>
            </w:r>
          </w:p>
        </w:tc>
        <w:tc>
          <w:tcPr>
            <w:tcW w:w="1245" w:type="dxa"/>
          </w:tcPr>
          <w:p>
            <w:pPr>
              <w:pStyle w:val="0"/>
              <w:jc w:val="center"/>
            </w:pPr>
            <w:r>
              <w:rPr>
                <w:sz w:val="20"/>
              </w:rPr>
              <w:t xml:space="preserve">-7,2</w:t>
            </w:r>
          </w:p>
        </w:tc>
      </w:tr>
      <w:tr>
        <w:tc>
          <w:tcPr>
            <w:gridSpan w:val="5"/>
            <w:tcW w:w="9068" w:type="dxa"/>
          </w:tcPr>
          <w:p>
            <w:pPr>
              <w:pStyle w:val="0"/>
              <w:outlineLvl w:val="3"/>
              <w:jc w:val="both"/>
            </w:pPr>
            <w:r>
              <w:rPr>
                <w:sz w:val="20"/>
              </w:rPr>
              <w:t xml:space="preserve">Валовой региональный продукт (ВРП)</w:t>
            </w:r>
          </w:p>
        </w:tc>
      </w:tr>
      <w:tr>
        <w:tc>
          <w:tcPr>
            <w:tcW w:w="3458" w:type="dxa"/>
          </w:tcPr>
          <w:p>
            <w:pPr>
              <w:pStyle w:val="0"/>
              <w:jc w:val="both"/>
            </w:pPr>
            <w:r>
              <w:rPr>
                <w:sz w:val="20"/>
              </w:rPr>
              <w:t xml:space="preserve">Валовой региональный продукт</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2700,9 (оценка)</w:t>
            </w:r>
          </w:p>
        </w:tc>
        <w:tc>
          <w:tcPr>
            <w:tcW w:w="1361" w:type="dxa"/>
          </w:tcPr>
          <w:p>
            <w:pPr>
              <w:pStyle w:val="0"/>
              <w:jc w:val="center"/>
            </w:pPr>
            <w:r>
              <w:rPr>
                <w:sz w:val="20"/>
              </w:rPr>
              <w:t xml:space="preserve">1173,2 (оценка)</w:t>
            </w:r>
          </w:p>
        </w:tc>
        <w:tc>
          <w:tcPr>
            <w:tcW w:w="1245" w:type="dxa"/>
          </w:tcPr>
          <w:p>
            <w:pPr>
              <w:pStyle w:val="0"/>
              <w:jc w:val="center"/>
            </w:pPr>
            <w:r>
              <w:rPr>
                <w:sz w:val="20"/>
              </w:rPr>
              <w:t xml:space="preserve">3029</w:t>
            </w:r>
          </w:p>
        </w:tc>
      </w:tr>
      <w:tr>
        <w:tc>
          <w:tcPr>
            <w:tcW w:w="3458" w:type="dxa"/>
          </w:tcPr>
          <w:p>
            <w:pPr>
              <w:pStyle w:val="0"/>
              <w:jc w:val="both"/>
            </w:pPr>
            <w:r>
              <w:rPr>
                <w:sz w:val="20"/>
              </w:rPr>
              <w:t xml:space="preserve">Индекс физического объема (ИФО)</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111,2 (оценка)</w:t>
            </w:r>
          </w:p>
        </w:tc>
        <w:tc>
          <w:tcPr>
            <w:tcW w:w="1361" w:type="dxa"/>
          </w:tcPr>
          <w:p>
            <w:pPr>
              <w:pStyle w:val="0"/>
              <w:jc w:val="center"/>
            </w:pPr>
            <w:r>
              <w:rPr>
                <w:sz w:val="20"/>
              </w:rPr>
              <w:t xml:space="preserve">105,5 (оценка)</w:t>
            </w:r>
          </w:p>
        </w:tc>
        <w:tc>
          <w:tcPr>
            <w:tcW w:w="1245" w:type="dxa"/>
          </w:tcPr>
          <w:p>
            <w:pPr>
              <w:pStyle w:val="0"/>
              <w:jc w:val="center"/>
            </w:pPr>
            <w:r>
              <w:rPr>
                <w:sz w:val="20"/>
              </w:rPr>
              <w:t xml:space="preserve">104</w:t>
            </w:r>
          </w:p>
        </w:tc>
      </w:tr>
      <w:tr>
        <w:tc>
          <w:tcPr>
            <w:tcW w:w="3458" w:type="dxa"/>
          </w:tcPr>
          <w:p>
            <w:pPr>
              <w:pStyle w:val="0"/>
              <w:jc w:val="both"/>
            </w:pPr>
            <w:r>
              <w:rPr>
                <w:sz w:val="20"/>
              </w:rPr>
              <w:t xml:space="preserve">Индекс производительности труда</w:t>
            </w:r>
          </w:p>
        </w:tc>
        <w:tc>
          <w:tcPr>
            <w:tcW w:w="1757" w:type="dxa"/>
          </w:tcPr>
          <w:p>
            <w:pPr>
              <w:pStyle w:val="0"/>
              <w:jc w:val="center"/>
            </w:pPr>
            <w:r>
              <w:rPr>
                <w:sz w:val="20"/>
              </w:rPr>
              <w:t xml:space="preserve">% к предыдущему году</w:t>
            </w:r>
          </w:p>
        </w:tc>
        <w:tc>
          <w:tcPr>
            <w:tcW w:w="1247" w:type="dxa"/>
          </w:tcPr>
          <w:p>
            <w:pPr>
              <w:pStyle w:val="0"/>
              <w:jc w:val="center"/>
            </w:pPr>
            <w:r>
              <w:rPr>
                <w:sz w:val="20"/>
              </w:rPr>
              <w:t xml:space="preserve">109,8 (оценка)</w:t>
            </w:r>
          </w:p>
        </w:tc>
        <w:tc>
          <w:tcPr>
            <w:tcW w:w="1361" w:type="dxa"/>
          </w:tcPr>
          <w:p>
            <w:pPr>
              <w:pStyle w:val="0"/>
              <w:jc w:val="center"/>
            </w:pPr>
            <w:r>
              <w:rPr>
                <w:sz w:val="20"/>
              </w:rPr>
              <w:t xml:space="preserve">-</w:t>
            </w:r>
          </w:p>
        </w:tc>
        <w:tc>
          <w:tcPr>
            <w:tcW w:w="1245" w:type="dxa"/>
          </w:tcPr>
          <w:p>
            <w:pPr>
              <w:pStyle w:val="0"/>
              <w:jc w:val="center"/>
            </w:pPr>
            <w:r>
              <w:rPr>
                <w:sz w:val="20"/>
              </w:rPr>
              <w:t xml:space="preserve">103,6</w:t>
            </w:r>
          </w:p>
        </w:tc>
      </w:tr>
      <w:tr>
        <w:tc>
          <w:tcPr>
            <w:gridSpan w:val="5"/>
            <w:tcW w:w="9068" w:type="dxa"/>
          </w:tcPr>
          <w:p>
            <w:pPr>
              <w:pStyle w:val="0"/>
              <w:outlineLvl w:val="3"/>
              <w:jc w:val="both"/>
            </w:pPr>
            <w:r>
              <w:rPr>
                <w:sz w:val="20"/>
              </w:rPr>
              <w:t xml:space="preserve">Промышленное производство</w:t>
            </w:r>
          </w:p>
        </w:tc>
      </w:tr>
      <w:tr>
        <w:tc>
          <w:tcPr>
            <w:tcW w:w="3458" w:type="dxa"/>
          </w:tcPr>
          <w:p>
            <w:pPr>
              <w:pStyle w:val="0"/>
              <w:jc w:val="both"/>
            </w:pPr>
            <w:r>
              <w:rPr>
                <w:sz w:val="20"/>
              </w:rPr>
              <w:t xml:space="preserve">Объем отгруженных товаров собственного производства, выполненных работ и услуг собственными силами</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2190,0</w:t>
            </w:r>
          </w:p>
        </w:tc>
        <w:tc>
          <w:tcPr>
            <w:tcW w:w="1361" w:type="dxa"/>
          </w:tcPr>
          <w:p>
            <w:pPr>
              <w:pStyle w:val="0"/>
              <w:jc w:val="center"/>
            </w:pPr>
            <w:r>
              <w:rPr>
                <w:sz w:val="20"/>
              </w:rPr>
              <w:t xml:space="preserve">1083,5</w:t>
            </w:r>
          </w:p>
        </w:tc>
        <w:tc>
          <w:tcPr>
            <w:tcW w:w="1245" w:type="dxa"/>
          </w:tcPr>
          <w:p>
            <w:pPr>
              <w:pStyle w:val="0"/>
              <w:jc w:val="center"/>
            </w:pPr>
            <w:r>
              <w:rPr>
                <w:sz w:val="20"/>
              </w:rPr>
              <w:t xml:space="preserve">2405,3 - 2437,4</w:t>
            </w:r>
          </w:p>
        </w:tc>
      </w:tr>
      <w:tr>
        <w:tc>
          <w:tcPr>
            <w:tcW w:w="3458" w:type="dxa"/>
          </w:tcPr>
          <w:p>
            <w:pPr>
              <w:pStyle w:val="0"/>
              <w:jc w:val="both"/>
            </w:pPr>
            <w:r>
              <w:rPr>
                <w:sz w:val="20"/>
              </w:rPr>
              <w:t xml:space="preserve">Индекс промышленного производства</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111,7</w:t>
            </w:r>
          </w:p>
        </w:tc>
        <w:tc>
          <w:tcPr>
            <w:tcW w:w="1361" w:type="dxa"/>
          </w:tcPr>
          <w:p>
            <w:pPr>
              <w:pStyle w:val="0"/>
              <w:jc w:val="center"/>
            </w:pPr>
            <w:r>
              <w:rPr>
                <w:sz w:val="20"/>
              </w:rPr>
              <w:t xml:space="preserve">105,3</w:t>
            </w:r>
          </w:p>
        </w:tc>
        <w:tc>
          <w:tcPr>
            <w:tcW w:w="1245" w:type="dxa"/>
          </w:tcPr>
          <w:p>
            <w:pPr>
              <w:pStyle w:val="0"/>
              <w:jc w:val="center"/>
            </w:pPr>
            <w:r>
              <w:rPr>
                <w:sz w:val="20"/>
              </w:rPr>
              <w:t xml:space="preserve">102,8 - 104,1</w:t>
            </w:r>
          </w:p>
        </w:tc>
      </w:tr>
      <w:tr>
        <w:tc>
          <w:tcPr>
            <w:gridSpan w:val="5"/>
            <w:tcW w:w="9068" w:type="dxa"/>
          </w:tcPr>
          <w:p>
            <w:pPr>
              <w:pStyle w:val="0"/>
              <w:outlineLvl w:val="4"/>
              <w:jc w:val="both"/>
            </w:pPr>
            <w:r>
              <w:rPr>
                <w:sz w:val="20"/>
              </w:rPr>
              <w:t xml:space="preserve">в том числе по обрабатывающим производствам</w:t>
            </w:r>
          </w:p>
        </w:tc>
      </w:tr>
      <w:tr>
        <w:tc>
          <w:tcPr>
            <w:tcW w:w="3458" w:type="dxa"/>
          </w:tcPr>
          <w:p>
            <w:pPr>
              <w:pStyle w:val="0"/>
              <w:jc w:val="both"/>
            </w:pPr>
            <w:r>
              <w:rPr>
                <w:sz w:val="20"/>
              </w:rPr>
              <w:t xml:space="preserve">Объем отгруженных товаров собственного производства, выполненных работ и услуг собственными силами</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1991,9</w:t>
            </w:r>
          </w:p>
        </w:tc>
        <w:tc>
          <w:tcPr>
            <w:tcW w:w="1361" w:type="dxa"/>
          </w:tcPr>
          <w:p>
            <w:pPr>
              <w:pStyle w:val="0"/>
              <w:jc w:val="center"/>
            </w:pPr>
            <w:r>
              <w:rPr>
                <w:sz w:val="20"/>
              </w:rPr>
              <w:t xml:space="preserve">983,4</w:t>
            </w:r>
          </w:p>
        </w:tc>
        <w:tc>
          <w:tcPr>
            <w:tcW w:w="1245" w:type="dxa"/>
          </w:tcPr>
          <w:p>
            <w:pPr>
              <w:pStyle w:val="0"/>
              <w:jc w:val="center"/>
            </w:pPr>
            <w:r>
              <w:rPr>
                <w:sz w:val="20"/>
              </w:rPr>
              <w:t xml:space="preserve">2191,3 - 2223,3</w:t>
            </w:r>
          </w:p>
        </w:tc>
      </w:tr>
      <w:tr>
        <w:tc>
          <w:tcPr>
            <w:tcW w:w="3458" w:type="dxa"/>
          </w:tcPr>
          <w:p>
            <w:pPr>
              <w:pStyle w:val="0"/>
              <w:jc w:val="both"/>
            </w:pPr>
            <w:r>
              <w:rPr>
                <w:sz w:val="20"/>
              </w:rPr>
              <w:t xml:space="preserve">Индекс производства</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112,1</w:t>
            </w:r>
          </w:p>
        </w:tc>
        <w:tc>
          <w:tcPr>
            <w:tcW w:w="1361" w:type="dxa"/>
          </w:tcPr>
          <w:p>
            <w:pPr>
              <w:pStyle w:val="0"/>
              <w:jc w:val="center"/>
            </w:pPr>
            <w:r>
              <w:rPr>
                <w:sz w:val="20"/>
              </w:rPr>
              <w:t xml:space="preserve">105,2</w:t>
            </w:r>
          </w:p>
        </w:tc>
        <w:tc>
          <w:tcPr>
            <w:tcW w:w="1245" w:type="dxa"/>
          </w:tcPr>
          <w:p>
            <w:pPr>
              <w:pStyle w:val="0"/>
              <w:jc w:val="center"/>
            </w:pPr>
            <w:r>
              <w:rPr>
                <w:sz w:val="20"/>
              </w:rPr>
              <w:t xml:space="preserve">102,5 - 104</w:t>
            </w:r>
          </w:p>
        </w:tc>
      </w:tr>
      <w:tr>
        <w:tc>
          <w:tcPr>
            <w:gridSpan w:val="5"/>
            <w:tcW w:w="9068" w:type="dxa"/>
          </w:tcPr>
          <w:p>
            <w:pPr>
              <w:pStyle w:val="0"/>
              <w:outlineLvl w:val="3"/>
              <w:jc w:val="both"/>
            </w:pPr>
            <w:r>
              <w:rPr>
                <w:sz w:val="20"/>
              </w:rPr>
              <w:t xml:space="preserve">Сельское хозяйство</w:t>
            </w:r>
          </w:p>
        </w:tc>
      </w:tr>
      <w:tr>
        <w:tc>
          <w:tcPr>
            <w:tcW w:w="3458" w:type="dxa"/>
          </w:tcPr>
          <w:p>
            <w:pPr>
              <w:pStyle w:val="0"/>
              <w:jc w:val="both"/>
            </w:pPr>
            <w:r>
              <w:rPr>
                <w:sz w:val="20"/>
              </w:rPr>
              <w:t xml:space="preserve">Продукция сельского хозяйства</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123,0</w:t>
            </w:r>
          </w:p>
        </w:tc>
        <w:tc>
          <w:tcPr>
            <w:tcW w:w="1361" w:type="dxa"/>
          </w:tcPr>
          <w:p>
            <w:pPr>
              <w:pStyle w:val="0"/>
              <w:jc w:val="center"/>
            </w:pPr>
            <w:r>
              <w:rPr>
                <w:sz w:val="20"/>
              </w:rPr>
              <w:t xml:space="preserve">38,1</w:t>
            </w:r>
          </w:p>
        </w:tc>
        <w:tc>
          <w:tcPr>
            <w:tcW w:w="1245" w:type="dxa"/>
          </w:tcPr>
          <w:p>
            <w:pPr>
              <w:pStyle w:val="0"/>
              <w:jc w:val="center"/>
            </w:pPr>
            <w:r>
              <w:rPr>
                <w:sz w:val="20"/>
              </w:rPr>
              <w:t xml:space="preserve">113,9</w:t>
            </w:r>
          </w:p>
        </w:tc>
      </w:tr>
      <w:tr>
        <w:tc>
          <w:tcPr>
            <w:tcW w:w="3458" w:type="dxa"/>
          </w:tcPr>
          <w:p>
            <w:pPr>
              <w:pStyle w:val="0"/>
              <w:jc w:val="both"/>
            </w:pPr>
            <w:r>
              <w:rPr>
                <w:sz w:val="20"/>
              </w:rPr>
              <w:t xml:space="preserve">Индекс производства продукции</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110,3</w:t>
            </w:r>
          </w:p>
        </w:tc>
        <w:tc>
          <w:tcPr>
            <w:tcW w:w="1361" w:type="dxa"/>
          </w:tcPr>
          <w:p>
            <w:pPr>
              <w:pStyle w:val="0"/>
              <w:jc w:val="center"/>
            </w:pPr>
            <w:r>
              <w:rPr>
                <w:sz w:val="20"/>
              </w:rPr>
              <w:t xml:space="preserve">109,2</w:t>
            </w:r>
          </w:p>
        </w:tc>
        <w:tc>
          <w:tcPr>
            <w:tcW w:w="1245" w:type="dxa"/>
          </w:tcPr>
          <w:p>
            <w:pPr>
              <w:pStyle w:val="0"/>
              <w:jc w:val="center"/>
            </w:pPr>
            <w:r>
              <w:rPr>
                <w:sz w:val="20"/>
              </w:rPr>
              <w:t xml:space="preserve">86</w:t>
            </w:r>
          </w:p>
        </w:tc>
      </w:tr>
      <w:tr>
        <w:tc>
          <w:tcPr>
            <w:gridSpan w:val="5"/>
            <w:tcW w:w="9068" w:type="dxa"/>
          </w:tcPr>
          <w:p>
            <w:pPr>
              <w:pStyle w:val="0"/>
              <w:outlineLvl w:val="3"/>
              <w:jc w:val="both"/>
            </w:pPr>
            <w:r>
              <w:rPr>
                <w:sz w:val="20"/>
              </w:rPr>
              <w:t xml:space="preserve">Строительство</w:t>
            </w:r>
          </w:p>
        </w:tc>
      </w:tr>
      <w:tr>
        <w:tc>
          <w:tcPr>
            <w:tcW w:w="3458" w:type="dxa"/>
          </w:tcPr>
          <w:p>
            <w:pPr>
              <w:pStyle w:val="0"/>
              <w:jc w:val="both"/>
            </w:pPr>
            <w:r>
              <w:rPr>
                <w:sz w:val="20"/>
              </w:rPr>
              <w:t xml:space="preserve">Объем работ, выполненных по виду деятельности "Строительство"</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326,9</w:t>
            </w:r>
          </w:p>
        </w:tc>
        <w:tc>
          <w:tcPr>
            <w:tcW w:w="1361" w:type="dxa"/>
          </w:tcPr>
          <w:p>
            <w:pPr>
              <w:pStyle w:val="0"/>
              <w:jc w:val="center"/>
            </w:pPr>
            <w:r>
              <w:rPr>
                <w:sz w:val="20"/>
              </w:rPr>
              <w:t xml:space="preserve">128,1</w:t>
            </w:r>
          </w:p>
        </w:tc>
        <w:tc>
          <w:tcPr>
            <w:tcW w:w="1245" w:type="dxa"/>
          </w:tcPr>
          <w:p>
            <w:pPr>
              <w:pStyle w:val="0"/>
              <w:jc w:val="center"/>
            </w:pPr>
            <w:r>
              <w:rPr>
                <w:sz w:val="20"/>
              </w:rPr>
              <w:t xml:space="preserve">373,9</w:t>
            </w:r>
          </w:p>
        </w:tc>
      </w:tr>
      <w:tr>
        <w:tc>
          <w:tcPr>
            <w:tcW w:w="3458" w:type="dxa"/>
          </w:tcPr>
          <w:p>
            <w:pPr>
              <w:pStyle w:val="0"/>
              <w:jc w:val="both"/>
            </w:pPr>
            <w:r>
              <w:rPr>
                <w:sz w:val="20"/>
              </w:rPr>
              <w:t xml:space="preserve">Индекс физического объема</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127,6</w:t>
            </w:r>
          </w:p>
        </w:tc>
        <w:tc>
          <w:tcPr>
            <w:tcW w:w="1361" w:type="dxa"/>
          </w:tcPr>
          <w:p>
            <w:pPr>
              <w:pStyle w:val="0"/>
              <w:jc w:val="center"/>
            </w:pPr>
            <w:r>
              <w:rPr>
                <w:sz w:val="20"/>
              </w:rPr>
              <w:t xml:space="preserve">114,1</w:t>
            </w:r>
          </w:p>
        </w:tc>
        <w:tc>
          <w:tcPr>
            <w:tcW w:w="1245" w:type="dxa"/>
          </w:tcPr>
          <w:p>
            <w:pPr>
              <w:pStyle w:val="0"/>
              <w:jc w:val="center"/>
            </w:pPr>
            <w:r>
              <w:rPr>
                <w:sz w:val="20"/>
              </w:rPr>
              <w:t xml:space="preserve">106,5</w:t>
            </w:r>
          </w:p>
        </w:tc>
      </w:tr>
      <w:tr>
        <w:tc>
          <w:tcPr>
            <w:tcW w:w="3458" w:type="dxa"/>
          </w:tcPr>
          <w:p>
            <w:pPr>
              <w:pStyle w:val="0"/>
              <w:jc w:val="both"/>
            </w:pPr>
            <w:r>
              <w:rPr>
                <w:sz w:val="20"/>
              </w:rPr>
              <w:t xml:space="preserve">Ввод в действие жилых домов</w:t>
            </w:r>
          </w:p>
        </w:tc>
        <w:tc>
          <w:tcPr>
            <w:tcW w:w="1757" w:type="dxa"/>
          </w:tcPr>
          <w:p>
            <w:pPr>
              <w:pStyle w:val="0"/>
              <w:jc w:val="center"/>
            </w:pPr>
            <w:r>
              <w:rPr>
                <w:sz w:val="20"/>
              </w:rPr>
              <w:t xml:space="preserve">тыс. кв. м общей площади</w:t>
            </w:r>
          </w:p>
        </w:tc>
        <w:tc>
          <w:tcPr>
            <w:tcW w:w="1247" w:type="dxa"/>
          </w:tcPr>
          <w:p>
            <w:pPr>
              <w:pStyle w:val="0"/>
              <w:jc w:val="center"/>
            </w:pPr>
            <w:r>
              <w:rPr>
                <w:sz w:val="20"/>
              </w:rPr>
              <w:t xml:space="preserve">1859,4</w:t>
            </w:r>
          </w:p>
        </w:tc>
        <w:tc>
          <w:tcPr>
            <w:tcW w:w="1361" w:type="dxa"/>
          </w:tcPr>
          <w:p>
            <w:pPr>
              <w:pStyle w:val="0"/>
              <w:jc w:val="center"/>
            </w:pPr>
            <w:r>
              <w:rPr>
                <w:sz w:val="20"/>
              </w:rPr>
              <w:t xml:space="preserve">1226,5</w:t>
            </w:r>
          </w:p>
        </w:tc>
        <w:tc>
          <w:tcPr>
            <w:tcW w:w="1245" w:type="dxa"/>
          </w:tcPr>
          <w:p>
            <w:pPr>
              <w:pStyle w:val="0"/>
              <w:jc w:val="center"/>
            </w:pPr>
            <w:r>
              <w:rPr>
                <w:sz w:val="20"/>
              </w:rPr>
              <w:t xml:space="preserve">1859,4</w:t>
            </w:r>
          </w:p>
        </w:tc>
      </w:tr>
      <w:tr>
        <w:tc>
          <w:tcPr>
            <w:gridSpan w:val="5"/>
            <w:tcW w:w="9068" w:type="dxa"/>
          </w:tcPr>
          <w:p>
            <w:pPr>
              <w:pStyle w:val="0"/>
              <w:outlineLvl w:val="3"/>
              <w:jc w:val="both"/>
            </w:pPr>
            <w:r>
              <w:rPr>
                <w:sz w:val="20"/>
              </w:rPr>
              <w:t xml:space="preserve">Торговля и услуги населению</w:t>
            </w:r>
          </w:p>
        </w:tc>
      </w:tr>
      <w:tr>
        <w:tc>
          <w:tcPr>
            <w:tcW w:w="3458" w:type="dxa"/>
          </w:tcPr>
          <w:p>
            <w:pPr>
              <w:pStyle w:val="0"/>
              <w:jc w:val="both"/>
            </w:pPr>
            <w:r>
              <w:rPr>
                <w:sz w:val="20"/>
              </w:rPr>
              <w:t xml:space="preserve">Индекс потребительских цен на товары и услуги, на конец года</w:t>
            </w:r>
          </w:p>
        </w:tc>
        <w:tc>
          <w:tcPr>
            <w:tcW w:w="1757" w:type="dxa"/>
          </w:tcPr>
          <w:p>
            <w:pPr>
              <w:pStyle w:val="0"/>
              <w:jc w:val="center"/>
            </w:pPr>
            <w:r>
              <w:rPr>
                <w:sz w:val="20"/>
              </w:rPr>
              <w:t xml:space="preserve">% к декабрю предыдущего года</w:t>
            </w:r>
          </w:p>
        </w:tc>
        <w:tc>
          <w:tcPr>
            <w:tcW w:w="1247" w:type="dxa"/>
          </w:tcPr>
          <w:p>
            <w:pPr>
              <w:pStyle w:val="0"/>
              <w:jc w:val="center"/>
            </w:pPr>
            <w:r>
              <w:rPr>
                <w:sz w:val="20"/>
              </w:rPr>
              <w:t xml:space="preserve">106,9</w:t>
            </w:r>
          </w:p>
        </w:tc>
        <w:tc>
          <w:tcPr>
            <w:tcW w:w="1361" w:type="dxa"/>
          </w:tcPr>
          <w:p>
            <w:pPr>
              <w:pStyle w:val="0"/>
              <w:jc w:val="center"/>
            </w:pPr>
            <w:r>
              <w:rPr>
                <w:sz w:val="20"/>
              </w:rPr>
              <w:t xml:space="preserve">103</w:t>
            </w:r>
          </w:p>
        </w:tc>
        <w:tc>
          <w:tcPr>
            <w:tcW w:w="1245" w:type="dxa"/>
          </w:tcPr>
          <w:p>
            <w:pPr>
              <w:pStyle w:val="0"/>
              <w:jc w:val="center"/>
            </w:pPr>
            <w:r>
              <w:rPr>
                <w:sz w:val="20"/>
              </w:rPr>
              <w:t xml:space="preserve">107,3</w:t>
            </w:r>
          </w:p>
        </w:tc>
      </w:tr>
      <w:tr>
        <w:tc>
          <w:tcPr>
            <w:tcW w:w="3458" w:type="dxa"/>
          </w:tcPr>
          <w:p>
            <w:pPr>
              <w:pStyle w:val="0"/>
              <w:jc w:val="both"/>
            </w:pPr>
            <w:r>
              <w:rPr>
                <w:sz w:val="20"/>
              </w:rPr>
              <w:t xml:space="preserve">Индекс потребительских цен на товары и услуги, в среднем за год</w:t>
            </w:r>
          </w:p>
        </w:tc>
        <w:tc>
          <w:tcPr>
            <w:tcW w:w="1757" w:type="dxa"/>
          </w:tcPr>
          <w:p>
            <w:pPr>
              <w:pStyle w:val="0"/>
              <w:jc w:val="center"/>
            </w:pPr>
            <w:r>
              <w:rPr>
                <w:sz w:val="20"/>
              </w:rPr>
              <w:t xml:space="preserve">% к предыдущему году</w:t>
            </w:r>
          </w:p>
        </w:tc>
        <w:tc>
          <w:tcPr>
            <w:tcW w:w="1247" w:type="dxa"/>
          </w:tcPr>
          <w:p>
            <w:pPr>
              <w:pStyle w:val="0"/>
              <w:jc w:val="center"/>
            </w:pPr>
            <w:r>
              <w:rPr>
                <w:sz w:val="20"/>
              </w:rPr>
              <w:t xml:space="preserve">105,3</w:t>
            </w:r>
          </w:p>
        </w:tc>
        <w:tc>
          <w:tcPr>
            <w:tcW w:w="1361" w:type="dxa"/>
          </w:tcPr>
          <w:p>
            <w:pPr>
              <w:pStyle w:val="0"/>
              <w:jc w:val="center"/>
            </w:pPr>
            <w:r>
              <w:rPr>
                <w:sz w:val="20"/>
              </w:rPr>
              <w:t xml:space="preserve">106,9</w:t>
            </w:r>
          </w:p>
        </w:tc>
        <w:tc>
          <w:tcPr>
            <w:tcW w:w="1245" w:type="dxa"/>
          </w:tcPr>
          <w:p>
            <w:pPr>
              <w:pStyle w:val="0"/>
              <w:jc w:val="center"/>
            </w:pPr>
            <w:r>
              <w:rPr>
                <w:sz w:val="20"/>
              </w:rPr>
              <w:t xml:space="preserve">108</w:t>
            </w:r>
          </w:p>
        </w:tc>
      </w:tr>
      <w:tr>
        <w:tc>
          <w:tcPr>
            <w:tcW w:w="3458" w:type="dxa"/>
          </w:tcPr>
          <w:p>
            <w:pPr>
              <w:pStyle w:val="0"/>
              <w:jc w:val="both"/>
            </w:pPr>
            <w:r>
              <w:rPr>
                <w:sz w:val="20"/>
              </w:rPr>
              <w:t xml:space="preserve">Оборот розничной торговли</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1093,8</w:t>
            </w:r>
          </w:p>
        </w:tc>
        <w:tc>
          <w:tcPr>
            <w:tcW w:w="1361" w:type="dxa"/>
          </w:tcPr>
          <w:p>
            <w:pPr>
              <w:pStyle w:val="0"/>
              <w:jc w:val="center"/>
            </w:pPr>
            <w:r>
              <w:rPr>
                <w:sz w:val="20"/>
              </w:rPr>
              <w:t xml:space="preserve">597</w:t>
            </w:r>
          </w:p>
        </w:tc>
        <w:tc>
          <w:tcPr>
            <w:tcW w:w="1245" w:type="dxa"/>
          </w:tcPr>
          <w:p>
            <w:pPr>
              <w:pStyle w:val="0"/>
              <w:jc w:val="center"/>
            </w:pPr>
            <w:r>
              <w:rPr>
                <w:sz w:val="20"/>
              </w:rPr>
              <w:t xml:space="preserve">1274,6</w:t>
            </w:r>
          </w:p>
        </w:tc>
      </w:tr>
      <w:tr>
        <w:tc>
          <w:tcPr>
            <w:tcW w:w="3458" w:type="dxa"/>
          </w:tcPr>
          <w:p>
            <w:pPr>
              <w:pStyle w:val="0"/>
              <w:jc w:val="both"/>
            </w:pPr>
            <w:r>
              <w:rPr>
                <w:sz w:val="20"/>
              </w:rPr>
              <w:t xml:space="preserve">Индекс физического объема</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108,3</w:t>
            </w:r>
          </w:p>
        </w:tc>
        <w:tc>
          <w:tcPr>
            <w:tcW w:w="1361" w:type="dxa"/>
          </w:tcPr>
          <w:p>
            <w:pPr>
              <w:pStyle w:val="0"/>
              <w:jc w:val="center"/>
            </w:pPr>
            <w:r>
              <w:rPr>
                <w:sz w:val="20"/>
              </w:rPr>
              <w:t xml:space="preserve">109,4</w:t>
            </w:r>
          </w:p>
        </w:tc>
        <w:tc>
          <w:tcPr>
            <w:tcW w:w="1245" w:type="dxa"/>
          </w:tcPr>
          <w:p>
            <w:pPr>
              <w:pStyle w:val="0"/>
              <w:jc w:val="center"/>
            </w:pPr>
            <w:r>
              <w:rPr>
                <w:sz w:val="20"/>
              </w:rPr>
              <w:t xml:space="preserve">108,6</w:t>
            </w:r>
          </w:p>
        </w:tc>
      </w:tr>
      <w:tr>
        <w:tc>
          <w:tcPr>
            <w:tcW w:w="3458" w:type="dxa"/>
          </w:tcPr>
          <w:p>
            <w:pPr>
              <w:pStyle w:val="0"/>
              <w:jc w:val="both"/>
            </w:pPr>
            <w:r>
              <w:rPr>
                <w:sz w:val="20"/>
              </w:rPr>
              <w:t xml:space="preserve">Объем платных услуг населению</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266</w:t>
            </w:r>
          </w:p>
        </w:tc>
        <w:tc>
          <w:tcPr>
            <w:tcW w:w="1361" w:type="dxa"/>
          </w:tcPr>
          <w:p>
            <w:pPr>
              <w:pStyle w:val="0"/>
              <w:jc w:val="center"/>
            </w:pPr>
            <w:r>
              <w:rPr>
                <w:sz w:val="20"/>
              </w:rPr>
              <w:t xml:space="preserve">144,1</w:t>
            </w:r>
          </w:p>
        </w:tc>
        <w:tc>
          <w:tcPr>
            <w:tcW w:w="1245" w:type="dxa"/>
          </w:tcPr>
          <w:p>
            <w:pPr>
              <w:pStyle w:val="0"/>
              <w:jc w:val="center"/>
            </w:pPr>
            <w:r>
              <w:rPr>
                <w:sz w:val="20"/>
              </w:rPr>
              <w:t xml:space="preserve">303,1</w:t>
            </w:r>
          </w:p>
        </w:tc>
      </w:tr>
      <w:tr>
        <w:tc>
          <w:tcPr>
            <w:tcW w:w="3458" w:type="dxa"/>
          </w:tcPr>
          <w:p>
            <w:pPr>
              <w:pStyle w:val="0"/>
              <w:jc w:val="both"/>
            </w:pPr>
            <w:r>
              <w:rPr>
                <w:sz w:val="20"/>
              </w:rPr>
              <w:t xml:space="preserve">Индекс физического объема</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103,1</w:t>
            </w:r>
          </w:p>
        </w:tc>
        <w:tc>
          <w:tcPr>
            <w:tcW w:w="1361" w:type="dxa"/>
          </w:tcPr>
          <w:p>
            <w:pPr>
              <w:pStyle w:val="0"/>
              <w:jc w:val="center"/>
            </w:pPr>
            <w:r>
              <w:rPr>
                <w:sz w:val="20"/>
              </w:rPr>
              <w:t xml:space="preserve">106,5</w:t>
            </w:r>
          </w:p>
        </w:tc>
        <w:tc>
          <w:tcPr>
            <w:tcW w:w="1245" w:type="dxa"/>
          </w:tcPr>
          <w:p>
            <w:pPr>
              <w:pStyle w:val="0"/>
              <w:jc w:val="center"/>
            </w:pPr>
            <w:r>
              <w:rPr>
                <w:sz w:val="20"/>
              </w:rPr>
              <w:t xml:space="preserve">103,8</w:t>
            </w:r>
          </w:p>
        </w:tc>
      </w:tr>
      <w:tr>
        <w:tc>
          <w:tcPr>
            <w:gridSpan w:val="5"/>
            <w:tcW w:w="9068" w:type="dxa"/>
          </w:tcPr>
          <w:p>
            <w:pPr>
              <w:pStyle w:val="0"/>
              <w:outlineLvl w:val="3"/>
              <w:jc w:val="both"/>
            </w:pPr>
            <w:r>
              <w:rPr>
                <w:sz w:val="20"/>
              </w:rPr>
              <w:t xml:space="preserve">Внешнеэкономическая деятельность (значения показателей по внешнеторговому обороту являются информацией ограниченного доступа (ДСП) и не публикуются в открытых источниках с 2022 года)</w:t>
            </w:r>
          </w:p>
        </w:tc>
      </w:tr>
      <w:tr>
        <w:tc>
          <w:tcPr>
            <w:gridSpan w:val="5"/>
            <w:tcW w:w="9068" w:type="dxa"/>
          </w:tcPr>
          <w:p>
            <w:pPr>
              <w:pStyle w:val="0"/>
              <w:outlineLvl w:val="4"/>
              <w:jc w:val="both"/>
            </w:pPr>
            <w:r>
              <w:rPr>
                <w:sz w:val="20"/>
              </w:rPr>
              <w:t xml:space="preserve">Малое и среднее предпринимательство (МСП)</w:t>
            </w:r>
          </w:p>
        </w:tc>
      </w:tr>
      <w:tr>
        <w:tc>
          <w:tcPr>
            <w:tcW w:w="3458" w:type="dxa"/>
          </w:tcPr>
          <w:p>
            <w:pPr>
              <w:pStyle w:val="0"/>
              <w:jc w:val="both"/>
            </w:pPr>
            <w:r>
              <w:rPr>
                <w:sz w:val="20"/>
              </w:rPr>
              <w:t xml:space="preserve">Количество МСП, включая микропредприятия (на конец года)</w:t>
            </w:r>
          </w:p>
        </w:tc>
        <w:tc>
          <w:tcPr>
            <w:tcW w:w="1757" w:type="dxa"/>
          </w:tcPr>
          <w:p>
            <w:pPr>
              <w:pStyle w:val="0"/>
              <w:jc w:val="center"/>
            </w:pPr>
            <w:r>
              <w:rPr>
                <w:sz w:val="20"/>
              </w:rPr>
              <w:t xml:space="preserve">единиц</w:t>
            </w:r>
          </w:p>
        </w:tc>
        <w:tc>
          <w:tcPr>
            <w:tcW w:w="1247" w:type="dxa"/>
          </w:tcPr>
          <w:p>
            <w:pPr>
              <w:pStyle w:val="0"/>
              <w:jc w:val="center"/>
            </w:pPr>
            <w:r>
              <w:rPr>
                <w:sz w:val="20"/>
              </w:rPr>
              <w:t xml:space="preserve">50659 </w:t>
            </w:r>
            <w:hyperlink w:history="0" w:anchor="P295" w:tooltip="&lt;3&gt; По данным Федеральной налоговой службы России (без учета индивидуальных предпринимателей).">
              <w:r>
                <w:rPr>
                  <w:sz w:val="20"/>
                  <w:color w:val="0000ff"/>
                </w:rPr>
                <w:t xml:space="preserve">&lt;3&gt;</w:t>
              </w:r>
            </w:hyperlink>
          </w:p>
        </w:tc>
        <w:tc>
          <w:tcPr>
            <w:tcW w:w="1361" w:type="dxa"/>
          </w:tcPr>
          <w:p>
            <w:pPr>
              <w:pStyle w:val="0"/>
              <w:jc w:val="center"/>
            </w:pPr>
            <w:r>
              <w:rPr>
                <w:sz w:val="20"/>
              </w:rPr>
              <w:t xml:space="preserve">48447 &lt;3&gt;</w:t>
            </w:r>
          </w:p>
        </w:tc>
        <w:tc>
          <w:tcPr>
            <w:tcW w:w="1245" w:type="dxa"/>
          </w:tcPr>
          <w:p>
            <w:pPr>
              <w:pStyle w:val="0"/>
              <w:jc w:val="center"/>
            </w:pPr>
            <w:r>
              <w:rPr>
                <w:sz w:val="20"/>
              </w:rPr>
              <w:t xml:space="preserve">48652</w:t>
            </w:r>
          </w:p>
        </w:tc>
      </w:tr>
      <w:tr>
        <w:tc>
          <w:tcPr>
            <w:tcW w:w="3458" w:type="dxa"/>
          </w:tcPr>
          <w:p>
            <w:pPr>
              <w:pStyle w:val="0"/>
              <w:jc w:val="both"/>
            </w:pPr>
            <w:r>
              <w:rPr>
                <w:sz w:val="20"/>
              </w:rPr>
              <w:t xml:space="preserve">Среднесписочная численность работников на предприятиях МСП (включая микропредприятия) (без внешних совместителей)</w:t>
            </w:r>
          </w:p>
        </w:tc>
        <w:tc>
          <w:tcPr>
            <w:tcW w:w="1757" w:type="dxa"/>
          </w:tcPr>
          <w:p>
            <w:pPr>
              <w:pStyle w:val="0"/>
              <w:jc w:val="center"/>
            </w:pPr>
            <w:r>
              <w:rPr>
                <w:sz w:val="20"/>
              </w:rPr>
              <w:t xml:space="preserve">тыс. чел.</w:t>
            </w:r>
          </w:p>
        </w:tc>
        <w:tc>
          <w:tcPr>
            <w:tcW w:w="1247" w:type="dxa"/>
          </w:tcPr>
          <w:p>
            <w:pPr>
              <w:pStyle w:val="0"/>
              <w:jc w:val="center"/>
            </w:pPr>
            <w:r>
              <w:rPr>
                <w:sz w:val="20"/>
              </w:rPr>
              <w:t xml:space="preserve">321,5 &lt;3&gt;</w:t>
            </w:r>
          </w:p>
        </w:tc>
        <w:tc>
          <w:tcPr>
            <w:tcW w:w="1361" w:type="dxa"/>
          </w:tcPr>
          <w:p>
            <w:pPr>
              <w:pStyle w:val="0"/>
              <w:jc w:val="center"/>
            </w:pPr>
            <w:r>
              <w:rPr>
                <w:sz w:val="20"/>
              </w:rPr>
              <w:t xml:space="preserve">315,1 &lt;3&gt;</w:t>
            </w:r>
          </w:p>
        </w:tc>
        <w:tc>
          <w:tcPr>
            <w:tcW w:w="1245" w:type="dxa"/>
          </w:tcPr>
          <w:p>
            <w:pPr>
              <w:pStyle w:val="0"/>
              <w:jc w:val="center"/>
            </w:pPr>
            <w:r>
              <w:rPr>
                <w:sz w:val="20"/>
              </w:rPr>
              <w:t xml:space="preserve">316,6</w:t>
            </w:r>
          </w:p>
        </w:tc>
      </w:tr>
      <w:tr>
        <w:tc>
          <w:tcPr>
            <w:tcW w:w="3458" w:type="dxa"/>
          </w:tcPr>
          <w:p>
            <w:pPr>
              <w:pStyle w:val="0"/>
              <w:jc w:val="both"/>
            </w:pPr>
            <w:r>
              <w:rPr>
                <w:sz w:val="20"/>
              </w:rPr>
              <w:t xml:space="preserve">Оборот МСП, включая микропредприятия</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2271,3</w:t>
            </w:r>
          </w:p>
        </w:tc>
        <w:tc>
          <w:tcPr>
            <w:tcW w:w="1361" w:type="dxa"/>
          </w:tcPr>
          <w:p>
            <w:pPr>
              <w:pStyle w:val="0"/>
              <w:jc w:val="center"/>
            </w:pPr>
            <w:r>
              <w:rPr>
                <w:sz w:val="20"/>
              </w:rPr>
              <w:t xml:space="preserve">-</w:t>
            </w:r>
          </w:p>
        </w:tc>
        <w:tc>
          <w:tcPr>
            <w:tcW w:w="1245" w:type="dxa"/>
          </w:tcPr>
          <w:p>
            <w:pPr>
              <w:pStyle w:val="0"/>
              <w:jc w:val="center"/>
            </w:pPr>
            <w:r>
              <w:rPr>
                <w:sz w:val="20"/>
              </w:rPr>
              <w:t xml:space="preserve">2520,5</w:t>
            </w:r>
          </w:p>
        </w:tc>
      </w:tr>
      <w:tr>
        <w:tc>
          <w:tcPr>
            <w:gridSpan w:val="5"/>
            <w:tcW w:w="9068" w:type="dxa"/>
          </w:tcPr>
          <w:p>
            <w:pPr>
              <w:pStyle w:val="0"/>
              <w:outlineLvl w:val="4"/>
              <w:jc w:val="both"/>
            </w:pPr>
            <w:r>
              <w:rPr>
                <w:sz w:val="20"/>
              </w:rPr>
              <w:t xml:space="preserve">Инвестиции</w:t>
            </w:r>
          </w:p>
        </w:tc>
      </w:tr>
      <w:tr>
        <w:tc>
          <w:tcPr>
            <w:tcW w:w="3458" w:type="dxa"/>
          </w:tcPr>
          <w:p>
            <w:pPr>
              <w:pStyle w:val="0"/>
              <w:jc w:val="both"/>
            </w:pPr>
            <w:r>
              <w:rPr>
                <w:sz w:val="20"/>
              </w:rPr>
              <w:t xml:space="preserve">Инвестиции в основной капитал</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686,9</w:t>
            </w:r>
          </w:p>
        </w:tc>
        <w:tc>
          <w:tcPr>
            <w:tcW w:w="1361" w:type="dxa"/>
          </w:tcPr>
          <w:p>
            <w:pPr>
              <w:pStyle w:val="0"/>
              <w:jc w:val="center"/>
            </w:pPr>
            <w:r>
              <w:rPr>
                <w:sz w:val="20"/>
              </w:rPr>
              <w:t xml:space="preserve">232,3</w:t>
            </w:r>
          </w:p>
        </w:tc>
        <w:tc>
          <w:tcPr>
            <w:tcW w:w="1245" w:type="dxa"/>
          </w:tcPr>
          <w:p>
            <w:pPr>
              <w:pStyle w:val="0"/>
              <w:jc w:val="center"/>
            </w:pPr>
            <w:r>
              <w:rPr>
                <w:sz w:val="20"/>
              </w:rPr>
              <w:t xml:space="preserve">764,4</w:t>
            </w:r>
          </w:p>
        </w:tc>
      </w:tr>
      <w:tr>
        <w:tc>
          <w:tcPr>
            <w:tcW w:w="3458" w:type="dxa"/>
          </w:tcPr>
          <w:p>
            <w:pPr>
              <w:pStyle w:val="0"/>
              <w:jc w:val="both"/>
            </w:pPr>
            <w:r>
              <w:rPr>
                <w:sz w:val="20"/>
              </w:rPr>
              <w:t xml:space="preserve">Индекс физического объема</w:t>
            </w:r>
          </w:p>
        </w:tc>
        <w:tc>
          <w:tcPr>
            <w:tcW w:w="1757" w:type="dxa"/>
          </w:tcPr>
          <w:p>
            <w:pPr>
              <w:pStyle w:val="0"/>
              <w:jc w:val="center"/>
            </w:pPr>
            <w:r>
              <w:rPr>
                <w:sz w:val="20"/>
              </w:rPr>
              <w:t xml:space="preserve">в % к предыдущему году в сопоставимых ценах</w:t>
            </w:r>
          </w:p>
        </w:tc>
        <w:tc>
          <w:tcPr>
            <w:tcW w:w="1247" w:type="dxa"/>
          </w:tcPr>
          <w:p>
            <w:pPr>
              <w:pStyle w:val="0"/>
              <w:jc w:val="center"/>
            </w:pPr>
            <w:r>
              <w:rPr>
                <w:sz w:val="20"/>
              </w:rPr>
              <w:t xml:space="preserve">136,6</w:t>
            </w:r>
          </w:p>
        </w:tc>
        <w:tc>
          <w:tcPr>
            <w:tcW w:w="1361" w:type="dxa"/>
          </w:tcPr>
          <w:p>
            <w:pPr>
              <w:pStyle w:val="0"/>
              <w:jc w:val="center"/>
            </w:pPr>
            <w:r>
              <w:rPr>
                <w:sz w:val="20"/>
              </w:rPr>
              <w:t xml:space="preserve">100,5</w:t>
            </w:r>
          </w:p>
        </w:tc>
        <w:tc>
          <w:tcPr>
            <w:tcW w:w="1245" w:type="dxa"/>
          </w:tcPr>
          <w:p>
            <w:pPr>
              <w:pStyle w:val="0"/>
              <w:jc w:val="center"/>
            </w:pPr>
            <w:r>
              <w:rPr>
                <w:sz w:val="20"/>
              </w:rPr>
              <w:t xml:space="preserve">102</w:t>
            </w:r>
          </w:p>
        </w:tc>
      </w:tr>
      <w:tr>
        <w:tc>
          <w:tcPr>
            <w:tcW w:w="3458" w:type="dxa"/>
          </w:tcPr>
          <w:p>
            <w:pPr>
              <w:pStyle w:val="0"/>
              <w:jc w:val="both"/>
            </w:pPr>
            <w:r>
              <w:rPr>
                <w:sz w:val="20"/>
              </w:rPr>
              <w:t xml:space="preserve">Удельный вес инвестиций в основной капитал в валовом региональном продукте</w:t>
            </w:r>
          </w:p>
        </w:tc>
        <w:tc>
          <w:tcPr>
            <w:tcW w:w="1757" w:type="dxa"/>
          </w:tcPr>
          <w:p>
            <w:pPr>
              <w:pStyle w:val="0"/>
              <w:jc w:val="center"/>
            </w:pPr>
            <w:r>
              <w:rPr>
                <w:sz w:val="20"/>
              </w:rPr>
              <w:t xml:space="preserve">%</w:t>
            </w:r>
          </w:p>
        </w:tc>
        <w:tc>
          <w:tcPr>
            <w:tcW w:w="1247" w:type="dxa"/>
          </w:tcPr>
          <w:p>
            <w:pPr>
              <w:pStyle w:val="0"/>
              <w:jc w:val="center"/>
            </w:pPr>
            <w:r>
              <w:rPr>
                <w:sz w:val="20"/>
              </w:rPr>
              <w:t xml:space="preserve">25,4</w:t>
            </w:r>
          </w:p>
        </w:tc>
        <w:tc>
          <w:tcPr>
            <w:tcW w:w="1361" w:type="dxa"/>
          </w:tcPr>
          <w:p>
            <w:pPr>
              <w:pStyle w:val="0"/>
              <w:jc w:val="center"/>
            </w:pPr>
            <w:r>
              <w:rPr>
                <w:sz w:val="20"/>
              </w:rPr>
              <w:t xml:space="preserve">-</w:t>
            </w:r>
          </w:p>
        </w:tc>
        <w:tc>
          <w:tcPr>
            <w:tcW w:w="1245" w:type="dxa"/>
          </w:tcPr>
          <w:p>
            <w:pPr>
              <w:pStyle w:val="0"/>
              <w:jc w:val="center"/>
            </w:pPr>
            <w:r>
              <w:rPr>
                <w:sz w:val="20"/>
              </w:rPr>
              <w:t xml:space="preserve">25,2</w:t>
            </w:r>
          </w:p>
        </w:tc>
      </w:tr>
      <w:tr>
        <w:tc>
          <w:tcPr>
            <w:gridSpan w:val="5"/>
            <w:tcW w:w="9068" w:type="dxa"/>
          </w:tcPr>
          <w:p>
            <w:pPr>
              <w:pStyle w:val="0"/>
              <w:outlineLvl w:val="4"/>
              <w:jc w:val="both"/>
            </w:pPr>
            <w:r>
              <w:rPr>
                <w:sz w:val="20"/>
              </w:rPr>
              <w:t xml:space="preserve">Денежные доходы населения</w:t>
            </w:r>
          </w:p>
        </w:tc>
      </w:tr>
      <w:tr>
        <w:tc>
          <w:tcPr>
            <w:tcW w:w="3458" w:type="dxa"/>
          </w:tcPr>
          <w:p>
            <w:pPr>
              <w:pStyle w:val="0"/>
              <w:jc w:val="both"/>
            </w:pPr>
            <w:r>
              <w:rPr>
                <w:sz w:val="20"/>
              </w:rPr>
              <w:t xml:space="preserve">Реальный среднедушевой денежный доход населения</w:t>
            </w:r>
          </w:p>
        </w:tc>
        <w:tc>
          <w:tcPr>
            <w:tcW w:w="1757" w:type="dxa"/>
          </w:tcPr>
          <w:p>
            <w:pPr>
              <w:pStyle w:val="0"/>
              <w:jc w:val="center"/>
            </w:pPr>
            <w:r>
              <w:rPr>
                <w:sz w:val="20"/>
              </w:rPr>
              <w:t xml:space="preserve">% к предыдущему году</w:t>
            </w:r>
          </w:p>
        </w:tc>
        <w:tc>
          <w:tcPr>
            <w:tcW w:w="1247" w:type="dxa"/>
          </w:tcPr>
          <w:p>
            <w:pPr>
              <w:pStyle w:val="0"/>
              <w:jc w:val="center"/>
            </w:pPr>
            <w:r>
              <w:rPr>
                <w:sz w:val="20"/>
              </w:rPr>
              <w:t xml:space="preserve">104,8</w:t>
            </w:r>
          </w:p>
        </w:tc>
        <w:tc>
          <w:tcPr>
            <w:tcW w:w="1361" w:type="dxa"/>
          </w:tcPr>
          <w:p>
            <w:pPr>
              <w:pStyle w:val="0"/>
              <w:jc w:val="center"/>
            </w:pPr>
            <w:r>
              <w:rPr>
                <w:sz w:val="20"/>
              </w:rPr>
              <w:t xml:space="preserve">111,4</w:t>
            </w:r>
          </w:p>
        </w:tc>
        <w:tc>
          <w:tcPr>
            <w:tcW w:w="1245" w:type="dxa"/>
          </w:tcPr>
          <w:p>
            <w:pPr>
              <w:pStyle w:val="0"/>
              <w:jc w:val="center"/>
            </w:pPr>
            <w:r>
              <w:rPr>
                <w:sz w:val="20"/>
              </w:rPr>
              <w:t xml:space="preserve">110,7</w:t>
            </w:r>
          </w:p>
        </w:tc>
      </w:tr>
      <w:tr>
        <w:tc>
          <w:tcPr>
            <w:tcW w:w="3458" w:type="dxa"/>
          </w:tcPr>
          <w:p>
            <w:pPr>
              <w:pStyle w:val="0"/>
              <w:jc w:val="both"/>
            </w:pPr>
            <w:r>
              <w:rPr>
                <w:sz w:val="20"/>
              </w:rPr>
              <w:t xml:space="preserve">Прожиточный минимум в среднем на душу населения (в среднем за год)</w:t>
            </w:r>
          </w:p>
        </w:tc>
        <w:tc>
          <w:tcPr>
            <w:tcW w:w="1757" w:type="dxa"/>
          </w:tcPr>
          <w:p>
            <w:pPr>
              <w:pStyle w:val="0"/>
              <w:jc w:val="center"/>
            </w:pPr>
            <w:r>
              <w:rPr>
                <w:sz w:val="20"/>
              </w:rPr>
              <w:t xml:space="preserve">руб./мес.</w:t>
            </w:r>
          </w:p>
        </w:tc>
        <w:tc>
          <w:tcPr>
            <w:tcW w:w="1247" w:type="dxa"/>
          </w:tcPr>
          <w:p>
            <w:pPr>
              <w:pStyle w:val="0"/>
              <w:jc w:val="center"/>
            </w:pPr>
            <w:r>
              <w:rPr>
                <w:sz w:val="20"/>
              </w:rPr>
              <w:t xml:space="preserve">13513</w:t>
            </w:r>
          </w:p>
        </w:tc>
        <w:tc>
          <w:tcPr>
            <w:tcW w:w="1361" w:type="dxa"/>
          </w:tcPr>
          <w:p>
            <w:pPr>
              <w:pStyle w:val="0"/>
              <w:jc w:val="center"/>
            </w:pPr>
            <w:r>
              <w:rPr>
                <w:sz w:val="20"/>
              </w:rPr>
              <w:t xml:space="preserve">-</w:t>
            </w:r>
          </w:p>
        </w:tc>
        <w:tc>
          <w:tcPr>
            <w:tcW w:w="1245" w:type="dxa"/>
          </w:tcPr>
          <w:p>
            <w:pPr>
              <w:pStyle w:val="0"/>
              <w:jc w:val="center"/>
            </w:pPr>
            <w:r>
              <w:rPr>
                <w:sz w:val="20"/>
              </w:rPr>
              <w:t xml:space="preserve">14526</w:t>
            </w:r>
          </w:p>
        </w:tc>
      </w:tr>
      <w:tr>
        <w:tc>
          <w:tcPr>
            <w:tcW w:w="3458" w:type="dxa"/>
          </w:tcPr>
          <w:p>
            <w:pPr>
              <w:pStyle w:val="0"/>
              <w:jc w:val="both"/>
            </w:pPr>
            <w:r>
              <w:rPr>
                <w:sz w:val="20"/>
              </w:rPr>
              <w:t xml:space="preserve">Численность населения с денежными доходами ниже границы бедности к общей численности населения</w:t>
            </w:r>
          </w:p>
        </w:tc>
        <w:tc>
          <w:tcPr>
            <w:tcW w:w="1757" w:type="dxa"/>
          </w:tcPr>
          <w:p>
            <w:pPr>
              <w:pStyle w:val="0"/>
              <w:jc w:val="center"/>
            </w:pPr>
            <w:r>
              <w:rPr>
                <w:sz w:val="20"/>
              </w:rPr>
              <w:t xml:space="preserve">%</w:t>
            </w:r>
          </w:p>
        </w:tc>
        <w:tc>
          <w:tcPr>
            <w:tcW w:w="1247" w:type="dxa"/>
          </w:tcPr>
          <w:p>
            <w:pPr>
              <w:pStyle w:val="0"/>
              <w:jc w:val="center"/>
            </w:pPr>
            <w:r>
              <w:rPr>
                <w:sz w:val="20"/>
              </w:rPr>
              <w:t xml:space="preserve">7,2</w:t>
            </w:r>
          </w:p>
        </w:tc>
        <w:tc>
          <w:tcPr>
            <w:tcW w:w="1361" w:type="dxa"/>
          </w:tcPr>
          <w:p>
            <w:pPr>
              <w:pStyle w:val="0"/>
              <w:jc w:val="center"/>
            </w:pPr>
            <w:r>
              <w:rPr>
                <w:sz w:val="20"/>
              </w:rPr>
              <w:t xml:space="preserve">-</w:t>
            </w:r>
          </w:p>
        </w:tc>
        <w:tc>
          <w:tcPr>
            <w:tcW w:w="1245" w:type="dxa"/>
          </w:tcPr>
          <w:p>
            <w:pPr>
              <w:pStyle w:val="0"/>
              <w:jc w:val="center"/>
            </w:pPr>
            <w:r>
              <w:rPr>
                <w:sz w:val="20"/>
              </w:rPr>
              <w:t xml:space="preserve">7,0</w:t>
            </w:r>
          </w:p>
        </w:tc>
      </w:tr>
      <w:tr>
        <w:tc>
          <w:tcPr>
            <w:gridSpan w:val="5"/>
            <w:tcW w:w="9068" w:type="dxa"/>
          </w:tcPr>
          <w:p>
            <w:pPr>
              <w:pStyle w:val="0"/>
              <w:outlineLvl w:val="4"/>
              <w:jc w:val="both"/>
            </w:pPr>
            <w:r>
              <w:rPr>
                <w:sz w:val="20"/>
              </w:rPr>
              <w:t xml:space="preserve">Труд и занятость</w:t>
            </w:r>
          </w:p>
        </w:tc>
      </w:tr>
      <w:tr>
        <w:tc>
          <w:tcPr>
            <w:tcW w:w="3458" w:type="dxa"/>
          </w:tcPr>
          <w:p>
            <w:pPr>
              <w:pStyle w:val="0"/>
              <w:jc w:val="both"/>
            </w:pPr>
            <w:r>
              <w:rPr>
                <w:sz w:val="20"/>
              </w:rPr>
              <w:t xml:space="preserve">Численность рабочей силы</w:t>
            </w:r>
          </w:p>
        </w:tc>
        <w:tc>
          <w:tcPr>
            <w:tcW w:w="1757" w:type="dxa"/>
          </w:tcPr>
          <w:p>
            <w:pPr>
              <w:pStyle w:val="0"/>
              <w:jc w:val="center"/>
            </w:pPr>
            <w:r>
              <w:rPr>
                <w:sz w:val="20"/>
              </w:rPr>
              <w:t xml:space="preserve">тыс. чел.</w:t>
            </w:r>
          </w:p>
        </w:tc>
        <w:tc>
          <w:tcPr>
            <w:tcW w:w="1247" w:type="dxa"/>
          </w:tcPr>
          <w:p>
            <w:pPr>
              <w:pStyle w:val="0"/>
              <w:jc w:val="center"/>
            </w:pPr>
            <w:r>
              <w:rPr>
                <w:sz w:val="20"/>
              </w:rPr>
              <w:t xml:space="preserve">1700,3</w:t>
            </w:r>
          </w:p>
        </w:tc>
        <w:tc>
          <w:tcPr>
            <w:tcW w:w="1361" w:type="dxa"/>
          </w:tcPr>
          <w:p>
            <w:pPr>
              <w:pStyle w:val="0"/>
              <w:jc w:val="center"/>
            </w:pPr>
            <w:r>
              <w:rPr>
                <w:sz w:val="20"/>
              </w:rPr>
              <w:t xml:space="preserve">-</w:t>
            </w:r>
          </w:p>
        </w:tc>
        <w:tc>
          <w:tcPr>
            <w:tcW w:w="1245" w:type="dxa"/>
          </w:tcPr>
          <w:p>
            <w:pPr>
              <w:pStyle w:val="0"/>
              <w:jc w:val="center"/>
            </w:pPr>
            <w:r>
              <w:rPr>
                <w:sz w:val="20"/>
              </w:rPr>
              <w:t xml:space="preserve">1700,5</w:t>
            </w:r>
          </w:p>
        </w:tc>
      </w:tr>
      <w:tr>
        <w:tc>
          <w:tcPr>
            <w:tcW w:w="3458" w:type="dxa"/>
            <w:vMerge w:val="restart"/>
          </w:tcPr>
          <w:p>
            <w:pPr>
              <w:pStyle w:val="0"/>
              <w:jc w:val="both"/>
            </w:pPr>
            <w:r>
              <w:rPr>
                <w:sz w:val="20"/>
              </w:rPr>
              <w:t xml:space="preserve">Номинальная начисленная среднемесячная заработная плата работников организаций</w:t>
            </w:r>
          </w:p>
        </w:tc>
        <w:tc>
          <w:tcPr>
            <w:tcW w:w="1757" w:type="dxa"/>
          </w:tcPr>
          <w:p>
            <w:pPr>
              <w:pStyle w:val="0"/>
              <w:jc w:val="center"/>
            </w:pPr>
            <w:r>
              <w:rPr>
                <w:sz w:val="20"/>
              </w:rPr>
              <w:t xml:space="preserve">рублей</w:t>
            </w:r>
          </w:p>
        </w:tc>
        <w:tc>
          <w:tcPr>
            <w:tcW w:w="1247" w:type="dxa"/>
          </w:tcPr>
          <w:p>
            <w:pPr>
              <w:pStyle w:val="0"/>
              <w:jc w:val="center"/>
            </w:pPr>
            <w:r>
              <w:rPr>
                <w:sz w:val="20"/>
              </w:rPr>
              <w:t xml:space="preserve">56526,3</w:t>
            </w:r>
          </w:p>
        </w:tc>
        <w:tc>
          <w:tcPr>
            <w:tcW w:w="1361" w:type="dxa"/>
          </w:tcPr>
          <w:p>
            <w:pPr>
              <w:pStyle w:val="0"/>
              <w:jc w:val="center"/>
            </w:pPr>
            <w:r>
              <w:rPr>
                <w:sz w:val="20"/>
              </w:rPr>
              <w:t xml:space="preserve">62003,8</w:t>
            </w:r>
          </w:p>
        </w:tc>
        <w:tc>
          <w:tcPr>
            <w:tcW w:w="1245" w:type="dxa"/>
          </w:tcPr>
          <w:p>
            <w:pPr>
              <w:pStyle w:val="0"/>
              <w:jc w:val="center"/>
            </w:pPr>
            <w:r>
              <w:rPr>
                <w:sz w:val="20"/>
              </w:rPr>
              <w:t xml:space="preserve">68685</w:t>
            </w:r>
          </w:p>
        </w:tc>
      </w:tr>
      <w:tr>
        <w:tc>
          <w:tcPr>
            <w:vMerge w:val="continue"/>
          </w:tcPr>
          <w:p/>
        </w:tc>
        <w:tc>
          <w:tcPr>
            <w:tcW w:w="1757" w:type="dxa"/>
          </w:tcPr>
          <w:p>
            <w:pPr>
              <w:pStyle w:val="0"/>
              <w:jc w:val="center"/>
            </w:pPr>
            <w:r>
              <w:rPr>
                <w:sz w:val="20"/>
              </w:rPr>
              <w:t xml:space="preserve">темп роста в % к предыдущему году</w:t>
            </w:r>
          </w:p>
        </w:tc>
        <w:tc>
          <w:tcPr>
            <w:tcW w:w="1247" w:type="dxa"/>
          </w:tcPr>
          <w:p>
            <w:pPr>
              <w:pStyle w:val="0"/>
              <w:jc w:val="center"/>
            </w:pPr>
            <w:r>
              <w:rPr>
                <w:sz w:val="20"/>
              </w:rPr>
              <w:t xml:space="preserve">116,9</w:t>
            </w:r>
          </w:p>
        </w:tc>
        <w:tc>
          <w:tcPr>
            <w:tcW w:w="1361" w:type="dxa"/>
          </w:tcPr>
          <w:p>
            <w:pPr>
              <w:pStyle w:val="0"/>
              <w:jc w:val="center"/>
            </w:pPr>
            <w:r>
              <w:rPr>
                <w:sz w:val="20"/>
              </w:rPr>
              <w:t xml:space="preserve">119,3</w:t>
            </w:r>
          </w:p>
        </w:tc>
        <w:tc>
          <w:tcPr>
            <w:tcW w:w="1245" w:type="dxa"/>
          </w:tcPr>
          <w:p>
            <w:pPr>
              <w:pStyle w:val="0"/>
              <w:jc w:val="center"/>
            </w:pPr>
            <w:r>
              <w:rPr>
                <w:sz w:val="20"/>
              </w:rPr>
              <w:t xml:space="preserve">121,5</w:t>
            </w:r>
          </w:p>
        </w:tc>
      </w:tr>
      <w:tr>
        <w:tc>
          <w:tcPr>
            <w:tcW w:w="3458" w:type="dxa"/>
            <w:vMerge w:val="restart"/>
          </w:tcPr>
          <w:p>
            <w:pPr>
              <w:pStyle w:val="0"/>
              <w:jc w:val="both"/>
            </w:pPr>
            <w:r>
              <w:rPr>
                <w:sz w:val="20"/>
              </w:rPr>
              <w:t xml:space="preserve">Среднемесячный доход от трудовой деятельности</w:t>
            </w:r>
          </w:p>
        </w:tc>
        <w:tc>
          <w:tcPr>
            <w:tcW w:w="1757" w:type="dxa"/>
          </w:tcPr>
          <w:p>
            <w:pPr>
              <w:pStyle w:val="0"/>
              <w:jc w:val="center"/>
            </w:pPr>
            <w:r>
              <w:rPr>
                <w:sz w:val="20"/>
              </w:rPr>
              <w:t xml:space="preserve">рублей</w:t>
            </w:r>
          </w:p>
        </w:tc>
        <w:tc>
          <w:tcPr>
            <w:tcW w:w="1247" w:type="dxa"/>
          </w:tcPr>
          <w:p>
            <w:pPr>
              <w:pStyle w:val="0"/>
              <w:jc w:val="center"/>
            </w:pPr>
            <w:r>
              <w:rPr>
                <w:sz w:val="20"/>
              </w:rPr>
              <w:t xml:space="preserve">45781</w:t>
            </w:r>
          </w:p>
        </w:tc>
        <w:tc>
          <w:tcPr>
            <w:tcW w:w="1361" w:type="dxa"/>
          </w:tcPr>
          <w:p>
            <w:pPr>
              <w:pStyle w:val="0"/>
              <w:jc w:val="center"/>
            </w:pPr>
            <w:r>
              <w:rPr>
                <w:sz w:val="20"/>
              </w:rPr>
              <w:t xml:space="preserve">50233</w:t>
            </w:r>
          </w:p>
        </w:tc>
        <w:tc>
          <w:tcPr>
            <w:tcW w:w="1245" w:type="dxa"/>
          </w:tcPr>
          <w:p>
            <w:pPr>
              <w:pStyle w:val="0"/>
              <w:jc w:val="center"/>
            </w:pPr>
            <w:r>
              <w:rPr>
                <w:sz w:val="20"/>
              </w:rPr>
              <w:t xml:space="preserve">55630</w:t>
            </w:r>
          </w:p>
        </w:tc>
      </w:tr>
      <w:tr>
        <w:tc>
          <w:tcPr>
            <w:vMerge w:val="continue"/>
          </w:tcPr>
          <w:p/>
        </w:tc>
        <w:tc>
          <w:tcPr>
            <w:tcW w:w="1757" w:type="dxa"/>
          </w:tcPr>
          <w:p>
            <w:pPr>
              <w:pStyle w:val="0"/>
              <w:jc w:val="center"/>
            </w:pPr>
            <w:r>
              <w:rPr>
                <w:sz w:val="20"/>
              </w:rPr>
              <w:t xml:space="preserve">темп роста в % к предыдущему году</w:t>
            </w:r>
          </w:p>
        </w:tc>
        <w:tc>
          <w:tcPr>
            <w:tcW w:w="1247" w:type="dxa"/>
          </w:tcPr>
          <w:p>
            <w:pPr>
              <w:pStyle w:val="0"/>
              <w:jc w:val="center"/>
            </w:pPr>
            <w:r>
              <w:rPr>
                <w:sz w:val="20"/>
              </w:rPr>
              <w:t xml:space="preserve">113,2</w:t>
            </w:r>
          </w:p>
        </w:tc>
        <w:tc>
          <w:tcPr>
            <w:tcW w:w="1361" w:type="dxa"/>
          </w:tcPr>
          <w:p>
            <w:pPr>
              <w:pStyle w:val="0"/>
              <w:jc w:val="center"/>
            </w:pPr>
            <w:r>
              <w:rPr>
                <w:sz w:val="20"/>
              </w:rPr>
              <w:t xml:space="preserve">115,9</w:t>
            </w:r>
          </w:p>
        </w:tc>
        <w:tc>
          <w:tcPr>
            <w:tcW w:w="1245" w:type="dxa"/>
          </w:tcPr>
          <w:p>
            <w:pPr>
              <w:pStyle w:val="0"/>
              <w:jc w:val="center"/>
            </w:pPr>
            <w:r>
              <w:rPr>
                <w:sz w:val="20"/>
              </w:rPr>
              <w:t xml:space="preserve">121,5</w:t>
            </w:r>
          </w:p>
        </w:tc>
      </w:tr>
      <w:tr>
        <w:tc>
          <w:tcPr>
            <w:tcW w:w="3458" w:type="dxa"/>
          </w:tcPr>
          <w:p>
            <w:pPr>
              <w:pStyle w:val="0"/>
              <w:jc w:val="both"/>
            </w:pPr>
            <w:r>
              <w:rPr>
                <w:sz w:val="20"/>
              </w:rPr>
              <w:t xml:space="preserve">Реальная заработная плата работников организаций</w:t>
            </w:r>
          </w:p>
        </w:tc>
        <w:tc>
          <w:tcPr>
            <w:tcW w:w="1757" w:type="dxa"/>
          </w:tcPr>
          <w:p>
            <w:pPr>
              <w:pStyle w:val="0"/>
              <w:jc w:val="center"/>
            </w:pPr>
            <w:r>
              <w:rPr>
                <w:sz w:val="20"/>
              </w:rPr>
              <w:t xml:space="preserve">% к предыдущему году</w:t>
            </w:r>
          </w:p>
        </w:tc>
        <w:tc>
          <w:tcPr>
            <w:tcW w:w="1247" w:type="dxa"/>
          </w:tcPr>
          <w:p>
            <w:pPr>
              <w:pStyle w:val="0"/>
              <w:jc w:val="center"/>
            </w:pPr>
            <w:r>
              <w:rPr>
                <w:sz w:val="20"/>
              </w:rPr>
              <w:t xml:space="preserve">111</w:t>
            </w:r>
          </w:p>
        </w:tc>
        <w:tc>
          <w:tcPr>
            <w:tcW w:w="1361" w:type="dxa"/>
          </w:tcPr>
          <w:p>
            <w:pPr>
              <w:pStyle w:val="0"/>
              <w:jc w:val="center"/>
            </w:pPr>
            <w:r>
              <w:rPr>
                <w:sz w:val="20"/>
              </w:rPr>
              <w:t xml:space="preserve">111,6</w:t>
            </w:r>
          </w:p>
        </w:tc>
        <w:tc>
          <w:tcPr>
            <w:tcW w:w="1245" w:type="dxa"/>
          </w:tcPr>
          <w:p>
            <w:pPr>
              <w:pStyle w:val="0"/>
              <w:jc w:val="center"/>
            </w:pPr>
            <w:r>
              <w:rPr>
                <w:sz w:val="20"/>
              </w:rPr>
              <w:t xml:space="preserve">112,5</w:t>
            </w:r>
          </w:p>
        </w:tc>
      </w:tr>
      <w:tr>
        <w:tc>
          <w:tcPr>
            <w:tcW w:w="3458" w:type="dxa"/>
          </w:tcPr>
          <w:p>
            <w:pPr>
              <w:pStyle w:val="0"/>
              <w:jc w:val="both"/>
            </w:pPr>
            <w:r>
              <w:rPr>
                <w:sz w:val="20"/>
              </w:rPr>
              <w:t xml:space="preserve">Уровень безработицы (по методологии МОТ)</w:t>
            </w:r>
          </w:p>
        </w:tc>
        <w:tc>
          <w:tcPr>
            <w:tcW w:w="1757" w:type="dxa"/>
          </w:tcPr>
          <w:p>
            <w:pPr>
              <w:pStyle w:val="0"/>
              <w:jc w:val="center"/>
            </w:pPr>
            <w:r>
              <w:rPr>
                <w:sz w:val="20"/>
              </w:rPr>
              <w:t xml:space="preserve">% к раб. силе</w:t>
            </w:r>
          </w:p>
        </w:tc>
        <w:tc>
          <w:tcPr>
            <w:tcW w:w="1247" w:type="dxa"/>
          </w:tcPr>
          <w:p>
            <w:pPr>
              <w:pStyle w:val="0"/>
              <w:jc w:val="center"/>
            </w:pPr>
            <w:r>
              <w:rPr>
                <w:sz w:val="20"/>
              </w:rPr>
              <w:t xml:space="preserve">1,9</w:t>
            </w:r>
          </w:p>
        </w:tc>
        <w:tc>
          <w:tcPr>
            <w:tcW w:w="1361" w:type="dxa"/>
          </w:tcPr>
          <w:p>
            <w:pPr>
              <w:pStyle w:val="0"/>
              <w:jc w:val="center"/>
            </w:pPr>
            <w:r>
              <w:rPr>
                <w:sz w:val="20"/>
              </w:rPr>
              <w:t xml:space="preserve">-</w:t>
            </w:r>
          </w:p>
        </w:tc>
        <w:tc>
          <w:tcPr>
            <w:tcW w:w="1245" w:type="dxa"/>
          </w:tcPr>
          <w:p>
            <w:pPr>
              <w:pStyle w:val="0"/>
              <w:jc w:val="center"/>
            </w:pPr>
            <w:r>
              <w:rPr>
                <w:sz w:val="20"/>
              </w:rPr>
              <w:t xml:space="preserve">1,3</w:t>
            </w:r>
          </w:p>
        </w:tc>
      </w:tr>
      <w:tr>
        <w:tc>
          <w:tcPr>
            <w:tcW w:w="3458" w:type="dxa"/>
          </w:tcPr>
          <w:p>
            <w:pPr>
              <w:pStyle w:val="0"/>
              <w:jc w:val="both"/>
            </w:pPr>
            <w:r>
              <w:rPr>
                <w:sz w:val="20"/>
              </w:rPr>
              <w:t xml:space="preserve">Уровень зарегистрированной безработицы (на конец года)</w:t>
            </w:r>
          </w:p>
        </w:tc>
        <w:tc>
          <w:tcPr>
            <w:tcW w:w="1757" w:type="dxa"/>
          </w:tcPr>
          <w:p>
            <w:pPr>
              <w:pStyle w:val="0"/>
              <w:jc w:val="center"/>
            </w:pPr>
            <w:r>
              <w:rPr>
                <w:sz w:val="20"/>
              </w:rPr>
              <w:t xml:space="preserve">%</w:t>
            </w:r>
          </w:p>
        </w:tc>
        <w:tc>
          <w:tcPr>
            <w:tcW w:w="1247" w:type="dxa"/>
          </w:tcPr>
          <w:p>
            <w:pPr>
              <w:pStyle w:val="0"/>
              <w:jc w:val="center"/>
            </w:pPr>
            <w:r>
              <w:rPr>
                <w:sz w:val="20"/>
              </w:rPr>
              <w:t xml:space="preserve">0,28</w:t>
            </w:r>
          </w:p>
        </w:tc>
        <w:tc>
          <w:tcPr>
            <w:tcW w:w="1361" w:type="dxa"/>
          </w:tcPr>
          <w:p>
            <w:pPr>
              <w:pStyle w:val="0"/>
              <w:jc w:val="center"/>
            </w:pPr>
            <w:r>
              <w:rPr>
                <w:sz w:val="20"/>
              </w:rPr>
              <w:t xml:space="preserve">0,23</w:t>
            </w:r>
          </w:p>
        </w:tc>
        <w:tc>
          <w:tcPr>
            <w:tcW w:w="1245" w:type="dxa"/>
          </w:tcPr>
          <w:p>
            <w:pPr>
              <w:pStyle w:val="0"/>
              <w:jc w:val="center"/>
            </w:pPr>
            <w:r>
              <w:rPr>
                <w:sz w:val="20"/>
              </w:rPr>
              <w:t xml:space="preserve">0,1</w:t>
            </w:r>
          </w:p>
        </w:tc>
      </w:tr>
      <w:tr>
        <w:tc>
          <w:tcPr>
            <w:tcW w:w="3458" w:type="dxa"/>
            <w:vMerge w:val="restart"/>
          </w:tcPr>
          <w:p>
            <w:pPr>
              <w:pStyle w:val="0"/>
              <w:jc w:val="both"/>
            </w:pPr>
            <w:r>
              <w:rPr>
                <w:sz w:val="20"/>
              </w:rPr>
              <w:t xml:space="preserve">Фонд заработной платы работников организаций</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801,3</w:t>
            </w:r>
          </w:p>
        </w:tc>
        <w:tc>
          <w:tcPr>
            <w:tcW w:w="1361" w:type="dxa"/>
          </w:tcPr>
          <w:p>
            <w:pPr>
              <w:pStyle w:val="0"/>
              <w:jc w:val="center"/>
            </w:pPr>
            <w:r>
              <w:rPr>
                <w:sz w:val="20"/>
              </w:rPr>
              <w:t xml:space="preserve">417,6</w:t>
            </w:r>
          </w:p>
        </w:tc>
        <w:tc>
          <w:tcPr>
            <w:tcW w:w="1245" w:type="dxa"/>
          </w:tcPr>
          <w:p>
            <w:pPr>
              <w:pStyle w:val="0"/>
              <w:jc w:val="center"/>
            </w:pPr>
            <w:r>
              <w:rPr>
                <w:sz w:val="20"/>
              </w:rPr>
              <w:t xml:space="preserve">971</w:t>
            </w:r>
          </w:p>
        </w:tc>
      </w:tr>
      <w:tr>
        <w:tc>
          <w:tcPr>
            <w:vMerge w:val="continue"/>
          </w:tcPr>
          <w:p/>
        </w:tc>
        <w:tc>
          <w:tcPr>
            <w:tcW w:w="1757" w:type="dxa"/>
          </w:tcPr>
          <w:p>
            <w:pPr>
              <w:pStyle w:val="0"/>
              <w:jc w:val="center"/>
            </w:pPr>
            <w:r>
              <w:rPr>
                <w:sz w:val="20"/>
              </w:rPr>
              <w:t xml:space="preserve">темп роста в % к предыдущему году</w:t>
            </w:r>
          </w:p>
        </w:tc>
        <w:tc>
          <w:tcPr>
            <w:tcW w:w="1247" w:type="dxa"/>
          </w:tcPr>
          <w:p>
            <w:pPr>
              <w:pStyle w:val="0"/>
              <w:jc w:val="center"/>
            </w:pPr>
            <w:r>
              <w:rPr>
                <w:sz w:val="20"/>
              </w:rPr>
              <w:t xml:space="preserve">116,4</w:t>
            </w:r>
          </w:p>
        </w:tc>
        <w:tc>
          <w:tcPr>
            <w:tcW w:w="1361" w:type="dxa"/>
          </w:tcPr>
          <w:p>
            <w:pPr>
              <w:pStyle w:val="0"/>
              <w:jc w:val="center"/>
            </w:pPr>
            <w:r>
              <w:rPr>
                <w:sz w:val="20"/>
              </w:rPr>
              <w:t xml:space="preserve">117,6</w:t>
            </w:r>
          </w:p>
        </w:tc>
        <w:tc>
          <w:tcPr>
            <w:tcW w:w="1245" w:type="dxa"/>
          </w:tcPr>
          <w:p>
            <w:pPr>
              <w:pStyle w:val="0"/>
              <w:jc w:val="center"/>
            </w:pPr>
            <w:r>
              <w:rPr>
                <w:sz w:val="20"/>
              </w:rPr>
              <w:t xml:space="preserve">121,2</w:t>
            </w:r>
          </w:p>
        </w:tc>
      </w:tr>
      <w:tr>
        <w:tc>
          <w:tcPr>
            <w:gridSpan w:val="5"/>
            <w:tcW w:w="9068" w:type="dxa"/>
          </w:tcPr>
          <w:p>
            <w:pPr>
              <w:pStyle w:val="0"/>
              <w:outlineLvl w:val="4"/>
              <w:jc w:val="both"/>
            </w:pPr>
            <w:r>
              <w:rPr>
                <w:sz w:val="20"/>
              </w:rPr>
              <w:t xml:space="preserve">Финансы организаций</w:t>
            </w:r>
          </w:p>
        </w:tc>
      </w:tr>
      <w:tr>
        <w:tc>
          <w:tcPr>
            <w:tcW w:w="3458" w:type="dxa"/>
            <w:vMerge w:val="restart"/>
          </w:tcPr>
          <w:p>
            <w:pPr>
              <w:pStyle w:val="0"/>
              <w:jc w:val="both"/>
            </w:pPr>
            <w:r>
              <w:rPr>
                <w:sz w:val="20"/>
              </w:rPr>
              <w:t xml:space="preserve">Прибыль прибыльных организаций (по полному кругу)</w:t>
            </w:r>
          </w:p>
        </w:tc>
        <w:tc>
          <w:tcPr>
            <w:tcW w:w="1757" w:type="dxa"/>
          </w:tcPr>
          <w:p>
            <w:pPr>
              <w:pStyle w:val="0"/>
              <w:jc w:val="center"/>
            </w:pPr>
            <w:r>
              <w:rPr>
                <w:sz w:val="20"/>
              </w:rPr>
              <w:t xml:space="preserve">млрд руб.</w:t>
            </w:r>
          </w:p>
        </w:tc>
        <w:tc>
          <w:tcPr>
            <w:tcW w:w="1247" w:type="dxa"/>
          </w:tcPr>
          <w:p>
            <w:pPr>
              <w:pStyle w:val="0"/>
              <w:jc w:val="center"/>
            </w:pPr>
            <w:r>
              <w:rPr>
                <w:sz w:val="20"/>
              </w:rPr>
              <w:t xml:space="preserve">701 (оценка)</w:t>
            </w:r>
          </w:p>
        </w:tc>
        <w:tc>
          <w:tcPr>
            <w:tcW w:w="1361" w:type="dxa"/>
          </w:tcPr>
          <w:p>
            <w:pPr>
              <w:pStyle w:val="0"/>
              <w:jc w:val="center"/>
            </w:pPr>
            <w:r>
              <w:rPr>
                <w:sz w:val="20"/>
              </w:rPr>
              <w:t xml:space="preserve">-</w:t>
            </w:r>
          </w:p>
        </w:tc>
        <w:tc>
          <w:tcPr>
            <w:tcW w:w="1245" w:type="dxa"/>
          </w:tcPr>
          <w:p>
            <w:pPr>
              <w:pStyle w:val="0"/>
              <w:jc w:val="center"/>
            </w:pPr>
            <w:r>
              <w:rPr>
                <w:sz w:val="20"/>
              </w:rPr>
              <w:t xml:space="preserve">630,9</w:t>
            </w:r>
          </w:p>
        </w:tc>
      </w:tr>
      <w:tr>
        <w:tc>
          <w:tcPr>
            <w:vMerge w:val="continue"/>
          </w:tcPr>
          <w:p/>
        </w:tc>
        <w:tc>
          <w:tcPr>
            <w:tcW w:w="1757" w:type="dxa"/>
          </w:tcPr>
          <w:p>
            <w:pPr>
              <w:pStyle w:val="0"/>
              <w:jc w:val="center"/>
            </w:pPr>
            <w:r>
              <w:rPr>
                <w:sz w:val="20"/>
              </w:rPr>
              <w:t xml:space="preserve">темп роста в % к предыдущему году</w:t>
            </w:r>
          </w:p>
        </w:tc>
        <w:tc>
          <w:tcPr>
            <w:tcW w:w="1247" w:type="dxa"/>
          </w:tcPr>
          <w:p>
            <w:pPr>
              <w:pStyle w:val="0"/>
              <w:jc w:val="center"/>
            </w:pPr>
            <w:r>
              <w:rPr>
                <w:sz w:val="20"/>
              </w:rPr>
              <w:t xml:space="preserve">135,3 (оценка)</w:t>
            </w:r>
          </w:p>
        </w:tc>
        <w:tc>
          <w:tcPr>
            <w:tcW w:w="1361" w:type="dxa"/>
          </w:tcPr>
          <w:p>
            <w:pPr>
              <w:pStyle w:val="0"/>
              <w:jc w:val="center"/>
            </w:pPr>
            <w:r>
              <w:rPr>
                <w:sz w:val="20"/>
              </w:rPr>
              <w:t xml:space="preserve">-</w:t>
            </w:r>
          </w:p>
        </w:tc>
        <w:tc>
          <w:tcPr>
            <w:tcW w:w="1245" w:type="dxa"/>
          </w:tcPr>
          <w:p>
            <w:pPr>
              <w:pStyle w:val="0"/>
              <w:jc w:val="center"/>
            </w:pPr>
            <w:r>
              <w:rPr>
                <w:sz w:val="20"/>
              </w:rPr>
              <w:t xml:space="preserve">90</w:t>
            </w:r>
          </w:p>
        </w:tc>
      </w:tr>
    </w:tbl>
    <w:p>
      <w:pPr>
        <w:pStyle w:val="0"/>
        <w:ind w:firstLine="540"/>
        <w:jc w:val="both"/>
      </w:pPr>
      <w:r>
        <w:rPr>
          <w:sz w:val="20"/>
        </w:rPr>
      </w:r>
    </w:p>
    <w:p>
      <w:pPr>
        <w:pStyle w:val="0"/>
        <w:ind w:firstLine="540"/>
        <w:jc w:val="both"/>
      </w:pPr>
      <w:r>
        <w:rPr>
          <w:sz w:val="20"/>
        </w:rPr>
        <w:t xml:space="preserve">--------------------------------</w:t>
      </w:r>
    </w:p>
    <w:bookmarkStart w:id="293" w:name="P293"/>
    <w:bookmarkEnd w:id="293"/>
    <w:p>
      <w:pPr>
        <w:pStyle w:val="0"/>
        <w:spacing w:before="200" w:line-rule="auto"/>
        <w:ind w:firstLine="540"/>
        <w:jc w:val="both"/>
      </w:pPr>
      <w:r>
        <w:rPr>
          <w:sz w:val="20"/>
        </w:rPr>
        <w:t xml:space="preserve">&lt;1&gt; Используются фактические статистические данные, которые разрабатываются субъектами официального статистического учета, приведены по состоянию на 20 сентября 2024 года.</w:t>
      </w:r>
    </w:p>
    <w:bookmarkStart w:id="294" w:name="P294"/>
    <w:bookmarkEnd w:id="294"/>
    <w:p>
      <w:pPr>
        <w:pStyle w:val="0"/>
        <w:spacing w:before="200" w:line-rule="auto"/>
        <w:ind w:firstLine="540"/>
        <w:jc w:val="both"/>
      </w:pPr>
      <w:r>
        <w:rPr>
          <w:sz w:val="20"/>
        </w:rPr>
        <w:t xml:space="preserve">&lt;2&gt; С учетом итогов Всероссийской переписи населения 2020 года.</w:t>
      </w:r>
    </w:p>
    <w:bookmarkStart w:id="295" w:name="P295"/>
    <w:bookmarkEnd w:id="295"/>
    <w:p>
      <w:pPr>
        <w:pStyle w:val="0"/>
        <w:spacing w:before="200" w:line-rule="auto"/>
        <w:ind w:firstLine="540"/>
        <w:jc w:val="both"/>
      </w:pPr>
      <w:r>
        <w:rPr>
          <w:sz w:val="20"/>
        </w:rPr>
        <w:t xml:space="preserve">&lt;3&gt; По данным Федеральной налоговой службы России (без учета индивидуальных предпринимателей).</w:t>
      </w:r>
    </w:p>
    <w:p>
      <w:pPr>
        <w:pStyle w:val="0"/>
        <w:ind w:firstLine="540"/>
        <w:jc w:val="both"/>
      </w:pPr>
      <w:r>
        <w:rPr>
          <w:sz w:val="20"/>
        </w:rPr>
      </w:r>
    </w:p>
    <w:p>
      <w:pPr>
        <w:pStyle w:val="2"/>
        <w:outlineLvl w:val="2"/>
        <w:jc w:val="center"/>
      </w:pPr>
      <w:r>
        <w:rPr>
          <w:sz w:val="20"/>
        </w:rPr>
        <w:t xml:space="preserve">1.2. Прогноз социально-экономического развития</w:t>
      </w:r>
    </w:p>
    <w:p>
      <w:pPr>
        <w:pStyle w:val="2"/>
        <w:jc w:val="center"/>
      </w:pPr>
      <w:r>
        <w:rPr>
          <w:sz w:val="20"/>
        </w:rPr>
        <w:t xml:space="preserve">Нижегородской области</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361"/>
        <w:gridCol w:w="1077"/>
        <w:gridCol w:w="1077"/>
        <w:gridCol w:w="1134"/>
        <w:gridCol w:w="1077"/>
        <w:gridCol w:w="1134"/>
        <w:gridCol w:w="1020"/>
      </w:tblGrid>
      <w:tr>
        <w:tc>
          <w:tcPr>
            <w:tcW w:w="2551" w:type="dxa"/>
            <w:vMerge w:val="restart"/>
          </w:tcPr>
          <w:p>
            <w:pPr>
              <w:pStyle w:val="0"/>
              <w:jc w:val="center"/>
            </w:pPr>
            <w:r>
              <w:rPr>
                <w:sz w:val="20"/>
              </w:rPr>
              <w:t xml:space="preserve">Показатели</w:t>
            </w:r>
          </w:p>
        </w:tc>
        <w:tc>
          <w:tcPr>
            <w:tcW w:w="1361" w:type="dxa"/>
            <w:vMerge w:val="restart"/>
          </w:tcPr>
          <w:p>
            <w:pPr>
              <w:pStyle w:val="0"/>
              <w:jc w:val="center"/>
            </w:pPr>
            <w:r>
              <w:rPr>
                <w:sz w:val="20"/>
              </w:rPr>
              <w:t xml:space="preserve">Единицы измерения</w:t>
            </w:r>
          </w:p>
        </w:tc>
        <w:tc>
          <w:tcPr>
            <w:gridSpan w:val="2"/>
            <w:tcW w:w="2154" w:type="dxa"/>
          </w:tcPr>
          <w:p>
            <w:pPr>
              <w:pStyle w:val="0"/>
              <w:jc w:val="center"/>
            </w:pPr>
            <w:r>
              <w:rPr>
                <w:sz w:val="20"/>
              </w:rPr>
              <w:t xml:space="preserve">2025 год прогноз</w:t>
            </w:r>
          </w:p>
        </w:tc>
        <w:tc>
          <w:tcPr>
            <w:gridSpan w:val="2"/>
            <w:tcW w:w="2211" w:type="dxa"/>
          </w:tcPr>
          <w:p>
            <w:pPr>
              <w:pStyle w:val="0"/>
              <w:jc w:val="center"/>
            </w:pPr>
            <w:r>
              <w:rPr>
                <w:sz w:val="20"/>
              </w:rPr>
              <w:t xml:space="preserve">2026 год прогноз</w:t>
            </w:r>
          </w:p>
        </w:tc>
        <w:tc>
          <w:tcPr>
            <w:gridSpan w:val="2"/>
            <w:tcW w:w="2154" w:type="dxa"/>
          </w:tcPr>
          <w:p>
            <w:pPr>
              <w:pStyle w:val="0"/>
              <w:jc w:val="center"/>
            </w:pPr>
            <w:r>
              <w:rPr>
                <w:sz w:val="20"/>
              </w:rPr>
              <w:t xml:space="preserve">2027 год прогноз</w:t>
            </w:r>
          </w:p>
        </w:tc>
      </w:tr>
      <w:tr>
        <w:tc>
          <w:tcPr>
            <w:vMerge w:val="continue"/>
          </w:tcPr>
          <w:p/>
        </w:tc>
        <w:tc>
          <w:tcPr>
            <w:vMerge w:val="continue"/>
          </w:tcPr>
          <w:p/>
        </w:tc>
        <w:tc>
          <w:tcPr>
            <w:tcW w:w="1077" w:type="dxa"/>
          </w:tcPr>
          <w:p>
            <w:pPr>
              <w:pStyle w:val="0"/>
              <w:jc w:val="center"/>
            </w:pPr>
            <w:r>
              <w:rPr>
                <w:sz w:val="20"/>
              </w:rPr>
              <w:t xml:space="preserve">Консервативный</w:t>
            </w:r>
          </w:p>
        </w:tc>
        <w:tc>
          <w:tcPr>
            <w:tcW w:w="1077" w:type="dxa"/>
          </w:tcPr>
          <w:p>
            <w:pPr>
              <w:pStyle w:val="0"/>
              <w:jc w:val="center"/>
            </w:pPr>
            <w:r>
              <w:rPr>
                <w:sz w:val="20"/>
              </w:rPr>
              <w:t xml:space="preserve">Базовый</w:t>
            </w:r>
          </w:p>
        </w:tc>
        <w:tc>
          <w:tcPr>
            <w:tcW w:w="1134" w:type="dxa"/>
          </w:tcPr>
          <w:p>
            <w:pPr>
              <w:pStyle w:val="0"/>
              <w:jc w:val="center"/>
            </w:pPr>
            <w:r>
              <w:rPr>
                <w:sz w:val="20"/>
              </w:rPr>
              <w:t xml:space="preserve">Консервативный</w:t>
            </w:r>
          </w:p>
        </w:tc>
        <w:tc>
          <w:tcPr>
            <w:tcW w:w="1077" w:type="dxa"/>
          </w:tcPr>
          <w:p>
            <w:pPr>
              <w:pStyle w:val="0"/>
              <w:jc w:val="center"/>
            </w:pPr>
            <w:r>
              <w:rPr>
                <w:sz w:val="20"/>
              </w:rPr>
              <w:t xml:space="preserve">Базовый</w:t>
            </w:r>
          </w:p>
        </w:tc>
        <w:tc>
          <w:tcPr>
            <w:tcW w:w="1134" w:type="dxa"/>
          </w:tcPr>
          <w:p>
            <w:pPr>
              <w:pStyle w:val="0"/>
              <w:jc w:val="center"/>
            </w:pPr>
            <w:r>
              <w:rPr>
                <w:sz w:val="20"/>
              </w:rPr>
              <w:t xml:space="preserve">Консервативный</w:t>
            </w:r>
          </w:p>
        </w:tc>
        <w:tc>
          <w:tcPr>
            <w:tcW w:w="1020" w:type="dxa"/>
          </w:tcPr>
          <w:p>
            <w:pPr>
              <w:pStyle w:val="0"/>
              <w:jc w:val="center"/>
            </w:pPr>
            <w:r>
              <w:rPr>
                <w:sz w:val="20"/>
              </w:rPr>
              <w:t xml:space="preserve">Базовый</w:t>
            </w:r>
          </w:p>
        </w:tc>
      </w:tr>
      <w:tr>
        <w:tc>
          <w:tcPr>
            <w:gridSpan w:val="8"/>
            <w:tcW w:w="10431" w:type="dxa"/>
          </w:tcPr>
          <w:p>
            <w:pPr>
              <w:pStyle w:val="0"/>
              <w:outlineLvl w:val="3"/>
              <w:jc w:val="both"/>
            </w:pPr>
            <w:r>
              <w:rPr>
                <w:sz w:val="20"/>
              </w:rPr>
              <w:t xml:space="preserve">Население</w:t>
            </w:r>
          </w:p>
        </w:tc>
      </w:tr>
      <w:tr>
        <w:tc>
          <w:tcPr>
            <w:tcW w:w="2551" w:type="dxa"/>
          </w:tcPr>
          <w:p>
            <w:pPr>
              <w:pStyle w:val="0"/>
              <w:jc w:val="both"/>
            </w:pPr>
            <w:r>
              <w:rPr>
                <w:sz w:val="20"/>
              </w:rPr>
              <w:t xml:space="preserve">Численность населения</w:t>
            </w:r>
          </w:p>
        </w:tc>
        <w:tc>
          <w:tcPr>
            <w:tcW w:w="1361" w:type="dxa"/>
          </w:tcPr>
          <w:p>
            <w:pPr>
              <w:pStyle w:val="0"/>
              <w:jc w:val="center"/>
            </w:pPr>
            <w:r>
              <w:rPr>
                <w:sz w:val="20"/>
              </w:rPr>
              <w:t xml:space="preserve">в среднегодовом исчислении, тыс. чел.</w:t>
            </w:r>
          </w:p>
        </w:tc>
        <w:tc>
          <w:tcPr>
            <w:tcW w:w="1077" w:type="dxa"/>
          </w:tcPr>
          <w:p>
            <w:pPr>
              <w:pStyle w:val="0"/>
              <w:jc w:val="center"/>
            </w:pPr>
            <w:r>
              <w:rPr>
                <w:sz w:val="20"/>
              </w:rPr>
              <w:t xml:space="preserve">3031,7</w:t>
            </w:r>
          </w:p>
        </w:tc>
        <w:tc>
          <w:tcPr>
            <w:tcW w:w="1077" w:type="dxa"/>
          </w:tcPr>
          <w:p>
            <w:pPr>
              <w:pStyle w:val="0"/>
              <w:jc w:val="center"/>
            </w:pPr>
            <w:r>
              <w:rPr>
                <w:sz w:val="20"/>
              </w:rPr>
              <w:t xml:space="preserve">3032,3</w:t>
            </w:r>
          </w:p>
        </w:tc>
        <w:tc>
          <w:tcPr>
            <w:tcW w:w="1134" w:type="dxa"/>
          </w:tcPr>
          <w:p>
            <w:pPr>
              <w:pStyle w:val="0"/>
              <w:jc w:val="center"/>
            </w:pPr>
            <w:r>
              <w:rPr>
                <w:sz w:val="20"/>
              </w:rPr>
              <w:t xml:space="preserve">3010,1</w:t>
            </w:r>
          </w:p>
        </w:tc>
        <w:tc>
          <w:tcPr>
            <w:tcW w:w="1077" w:type="dxa"/>
          </w:tcPr>
          <w:p>
            <w:pPr>
              <w:pStyle w:val="0"/>
              <w:jc w:val="center"/>
            </w:pPr>
            <w:r>
              <w:rPr>
                <w:sz w:val="20"/>
              </w:rPr>
              <w:t xml:space="preserve">3014,8</w:t>
            </w:r>
          </w:p>
        </w:tc>
        <w:tc>
          <w:tcPr>
            <w:tcW w:w="1134" w:type="dxa"/>
          </w:tcPr>
          <w:p>
            <w:pPr>
              <w:pStyle w:val="0"/>
              <w:jc w:val="center"/>
            </w:pPr>
            <w:r>
              <w:rPr>
                <w:sz w:val="20"/>
              </w:rPr>
              <w:t xml:space="preserve">2991,1</w:t>
            </w:r>
          </w:p>
        </w:tc>
        <w:tc>
          <w:tcPr>
            <w:tcW w:w="1020" w:type="dxa"/>
          </w:tcPr>
          <w:p>
            <w:pPr>
              <w:pStyle w:val="0"/>
              <w:jc w:val="center"/>
            </w:pPr>
            <w:r>
              <w:rPr>
                <w:sz w:val="20"/>
              </w:rPr>
              <w:t xml:space="preserve">3004,3</w:t>
            </w:r>
          </w:p>
        </w:tc>
      </w:tr>
      <w:tr>
        <w:tc>
          <w:tcPr>
            <w:tcW w:w="2551" w:type="dxa"/>
          </w:tcPr>
          <w:p>
            <w:pPr>
              <w:pStyle w:val="0"/>
              <w:jc w:val="both"/>
            </w:pPr>
            <w:r>
              <w:rPr>
                <w:sz w:val="20"/>
              </w:rPr>
              <w:t xml:space="preserve">Численность населения трудоспособного возраста (на 1 января года)</w:t>
            </w:r>
          </w:p>
        </w:tc>
        <w:tc>
          <w:tcPr>
            <w:tcW w:w="1361" w:type="dxa"/>
          </w:tcPr>
          <w:p>
            <w:pPr>
              <w:pStyle w:val="0"/>
              <w:jc w:val="center"/>
            </w:pPr>
            <w:r>
              <w:rPr>
                <w:sz w:val="20"/>
              </w:rPr>
              <w:t xml:space="preserve">тыс. чел.</w:t>
            </w:r>
          </w:p>
        </w:tc>
        <w:tc>
          <w:tcPr>
            <w:tcW w:w="1077" w:type="dxa"/>
          </w:tcPr>
          <w:p>
            <w:pPr>
              <w:pStyle w:val="0"/>
              <w:jc w:val="center"/>
            </w:pPr>
            <w:r>
              <w:rPr>
                <w:sz w:val="20"/>
              </w:rPr>
              <w:t xml:space="preserve">1718,7</w:t>
            </w:r>
          </w:p>
        </w:tc>
        <w:tc>
          <w:tcPr>
            <w:tcW w:w="1077" w:type="dxa"/>
          </w:tcPr>
          <w:p>
            <w:pPr>
              <w:pStyle w:val="0"/>
              <w:jc w:val="center"/>
            </w:pPr>
            <w:r>
              <w:rPr>
                <w:sz w:val="20"/>
              </w:rPr>
              <w:t xml:space="preserve">1718,7</w:t>
            </w:r>
          </w:p>
        </w:tc>
        <w:tc>
          <w:tcPr>
            <w:tcW w:w="1134" w:type="dxa"/>
          </w:tcPr>
          <w:p>
            <w:pPr>
              <w:pStyle w:val="0"/>
              <w:jc w:val="center"/>
            </w:pPr>
            <w:r>
              <w:rPr>
                <w:sz w:val="20"/>
              </w:rPr>
              <w:t xml:space="preserve">1742,5</w:t>
            </w:r>
          </w:p>
        </w:tc>
        <w:tc>
          <w:tcPr>
            <w:tcW w:w="1077" w:type="dxa"/>
          </w:tcPr>
          <w:p>
            <w:pPr>
              <w:pStyle w:val="0"/>
              <w:jc w:val="center"/>
            </w:pPr>
            <w:r>
              <w:rPr>
                <w:sz w:val="20"/>
              </w:rPr>
              <w:t xml:space="preserve">1743,5</w:t>
            </w:r>
          </w:p>
        </w:tc>
        <w:tc>
          <w:tcPr>
            <w:tcW w:w="1134" w:type="dxa"/>
          </w:tcPr>
          <w:p>
            <w:pPr>
              <w:pStyle w:val="0"/>
              <w:jc w:val="center"/>
            </w:pPr>
            <w:r>
              <w:rPr>
                <w:sz w:val="20"/>
              </w:rPr>
              <w:t xml:space="preserve">1728,7</w:t>
            </w:r>
          </w:p>
        </w:tc>
        <w:tc>
          <w:tcPr>
            <w:tcW w:w="1020" w:type="dxa"/>
          </w:tcPr>
          <w:p>
            <w:pPr>
              <w:pStyle w:val="0"/>
              <w:jc w:val="center"/>
            </w:pPr>
            <w:r>
              <w:rPr>
                <w:sz w:val="20"/>
              </w:rPr>
              <w:t xml:space="preserve">1730,7</w:t>
            </w:r>
          </w:p>
        </w:tc>
      </w:tr>
      <w:tr>
        <w:tc>
          <w:tcPr>
            <w:tcW w:w="2551" w:type="dxa"/>
          </w:tcPr>
          <w:p>
            <w:pPr>
              <w:pStyle w:val="0"/>
              <w:jc w:val="both"/>
            </w:pPr>
            <w:r>
              <w:rPr>
                <w:sz w:val="20"/>
              </w:rPr>
              <w:t xml:space="preserve">Ожидаемая продолжительность жизни при рождении</w:t>
            </w:r>
          </w:p>
        </w:tc>
        <w:tc>
          <w:tcPr>
            <w:tcW w:w="1361" w:type="dxa"/>
          </w:tcPr>
          <w:p>
            <w:pPr>
              <w:pStyle w:val="0"/>
              <w:jc w:val="center"/>
            </w:pPr>
            <w:r>
              <w:rPr>
                <w:sz w:val="20"/>
              </w:rPr>
              <w:t xml:space="preserve">число лет</w:t>
            </w:r>
          </w:p>
        </w:tc>
        <w:tc>
          <w:tcPr>
            <w:tcW w:w="1077" w:type="dxa"/>
          </w:tcPr>
          <w:p>
            <w:pPr>
              <w:pStyle w:val="0"/>
              <w:jc w:val="center"/>
            </w:pPr>
            <w:r>
              <w:rPr>
                <w:sz w:val="20"/>
              </w:rPr>
              <w:t xml:space="preserve">72,14</w:t>
            </w:r>
          </w:p>
        </w:tc>
        <w:tc>
          <w:tcPr>
            <w:tcW w:w="1077" w:type="dxa"/>
          </w:tcPr>
          <w:p>
            <w:pPr>
              <w:pStyle w:val="0"/>
              <w:jc w:val="center"/>
            </w:pPr>
            <w:r>
              <w:rPr>
                <w:sz w:val="20"/>
              </w:rPr>
              <w:t xml:space="preserve">72,5</w:t>
            </w:r>
          </w:p>
        </w:tc>
        <w:tc>
          <w:tcPr>
            <w:tcW w:w="1134" w:type="dxa"/>
          </w:tcPr>
          <w:p>
            <w:pPr>
              <w:pStyle w:val="0"/>
              <w:jc w:val="center"/>
            </w:pPr>
            <w:r>
              <w:rPr>
                <w:sz w:val="20"/>
              </w:rPr>
              <w:t xml:space="preserve">72,2</w:t>
            </w:r>
          </w:p>
        </w:tc>
        <w:tc>
          <w:tcPr>
            <w:tcW w:w="1077" w:type="dxa"/>
          </w:tcPr>
          <w:p>
            <w:pPr>
              <w:pStyle w:val="0"/>
              <w:jc w:val="center"/>
            </w:pPr>
            <w:r>
              <w:rPr>
                <w:sz w:val="20"/>
              </w:rPr>
              <w:t xml:space="preserve">72,9</w:t>
            </w:r>
          </w:p>
        </w:tc>
        <w:tc>
          <w:tcPr>
            <w:tcW w:w="1134" w:type="dxa"/>
          </w:tcPr>
          <w:p>
            <w:pPr>
              <w:pStyle w:val="0"/>
              <w:jc w:val="center"/>
            </w:pPr>
            <w:r>
              <w:rPr>
                <w:sz w:val="20"/>
              </w:rPr>
              <w:t xml:space="preserve">72,3</w:t>
            </w:r>
          </w:p>
        </w:tc>
        <w:tc>
          <w:tcPr>
            <w:tcW w:w="1020" w:type="dxa"/>
          </w:tcPr>
          <w:p>
            <w:pPr>
              <w:pStyle w:val="0"/>
              <w:jc w:val="center"/>
            </w:pPr>
            <w:r>
              <w:rPr>
                <w:sz w:val="20"/>
              </w:rPr>
              <w:t xml:space="preserve">73,2</w:t>
            </w:r>
          </w:p>
        </w:tc>
      </w:tr>
      <w:tr>
        <w:tc>
          <w:tcPr>
            <w:tcW w:w="2551" w:type="dxa"/>
          </w:tcPr>
          <w:p>
            <w:pPr>
              <w:pStyle w:val="0"/>
              <w:jc w:val="both"/>
            </w:pPr>
            <w:r>
              <w:rPr>
                <w:sz w:val="20"/>
              </w:rPr>
              <w:t xml:space="preserve">Общий коэффициент рождаемости</w:t>
            </w:r>
          </w:p>
        </w:tc>
        <w:tc>
          <w:tcPr>
            <w:tcW w:w="1361" w:type="dxa"/>
          </w:tcPr>
          <w:p>
            <w:pPr>
              <w:pStyle w:val="0"/>
              <w:jc w:val="center"/>
            </w:pPr>
            <w:r>
              <w:rPr>
                <w:sz w:val="20"/>
              </w:rPr>
              <w:t xml:space="preserve">число родившихся живыми на 1000 человек населения</w:t>
            </w:r>
          </w:p>
        </w:tc>
        <w:tc>
          <w:tcPr>
            <w:tcW w:w="1077" w:type="dxa"/>
          </w:tcPr>
          <w:p>
            <w:pPr>
              <w:pStyle w:val="0"/>
              <w:jc w:val="center"/>
            </w:pPr>
            <w:r>
              <w:rPr>
                <w:sz w:val="20"/>
              </w:rPr>
              <w:t xml:space="preserve">7,4</w:t>
            </w:r>
          </w:p>
        </w:tc>
        <w:tc>
          <w:tcPr>
            <w:tcW w:w="1077" w:type="dxa"/>
          </w:tcPr>
          <w:p>
            <w:pPr>
              <w:pStyle w:val="0"/>
              <w:jc w:val="center"/>
            </w:pPr>
            <w:r>
              <w:rPr>
                <w:sz w:val="20"/>
              </w:rPr>
              <w:t xml:space="preserve">7,4</w:t>
            </w:r>
          </w:p>
        </w:tc>
        <w:tc>
          <w:tcPr>
            <w:tcW w:w="1134" w:type="dxa"/>
          </w:tcPr>
          <w:p>
            <w:pPr>
              <w:pStyle w:val="0"/>
              <w:jc w:val="center"/>
            </w:pPr>
            <w:r>
              <w:rPr>
                <w:sz w:val="20"/>
              </w:rPr>
              <w:t xml:space="preserve">7,4</w:t>
            </w:r>
          </w:p>
        </w:tc>
        <w:tc>
          <w:tcPr>
            <w:tcW w:w="1077" w:type="dxa"/>
          </w:tcPr>
          <w:p>
            <w:pPr>
              <w:pStyle w:val="0"/>
              <w:jc w:val="center"/>
            </w:pPr>
            <w:r>
              <w:rPr>
                <w:sz w:val="20"/>
              </w:rPr>
              <w:t xml:space="preserve">7,6</w:t>
            </w:r>
          </w:p>
        </w:tc>
        <w:tc>
          <w:tcPr>
            <w:tcW w:w="1134" w:type="dxa"/>
          </w:tcPr>
          <w:p>
            <w:pPr>
              <w:pStyle w:val="0"/>
              <w:jc w:val="center"/>
            </w:pPr>
            <w:r>
              <w:rPr>
                <w:sz w:val="20"/>
              </w:rPr>
              <w:t xml:space="preserve">7,5</w:t>
            </w:r>
          </w:p>
        </w:tc>
        <w:tc>
          <w:tcPr>
            <w:tcW w:w="1020" w:type="dxa"/>
          </w:tcPr>
          <w:p>
            <w:pPr>
              <w:pStyle w:val="0"/>
              <w:jc w:val="center"/>
            </w:pPr>
            <w:r>
              <w:rPr>
                <w:sz w:val="20"/>
              </w:rPr>
              <w:t xml:space="preserve">7,6</w:t>
            </w:r>
          </w:p>
        </w:tc>
      </w:tr>
      <w:tr>
        <w:tc>
          <w:tcPr>
            <w:tcW w:w="2551" w:type="dxa"/>
          </w:tcPr>
          <w:p>
            <w:pPr>
              <w:pStyle w:val="0"/>
              <w:jc w:val="both"/>
            </w:pPr>
            <w:r>
              <w:rPr>
                <w:sz w:val="20"/>
              </w:rPr>
              <w:t xml:space="preserve">Суммарный коэффициент рождаемости</w:t>
            </w:r>
          </w:p>
        </w:tc>
        <w:tc>
          <w:tcPr>
            <w:tcW w:w="1361" w:type="dxa"/>
          </w:tcPr>
          <w:p>
            <w:pPr>
              <w:pStyle w:val="0"/>
              <w:jc w:val="center"/>
            </w:pPr>
            <w:r>
              <w:rPr>
                <w:sz w:val="20"/>
              </w:rPr>
              <w:t xml:space="preserve">число детей на 1 женщину</w:t>
            </w:r>
          </w:p>
        </w:tc>
        <w:tc>
          <w:tcPr>
            <w:tcW w:w="1077" w:type="dxa"/>
          </w:tcPr>
          <w:p>
            <w:pPr>
              <w:pStyle w:val="0"/>
              <w:jc w:val="center"/>
            </w:pPr>
            <w:r>
              <w:rPr>
                <w:sz w:val="20"/>
              </w:rPr>
              <w:t xml:space="preserve">1,326</w:t>
            </w:r>
          </w:p>
        </w:tc>
        <w:tc>
          <w:tcPr>
            <w:tcW w:w="1077" w:type="dxa"/>
          </w:tcPr>
          <w:p>
            <w:pPr>
              <w:pStyle w:val="0"/>
              <w:jc w:val="center"/>
            </w:pPr>
            <w:r>
              <w:rPr>
                <w:sz w:val="20"/>
              </w:rPr>
              <w:t xml:space="preserve">1,326</w:t>
            </w:r>
          </w:p>
        </w:tc>
        <w:tc>
          <w:tcPr>
            <w:tcW w:w="1134" w:type="dxa"/>
          </w:tcPr>
          <w:p>
            <w:pPr>
              <w:pStyle w:val="0"/>
              <w:jc w:val="center"/>
            </w:pPr>
            <w:r>
              <w:rPr>
                <w:sz w:val="20"/>
              </w:rPr>
              <w:t xml:space="preserve">1,334</w:t>
            </w:r>
          </w:p>
        </w:tc>
        <w:tc>
          <w:tcPr>
            <w:tcW w:w="1077" w:type="dxa"/>
          </w:tcPr>
          <w:p>
            <w:pPr>
              <w:pStyle w:val="0"/>
              <w:jc w:val="center"/>
            </w:pPr>
            <w:r>
              <w:rPr>
                <w:sz w:val="20"/>
              </w:rPr>
              <w:t xml:space="preserve">1,334</w:t>
            </w:r>
          </w:p>
        </w:tc>
        <w:tc>
          <w:tcPr>
            <w:tcW w:w="1134" w:type="dxa"/>
          </w:tcPr>
          <w:p>
            <w:pPr>
              <w:pStyle w:val="0"/>
              <w:jc w:val="center"/>
            </w:pPr>
            <w:r>
              <w:rPr>
                <w:sz w:val="20"/>
              </w:rPr>
              <w:t xml:space="preserve">1,342</w:t>
            </w:r>
          </w:p>
        </w:tc>
        <w:tc>
          <w:tcPr>
            <w:tcW w:w="1020" w:type="dxa"/>
          </w:tcPr>
          <w:p>
            <w:pPr>
              <w:pStyle w:val="0"/>
              <w:jc w:val="center"/>
            </w:pPr>
            <w:r>
              <w:rPr>
                <w:sz w:val="20"/>
              </w:rPr>
              <w:t xml:space="preserve">1,342</w:t>
            </w:r>
          </w:p>
        </w:tc>
      </w:tr>
      <w:tr>
        <w:tc>
          <w:tcPr>
            <w:tcW w:w="2551" w:type="dxa"/>
          </w:tcPr>
          <w:p>
            <w:pPr>
              <w:pStyle w:val="0"/>
              <w:jc w:val="both"/>
            </w:pPr>
            <w:r>
              <w:rPr>
                <w:sz w:val="20"/>
              </w:rPr>
              <w:t xml:space="preserve">Общий коэффициент смертности</w:t>
            </w:r>
          </w:p>
        </w:tc>
        <w:tc>
          <w:tcPr>
            <w:tcW w:w="1361" w:type="dxa"/>
          </w:tcPr>
          <w:p>
            <w:pPr>
              <w:pStyle w:val="0"/>
              <w:jc w:val="center"/>
            </w:pPr>
            <w:r>
              <w:rPr>
                <w:sz w:val="20"/>
              </w:rPr>
              <w:t xml:space="preserve">число умерших на 1000 человек населения</w:t>
            </w:r>
          </w:p>
        </w:tc>
        <w:tc>
          <w:tcPr>
            <w:tcW w:w="1077" w:type="dxa"/>
          </w:tcPr>
          <w:p>
            <w:pPr>
              <w:pStyle w:val="0"/>
              <w:jc w:val="center"/>
            </w:pPr>
            <w:r>
              <w:rPr>
                <w:sz w:val="20"/>
              </w:rPr>
              <w:t xml:space="preserve">14,4</w:t>
            </w:r>
          </w:p>
        </w:tc>
        <w:tc>
          <w:tcPr>
            <w:tcW w:w="1077" w:type="dxa"/>
          </w:tcPr>
          <w:p>
            <w:pPr>
              <w:pStyle w:val="0"/>
              <w:jc w:val="center"/>
            </w:pPr>
            <w:r>
              <w:rPr>
                <w:sz w:val="20"/>
              </w:rPr>
              <w:t xml:space="preserve">14,1</w:t>
            </w:r>
          </w:p>
        </w:tc>
        <w:tc>
          <w:tcPr>
            <w:tcW w:w="1134" w:type="dxa"/>
          </w:tcPr>
          <w:p>
            <w:pPr>
              <w:pStyle w:val="0"/>
              <w:jc w:val="center"/>
            </w:pPr>
            <w:r>
              <w:rPr>
                <w:sz w:val="20"/>
              </w:rPr>
              <w:t xml:space="preserve">14,3</w:t>
            </w:r>
          </w:p>
        </w:tc>
        <w:tc>
          <w:tcPr>
            <w:tcW w:w="1077" w:type="dxa"/>
          </w:tcPr>
          <w:p>
            <w:pPr>
              <w:pStyle w:val="0"/>
              <w:jc w:val="center"/>
            </w:pPr>
            <w:r>
              <w:rPr>
                <w:sz w:val="20"/>
              </w:rPr>
              <w:t xml:space="preserve">13,6</w:t>
            </w:r>
          </w:p>
        </w:tc>
        <w:tc>
          <w:tcPr>
            <w:tcW w:w="1134" w:type="dxa"/>
          </w:tcPr>
          <w:p>
            <w:pPr>
              <w:pStyle w:val="0"/>
              <w:jc w:val="center"/>
            </w:pPr>
            <w:r>
              <w:rPr>
                <w:sz w:val="20"/>
              </w:rPr>
              <w:t xml:space="preserve">14,3</w:t>
            </w:r>
          </w:p>
        </w:tc>
        <w:tc>
          <w:tcPr>
            <w:tcW w:w="1020" w:type="dxa"/>
          </w:tcPr>
          <w:p>
            <w:pPr>
              <w:pStyle w:val="0"/>
              <w:jc w:val="center"/>
            </w:pPr>
            <w:r>
              <w:rPr>
                <w:sz w:val="20"/>
              </w:rPr>
              <w:t xml:space="preserve">13,2</w:t>
            </w:r>
          </w:p>
        </w:tc>
      </w:tr>
      <w:tr>
        <w:tc>
          <w:tcPr>
            <w:tcW w:w="2551" w:type="dxa"/>
          </w:tcPr>
          <w:p>
            <w:pPr>
              <w:pStyle w:val="0"/>
              <w:jc w:val="both"/>
            </w:pPr>
            <w:r>
              <w:rPr>
                <w:sz w:val="20"/>
              </w:rPr>
              <w:t xml:space="preserve">Коэффициент естественного прироста населения</w:t>
            </w:r>
          </w:p>
        </w:tc>
        <w:tc>
          <w:tcPr>
            <w:tcW w:w="1361" w:type="dxa"/>
          </w:tcPr>
          <w:p>
            <w:pPr>
              <w:pStyle w:val="0"/>
              <w:jc w:val="center"/>
            </w:pPr>
            <w:r>
              <w:rPr>
                <w:sz w:val="20"/>
              </w:rPr>
              <w:t xml:space="preserve">на 1000 человек населения</w:t>
            </w:r>
          </w:p>
        </w:tc>
        <w:tc>
          <w:tcPr>
            <w:tcW w:w="1077" w:type="dxa"/>
          </w:tcPr>
          <w:p>
            <w:pPr>
              <w:pStyle w:val="0"/>
              <w:jc w:val="center"/>
            </w:pPr>
            <w:r>
              <w:rPr>
                <w:sz w:val="20"/>
              </w:rPr>
              <w:t xml:space="preserve">-7,0</w:t>
            </w:r>
          </w:p>
        </w:tc>
        <w:tc>
          <w:tcPr>
            <w:tcW w:w="1077" w:type="dxa"/>
          </w:tcPr>
          <w:p>
            <w:pPr>
              <w:pStyle w:val="0"/>
              <w:jc w:val="center"/>
            </w:pPr>
            <w:r>
              <w:rPr>
                <w:sz w:val="20"/>
              </w:rPr>
              <w:t xml:space="preserve">-6,7</w:t>
            </w:r>
          </w:p>
        </w:tc>
        <w:tc>
          <w:tcPr>
            <w:tcW w:w="1134" w:type="dxa"/>
          </w:tcPr>
          <w:p>
            <w:pPr>
              <w:pStyle w:val="0"/>
              <w:jc w:val="center"/>
            </w:pPr>
            <w:r>
              <w:rPr>
                <w:sz w:val="20"/>
              </w:rPr>
              <w:t xml:space="preserve">-6,9</w:t>
            </w:r>
          </w:p>
        </w:tc>
        <w:tc>
          <w:tcPr>
            <w:tcW w:w="1077" w:type="dxa"/>
          </w:tcPr>
          <w:p>
            <w:pPr>
              <w:pStyle w:val="0"/>
              <w:jc w:val="center"/>
            </w:pPr>
            <w:r>
              <w:rPr>
                <w:sz w:val="20"/>
              </w:rPr>
              <w:t xml:space="preserve">-6,0</w:t>
            </w:r>
          </w:p>
        </w:tc>
        <w:tc>
          <w:tcPr>
            <w:tcW w:w="1134" w:type="dxa"/>
          </w:tcPr>
          <w:p>
            <w:pPr>
              <w:pStyle w:val="0"/>
              <w:jc w:val="center"/>
            </w:pPr>
            <w:r>
              <w:rPr>
                <w:sz w:val="20"/>
              </w:rPr>
              <w:t xml:space="preserve">-6,8</w:t>
            </w:r>
          </w:p>
        </w:tc>
        <w:tc>
          <w:tcPr>
            <w:tcW w:w="1020" w:type="dxa"/>
          </w:tcPr>
          <w:p>
            <w:pPr>
              <w:pStyle w:val="0"/>
              <w:jc w:val="center"/>
            </w:pPr>
            <w:r>
              <w:rPr>
                <w:sz w:val="20"/>
              </w:rPr>
              <w:t xml:space="preserve">-5,6</w:t>
            </w:r>
          </w:p>
        </w:tc>
      </w:tr>
      <w:tr>
        <w:tc>
          <w:tcPr>
            <w:gridSpan w:val="8"/>
            <w:tcW w:w="10431" w:type="dxa"/>
          </w:tcPr>
          <w:p>
            <w:pPr>
              <w:pStyle w:val="0"/>
              <w:outlineLvl w:val="3"/>
              <w:jc w:val="both"/>
            </w:pPr>
            <w:r>
              <w:rPr>
                <w:sz w:val="20"/>
              </w:rPr>
              <w:t xml:space="preserve">Валовой региональный продукт</w:t>
            </w:r>
          </w:p>
        </w:tc>
      </w:tr>
      <w:tr>
        <w:tc>
          <w:tcPr>
            <w:tcW w:w="2551" w:type="dxa"/>
          </w:tcPr>
          <w:p>
            <w:pPr>
              <w:pStyle w:val="0"/>
              <w:jc w:val="both"/>
            </w:pPr>
            <w:r>
              <w:rPr>
                <w:sz w:val="20"/>
              </w:rPr>
              <w:t xml:space="preserve">Валовой региональный продукт</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3279</w:t>
            </w:r>
          </w:p>
        </w:tc>
        <w:tc>
          <w:tcPr>
            <w:tcW w:w="1077" w:type="dxa"/>
          </w:tcPr>
          <w:p>
            <w:pPr>
              <w:pStyle w:val="0"/>
              <w:jc w:val="center"/>
            </w:pPr>
            <w:r>
              <w:rPr>
                <w:sz w:val="20"/>
              </w:rPr>
              <w:t xml:space="preserve">3307</w:t>
            </w:r>
          </w:p>
        </w:tc>
        <w:tc>
          <w:tcPr>
            <w:tcW w:w="1134" w:type="dxa"/>
          </w:tcPr>
          <w:p>
            <w:pPr>
              <w:pStyle w:val="0"/>
              <w:jc w:val="center"/>
            </w:pPr>
            <w:r>
              <w:rPr>
                <w:sz w:val="20"/>
              </w:rPr>
              <w:t xml:space="preserve">3471</w:t>
            </w:r>
          </w:p>
        </w:tc>
        <w:tc>
          <w:tcPr>
            <w:tcW w:w="1077" w:type="dxa"/>
          </w:tcPr>
          <w:p>
            <w:pPr>
              <w:pStyle w:val="0"/>
              <w:jc w:val="center"/>
            </w:pPr>
            <w:r>
              <w:rPr>
                <w:sz w:val="20"/>
              </w:rPr>
              <w:t xml:space="preserve">3556</w:t>
            </w:r>
          </w:p>
        </w:tc>
        <w:tc>
          <w:tcPr>
            <w:tcW w:w="1134" w:type="dxa"/>
          </w:tcPr>
          <w:p>
            <w:pPr>
              <w:pStyle w:val="0"/>
              <w:jc w:val="center"/>
            </w:pPr>
            <w:r>
              <w:rPr>
                <w:sz w:val="20"/>
              </w:rPr>
              <w:t xml:space="preserve">3707</w:t>
            </w:r>
          </w:p>
        </w:tc>
        <w:tc>
          <w:tcPr>
            <w:tcW w:w="1020" w:type="dxa"/>
          </w:tcPr>
          <w:p>
            <w:pPr>
              <w:pStyle w:val="0"/>
              <w:jc w:val="center"/>
            </w:pPr>
            <w:r>
              <w:rPr>
                <w:sz w:val="20"/>
              </w:rPr>
              <w:t xml:space="preserve">3812</w:t>
            </w:r>
          </w:p>
        </w:tc>
      </w:tr>
      <w:tr>
        <w:tc>
          <w:tcPr>
            <w:tcW w:w="2551" w:type="dxa"/>
          </w:tcPr>
          <w:p>
            <w:pPr>
              <w:pStyle w:val="0"/>
              <w:jc w:val="both"/>
            </w:pPr>
            <w:r>
              <w:rPr>
                <w:sz w:val="20"/>
              </w:rPr>
              <w:t xml:space="preserve">Индекс физического объема</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102,5</w:t>
            </w:r>
          </w:p>
        </w:tc>
        <w:tc>
          <w:tcPr>
            <w:tcW w:w="1077" w:type="dxa"/>
          </w:tcPr>
          <w:p>
            <w:pPr>
              <w:pStyle w:val="0"/>
              <w:jc w:val="center"/>
            </w:pPr>
            <w:r>
              <w:rPr>
                <w:sz w:val="20"/>
              </w:rPr>
              <w:t xml:space="preserve">103,3</w:t>
            </w:r>
          </w:p>
        </w:tc>
        <w:tc>
          <w:tcPr>
            <w:tcW w:w="1134" w:type="dxa"/>
          </w:tcPr>
          <w:p>
            <w:pPr>
              <w:pStyle w:val="0"/>
              <w:jc w:val="center"/>
            </w:pPr>
            <w:r>
              <w:rPr>
                <w:sz w:val="20"/>
              </w:rPr>
              <w:t xml:space="preserve">101,6</w:t>
            </w:r>
          </w:p>
        </w:tc>
        <w:tc>
          <w:tcPr>
            <w:tcW w:w="1077" w:type="dxa"/>
          </w:tcPr>
          <w:p>
            <w:pPr>
              <w:pStyle w:val="0"/>
              <w:jc w:val="center"/>
            </w:pPr>
            <w:r>
              <w:rPr>
                <w:sz w:val="20"/>
              </w:rPr>
              <w:t xml:space="preserve">103,2</w:t>
            </w:r>
          </w:p>
        </w:tc>
        <w:tc>
          <w:tcPr>
            <w:tcW w:w="1134" w:type="dxa"/>
          </w:tcPr>
          <w:p>
            <w:pPr>
              <w:pStyle w:val="0"/>
              <w:jc w:val="center"/>
            </w:pPr>
            <w:r>
              <w:rPr>
                <w:sz w:val="20"/>
              </w:rPr>
              <w:t xml:space="preserve">102,7</w:t>
            </w:r>
          </w:p>
        </w:tc>
        <w:tc>
          <w:tcPr>
            <w:tcW w:w="1020" w:type="dxa"/>
          </w:tcPr>
          <w:p>
            <w:pPr>
              <w:pStyle w:val="0"/>
              <w:jc w:val="center"/>
            </w:pPr>
            <w:r>
              <w:rPr>
                <w:sz w:val="20"/>
              </w:rPr>
              <w:t xml:space="preserve">103,1</w:t>
            </w:r>
          </w:p>
        </w:tc>
      </w:tr>
      <w:tr>
        <w:tc>
          <w:tcPr>
            <w:tcW w:w="2551" w:type="dxa"/>
          </w:tcPr>
          <w:p>
            <w:pPr>
              <w:pStyle w:val="0"/>
              <w:jc w:val="both"/>
            </w:pPr>
            <w:r>
              <w:rPr>
                <w:sz w:val="20"/>
              </w:rPr>
              <w:t xml:space="preserve">Индекс производительности труда</w:t>
            </w:r>
          </w:p>
        </w:tc>
        <w:tc>
          <w:tcPr>
            <w:tcW w:w="1361" w:type="dxa"/>
          </w:tcPr>
          <w:p>
            <w:pPr>
              <w:pStyle w:val="0"/>
              <w:jc w:val="center"/>
            </w:pPr>
            <w:r>
              <w:rPr>
                <w:sz w:val="20"/>
              </w:rPr>
              <w:t xml:space="preserve">% к предыдущему году</w:t>
            </w:r>
          </w:p>
        </w:tc>
        <w:tc>
          <w:tcPr>
            <w:tcW w:w="1077" w:type="dxa"/>
          </w:tcPr>
          <w:p>
            <w:pPr>
              <w:pStyle w:val="0"/>
              <w:jc w:val="center"/>
            </w:pPr>
            <w:r>
              <w:rPr>
                <w:sz w:val="20"/>
              </w:rPr>
              <w:t xml:space="preserve">102,3</w:t>
            </w:r>
          </w:p>
        </w:tc>
        <w:tc>
          <w:tcPr>
            <w:tcW w:w="1077" w:type="dxa"/>
          </w:tcPr>
          <w:p>
            <w:pPr>
              <w:pStyle w:val="0"/>
              <w:jc w:val="center"/>
            </w:pPr>
            <w:r>
              <w:rPr>
                <w:sz w:val="20"/>
              </w:rPr>
              <w:t xml:space="preserve">102,8</w:t>
            </w:r>
          </w:p>
        </w:tc>
        <w:tc>
          <w:tcPr>
            <w:tcW w:w="1134" w:type="dxa"/>
          </w:tcPr>
          <w:p>
            <w:pPr>
              <w:pStyle w:val="0"/>
              <w:jc w:val="center"/>
            </w:pPr>
            <w:r>
              <w:rPr>
                <w:sz w:val="20"/>
              </w:rPr>
              <w:t xml:space="preserve">101,4</w:t>
            </w:r>
          </w:p>
        </w:tc>
        <w:tc>
          <w:tcPr>
            <w:tcW w:w="1077" w:type="dxa"/>
          </w:tcPr>
          <w:p>
            <w:pPr>
              <w:pStyle w:val="0"/>
              <w:jc w:val="center"/>
            </w:pPr>
            <w:r>
              <w:rPr>
                <w:sz w:val="20"/>
              </w:rPr>
              <w:t xml:space="preserve">102,7</w:t>
            </w:r>
          </w:p>
        </w:tc>
        <w:tc>
          <w:tcPr>
            <w:tcW w:w="1134" w:type="dxa"/>
          </w:tcPr>
          <w:p>
            <w:pPr>
              <w:pStyle w:val="0"/>
              <w:jc w:val="center"/>
            </w:pPr>
            <w:r>
              <w:rPr>
                <w:sz w:val="20"/>
              </w:rPr>
              <w:t xml:space="preserve">102,5</w:t>
            </w:r>
          </w:p>
        </w:tc>
        <w:tc>
          <w:tcPr>
            <w:tcW w:w="1020" w:type="dxa"/>
          </w:tcPr>
          <w:p>
            <w:pPr>
              <w:pStyle w:val="0"/>
              <w:jc w:val="center"/>
            </w:pPr>
            <w:r>
              <w:rPr>
                <w:sz w:val="20"/>
              </w:rPr>
              <w:t xml:space="preserve">102,6</w:t>
            </w:r>
          </w:p>
        </w:tc>
      </w:tr>
      <w:tr>
        <w:tc>
          <w:tcPr>
            <w:gridSpan w:val="8"/>
            <w:tcW w:w="10431" w:type="dxa"/>
          </w:tcPr>
          <w:p>
            <w:pPr>
              <w:pStyle w:val="0"/>
              <w:outlineLvl w:val="3"/>
              <w:jc w:val="both"/>
            </w:pPr>
            <w:r>
              <w:rPr>
                <w:sz w:val="20"/>
              </w:rPr>
              <w:t xml:space="preserve">Промышленное производство</w:t>
            </w:r>
          </w:p>
        </w:tc>
      </w:tr>
      <w:tr>
        <w:tc>
          <w:tcPr>
            <w:tcW w:w="2551" w:type="dxa"/>
          </w:tcPr>
          <w:p>
            <w:pPr>
              <w:pStyle w:val="0"/>
              <w:jc w:val="both"/>
            </w:pPr>
            <w:r>
              <w:rPr>
                <w:sz w:val="20"/>
              </w:rPr>
              <w:t xml:space="preserve">Объем отгруженных товаров собственного производства, выполненных работ и услуг собственными силами</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2583,8 - 2618,6</w:t>
            </w:r>
          </w:p>
        </w:tc>
        <w:tc>
          <w:tcPr>
            <w:tcW w:w="1077" w:type="dxa"/>
          </w:tcPr>
          <w:p>
            <w:pPr>
              <w:pStyle w:val="0"/>
              <w:jc w:val="center"/>
            </w:pPr>
            <w:r>
              <w:rPr>
                <w:sz w:val="20"/>
              </w:rPr>
              <w:t xml:space="preserve">2615,3 - 2650,2</w:t>
            </w:r>
          </w:p>
        </w:tc>
        <w:tc>
          <w:tcPr>
            <w:tcW w:w="1134" w:type="dxa"/>
          </w:tcPr>
          <w:p>
            <w:pPr>
              <w:pStyle w:val="0"/>
              <w:jc w:val="center"/>
            </w:pPr>
            <w:r>
              <w:rPr>
                <w:sz w:val="20"/>
              </w:rPr>
              <w:t xml:space="preserve">2711,6 - 2748,8</w:t>
            </w:r>
          </w:p>
        </w:tc>
        <w:tc>
          <w:tcPr>
            <w:tcW w:w="1077" w:type="dxa"/>
          </w:tcPr>
          <w:p>
            <w:pPr>
              <w:pStyle w:val="0"/>
              <w:jc w:val="center"/>
            </w:pPr>
            <w:r>
              <w:rPr>
                <w:sz w:val="20"/>
              </w:rPr>
              <w:t xml:space="preserve">2800,6 - 2838,0</w:t>
            </w:r>
          </w:p>
        </w:tc>
        <w:tc>
          <w:tcPr>
            <w:tcW w:w="1134" w:type="dxa"/>
          </w:tcPr>
          <w:p>
            <w:pPr>
              <w:pStyle w:val="0"/>
              <w:jc w:val="center"/>
            </w:pPr>
            <w:r>
              <w:rPr>
                <w:sz w:val="20"/>
              </w:rPr>
              <w:t xml:space="preserve">2870,2 - 2909,9</w:t>
            </w:r>
          </w:p>
        </w:tc>
        <w:tc>
          <w:tcPr>
            <w:tcW w:w="1020" w:type="dxa"/>
          </w:tcPr>
          <w:p>
            <w:pPr>
              <w:pStyle w:val="0"/>
              <w:jc w:val="center"/>
            </w:pPr>
            <w:r>
              <w:rPr>
                <w:sz w:val="20"/>
              </w:rPr>
              <w:t xml:space="preserve">3000 - 3040,2</w:t>
            </w:r>
          </w:p>
        </w:tc>
      </w:tr>
      <w:tr>
        <w:tc>
          <w:tcPr>
            <w:tcW w:w="2551" w:type="dxa"/>
          </w:tcPr>
          <w:p>
            <w:pPr>
              <w:pStyle w:val="0"/>
              <w:jc w:val="both"/>
            </w:pPr>
            <w:r>
              <w:rPr>
                <w:sz w:val="20"/>
              </w:rPr>
              <w:t xml:space="preserve">Индекс промышленного производства</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101,6</w:t>
            </w:r>
          </w:p>
        </w:tc>
        <w:tc>
          <w:tcPr>
            <w:tcW w:w="1077" w:type="dxa"/>
          </w:tcPr>
          <w:p>
            <w:pPr>
              <w:pStyle w:val="0"/>
              <w:jc w:val="center"/>
            </w:pPr>
            <w:r>
              <w:rPr>
                <w:sz w:val="20"/>
              </w:rPr>
              <w:t xml:space="preserve">102,9</w:t>
            </w:r>
          </w:p>
        </w:tc>
        <w:tc>
          <w:tcPr>
            <w:tcW w:w="1134" w:type="dxa"/>
          </w:tcPr>
          <w:p>
            <w:pPr>
              <w:pStyle w:val="0"/>
              <w:jc w:val="center"/>
            </w:pPr>
            <w:r>
              <w:rPr>
                <w:sz w:val="20"/>
              </w:rPr>
              <w:t xml:space="preserve">100,9</w:t>
            </w:r>
          </w:p>
        </w:tc>
        <w:tc>
          <w:tcPr>
            <w:tcW w:w="1077" w:type="dxa"/>
          </w:tcPr>
          <w:p>
            <w:pPr>
              <w:pStyle w:val="0"/>
              <w:jc w:val="center"/>
            </w:pPr>
            <w:r>
              <w:rPr>
                <w:sz w:val="20"/>
              </w:rPr>
              <w:t xml:space="preserve">103</w:t>
            </w:r>
          </w:p>
        </w:tc>
        <w:tc>
          <w:tcPr>
            <w:tcW w:w="1134" w:type="dxa"/>
          </w:tcPr>
          <w:p>
            <w:pPr>
              <w:pStyle w:val="0"/>
              <w:jc w:val="center"/>
            </w:pPr>
            <w:r>
              <w:rPr>
                <w:sz w:val="20"/>
              </w:rPr>
              <w:t xml:space="preserve">101,9</w:t>
            </w:r>
          </w:p>
        </w:tc>
        <w:tc>
          <w:tcPr>
            <w:tcW w:w="1020" w:type="dxa"/>
          </w:tcPr>
          <w:p>
            <w:pPr>
              <w:pStyle w:val="0"/>
              <w:jc w:val="center"/>
            </w:pPr>
            <w:r>
              <w:rPr>
                <w:sz w:val="20"/>
              </w:rPr>
              <w:t xml:space="preserve">103,2</w:t>
            </w:r>
          </w:p>
        </w:tc>
      </w:tr>
      <w:tr>
        <w:tc>
          <w:tcPr>
            <w:gridSpan w:val="8"/>
            <w:tcW w:w="10431" w:type="dxa"/>
          </w:tcPr>
          <w:p>
            <w:pPr>
              <w:pStyle w:val="0"/>
              <w:outlineLvl w:val="4"/>
              <w:jc w:val="both"/>
            </w:pPr>
            <w:r>
              <w:rPr>
                <w:sz w:val="20"/>
              </w:rPr>
              <w:t xml:space="preserve">в том числе по обрабатывающим производствам</w:t>
            </w:r>
          </w:p>
        </w:tc>
      </w:tr>
      <w:tr>
        <w:tc>
          <w:tcPr>
            <w:tcW w:w="2551" w:type="dxa"/>
          </w:tcPr>
          <w:p>
            <w:pPr>
              <w:pStyle w:val="0"/>
              <w:jc w:val="both"/>
            </w:pPr>
            <w:r>
              <w:rPr>
                <w:sz w:val="20"/>
              </w:rPr>
              <w:t xml:space="preserve">Объем отгруженных товаров собственного производства, выполненных работ и услуг собственными силами</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2352,8 - 2387,6</w:t>
            </w:r>
          </w:p>
        </w:tc>
        <w:tc>
          <w:tcPr>
            <w:tcW w:w="1077" w:type="dxa"/>
          </w:tcPr>
          <w:p>
            <w:pPr>
              <w:pStyle w:val="0"/>
              <w:jc w:val="center"/>
            </w:pPr>
            <w:r>
              <w:rPr>
                <w:sz w:val="20"/>
              </w:rPr>
              <w:t xml:space="preserve">2382,9 - 2417,7</w:t>
            </w:r>
          </w:p>
        </w:tc>
        <w:tc>
          <w:tcPr>
            <w:tcW w:w="1134" w:type="dxa"/>
          </w:tcPr>
          <w:p>
            <w:pPr>
              <w:pStyle w:val="0"/>
              <w:jc w:val="center"/>
            </w:pPr>
            <w:r>
              <w:rPr>
                <w:sz w:val="20"/>
              </w:rPr>
              <w:t xml:space="preserve">2469,4 - 2506,5</w:t>
            </w:r>
          </w:p>
        </w:tc>
        <w:tc>
          <w:tcPr>
            <w:tcW w:w="1077" w:type="dxa"/>
          </w:tcPr>
          <w:p>
            <w:pPr>
              <w:pStyle w:val="0"/>
              <w:jc w:val="center"/>
            </w:pPr>
            <w:r>
              <w:rPr>
                <w:sz w:val="20"/>
              </w:rPr>
              <w:t xml:space="preserve">2555,4 - 2592,8</w:t>
            </w:r>
          </w:p>
        </w:tc>
        <w:tc>
          <w:tcPr>
            <w:tcW w:w="1134" w:type="dxa"/>
          </w:tcPr>
          <w:p>
            <w:pPr>
              <w:pStyle w:val="0"/>
              <w:jc w:val="center"/>
            </w:pPr>
            <w:r>
              <w:rPr>
                <w:sz w:val="20"/>
              </w:rPr>
              <w:t xml:space="preserve">2615,7 - 2655,4</w:t>
            </w:r>
          </w:p>
        </w:tc>
        <w:tc>
          <w:tcPr>
            <w:tcW w:w="1020" w:type="dxa"/>
          </w:tcPr>
          <w:p>
            <w:pPr>
              <w:pStyle w:val="0"/>
              <w:jc w:val="center"/>
            </w:pPr>
            <w:r>
              <w:rPr>
                <w:sz w:val="20"/>
              </w:rPr>
              <w:t xml:space="preserve">2741,2 - 2781,3</w:t>
            </w:r>
          </w:p>
        </w:tc>
      </w:tr>
      <w:tr>
        <w:tc>
          <w:tcPr>
            <w:tcW w:w="2551" w:type="dxa"/>
          </w:tcPr>
          <w:p>
            <w:pPr>
              <w:pStyle w:val="0"/>
              <w:jc w:val="both"/>
            </w:pPr>
            <w:r>
              <w:rPr>
                <w:sz w:val="20"/>
              </w:rPr>
              <w:t xml:space="preserve">Индекс производства</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101,7</w:t>
            </w:r>
          </w:p>
        </w:tc>
        <w:tc>
          <w:tcPr>
            <w:tcW w:w="1077" w:type="dxa"/>
          </w:tcPr>
          <w:p>
            <w:pPr>
              <w:pStyle w:val="0"/>
              <w:jc w:val="center"/>
            </w:pPr>
            <w:r>
              <w:rPr>
                <w:sz w:val="20"/>
              </w:rPr>
              <w:t xml:space="preserve">103</w:t>
            </w:r>
          </w:p>
        </w:tc>
        <w:tc>
          <w:tcPr>
            <w:tcW w:w="1134" w:type="dxa"/>
          </w:tcPr>
          <w:p>
            <w:pPr>
              <w:pStyle w:val="0"/>
              <w:jc w:val="center"/>
            </w:pPr>
            <w:r>
              <w:rPr>
                <w:sz w:val="20"/>
              </w:rPr>
              <w:t xml:space="preserve">100,9</w:t>
            </w:r>
          </w:p>
        </w:tc>
        <w:tc>
          <w:tcPr>
            <w:tcW w:w="1077" w:type="dxa"/>
          </w:tcPr>
          <w:p>
            <w:pPr>
              <w:pStyle w:val="0"/>
              <w:jc w:val="center"/>
            </w:pPr>
            <w:r>
              <w:rPr>
                <w:sz w:val="20"/>
              </w:rPr>
              <w:t xml:space="preserve">103,1</w:t>
            </w:r>
          </w:p>
        </w:tc>
        <w:tc>
          <w:tcPr>
            <w:tcW w:w="1134" w:type="dxa"/>
          </w:tcPr>
          <w:p>
            <w:pPr>
              <w:pStyle w:val="0"/>
              <w:jc w:val="center"/>
            </w:pPr>
            <w:r>
              <w:rPr>
                <w:sz w:val="20"/>
              </w:rPr>
              <w:t xml:space="preserve">102</w:t>
            </w:r>
          </w:p>
        </w:tc>
        <w:tc>
          <w:tcPr>
            <w:tcW w:w="1020" w:type="dxa"/>
          </w:tcPr>
          <w:p>
            <w:pPr>
              <w:pStyle w:val="0"/>
              <w:jc w:val="center"/>
            </w:pPr>
            <w:r>
              <w:rPr>
                <w:sz w:val="20"/>
              </w:rPr>
              <w:t xml:space="preserve">103,3</w:t>
            </w:r>
          </w:p>
        </w:tc>
      </w:tr>
      <w:tr>
        <w:tc>
          <w:tcPr>
            <w:gridSpan w:val="8"/>
            <w:tcW w:w="10431" w:type="dxa"/>
          </w:tcPr>
          <w:p>
            <w:pPr>
              <w:pStyle w:val="0"/>
              <w:outlineLvl w:val="3"/>
              <w:jc w:val="both"/>
            </w:pPr>
            <w:r>
              <w:rPr>
                <w:sz w:val="20"/>
              </w:rPr>
              <w:t xml:space="preserve">Сельское хозяйство</w:t>
            </w:r>
          </w:p>
        </w:tc>
      </w:tr>
      <w:tr>
        <w:tc>
          <w:tcPr>
            <w:tcW w:w="2551" w:type="dxa"/>
          </w:tcPr>
          <w:p>
            <w:pPr>
              <w:pStyle w:val="0"/>
              <w:jc w:val="both"/>
            </w:pPr>
            <w:r>
              <w:rPr>
                <w:sz w:val="20"/>
              </w:rPr>
              <w:t xml:space="preserve">Продукция сельского хозяйства</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121,8</w:t>
            </w:r>
          </w:p>
        </w:tc>
        <w:tc>
          <w:tcPr>
            <w:tcW w:w="1077" w:type="dxa"/>
          </w:tcPr>
          <w:p>
            <w:pPr>
              <w:pStyle w:val="0"/>
              <w:jc w:val="center"/>
            </w:pPr>
            <w:r>
              <w:rPr>
                <w:sz w:val="20"/>
              </w:rPr>
              <w:t xml:space="preserve">124,6</w:t>
            </w:r>
          </w:p>
        </w:tc>
        <w:tc>
          <w:tcPr>
            <w:tcW w:w="1134" w:type="dxa"/>
          </w:tcPr>
          <w:p>
            <w:pPr>
              <w:pStyle w:val="0"/>
              <w:jc w:val="center"/>
            </w:pPr>
            <w:r>
              <w:rPr>
                <w:sz w:val="20"/>
              </w:rPr>
              <w:t xml:space="preserve">127,8</w:t>
            </w:r>
          </w:p>
        </w:tc>
        <w:tc>
          <w:tcPr>
            <w:tcW w:w="1077" w:type="dxa"/>
          </w:tcPr>
          <w:p>
            <w:pPr>
              <w:pStyle w:val="0"/>
              <w:jc w:val="center"/>
            </w:pPr>
            <w:r>
              <w:rPr>
                <w:sz w:val="20"/>
              </w:rPr>
              <w:t xml:space="preserve">130,8</w:t>
            </w:r>
          </w:p>
        </w:tc>
        <w:tc>
          <w:tcPr>
            <w:tcW w:w="1134" w:type="dxa"/>
          </w:tcPr>
          <w:p>
            <w:pPr>
              <w:pStyle w:val="0"/>
              <w:jc w:val="center"/>
            </w:pPr>
            <w:r>
              <w:rPr>
                <w:sz w:val="20"/>
              </w:rPr>
              <w:t xml:space="preserve">133,2</w:t>
            </w:r>
          </w:p>
        </w:tc>
        <w:tc>
          <w:tcPr>
            <w:tcW w:w="1020" w:type="dxa"/>
          </w:tcPr>
          <w:p>
            <w:pPr>
              <w:pStyle w:val="0"/>
              <w:jc w:val="center"/>
            </w:pPr>
            <w:r>
              <w:rPr>
                <w:sz w:val="20"/>
              </w:rPr>
              <w:t xml:space="preserve">136,5</w:t>
            </w:r>
          </w:p>
        </w:tc>
      </w:tr>
      <w:tr>
        <w:tc>
          <w:tcPr>
            <w:tcW w:w="2551" w:type="dxa"/>
          </w:tcPr>
          <w:p>
            <w:pPr>
              <w:pStyle w:val="0"/>
              <w:jc w:val="both"/>
            </w:pPr>
            <w:r>
              <w:rPr>
                <w:sz w:val="20"/>
              </w:rPr>
              <w:t xml:space="preserve">Индекс производства продукции</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101,3</w:t>
            </w:r>
          </w:p>
        </w:tc>
        <w:tc>
          <w:tcPr>
            <w:tcW w:w="1077" w:type="dxa"/>
          </w:tcPr>
          <w:p>
            <w:pPr>
              <w:pStyle w:val="0"/>
              <w:jc w:val="center"/>
            </w:pPr>
            <w:r>
              <w:rPr>
                <w:sz w:val="20"/>
              </w:rPr>
              <w:t xml:space="preserve">103,6</w:t>
            </w:r>
          </w:p>
        </w:tc>
        <w:tc>
          <w:tcPr>
            <w:tcW w:w="1134" w:type="dxa"/>
          </w:tcPr>
          <w:p>
            <w:pPr>
              <w:pStyle w:val="0"/>
              <w:jc w:val="center"/>
            </w:pPr>
            <w:r>
              <w:rPr>
                <w:sz w:val="20"/>
              </w:rPr>
              <w:t xml:space="preserve">100,6</w:t>
            </w:r>
          </w:p>
        </w:tc>
        <w:tc>
          <w:tcPr>
            <w:tcW w:w="1077" w:type="dxa"/>
          </w:tcPr>
          <w:p>
            <w:pPr>
              <w:pStyle w:val="0"/>
              <w:jc w:val="center"/>
            </w:pPr>
            <w:r>
              <w:rPr>
                <w:sz w:val="20"/>
              </w:rPr>
              <w:t xml:space="preserve">100,7</w:t>
            </w:r>
          </w:p>
        </w:tc>
        <w:tc>
          <w:tcPr>
            <w:tcW w:w="1134" w:type="dxa"/>
          </w:tcPr>
          <w:p>
            <w:pPr>
              <w:pStyle w:val="0"/>
              <w:jc w:val="center"/>
            </w:pPr>
            <w:r>
              <w:rPr>
                <w:sz w:val="20"/>
              </w:rPr>
              <w:t xml:space="preserve">100,4</w:t>
            </w:r>
          </w:p>
        </w:tc>
        <w:tc>
          <w:tcPr>
            <w:tcW w:w="1020" w:type="dxa"/>
          </w:tcPr>
          <w:p>
            <w:pPr>
              <w:pStyle w:val="0"/>
              <w:jc w:val="center"/>
            </w:pPr>
            <w:r>
              <w:rPr>
                <w:sz w:val="20"/>
              </w:rPr>
              <w:t xml:space="preserve">100,5</w:t>
            </w:r>
          </w:p>
        </w:tc>
      </w:tr>
      <w:tr>
        <w:tc>
          <w:tcPr>
            <w:gridSpan w:val="8"/>
            <w:tcW w:w="10431" w:type="dxa"/>
          </w:tcPr>
          <w:p>
            <w:pPr>
              <w:pStyle w:val="0"/>
              <w:outlineLvl w:val="3"/>
              <w:jc w:val="both"/>
            </w:pPr>
            <w:r>
              <w:rPr>
                <w:sz w:val="20"/>
              </w:rPr>
              <w:t xml:space="preserve">Строительство</w:t>
            </w:r>
          </w:p>
        </w:tc>
      </w:tr>
      <w:tr>
        <w:tc>
          <w:tcPr>
            <w:tcW w:w="2551" w:type="dxa"/>
          </w:tcPr>
          <w:p>
            <w:pPr>
              <w:pStyle w:val="0"/>
              <w:jc w:val="both"/>
            </w:pPr>
            <w:r>
              <w:rPr>
                <w:sz w:val="20"/>
              </w:rPr>
              <w:t xml:space="preserve">Объем работ, выполненных по виду деятельности "Строительство"</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409,4</w:t>
            </w:r>
          </w:p>
        </w:tc>
        <w:tc>
          <w:tcPr>
            <w:tcW w:w="1077" w:type="dxa"/>
          </w:tcPr>
          <w:p>
            <w:pPr>
              <w:pStyle w:val="0"/>
              <w:jc w:val="center"/>
            </w:pPr>
            <w:r>
              <w:rPr>
                <w:sz w:val="20"/>
              </w:rPr>
              <w:t xml:space="preserve">416,6</w:t>
            </w:r>
          </w:p>
        </w:tc>
        <w:tc>
          <w:tcPr>
            <w:tcW w:w="1134" w:type="dxa"/>
          </w:tcPr>
          <w:p>
            <w:pPr>
              <w:pStyle w:val="0"/>
              <w:jc w:val="center"/>
            </w:pPr>
            <w:r>
              <w:rPr>
                <w:sz w:val="20"/>
              </w:rPr>
              <w:t xml:space="preserve">441,9</w:t>
            </w:r>
          </w:p>
        </w:tc>
        <w:tc>
          <w:tcPr>
            <w:tcW w:w="1077" w:type="dxa"/>
          </w:tcPr>
          <w:p>
            <w:pPr>
              <w:pStyle w:val="0"/>
              <w:jc w:val="center"/>
            </w:pPr>
            <w:r>
              <w:rPr>
                <w:sz w:val="20"/>
              </w:rPr>
              <w:t xml:space="preserve">455,3</w:t>
            </w:r>
          </w:p>
        </w:tc>
        <w:tc>
          <w:tcPr>
            <w:tcW w:w="1134" w:type="dxa"/>
          </w:tcPr>
          <w:p>
            <w:pPr>
              <w:pStyle w:val="0"/>
              <w:jc w:val="center"/>
            </w:pPr>
            <w:r>
              <w:rPr>
                <w:sz w:val="20"/>
              </w:rPr>
              <w:t xml:space="preserve">472,9</w:t>
            </w:r>
          </w:p>
        </w:tc>
        <w:tc>
          <w:tcPr>
            <w:tcW w:w="1020" w:type="dxa"/>
          </w:tcPr>
          <w:p>
            <w:pPr>
              <w:pStyle w:val="0"/>
              <w:jc w:val="center"/>
            </w:pPr>
            <w:r>
              <w:rPr>
                <w:sz w:val="20"/>
              </w:rPr>
              <w:t xml:space="preserve">493</w:t>
            </w:r>
          </w:p>
        </w:tc>
      </w:tr>
      <w:tr>
        <w:tc>
          <w:tcPr>
            <w:tcW w:w="2551" w:type="dxa"/>
          </w:tcPr>
          <w:p>
            <w:pPr>
              <w:pStyle w:val="0"/>
              <w:jc w:val="both"/>
            </w:pPr>
            <w:r>
              <w:rPr>
                <w:sz w:val="20"/>
              </w:rPr>
              <w:t xml:space="preserve">Индекс физического объема</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103,2</w:t>
            </w:r>
          </w:p>
        </w:tc>
        <w:tc>
          <w:tcPr>
            <w:tcW w:w="1077" w:type="dxa"/>
          </w:tcPr>
          <w:p>
            <w:pPr>
              <w:pStyle w:val="0"/>
              <w:jc w:val="center"/>
            </w:pPr>
            <w:r>
              <w:rPr>
                <w:sz w:val="20"/>
              </w:rPr>
              <w:t xml:space="preserve">105</w:t>
            </w:r>
          </w:p>
        </w:tc>
        <w:tc>
          <w:tcPr>
            <w:tcW w:w="1134" w:type="dxa"/>
          </w:tcPr>
          <w:p>
            <w:pPr>
              <w:pStyle w:val="0"/>
              <w:jc w:val="center"/>
            </w:pPr>
            <w:r>
              <w:rPr>
                <w:sz w:val="20"/>
              </w:rPr>
              <w:t xml:space="preserve">102,5</w:t>
            </w:r>
          </w:p>
        </w:tc>
        <w:tc>
          <w:tcPr>
            <w:tcW w:w="1077" w:type="dxa"/>
          </w:tcPr>
          <w:p>
            <w:pPr>
              <w:pStyle w:val="0"/>
              <w:jc w:val="center"/>
            </w:pPr>
            <w:r>
              <w:rPr>
                <w:sz w:val="20"/>
              </w:rPr>
              <w:t xml:space="preserve">103,8</w:t>
            </w:r>
          </w:p>
        </w:tc>
        <w:tc>
          <w:tcPr>
            <w:tcW w:w="1134" w:type="dxa"/>
          </w:tcPr>
          <w:p>
            <w:pPr>
              <w:pStyle w:val="0"/>
              <w:jc w:val="center"/>
            </w:pPr>
            <w:r>
              <w:rPr>
                <w:sz w:val="20"/>
              </w:rPr>
              <w:t xml:space="preserve">102,4</w:t>
            </w:r>
          </w:p>
        </w:tc>
        <w:tc>
          <w:tcPr>
            <w:tcW w:w="1020" w:type="dxa"/>
          </w:tcPr>
          <w:p>
            <w:pPr>
              <w:pStyle w:val="0"/>
              <w:jc w:val="center"/>
            </w:pPr>
            <w:r>
              <w:rPr>
                <w:sz w:val="20"/>
              </w:rPr>
              <w:t xml:space="preserve">103,6</w:t>
            </w:r>
          </w:p>
        </w:tc>
      </w:tr>
      <w:tr>
        <w:tc>
          <w:tcPr>
            <w:tcW w:w="2551" w:type="dxa"/>
          </w:tcPr>
          <w:p>
            <w:pPr>
              <w:pStyle w:val="0"/>
              <w:jc w:val="both"/>
            </w:pPr>
            <w:r>
              <w:rPr>
                <w:sz w:val="20"/>
              </w:rPr>
              <w:t xml:space="preserve">Ввод в действие жилых домов</w:t>
            </w:r>
          </w:p>
        </w:tc>
        <w:tc>
          <w:tcPr>
            <w:tcW w:w="1361" w:type="dxa"/>
          </w:tcPr>
          <w:p>
            <w:pPr>
              <w:pStyle w:val="0"/>
              <w:jc w:val="center"/>
            </w:pPr>
            <w:r>
              <w:rPr>
                <w:sz w:val="20"/>
              </w:rPr>
              <w:t xml:space="preserve">тыс. кв. м общей площади</w:t>
            </w:r>
          </w:p>
        </w:tc>
        <w:tc>
          <w:tcPr>
            <w:tcW w:w="1077" w:type="dxa"/>
          </w:tcPr>
          <w:p>
            <w:pPr>
              <w:pStyle w:val="0"/>
              <w:jc w:val="center"/>
            </w:pPr>
            <w:r>
              <w:rPr>
                <w:sz w:val="20"/>
              </w:rPr>
              <w:t xml:space="preserve">1500</w:t>
            </w:r>
          </w:p>
        </w:tc>
        <w:tc>
          <w:tcPr>
            <w:tcW w:w="1077" w:type="dxa"/>
          </w:tcPr>
          <w:p>
            <w:pPr>
              <w:pStyle w:val="0"/>
              <w:jc w:val="center"/>
            </w:pPr>
            <w:r>
              <w:rPr>
                <w:sz w:val="20"/>
              </w:rPr>
              <w:t xml:space="preserve">1728</w:t>
            </w:r>
          </w:p>
        </w:tc>
        <w:tc>
          <w:tcPr>
            <w:tcW w:w="1134" w:type="dxa"/>
          </w:tcPr>
          <w:p>
            <w:pPr>
              <w:pStyle w:val="0"/>
              <w:jc w:val="center"/>
            </w:pPr>
            <w:r>
              <w:rPr>
                <w:sz w:val="20"/>
              </w:rPr>
              <w:t xml:space="preserve">1500</w:t>
            </w:r>
          </w:p>
        </w:tc>
        <w:tc>
          <w:tcPr>
            <w:tcW w:w="1077" w:type="dxa"/>
          </w:tcPr>
          <w:p>
            <w:pPr>
              <w:pStyle w:val="0"/>
              <w:jc w:val="center"/>
            </w:pPr>
            <w:r>
              <w:rPr>
                <w:sz w:val="20"/>
              </w:rPr>
              <w:t xml:space="preserve">1728</w:t>
            </w:r>
          </w:p>
        </w:tc>
        <w:tc>
          <w:tcPr>
            <w:tcW w:w="1134" w:type="dxa"/>
          </w:tcPr>
          <w:p>
            <w:pPr>
              <w:pStyle w:val="0"/>
              <w:jc w:val="center"/>
            </w:pPr>
            <w:r>
              <w:rPr>
                <w:sz w:val="20"/>
              </w:rPr>
              <w:t xml:space="preserve">1779,8</w:t>
            </w:r>
          </w:p>
        </w:tc>
        <w:tc>
          <w:tcPr>
            <w:tcW w:w="1020" w:type="dxa"/>
          </w:tcPr>
          <w:p>
            <w:pPr>
              <w:pStyle w:val="0"/>
              <w:jc w:val="center"/>
            </w:pPr>
            <w:r>
              <w:rPr>
                <w:sz w:val="20"/>
              </w:rPr>
              <w:t xml:space="preserve">1923</w:t>
            </w:r>
          </w:p>
        </w:tc>
      </w:tr>
      <w:tr>
        <w:tc>
          <w:tcPr>
            <w:gridSpan w:val="8"/>
            <w:tcW w:w="10431" w:type="dxa"/>
          </w:tcPr>
          <w:p>
            <w:pPr>
              <w:pStyle w:val="0"/>
              <w:outlineLvl w:val="3"/>
              <w:jc w:val="both"/>
            </w:pPr>
            <w:r>
              <w:rPr>
                <w:sz w:val="20"/>
              </w:rPr>
              <w:t xml:space="preserve">Торговля и услуги населению</w:t>
            </w:r>
          </w:p>
        </w:tc>
      </w:tr>
      <w:tr>
        <w:tc>
          <w:tcPr>
            <w:tcW w:w="2551" w:type="dxa"/>
          </w:tcPr>
          <w:p>
            <w:pPr>
              <w:pStyle w:val="0"/>
              <w:jc w:val="both"/>
            </w:pPr>
            <w:r>
              <w:rPr>
                <w:sz w:val="20"/>
              </w:rPr>
              <w:t xml:space="preserve">Индекс потребительских цен на товары и услуги, на конец года</w:t>
            </w:r>
          </w:p>
        </w:tc>
        <w:tc>
          <w:tcPr>
            <w:tcW w:w="1361" w:type="dxa"/>
          </w:tcPr>
          <w:p>
            <w:pPr>
              <w:pStyle w:val="0"/>
              <w:jc w:val="center"/>
            </w:pPr>
            <w:r>
              <w:rPr>
                <w:sz w:val="20"/>
              </w:rPr>
              <w:t xml:space="preserve">% к декабрю предыдущего года</w:t>
            </w:r>
          </w:p>
        </w:tc>
        <w:tc>
          <w:tcPr>
            <w:tcW w:w="1077" w:type="dxa"/>
          </w:tcPr>
          <w:p>
            <w:pPr>
              <w:pStyle w:val="0"/>
              <w:jc w:val="center"/>
            </w:pPr>
            <w:r>
              <w:rPr>
                <w:sz w:val="20"/>
              </w:rPr>
              <w:t xml:space="preserve">104,5</w:t>
            </w:r>
          </w:p>
        </w:tc>
        <w:tc>
          <w:tcPr>
            <w:tcW w:w="1077" w:type="dxa"/>
          </w:tcPr>
          <w:p>
            <w:pPr>
              <w:pStyle w:val="0"/>
              <w:jc w:val="center"/>
            </w:pPr>
            <w:r>
              <w:rPr>
                <w:sz w:val="20"/>
              </w:rPr>
              <w:t xml:space="preserve">104,5</w:t>
            </w:r>
          </w:p>
        </w:tc>
        <w:tc>
          <w:tcPr>
            <w:tcW w:w="1134" w:type="dxa"/>
          </w:tcPr>
          <w:p>
            <w:pPr>
              <w:pStyle w:val="0"/>
              <w:jc w:val="center"/>
            </w:pPr>
            <w:r>
              <w:rPr>
                <w:sz w:val="20"/>
              </w:rPr>
              <w:t xml:space="preserve">104</w:t>
            </w:r>
          </w:p>
        </w:tc>
        <w:tc>
          <w:tcPr>
            <w:tcW w:w="1077" w:type="dxa"/>
          </w:tcPr>
          <w:p>
            <w:pPr>
              <w:pStyle w:val="0"/>
              <w:jc w:val="center"/>
            </w:pPr>
            <w:r>
              <w:rPr>
                <w:sz w:val="20"/>
              </w:rPr>
              <w:t xml:space="preserve">104</w:t>
            </w:r>
          </w:p>
        </w:tc>
        <w:tc>
          <w:tcPr>
            <w:tcW w:w="1134" w:type="dxa"/>
          </w:tcPr>
          <w:p>
            <w:pPr>
              <w:pStyle w:val="0"/>
              <w:jc w:val="center"/>
            </w:pPr>
            <w:r>
              <w:rPr>
                <w:sz w:val="20"/>
              </w:rPr>
              <w:t xml:space="preserve">104</w:t>
            </w:r>
          </w:p>
        </w:tc>
        <w:tc>
          <w:tcPr>
            <w:tcW w:w="1020" w:type="dxa"/>
          </w:tcPr>
          <w:p>
            <w:pPr>
              <w:pStyle w:val="0"/>
              <w:jc w:val="center"/>
            </w:pPr>
            <w:r>
              <w:rPr>
                <w:sz w:val="20"/>
              </w:rPr>
              <w:t xml:space="preserve">104</w:t>
            </w:r>
          </w:p>
        </w:tc>
      </w:tr>
      <w:tr>
        <w:tc>
          <w:tcPr>
            <w:tcW w:w="2551" w:type="dxa"/>
          </w:tcPr>
          <w:p>
            <w:pPr>
              <w:pStyle w:val="0"/>
              <w:jc w:val="both"/>
            </w:pPr>
            <w:r>
              <w:rPr>
                <w:sz w:val="20"/>
              </w:rPr>
              <w:t xml:space="preserve">Индекс потребительских цен на товары и услуги, в среднем за год</w:t>
            </w:r>
          </w:p>
        </w:tc>
        <w:tc>
          <w:tcPr>
            <w:tcW w:w="1361" w:type="dxa"/>
          </w:tcPr>
          <w:p>
            <w:pPr>
              <w:pStyle w:val="0"/>
              <w:jc w:val="center"/>
            </w:pPr>
            <w:r>
              <w:rPr>
                <w:sz w:val="20"/>
              </w:rPr>
              <w:t xml:space="preserve">% к предыдущему году</w:t>
            </w:r>
          </w:p>
        </w:tc>
        <w:tc>
          <w:tcPr>
            <w:tcW w:w="1077" w:type="dxa"/>
          </w:tcPr>
          <w:p>
            <w:pPr>
              <w:pStyle w:val="0"/>
              <w:jc w:val="center"/>
            </w:pPr>
            <w:r>
              <w:rPr>
                <w:sz w:val="20"/>
              </w:rPr>
              <w:t xml:space="preserve">105,8</w:t>
            </w:r>
          </w:p>
        </w:tc>
        <w:tc>
          <w:tcPr>
            <w:tcW w:w="1077" w:type="dxa"/>
          </w:tcPr>
          <w:p>
            <w:pPr>
              <w:pStyle w:val="0"/>
              <w:jc w:val="center"/>
            </w:pPr>
            <w:r>
              <w:rPr>
                <w:sz w:val="20"/>
              </w:rPr>
              <w:t xml:space="preserve">105,8</w:t>
            </w:r>
          </w:p>
        </w:tc>
        <w:tc>
          <w:tcPr>
            <w:tcW w:w="1134" w:type="dxa"/>
          </w:tcPr>
          <w:p>
            <w:pPr>
              <w:pStyle w:val="0"/>
              <w:jc w:val="center"/>
            </w:pPr>
            <w:r>
              <w:rPr>
                <w:sz w:val="20"/>
              </w:rPr>
              <w:t xml:space="preserve">104,3</w:t>
            </w:r>
          </w:p>
        </w:tc>
        <w:tc>
          <w:tcPr>
            <w:tcW w:w="1077" w:type="dxa"/>
          </w:tcPr>
          <w:p>
            <w:pPr>
              <w:pStyle w:val="0"/>
              <w:jc w:val="center"/>
            </w:pPr>
            <w:r>
              <w:rPr>
                <w:sz w:val="20"/>
              </w:rPr>
              <w:t xml:space="preserve">104,3</w:t>
            </w:r>
          </w:p>
        </w:tc>
        <w:tc>
          <w:tcPr>
            <w:tcW w:w="1134" w:type="dxa"/>
          </w:tcPr>
          <w:p>
            <w:pPr>
              <w:pStyle w:val="0"/>
              <w:jc w:val="center"/>
            </w:pPr>
            <w:r>
              <w:rPr>
                <w:sz w:val="20"/>
              </w:rPr>
              <w:t xml:space="preserve">104</w:t>
            </w:r>
          </w:p>
        </w:tc>
        <w:tc>
          <w:tcPr>
            <w:tcW w:w="1020" w:type="dxa"/>
          </w:tcPr>
          <w:p>
            <w:pPr>
              <w:pStyle w:val="0"/>
              <w:jc w:val="center"/>
            </w:pPr>
            <w:r>
              <w:rPr>
                <w:sz w:val="20"/>
              </w:rPr>
              <w:t xml:space="preserve">104</w:t>
            </w:r>
          </w:p>
        </w:tc>
      </w:tr>
      <w:tr>
        <w:tc>
          <w:tcPr>
            <w:tcW w:w="2551" w:type="dxa"/>
          </w:tcPr>
          <w:p>
            <w:pPr>
              <w:pStyle w:val="0"/>
              <w:jc w:val="both"/>
            </w:pPr>
            <w:r>
              <w:rPr>
                <w:sz w:val="20"/>
              </w:rPr>
              <w:t xml:space="preserve">Оборот розничной торговли</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1420</w:t>
            </w:r>
          </w:p>
        </w:tc>
        <w:tc>
          <w:tcPr>
            <w:tcW w:w="1077" w:type="dxa"/>
          </w:tcPr>
          <w:p>
            <w:pPr>
              <w:pStyle w:val="0"/>
              <w:jc w:val="center"/>
            </w:pPr>
            <w:r>
              <w:rPr>
                <w:sz w:val="20"/>
              </w:rPr>
              <w:t xml:space="preserve">1441,4</w:t>
            </w:r>
          </w:p>
        </w:tc>
        <w:tc>
          <w:tcPr>
            <w:tcW w:w="1134" w:type="dxa"/>
          </w:tcPr>
          <w:p>
            <w:pPr>
              <w:pStyle w:val="0"/>
              <w:jc w:val="center"/>
            </w:pPr>
            <w:r>
              <w:rPr>
                <w:sz w:val="20"/>
              </w:rPr>
              <w:t xml:space="preserve">1553,6</w:t>
            </w:r>
          </w:p>
        </w:tc>
        <w:tc>
          <w:tcPr>
            <w:tcW w:w="1077" w:type="dxa"/>
          </w:tcPr>
          <w:p>
            <w:pPr>
              <w:pStyle w:val="0"/>
              <w:jc w:val="center"/>
            </w:pPr>
            <w:r>
              <w:rPr>
                <w:sz w:val="20"/>
              </w:rPr>
              <w:t xml:space="preserve">1593,6</w:t>
            </w:r>
          </w:p>
        </w:tc>
        <w:tc>
          <w:tcPr>
            <w:tcW w:w="1134" w:type="dxa"/>
          </w:tcPr>
          <w:p>
            <w:pPr>
              <w:pStyle w:val="0"/>
              <w:jc w:val="center"/>
            </w:pPr>
            <w:r>
              <w:rPr>
                <w:sz w:val="20"/>
              </w:rPr>
              <w:t xml:space="preserve">1678,8</w:t>
            </w:r>
          </w:p>
        </w:tc>
        <w:tc>
          <w:tcPr>
            <w:tcW w:w="1020" w:type="dxa"/>
          </w:tcPr>
          <w:p>
            <w:pPr>
              <w:pStyle w:val="0"/>
              <w:jc w:val="center"/>
            </w:pPr>
            <w:r>
              <w:rPr>
                <w:sz w:val="20"/>
              </w:rPr>
              <w:t xml:space="preserve">1725,3</w:t>
            </w:r>
          </w:p>
        </w:tc>
      </w:tr>
      <w:tr>
        <w:tc>
          <w:tcPr>
            <w:tcW w:w="2551" w:type="dxa"/>
          </w:tcPr>
          <w:p>
            <w:pPr>
              <w:pStyle w:val="0"/>
              <w:jc w:val="both"/>
            </w:pPr>
            <w:r>
              <w:rPr>
                <w:sz w:val="20"/>
              </w:rPr>
              <w:t xml:space="preserve">Индекс физического объема</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106</w:t>
            </w:r>
          </w:p>
        </w:tc>
        <w:tc>
          <w:tcPr>
            <w:tcW w:w="1077" w:type="dxa"/>
          </w:tcPr>
          <w:p>
            <w:pPr>
              <w:pStyle w:val="0"/>
              <w:jc w:val="center"/>
            </w:pPr>
            <w:r>
              <w:rPr>
                <w:sz w:val="20"/>
              </w:rPr>
              <w:t xml:space="preserve">107,6</w:t>
            </w:r>
          </w:p>
        </w:tc>
        <w:tc>
          <w:tcPr>
            <w:tcW w:w="1134" w:type="dxa"/>
          </w:tcPr>
          <w:p>
            <w:pPr>
              <w:pStyle w:val="0"/>
              <w:jc w:val="center"/>
            </w:pPr>
            <w:r>
              <w:rPr>
                <w:sz w:val="20"/>
              </w:rPr>
              <w:t xml:space="preserve">105</w:t>
            </w:r>
          </w:p>
        </w:tc>
        <w:tc>
          <w:tcPr>
            <w:tcW w:w="1077" w:type="dxa"/>
          </w:tcPr>
          <w:p>
            <w:pPr>
              <w:pStyle w:val="0"/>
              <w:jc w:val="center"/>
            </w:pPr>
            <w:r>
              <w:rPr>
                <w:sz w:val="20"/>
              </w:rPr>
              <w:t xml:space="preserve">106,1</w:t>
            </w:r>
          </w:p>
        </w:tc>
        <w:tc>
          <w:tcPr>
            <w:tcW w:w="1134" w:type="dxa"/>
          </w:tcPr>
          <w:p>
            <w:pPr>
              <w:pStyle w:val="0"/>
              <w:jc w:val="center"/>
            </w:pPr>
            <w:r>
              <w:rPr>
                <w:sz w:val="20"/>
              </w:rPr>
              <w:t xml:space="preserve">103,9</w:t>
            </w:r>
          </w:p>
        </w:tc>
        <w:tc>
          <w:tcPr>
            <w:tcW w:w="1020" w:type="dxa"/>
          </w:tcPr>
          <w:p>
            <w:pPr>
              <w:pStyle w:val="0"/>
              <w:jc w:val="center"/>
            </w:pPr>
            <w:r>
              <w:rPr>
                <w:sz w:val="20"/>
              </w:rPr>
              <w:t xml:space="preserve">104,1</w:t>
            </w:r>
          </w:p>
        </w:tc>
      </w:tr>
      <w:tr>
        <w:tc>
          <w:tcPr>
            <w:tcW w:w="2551" w:type="dxa"/>
          </w:tcPr>
          <w:p>
            <w:pPr>
              <w:pStyle w:val="0"/>
              <w:jc w:val="both"/>
            </w:pPr>
            <w:r>
              <w:rPr>
                <w:sz w:val="20"/>
              </w:rPr>
              <w:t xml:space="preserve">Объем платных услуг населению</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337,9</w:t>
            </w:r>
          </w:p>
        </w:tc>
        <w:tc>
          <w:tcPr>
            <w:tcW w:w="1077" w:type="dxa"/>
          </w:tcPr>
          <w:p>
            <w:pPr>
              <w:pStyle w:val="0"/>
              <w:jc w:val="center"/>
            </w:pPr>
            <w:r>
              <w:rPr>
                <w:sz w:val="20"/>
              </w:rPr>
              <w:t xml:space="preserve">346,7</w:t>
            </w:r>
          </w:p>
        </w:tc>
        <w:tc>
          <w:tcPr>
            <w:tcW w:w="1134" w:type="dxa"/>
          </w:tcPr>
          <w:p>
            <w:pPr>
              <w:pStyle w:val="0"/>
              <w:jc w:val="center"/>
            </w:pPr>
            <w:r>
              <w:rPr>
                <w:sz w:val="20"/>
              </w:rPr>
              <w:t xml:space="preserve">364,4</w:t>
            </w:r>
          </w:p>
        </w:tc>
        <w:tc>
          <w:tcPr>
            <w:tcW w:w="1077" w:type="dxa"/>
          </w:tcPr>
          <w:p>
            <w:pPr>
              <w:pStyle w:val="0"/>
              <w:jc w:val="center"/>
            </w:pPr>
            <w:r>
              <w:rPr>
                <w:sz w:val="20"/>
              </w:rPr>
              <w:t xml:space="preserve">379</w:t>
            </w:r>
          </w:p>
        </w:tc>
        <w:tc>
          <w:tcPr>
            <w:tcW w:w="1134" w:type="dxa"/>
          </w:tcPr>
          <w:p>
            <w:pPr>
              <w:pStyle w:val="0"/>
              <w:jc w:val="center"/>
            </w:pPr>
            <w:r>
              <w:rPr>
                <w:sz w:val="20"/>
              </w:rPr>
              <w:t xml:space="preserve">388,1</w:t>
            </w:r>
          </w:p>
        </w:tc>
        <w:tc>
          <w:tcPr>
            <w:tcW w:w="1020" w:type="dxa"/>
          </w:tcPr>
          <w:p>
            <w:pPr>
              <w:pStyle w:val="0"/>
              <w:jc w:val="center"/>
            </w:pPr>
            <w:r>
              <w:rPr>
                <w:sz w:val="20"/>
              </w:rPr>
              <w:t xml:space="preserve">406</w:t>
            </w:r>
          </w:p>
        </w:tc>
      </w:tr>
      <w:tr>
        <w:tc>
          <w:tcPr>
            <w:tcW w:w="2551" w:type="dxa"/>
          </w:tcPr>
          <w:p>
            <w:pPr>
              <w:pStyle w:val="0"/>
              <w:jc w:val="both"/>
            </w:pPr>
            <w:r>
              <w:rPr>
                <w:sz w:val="20"/>
              </w:rPr>
              <w:t xml:space="preserve">Индекс физического объема</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103,7</w:t>
            </w:r>
          </w:p>
        </w:tc>
        <w:tc>
          <w:tcPr>
            <w:tcW w:w="1077" w:type="dxa"/>
          </w:tcPr>
          <w:p>
            <w:pPr>
              <w:pStyle w:val="0"/>
              <w:jc w:val="center"/>
            </w:pPr>
            <w:r>
              <w:rPr>
                <w:sz w:val="20"/>
              </w:rPr>
              <w:t xml:space="preserve">106,4</w:t>
            </w:r>
          </w:p>
        </w:tc>
        <w:tc>
          <w:tcPr>
            <w:tcW w:w="1134" w:type="dxa"/>
          </w:tcPr>
          <w:p>
            <w:pPr>
              <w:pStyle w:val="0"/>
              <w:jc w:val="center"/>
            </w:pPr>
            <w:r>
              <w:rPr>
                <w:sz w:val="20"/>
              </w:rPr>
              <w:t xml:space="preserve">103,3</w:t>
            </w:r>
          </w:p>
        </w:tc>
        <w:tc>
          <w:tcPr>
            <w:tcW w:w="1077" w:type="dxa"/>
          </w:tcPr>
          <w:p>
            <w:pPr>
              <w:pStyle w:val="0"/>
              <w:jc w:val="center"/>
            </w:pPr>
            <w:r>
              <w:rPr>
                <w:sz w:val="20"/>
              </w:rPr>
              <w:t xml:space="preserve">104,7</w:t>
            </w:r>
          </w:p>
        </w:tc>
        <w:tc>
          <w:tcPr>
            <w:tcW w:w="1134" w:type="dxa"/>
          </w:tcPr>
          <w:p>
            <w:pPr>
              <w:pStyle w:val="0"/>
              <w:jc w:val="center"/>
            </w:pPr>
            <w:r>
              <w:rPr>
                <w:sz w:val="20"/>
              </w:rPr>
              <w:t xml:space="preserve">102,4</w:t>
            </w:r>
          </w:p>
        </w:tc>
        <w:tc>
          <w:tcPr>
            <w:tcW w:w="1020" w:type="dxa"/>
          </w:tcPr>
          <w:p>
            <w:pPr>
              <w:pStyle w:val="0"/>
              <w:jc w:val="center"/>
            </w:pPr>
            <w:r>
              <w:rPr>
                <w:sz w:val="20"/>
              </w:rPr>
              <w:t xml:space="preserve">103</w:t>
            </w:r>
          </w:p>
        </w:tc>
      </w:tr>
      <w:tr>
        <w:tc>
          <w:tcPr>
            <w:gridSpan w:val="8"/>
            <w:tcW w:w="10431" w:type="dxa"/>
          </w:tcPr>
          <w:p>
            <w:pPr>
              <w:pStyle w:val="0"/>
              <w:outlineLvl w:val="3"/>
              <w:jc w:val="both"/>
            </w:pPr>
            <w:r>
              <w:rPr>
                <w:sz w:val="20"/>
              </w:rPr>
              <w:t xml:space="preserve">Внешнеэкономическая деятельность (значения показателей по внешнеторговому обороту являются информацией ограниченного доступа (ДСП) и не публикуются в открытых источниках с 2022 года)</w:t>
            </w:r>
          </w:p>
        </w:tc>
      </w:tr>
      <w:tr>
        <w:tc>
          <w:tcPr>
            <w:gridSpan w:val="8"/>
            <w:tcW w:w="10431" w:type="dxa"/>
          </w:tcPr>
          <w:p>
            <w:pPr>
              <w:pStyle w:val="0"/>
              <w:outlineLvl w:val="4"/>
              <w:jc w:val="both"/>
            </w:pPr>
            <w:r>
              <w:rPr>
                <w:sz w:val="20"/>
              </w:rPr>
              <w:t xml:space="preserve">Малое и среднее предпринимательство (МСП)</w:t>
            </w:r>
          </w:p>
        </w:tc>
      </w:tr>
      <w:tr>
        <w:tc>
          <w:tcPr>
            <w:tcW w:w="2551" w:type="dxa"/>
          </w:tcPr>
          <w:p>
            <w:pPr>
              <w:pStyle w:val="0"/>
              <w:jc w:val="both"/>
            </w:pPr>
            <w:r>
              <w:rPr>
                <w:sz w:val="20"/>
              </w:rPr>
              <w:t xml:space="preserve">Количество МСП, включая микропредприятия (на конец года)</w:t>
            </w:r>
          </w:p>
        </w:tc>
        <w:tc>
          <w:tcPr>
            <w:tcW w:w="1361" w:type="dxa"/>
          </w:tcPr>
          <w:p>
            <w:pPr>
              <w:pStyle w:val="0"/>
              <w:jc w:val="center"/>
            </w:pPr>
            <w:r>
              <w:rPr>
                <w:sz w:val="20"/>
              </w:rPr>
              <w:t xml:space="preserve">единиц</w:t>
            </w:r>
          </w:p>
        </w:tc>
        <w:tc>
          <w:tcPr>
            <w:tcW w:w="1077" w:type="dxa"/>
          </w:tcPr>
          <w:p>
            <w:pPr>
              <w:pStyle w:val="0"/>
              <w:jc w:val="center"/>
            </w:pPr>
            <w:r>
              <w:rPr>
                <w:sz w:val="20"/>
              </w:rPr>
              <w:t xml:space="preserve">48652</w:t>
            </w:r>
          </w:p>
        </w:tc>
        <w:tc>
          <w:tcPr>
            <w:tcW w:w="1077" w:type="dxa"/>
          </w:tcPr>
          <w:p>
            <w:pPr>
              <w:pStyle w:val="0"/>
              <w:jc w:val="center"/>
            </w:pPr>
            <w:r>
              <w:rPr>
                <w:sz w:val="20"/>
              </w:rPr>
              <w:t xml:space="preserve">48798</w:t>
            </w:r>
          </w:p>
        </w:tc>
        <w:tc>
          <w:tcPr>
            <w:tcW w:w="1134" w:type="dxa"/>
          </w:tcPr>
          <w:p>
            <w:pPr>
              <w:pStyle w:val="0"/>
              <w:jc w:val="center"/>
            </w:pPr>
            <w:r>
              <w:rPr>
                <w:sz w:val="20"/>
              </w:rPr>
              <w:t xml:space="preserve">48750</w:t>
            </w:r>
          </w:p>
        </w:tc>
        <w:tc>
          <w:tcPr>
            <w:tcW w:w="1077" w:type="dxa"/>
          </w:tcPr>
          <w:p>
            <w:pPr>
              <w:pStyle w:val="0"/>
              <w:jc w:val="center"/>
            </w:pPr>
            <w:r>
              <w:rPr>
                <w:sz w:val="20"/>
              </w:rPr>
              <w:t xml:space="preserve">49042</w:t>
            </w:r>
          </w:p>
        </w:tc>
        <w:tc>
          <w:tcPr>
            <w:tcW w:w="1134" w:type="dxa"/>
          </w:tcPr>
          <w:p>
            <w:pPr>
              <w:pStyle w:val="0"/>
              <w:jc w:val="center"/>
            </w:pPr>
            <w:r>
              <w:rPr>
                <w:sz w:val="20"/>
              </w:rPr>
              <w:t xml:space="preserve">48847</w:t>
            </w:r>
          </w:p>
        </w:tc>
        <w:tc>
          <w:tcPr>
            <w:tcW w:w="1020" w:type="dxa"/>
          </w:tcPr>
          <w:p>
            <w:pPr>
              <w:pStyle w:val="0"/>
              <w:jc w:val="center"/>
            </w:pPr>
            <w:r>
              <w:rPr>
                <w:sz w:val="20"/>
              </w:rPr>
              <w:t xml:space="preserve">49288</w:t>
            </w:r>
          </w:p>
        </w:tc>
      </w:tr>
      <w:tr>
        <w:tc>
          <w:tcPr>
            <w:tcW w:w="2551" w:type="dxa"/>
          </w:tcPr>
          <w:p>
            <w:pPr>
              <w:pStyle w:val="0"/>
              <w:jc w:val="both"/>
            </w:pPr>
            <w:r>
              <w:rPr>
                <w:sz w:val="20"/>
              </w:rPr>
              <w:t xml:space="preserve">Среднесписочная численность работников на предприятиях МСП (включая микропредприятия) (без внешних совместителей)</w:t>
            </w:r>
          </w:p>
        </w:tc>
        <w:tc>
          <w:tcPr>
            <w:tcW w:w="1361" w:type="dxa"/>
          </w:tcPr>
          <w:p>
            <w:pPr>
              <w:pStyle w:val="0"/>
              <w:jc w:val="center"/>
            </w:pPr>
            <w:r>
              <w:rPr>
                <w:sz w:val="20"/>
              </w:rPr>
              <w:t xml:space="preserve">тыс. чел.</w:t>
            </w:r>
          </w:p>
        </w:tc>
        <w:tc>
          <w:tcPr>
            <w:tcW w:w="1077" w:type="dxa"/>
          </w:tcPr>
          <w:p>
            <w:pPr>
              <w:pStyle w:val="0"/>
              <w:jc w:val="center"/>
            </w:pPr>
            <w:r>
              <w:rPr>
                <w:sz w:val="20"/>
              </w:rPr>
              <w:t xml:space="preserve">317,2</w:t>
            </w:r>
          </w:p>
        </w:tc>
        <w:tc>
          <w:tcPr>
            <w:tcW w:w="1077" w:type="dxa"/>
          </w:tcPr>
          <w:p>
            <w:pPr>
              <w:pStyle w:val="0"/>
              <w:jc w:val="center"/>
            </w:pPr>
            <w:r>
              <w:rPr>
                <w:sz w:val="20"/>
              </w:rPr>
              <w:t xml:space="preserve">318,4</w:t>
            </w:r>
          </w:p>
        </w:tc>
        <w:tc>
          <w:tcPr>
            <w:tcW w:w="1134" w:type="dxa"/>
          </w:tcPr>
          <w:p>
            <w:pPr>
              <w:pStyle w:val="0"/>
              <w:jc w:val="center"/>
            </w:pPr>
            <w:r>
              <w:rPr>
                <w:sz w:val="20"/>
              </w:rPr>
              <w:t xml:space="preserve">318,8</w:t>
            </w:r>
          </w:p>
        </w:tc>
        <w:tc>
          <w:tcPr>
            <w:tcW w:w="1077" w:type="dxa"/>
          </w:tcPr>
          <w:p>
            <w:pPr>
              <w:pStyle w:val="0"/>
              <w:jc w:val="center"/>
            </w:pPr>
            <w:r>
              <w:rPr>
                <w:sz w:val="20"/>
              </w:rPr>
              <w:t xml:space="preserve">321,6</w:t>
            </w:r>
          </w:p>
        </w:tc>
        <w:tc>
          <w:tcPr>
            <w:tcW w:w="1134" w:type="dxa"/>
          </w:tcPr>
          <w:p>
            <w:pPr>
              <w:pStyle w:val="0"/>
              <w:jc w:val="center"/>
            </w:pPr>
            <w:r>
              <w:rPr>
                <w:sz w:val="20"/>
              </w:rPr>
              <w:t xml:space="preserve">320,4</w:t>
            </w:r>
          </w:p>
        </w:tc>
        <w:tc>
          <w:tcPr>
            <w:tcW w:w="1020" w:type="dxa"/>
          </w:tcPr>
          <w:p>
            <w:pPr>
              <w:pStyle w:val="0"/>
              <w:jc w:val="center"/>
            </w:pPr>
            <w:r>
              <w:rPr>
                <w:sz w:val="20"/>
              </w:rPr>
              <w:t xml:space="preserve">324,8</w:t>
            </w:r>
          </w:p>
        </w:tc>
      </w:tr>
      <w:tr>
        <w:tc>
          <w:tcPr>
            <w:tcW w:w="2551" w:type="dxa"/>
          </w:tcPr>
          <w:p>
            <w:pPr>
              <w:pStyle w:val="0"/>
              <w:jc w:val="both"/>
            </w:pPr>
            <w:r>
              <w:rPr>
                <w:sz w:val="20"/>
              </w:rPr>
              <w:t xml:space="preserve">Оборот МСП, включая микропредприятия</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2715,5</w:t>
            </w:r>
          </w:p>
        </w:tc>
        <w:tc>
          <w:tcPr>
            <w:tcW w:w="1077" w:type="dxa"/>
          </w:tcPr>
          <w:p>
            <w:pPr>
              <w:pStyle w:val="0"/>
              <w:jc w:val="center"/>
            </w:pPr>
            <w:r>
              <w:rPr>
                <w:sz w:val="20"/>
              </w:rPr>
              <w:t xml:space="preserve">2752,4</w:t>
            </w:r>
          </w:p>
        </w:tc>
        <w:tc>
          <w:tcPr>
            <w:tcW w:w="1134" w:type="dxa"/>
          </w:tcPr>
          <w:p>
            <w:pPr>
              <w:pStyle w:val="0"/>
              <w:jc w:val="center"/>
            </w:pPr>
            <w:r>
              <w:rPr>
                <w:sz w:val="20"/>
              </w:rPr>
              <w:t xml:space="preserve">2903,2</w:t>
            </w:r>
          </w:p>
        </w:tc>
        <w:tc>
          <w:tcPr>
            <w:tcW w:w="1077" w:type="dxa"/>
          </w:tcPr>
          <w:p>
            <w:pPr>
              <w:pStyle w:val="0"/>
              <w:jc w:val="center"/>
            </w:pPr>
            <w:r>
              <w:rPr>
                <w:sz w:val="20"/>
              </w:rPr>
              <w:t xml:space="preserve">2971,3</w:t>
            </w:r>
          </w:p>
        </w:tc>
        <w:tc>
          <w:tcPr>
            <w:tcW w:w="1134" w:type="dxa"/>
          </w:tcPr>
          <w:p>
            <w:pPr>
              <w:pStyle w:val="0"/>
              <w:jc w:val="center"/>
            </w:pPr>
            <w:r>
              <w:rPr>
                <w:sz w:val="20"/>
              </w:rPr>
              <w:t xml:space="preserve">3085,8</w:t>
            </w:r>
          </w:p>
        </w:tc>
        <w:tc>
          <w:tcPr>
            <w:tcW w:w="1020" w:type="dxa"/>
          </w:tcPr>
          <w:p>
            <w:pPr>
              <w:pStyle w:val="0"/>
              <w:jc w:val="center"/>
            </w:pPr>
            <w:r>
              <w:rPr>
                <w:sz w:val="20"/>
              </w:rPr>
              <w:t xml:space="preserve">3182,9</w:t>
            </w:r>
          </w:p>
        </w:tc>
      </w:tr>
      <w:tr>
        <w:tc>
          <w:tcPr>
            <w:gridSpan w:val="8"/>
            <w:tcW w:w="10431" w:type="dxa"/>
          </w:tcPr>
          <w:p>
            <w:pPr>
              <w:pStyle w:val="0"/>
              <w:outlineLvl w:val="4"/>
              <w:jc w:val="both"/>
            </w:pPr>
            <w:r>
              <w:rPr>
                <w:sz w:val="20"/>
              </w:rPr>
              <w:t xml:space="preserve">Инвестиции</w:t>
            </w:r>
          </w:p>
        </w:tc>
      </w:tr>
      <w:tr>
        <w:tc>
          <w:tcPr>
            <w:tcW w:w="2551" w:type="dxa"/>
          </w:tcPr>
          <w:p>
            <w:pPr>
              <w:pStyle w:val="0"/>
              <w:jc w:val="both"/>
            </w:pPr>
            <w:r>
              <w:rPr>
                <w:sz w:val="20"/>
              </w:rPr>
              <w:t xml:space="preserve">Инвестиции в основной капитал</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852,9</w:t>
            </w:r>
          </w:p>
        </w:tc>
        <w:tc>
          <w:tcPr>
            <w:tcW w:w="1077" w:type="dxa"/>
          </w:tcPr>
          <w:p>
            <w:pPr>
              <w:pStyle w:val="0"/>
              <w:jc w:val="center"/>
            </w:pPr>
            <w:r>
              <w:rPr>
                <w:sz w:val="20"/>
              </w:rPr>
              <w:t xml:space="preserve">865,3</w:t>
            </w:r>
          </w:p>
        </w:tc>
        <w:tc>
          <w:tcPr>
            <w:tcW w:w="1134" w:type="dxa"/>
          </w:tcPr>
          <w:p>
            <w:pPr>
              <w:pStyle w:val="0"/>
              <w:jc w:val="center"/>
            </w:pPr>
            <w:r>
              <w:rPr>
                <w:sz w:val="20"/>
              </w:rPr>
              <w:t xml:space="preserve">927,7</w:t>
            </w:r>
          </w:p>
        </w:tc>
        <w:tc>
          <w:tcPr>
            <w:tcW w:w="1077" w:type="dxa"/>
          </w:tcPr>
          <w:p>
            <w:pPr>
              <w:pStyle w:val="0"/>
              <w:jc w:val="center"/>
            </w:pPr>
            <w:r>
              <w:rPr>
                <w:sz w:val="20"/>
              </w:rPr>
              <w:t xml:space="preserve">956,7</w:t>
            </w:r>
          </w:p>
        </w:tc>
        <w:tc>
          <w:tcPr>
            <w:tcW w:w="1134" w:type="dxa"/>
          </w:tcPr>
          <w:p>
            <w:pPr>
              <w:pStyle w:val="0"/>
              <w:jc w:val="center"/>
            </w:pPr>
            <w:r>
              <w:rPr>
                <w:sz w:val="20"/>
              </w:rPr>
              <w:t xml:space="preserve">990,8</w:t>
            </w:r>
          </w:p>
        </w:tc>
        <w:tc>
          <w:tcPr>
            <w:tcW w:w="1020" w:type="dxa"/>
          </w:tcPr>
          <w:p>
            <w:pPr>
              <w:pStyle w:val="0"/>
              <w:jc w:val="center"/>
            </w:pPr>
            <w:r>
              <w:rPr>
                <w:sz w:val="20"/>
              </w:rPr>
              <w:t xml:space="preserve">1031,7</w:t>
            </w:r>
          </w:p>
        </w:tc>
      </w:tr>
      <w:tr>
        <w:tc>
          <w:tcPr>
            <w:tcW w:w="2551" w:type="dxa"/>
          </w:tcPr>
          <w:p>
            <w:pPr>
              <w:pStyle w:val="0"/>
              <w:jc w:val="both"/>
            </w:pPr>
            <w:r>
              <w:rPr>
                <w:sz w:val="20"/>
              </w:rPr>
              <w:t xml:space="preserve">Индекс физического объема</w:t>
            </w:r>
          </w:p>
        </w:tc>
        <w:tc>
          <w:tcPr>
            <w:tcW w:w="1361" w:type="dxa"/>
          </w:tcPr>
          <w:p>
            <w:pPr>
              <w:pStyle w:val="0"/>
              <w:jc w:val="center"/>
            </w:pPr>
            <w:r>
              <w:rPr>
                <w:sz w:val="20"/>
              </w:rPr>
              <w:t xml:space="preserve">в % к предыдущему году в сопоставимых ценах</w:t>
            </w:r>
          </w:p>
        </w:tc>
        <w:tc>
          <w:tcPr>
            <w:tcW w:w="1077" w:type="dxa"/>
          </w:tcPr>
          <w:p>
            <w:pPr>
              <w:pStyle w:val="0"/>
              <w:jc w:val="center"/>
            </w:pPr>
            <w:r>
              <w:rPr>
                <w:sz w:val="20"/>
              </w:rPr>
              <w:t xml:space="preserve">103,5</w:t>
            </w:r>
          </w:p>
        </w:tc>
        <w:tc>
          <w:tcPr>
            <w:tcW w:w="1077" w:type="dxa"/>
          </w:tcPr>
          <w:p>
            <w:pPr>
              <w:pStyle w:val="0"/>
              <w:jc w:val="center"/>
            </w:pPr>
            <w:r>
              <w:rPr>
                <w:sz w:val="20"/>
              </w:rPr>
              <w:t xml:space="preserve">105</w:t>
            </w:r>
          </w:p>
        </w:tc>
        <w:tc>
          <w:tcPr>
            <w:tcW w:w="1134" w:type="dxa"/>
          </w:tcPr>
          <w:p>
            <w:pPr>
              <w:pStyle w:val="0"/>
              <w:jc w:val="center"/>
            </w:pPr>
            <w:r>
              <w:rPr>
                <w:sz w:val="20"/>
              </w:rPr>
              <w:t xml:space="preserve">103,3</w:t>
            </w:r>
          </w:p>
        </w:tc>
        <w:tc>
          <w:tcPr>
            <w:tcW w:w="1077" w:type="dxa"/>
          </w:tcPr>
          <w:p>
            <w:pPr>
              <w:pStyle w:val="0"/>
              <w:jc w:val="center"/>
            </w:pPr>
            <w:r>
              <w:rPr>
                <w:sz w:val="20"/>
              </w:rPr>
              <w:t xml:space="preserve">105</w:t>
            </w:r>
          </w:p>
        </w:tc>
        <w:tc>
          <w:tcPr>
            <w:tcW w:w="1134" w:type="dxa"/>
          </w:tcPr>
          <w:p>
            <w:pPr>
              <w:pStyle w:val="0"/>
              <w:jc w:val="center"/>
            </w:pPr>
            <w:r>
              <w:rPr>
                <w:sz w:val="20"/>
              </w:rPr>
              <w:t xml:space="preserve">102,3</w:t>
            </w:r>
          </w:p>
        </w:tc>
        <w:tc>
          <w:tcPr>
            <w:tcW w:w="1020" w:type="dxa"/>
          </w:tcPr>
          <w:p>
            <w:pPr>
              <w:pStyle w:val="0"/>
              <w:jc w:val="center"/>
            </w:pPr>
            <w:r>
              <w:rPr>
                <w:sz w:val="20"/>
              </w:rPr>
              <w:t xml:space="preserve">103,3</w:t>
            </w:r>
          </w:p>
        </w:tc>
      </w:tr>
      <w:tr>
        <w:tc>
          <w:tcPr>
            <w:tcW w:w="2551" w:type="dxa"/>
          </w:tcPr>
          <w:p>
            <w:pPr>
              <w:pStyle w:val="0"/>
              <w:jc w:val="both"/>
            </w:pPr>
            <w:r>
              <w:rPr>
                <w:sz w:val="20"/>
              </w:rPr>
              <w:t xml:space="preserve">Удельный вес инвестиций в основной капитал в валовом региональном продукте</w:t>
            </w:r>
          </w:p>
        </w:tc>
        <w:tc>
          <w:tcPr>
            <w:tcW w:w="1361" w:type="dxa"/>
          </w:tcPr>
          <w:p>
            <w:pPr>
              <w:pStyle w:val="0"/>
              <w:jc w:val="center"/>
            </w:pPr>
            <w:r>
              <w:rPr>
                <w:sz w:val="20"/>
              </w:rPr>
              <w:t xml:space="preserve">%</w:t>
            </w:r>
          </w:p>
        </w:tc>
        <w:tc>
          <w:tcPr>
            <w:tcW w:w="1077" w:type="dxa"/>
          </w:tcPr>
          <w:p>
            <w:pPr>
              <w:pStyle w:val="0"/>
              <w:jc w:val="center"/>
            </w:pPr>
            <w:r>
              <w:rPr>
                <w:sz w:val="20"/>
              </w:rPr>
              <w:t xml:space="preserve">26</w:t>
            </w:r>
          </w:p>
        </w:tc>
        <w:tc>
          <w:tcPr>
            <w:tcW w:w="1077" w:type="dxa"/>
          </w:tcPr>
          <w:p>
            <w:pPr>
              <w:pStyle w:val="0"/>
              <w:jc w:val="center"/>
            </w:pPr>
            <w:r>
              <w:rPr>
                <w:sz w:val="20"/>
              </w:rPr>
              <w:t xml:space="preserve">26,2</w:t>
            </w:r>
          </w:p>
        </w:tc>
        <w:tc>
          <w:tcPr>
            <w:tcW w:w="1134" w:type="dxa"/>
          </w:tcPr>
          <w:p>
            <w:pPr>
              <w:pStyle w:val="0"/>
              <w:jc w:val="center"/>
            </w:pPr>
            <w:r>
              <w:rPr>
                <w:sz w:val="20"/>
              </w:rPr>
              <w:t xml:space="preserve">26,7</w:t>
            </w:r>
          </w:p>
        </w:tc>
        <w:tc>
          <w:tcPr>
            <w:tcW w:w="1077" w:type="dxa"/>
          </w:tcPr>
          <w:p>
            <w:pPr>
              <w:pStyle w:val="0"/>
              <w:jc w:val="center"/>
            </w:pPr>
            <w:r>
              <w:rPr>
                <w:sz w:val="20"/>
              </w:rPr>
              <w:t xml:space="preserve">26,9</w:t>
            </w:r>
          </w:p>
        </w:tc>
        <w:tc>
          <w:tcPr>
            <w:tcW w:w="1134" w:type="dxa"/>
          </w:tcPr>
          <w:p>
            <w:pPr>
              <w:pStyle w:val="0"/>
              <w:jc w:val="center"/>
            </w:pPr>
            <w:r>
              <w:rPr>
                <w:sz w:val="20"/>
              </w:rPr>
              <w:t xml:space="preserve">26,7</w:t>
            </w:r>
          </w:p>
        </w:tc>
        <w:tc>
          <w:tcPr>
            <w:tcW w:w="1020" w:type="dxa"/>
          </w:tcPr>
          <w:p>
            <w:pPr>
              <w:pStyle w:val="0"/>
              <w:jc w:val="center"/>
            </w:pPr>
            <w:r>
              <w:rPr>
                <w:sz w:val="20"/>
              </w:rPr>
              <w:t xml:space="preserve">27,1</w:t>
            </w:r>
          </w:p>
        </w:tc>
      </w:tr>
      <w:tr>
        <w:tc>
          <w:tcPr>
            <w:gridSpan w:val="8"/>
            <w:tcW w:w="10431" w:type="dxa"/>
          </w:tcPr>
          <w:p>
            <w:pPr>
              <w:pStyle w:val="0"/>
              <w:outlineLvl w:val="4"/>
              <w:jc w:val="both"/>
            </w:pPr>
            <w:r>
              <w:rPr>
                <w:sz w:val="20"/>
              </w:rPr>
              <w:t xml:space="preserve">Денежные доходы населения</w:t>
            </w:r>
          </w:p>
        </w:tc>
      </w:tr>
      <w:tr>
        <w:tc>
          <w:tcPr>
            <w:tcW w:w="2551" w:type="dxa"/>
          </w:tcPr>
          <w:p>
            <w:pPr>
              <w:pStyle w:val="0"/>
              <w:jc w:val="both"/>
            </w:pPr>
            <w:r>
              <w:rPr>
                <w:sz w:val="20"/>
              </w:rPr>
              <w:t xml:space="preserve">Реальный среднедушевой денежный доход населения</w:t>
            </w:r>
          </w:p>
        </w:tc>
        <w:tc>
          <w:tcPr>
            <w:tcW w:w="1361" w:type="dxa"/>
          </w:tcPr>
          <w:p>
            <w:pPr>
              <w:pStyle w:val="0"/>
              <w:jc w:val="center"/>
            </w:pPr>
            <w:r>
              <w:rPr>
                <w:sz w:val="20"/>
              </w:rPr>
              <w:t xml:space="preserve">% к предыдущему году</w:t>
            </w:r>
          </w:p>
        </w:tc>
        <w:tc>
          <w:tcPr>
            <w:tcW w:w="1077" w:type="dxa"/>
          </w:tcPr>
          <w:p>
            <w:pPr>
              <w:pStyle w:val="0"/>
              <w:jc w:val="center"/>
            </w:pPr>
            <w:r>
              <w:rPr>
                <w:sz w:val="20"/>
              </w:rPr>
              <w:t xml:space="preserve">104,6</w:t>
            </w:r>
          </w:p>
        </w:tc>
        <w:tc>
          <w:tcPr>
            <w:tcW w:w="1077" w:type="dxa"/>
          </w:tcPr>
          <w:p>
            <w:pPr>
              <w:pStyle w:val="0"/>
              <w:jc w:val="center"/>
            </w:pPr>
            <w:r>
              <w:rPr>
                <w:sz w:val="20"/>
              </w:rPr>
              <w:t xml:space="preserve">106,1</w:t>
            </w:r>
          </w:p>
        </w:tc>
        <w:tc>
          <w:tcPr>
            <w:tcW w:w="1134" w:type="dxa"/>
          </w:tcPr>
          <w:p>
            <w:pPr>
              <w:pStyle w:val="0"/>
              <w:jc w:val="center"/>
            </w:pPr>
            <w:r>
              <w:rPr>
                <w:sz w:val="20"/>
              </w:rPr>
              <w:t xml:space="preserve">103,8</w:t>
            </w:r>
          </w:p>
        </w:tc>
        <w:tc>
          <w:tcPr>
            <w:tcW w:w="1077" w:type="dxa"/>
          </w:tcPr>
          <w:p>
            <w:pPr>
              <w:pStyle w:val="0"/>
              <w:jc w:val="center"/>
            </w:pPr>
            <w:r>
              <w:rPr>
                <w:sz w:val="20"/>
              </w:rPr>
              <w:t xml:space="preserve">104,7</w:t>
            </w:r>
          </w:p>
        </w:tc>
        <w:tc>
          <w:tcPr>
            <w:tcW w:w="1134" w:type="dxa"/>
          </w:tcPr>
          <w:p>
            <w:pPr>
              <w:pStyle w:val="0"/>
              <w:jc w:val="center"/>
            </w:pPr>
            <w:r>
              <w:rPr>
                <w:sz w:val="20"/>
              </w:rPr>
              <w:t xml:space="preserve">102,3</w:t>
            </w:r>
          </w:p>
        </w:tc>
        <w:tc>
          <w:tcPr>
            <w:tcW w:w="1020" w:type="dxa"/>
          </w:tcPr>
          <w:p>
            <w:pPr>
              <w:pStyle w:val="0"/>
              <w:jc w:val="center"/>
            </w:pPr>
            <w:r>
              <w:rPr>
                <w:sz w:val="20"/>
              </w:rPr>
              <w:t xml:space="preserve">103,5</w:t>
            </w:r>
          </w:p>
        </w:tc>
      </w:tr>
      <w:tr>
        <w:tc>
          <w:tcPr>
            <w:tcW w:w="2551" w:type="dxa"/>
          </w:tcPr>
          <w:p>
            <w:pPr>
              <w:pStyle w:val="0"/>
              <w:jc w:val="both"/>
            </w:pPr>
            <w:r>
              <w:rPr>
                <w:sz w:val="20"/>
              </w:rPr>
              <w:t xml:space="preserve">Прожиточный минимум в среднем на душу населения (в среднем за год)</w:t>
            </w:r>
          </w:p>
        </w:tc>
        <w:tc>
          <w:tcPr>
            <w:tcW w:w="1361" w:type="dxa"/>
          </w:tcPr>
          <w:p>
            <w:pPr>
              <w:pStyle w:val="0"/>
              <w:jc w:val="center"/>
            </w:pPr>
            <w:r>
              <w:rPr>
                <w:sz w:val="20"/>
              </w:rPr>
              <w:t xml:space="preserve">руб./мес.</w:t>
            </w:r>
          </w:p>
        </w:tc>
        <w:tc>
          <w:tcPr>
            <w:tcW w:w="1077" w:type="dxa"/>
          </w:tcPr>
          <w:p>
            <w:pPr>
              <w:pStyle w:val="0"/>
              <w:jc w:val="center"/>
            </w:pPr>
            <w:r>
              <w:rPr>
                <w:sz w:val="20"/>
              </w:rPr>
              <w:t xml:space="preserve">16669</w:t>
            </w:r>
          </w:p>
        </w:tc>
        <w:tc>
          <w:tcPr>
            <w:tcW w:w="1077" w:type="dxa"/>
          </w:tcPr>
          <w:p>
            <w:pPr>
              <w:pStyle w:val="0"/>
              <w:jc w:val="center"/>
            </w:pPr>
            <w:r>
              <w:rPr>
                <w:sz w:val="20"/>
              </w:rPr>
              <w:t xml:space="preserve">16669</w:t>
            </w:r>
          </w:p>
        </w:tc>
        <w:tc>
          <w:tcPr>
            <w:tcW w:w="1134" w:type="dxa"/>
          </w:tcPr>
          <w:p>
            <w:pPr>
              <w:pStyle w:val="0"/>
              <w:jc w:val="center"/>
            </w:pPr>
            <w:r>
              <w:rPr>
                <w:sz w:val="20"/>
              </w:rPr>
              <w:t xml:space="preserve">17286</w:t>
            </w:r>
          </w:p>
        </w:tc>
        <w:tc>
          <w:tcPr>
            <w:tcW w:w="1077" w:type="dxa"/>
          </w:tcPr>
          <w:p>
            <w:pPr>
              <w:pStyle w:val="0"/>
              <w:jc w:val="center"/>
            </w:pPr>
            <w:r>
              <w:rPr>
                <w:sz w:val="20"/>
              </w:rPr>
              <w:t xml:space="preserve">17419</w:t>
            </w:r>
          </w:p>
        </w:tc>
        <w:tc>
          <w:tcPr>
            <w:tcW w:w="1134" w:type="dxa"/>
          </w:tcPr>
          <w:p>
            <w:pPr>
              <w:pStyle w:val="0"/>
              <w:jc w:val="center"/>
            </w:pPr>
            <w:r>
              <w:rPr>
                <w:sz w:val="20"/>
              </w:rPr>
              <w:t xml:space="preserve">18046</w:t>
            </w:r>
          </w:p>
        </w:tc>
        <w:tc>
          <w:tcPr>
            <w:tcW w:w="1020" w:type="dxa"/>
          </w:tcPr>
          <w:p>
            <w:pPr>
              <w:pStyle w:val="0"/>
              <w:jc w:val="center"/>
            </w:pPr>
            <w:r>
              <w:rPr>
                <w:sz w:val="20"/>
              </w:rPr>
              <w:t xml:space="preserve">18116</w:t>
            </w:r>
          </w:p>
        </w:tc>
      </w:tr>
      <w:tr>
        <w:tc>
          <w:tcPr>
            <w:tcW w:w="2551" w:type="dxa"/>
          </w:tcPr>
          <w:p>
            <w:pPr>
              <w:pStyle w:val="0"/>
              <w:jc w:val="both"/>
            </w:pPr>
            <w:r>
              <w:rPr>
                <w:sz w:val="20"/>
              </w:rPr>
              <w:t xml:space="preserve">Численность населения с денежными доходами ниже границы бедности к общей численности населения</w:t>
            </w:r>
          </w:p>
        </w:tc>
        <w:tc>
          <w:tcPr>
            <w:tcW w:w="1361" w:type="dxa"/>
          </w:tcPr>
          <w:p>
            <w:pPr>
              <w:pStyle w:val="0"/>
              <w:jc w:val="center"/>
            </w:pPr>
            <w:r>
              <w:rPr>
                <w:sz w:val="20"/>
              </w:rPr>
              <w:t xml:space="preserve">%</w:t>
            </w:r>
          </w:p>
        </w:tc>
        <w:tc>
          <w:tcPr>
            <w:tcW w:w="1077" w:type="dxa"/>
          </w:tcPr>
          <w:p>
            <w:pPr>
              <w:pStyle w:val="0"/>
              <w:jc w:val="center"/>
            </w:pPr>
            <w:r>
              <w:rPr>
                <w:sz w:val="20"/>
              </w:rPr>
              <w:t xml:space="preserve">6,7</w:t>
            </w:r>
          </w:p>
        </w:tc>
        <w:tc>
          <w:tcPr>
            <w:tcW w:w="1077" w:type="dxa"/>
          </w:tcPr>
          <w:p>
            <w:pPr>
              <w:pStyle w:val="0"/>
              <w:jc w:val="center"/>
            </w:pPr>
            <w:r>
              <w:rPr>
                <w:sz w:val="20"/>
              </w:rPr>
              <w:t xml:space="preserve">6,7</w:t>
            </w:r>
          </w:p>
        </w:tc>
        <w:tc>
          <w:tcPr>
            <w:tcW w:w="1134" w:type="dxa"/>
          </w:tcPr>
          <w:p>
            <w:pPr>
              <w:pStyle w:val="0"/>
              <w:jc w:val="center"/>
            </w:pPr>
            <w:r>
              <w:rPr>
                <w:sz w:val="20"/>
              </w:rPr>
              <w:t xml:space="preserve">6,5</w:t>
            </w:r>
          </w:p>
        </w:tc>
        <w:tc>
          <w:tcPr>
            <w:tcW w:w="1077" w:type="dxa"/>
          </w:tcPr>
          <w:p>
            <w:pPr>
              <w:pStyle w:val="0"/>
              <w:jc w:val="center"/>
            </w:pPr>
            <w:r>
              <w:rPr>
                <w:sz w:val="20"/>
              </w:rPr>
              <w:t xml:space="preserve">6,5</w:t>
            </w:r>
          </w:p>
        </w:tc>
        <w:tc>
          <w:tcPr>
            <w:tcW w:w="1134" w:type="dxa"/>
          </w:tcPr>
          <w:p>
            <w:pPr>
              <w:pStyle w:val="0"/>
              <w:jc w:val="center"/>
            </w:pPr>
            <w:r>
              <w:rPr>
                <w:sz w:val="20"/>
              </w:rPr>
              <w:t xml:space="preserve">6,3</w:t>
            </w:r>
          </w:p>
        </w:tc>
        <w:tc>
          <w:tcPr>
            <w:tcW w:w="1020" w:type="dxa"/>
          </w:tcPr>
          <w:p>
            <w:pPr>
              <w:pStyle w:val="0"/>
              <w:jc w:val="center"/>
            </w:pPr>
            <w:r>
              <w:rPr>
                <w:sz w:val="20"/>
              </w:rPr>
              <w:t xml:space="preserve">6,3</w:t>
            </w:r>
          </w:p>
        </w:tc>
      </w:tr>
      <w:tr>
        <w:tc>
          <w:tcPr>
            <w:gridSpan w:val="8"/>
            <w:tcW w:w="10431" w:type="dxa"/>
          </w:tcPr>
          <w:p>
            <w:pPr>
              <w:pStyle w:val="0"/>
              <w:outlineLvl w:val="4"/>
              <w:jc w:val="both"/>
            </w:pPr>
            <w:r>
              <w:rPr>
                <w:sz w:val="20"/>
              </w:rPr>
              <w:t xml:space="preserve">Труд и занятость</w:t>
            </w:r>
          </w:p>
        </w:tc>
      </w:tr>
      <w:tr>
        <w:tc>
          <w:tcPr>
            <w:tcW w:w="2551" w:type="dxa"/>
          </w:tcPr>
          <w:p>
            <w:pPr>
              <w:pStyle w:val="0"/>
              <w:jc w:val="both"/>
            </w:pPr>
            <w:r>
              <w:rPr>
                <w:sz w:val="20"/>
              </w:rPr>
              <w:t xml:space="preserve">Численность рабочей силы</w:t>
            </w:r>
          </w:p>
        </w:tc>
        <w:tc>
          <w:tcPr>
            <w:tcW w:w="1361" w:type="dxa"/>
          </w:tcPr>
          <w:p>
            <w:pPr>
              <w:pStyle w:val="0"/>
              <w:jc w:val="center"/>
            </w:pPr>
            <w:r>
              <w:rPr>
                <w:sz w:val="20"/>
              </w:rPr>
              <w:t xml:space="preserve">тыс. чел.</w:t>
            </w:r>
          </w:p>
        </w:tc>
        <w:tc>
          <w:tcPr>
            <w:tcW w:w="1077" w:type="dxa"/>
          </w:tcPr>
          <w:p>
            <w:pPr>
              <w:pStyle w:val="0"/>
              <w:jc w:val="center"/>
            </w:pPr>
            <w:r>
              <w:rPr>
                <w:sz w:val="20"/>
              </w:rPr>
              <w:t xml:space="preserve">1694,4</w:t>
            </w:r>
          </w:p>
        </w:tc>
        <w:tc>
          <w:tcPr>
            <w:tcW w:w="1077" w:type="dxa"/>
          </w:tcPr>
          <w:p>
            <w:pPr>
              <w:pStyle w:val="0"/>
              <w:jc w:val="center"/>
            </w:pPr>
            <w:r>
              <w:rPr>
                <w:sz w:val="20"/>
              </w:rPr>
              <w:t xml:space="preserve">1702,5</w:t>
            </w:r>
          </w:p>
        </w:tc>
        <w:tc>
          <w:tcPr>
            <w:tcW w:w="1134" w:type="dxa"/>
          </w:tcPr>
          <w:p>
            <w:pPr>
              <w:pStyle w:val="0"/>
              <w:jc w:val="center"/>
            </w:pPr>
            <w:r>
              <w:rPr>
                <w:sz w:val="20"/>
              </w:rPr>
              <w:t xml:space="preserve">1693,7</w:t>
            </w:r>
          </w:p>
        </w:tc>
        <w:tc>
          <w:tcPr>
            <w:tcW w:w="1077" w:type="dxa"/>
          </w:tcPr>
          <w:p>
            <w:pPr>
              <w:pStyle w:val="0"/>
              <w:jc w:val="center"/>
            </w:pPr>
            <w:r>
              <w:rPr>
                <w:sz w:val="20"/>
              </w:rPr>
              <w:t xml:space="preserve">1709,7</w:t>
            </w:r>
          </w:p>
        </w:tc>
        <w:tc>
          <w:tcPr>
            <w:tcW w:w="1134" w:type="dxa"/>
          </w:tcPr>
          <w:p>
            <w:pPr>
              <w:pStyle w:val="0"/>
              <w:jc w:val="center"/>
            </w:pPr>
            <w:r>
              <w:rPr>
                <w:sz w:val="20"/>
              </w:rPr>
              <w:t xml:space="preserve">1693,4</w:t>
            </w:r>
          </w:p>
        </w:tc>
        <w:tc>
          <w:tcPr>
            <w:tcW w:w="1020" w:type="dxa"/>
          </w:tcPr>
          <w:p>
            <w:pPr>
              <w:pStyle w:val="0"/>
              <w:jc w:val="center"/>
            </w:pPr>
            <w:r>
              <w:rPr>
                <w:sz w:val="20"/>
              </w:rPr>
              <w:t xml:space="preserve">1717,8</w:t>
            </w:r>
          </w:p>
        </w:tc>
      </w:tr>
      <w:tr>
        <w:tc>
          <w:tcPr>
            <w:tcW w:w="2551" w:type="dxa"/>
            <w:vMerge w:val="restart"/>
          </w:tcPr>
          <w:p>
            <w:pPr>
              <w:pStyle w:val="0"/>
              <w:jc w:val="both"/>
            </w:pPr>
            <w:r>
              <w:rPr>
                <w:sz w:val="20"/>
              </w:rPr>
              <w:t xml:space="preserve">Номинальная начисленная среднемесячная заработная плата работников организаций</w:t>
            </w:r>
          </w:p>
        </w:tc>
        <w:tc>
          <w:tcPr>
            <w:tcW w:w="1361" w:type="dxa"/>
          </w:tcPr>
          <w:p>
            <w:pPr>
              <w:pStyle w:val="0"/>
              <w:jc w:val="center"/>
            </w:pPr>
            <w:r>
              <w:rPr>
                <w:sz w:val="20"/>
              </w:rPr>
              <w:t xml:space="preserve">рублей</w:t>
            </w:r>
          </w:p>
        </w:tc>
        <w:tc>
          <w:tcPr>
            <w:tcW w:w="1077" w:type="dxa"/>
          </w:tcPr>
          <w:p>
            <w:pPr>
              <w:pStyle w:val="0"/>
              <w:jc w:val="center"/>
            </w:pPr>
            <w:r>
              <w:rPr>
                <w:sz w:val="20"/>
              </w:rPr>
              <w:t xml:space="preserve">76520</w:t>
            </w:r>
          </w:p>
        </w:tc>
        <w:tc>
          <w:tcPr>
            <w:tcW w:w="1077" w:type="dxa"/>
          </w:tcPr>
          <w:p>
            <w:pPr>
              <w:pStyle w:val="0"/>
              <w:jc w:val="center"/>
            </w:pPr>
            <w:r>
              <w:rPr>
                <w:sz w:val="20"/>
              </w:rPr>
              <w:t xml:space="preserve">77760</w:t>
            </w:r>
          </w:p>
        </w:tc>
        <w:tc>
          <w:tcPr>
            <w:tcW w:w="1134" w:type="dxa"/>
          </w:tcPr>
          <w:p>
            <w:pPr>
              <w:pStyle w:val="0"/>
              <w:jc w:val="center"/>
            </w:pPr>
            <w:r>
              <w:rPr>
                <w:sz w:val="20"/>
              </w:rPr>
              <w:t xml:space="preserve">83480</w:t>
            </w:r>
          </w:p>
        </w:tc>
        <w:tc>
          <w:tcPr>
            <w:tcW w:w="1077" w:type="dxa"/>
          </w:tcPr>
          <w:p>
            <w:pPr>
              <w:pStyle w:val="0"/>
              <w:jc w:val="center"/>
            </w:pPr>
            <w:r>
              <w:rPr>
                <w:sz w:val="20"/>
              </w:rPr>
              <w:t xml:space="preserve">85730</w:t>
            </w:r>
          </w:p>
        </w:tc>
        <w:tc>
          <w:tcPr>
            <w:tcW w:w="1134" w:type="dxa"/>
          </w:tcPr>
          <w:p>
            <w:pPr>
              <w:pStyle w:val="0"/>
              <w:jc w:val="center"/>
            </w:pPr>
            <w:r>
              <w:rPr>
                <w:sz w:val="20"/>
              </w:rPr>
              <w:t xml:space="preserve">89250</w:t>
            </w:r>
          </w:p>
        </w:tc>
        <w:tc>
          <w:tcPr>
            <w:tcW w:w="1020" w:type="dxa"/>
          </w:tcPr>
          <w:p>
            <w:pPr>
              <w:pStyle w:val="0"/>
              <w:jc w:val="center"/>
            </w:pPr>
            <w:r>
              <w:rPr>
                <w:sz w:val="20"/>
              </w:rPr>
              <w:t xml:space="preserve">92810</w:t>
            </w:r>
          </w:p>
        </w:tc>
      </w:tr>
      <w:tr>
        <w:tc>
          <w:tcPr>
            <w:vMerge w:val="continue"/>
          </w:tcPr>
          <w:p/>
        </w:tc>
        <w:tc>
          <w:tcPr>
            <w:tcW w:w="1361" w:type="dxa"/>
          </w:tcPr>
          <w:p>
            <w:pPr>
              <w:pStyle w:val="0"/>
              <w:jc w:val="center"/>
            </w:pPr>
            <w:r>
              <w:rPr>
                <w:sz w:val="20"/>
              </w:rPr>
              <w:t xml:space="preserve">темп роста в % к предыдущему году</w:t>
            </w:r>
          </w:p>
        </w:tc>
        <w:tc>
          <w:tcPr>
            <w:tcW w:w="1077" w:type="dxa"/>
          </w:tcPr>
          <w:p>
            <w:pPr>
              <w:pStyle w:val="0"/>
              <w:jc w:val="center"/>
            </w:pPr>
            <w:r>
              <w:rPr>
                <w:sz w:val="20"/>
              </w:rPr>
              <w:t xml:space="preserve">111,4</w:t>
            </w:r>
          </w:p>
        </w:tc>
        <w:tc>
          <w:tcPr>
            <w:tcW w:w="1077" w:type="dxa"/>
          </w:tcPr>
          <w:p>
            <w:pPr>
              <w:pStyle w:val="0"/>
              <w:jc w:val="center"/>
            </w:pPr>
            <w:r>
              <w:rPr>
                <w:sz w:val="20"/>
              </w:rPr>
              <w:t xml:space="preserve">113,2</w:t>
            </w:r>
          </w:p>
        </w:tc>
        <w:tc>
          <w:tcPr>
            <w:tcW w:w="1134" w:type="dxa"/>
          </w:tcPr>
          <w:p>
            <w:pPr>
              <w:pStyle w:val="0"/>
              <w:jc w:val="center"/>
            </w:pPr>
            <w:r>
              <w:rPr>
                <w:sz w:val="20"/>
              </w:rPr>
              <w:t xml:space="preserve">109,1</w:t>
            </w:r>
          </w:p>
        </w:tc>
        <w:tc>
          <w:tcPr>
            <w:tcW w:w="1077" w:type="dxa"/>
          </w:tcPr>
          <w:p>
            <w:pPr>
              <w:pStyle w:val="0"/>
              <w:jc w:val="center"/>
            </w:pPr>
            <w:r>
              <w:rPr>
                <w:sz w:val="20"/>
              </w:rPr>
              <w:t xml:space="preserve">110,2</w:t>
            </w:r>
          </w:p>
        </w:tc>
        <w:tc>
          <w:tcPr>
            <w:tcW w:w="1134" w:type="dxa"/>
          </w:tcPr>
          <w:p>
            <w:pPr>
              <w:pStyle w:val="0"/>
              <w:jc w:val="center"/>
            </w:pPr>
            <w:r>
              <w:rPr>
                <w:sz w:val="20"/>
              </w:rPr>
              <w:t xml:space="preserve">106,9</w:t>
            </w:r>
          </w:p>
        </w:tc>
        <w:tc>
          <w:tcPr>
            <w:tcW w:w="1020" w:type="dxa"/>
          </w:tcPr>
          <w:p>
            <w:pPr>
              <w:pStyle w:val="0"/>
              <w:jc w:val="center"/>
            </w:pPr>
            <w:r>
              <w:rPr>
                <w:sz w:val="20"/>
              </w:rPr>
              <w:t xml:space="preserve">108,3</w:t>
            </w:r>
          </w:p>
        </w:tc>
      </w:tr>
      <w:tr>
        <w:tc>
          <w:tcPr>
            <w:tcW w:w="2551" w:type="dxa"/>
            <w:vMerge w:val="restart"/>
          </w:tcPr>
          <w:p>
            <w:pPr>
              <w:pStyle w:val="0"/>
              <w:jc w:val="both"/>
            </w:pPr>
            <w:r>
              <w:rPr>
                <w:sz w:val="20"/>
              </w:rPr>
              <w:t xml:space="preserve">Среднемесячный доход от трудовой деятельности</w:t>
            </w:r>
          </w:p>
        </w:tc>
        <w:tc>
          <w:tcPr>
            <w:tcW w:w="1361" w:type="dxa"/>
          </w:tcPr>
          <w:p>
            <w:pPr>
              <w:pStyle w:val="0"/>
              <w:jc w:val="center"/>
            </w:pPr>
            <w:r>
              <w:rPr>
                <w:sz w:val="20"/>
              </w:rPr>
              <w:t xml:space="preserve">рублей</w:t>
            </w:r>
          </w:p>
        </w:tc>
        <w:tc>
          <w:tcPr>
            <w:tcW w:w="1077" w:type="dxa"/>
          </w:tcPr>
          <w:p>
            <w:pPr>
              <w:pStyle w:val="0"/>
              <w:jc w:val="center"/>
            </w:pPr>
            <w:r>
              <w:rPr>
                <w:sz w:val="20"/>
              </w:rPr>
              <w:t xml:space="preserve">61980</w:t>
            </w:r>
          </w:p>
        </w:tc>
        <w:tc>
          <w:tcPr>
            <w:tcW w:w="1077" w:type="dxa"/>
          </w:tcPr>
          <w:p>
            <w:pPr>
              <w:pStyle w:val="0"/>
              <w:jc w:val="center"/>
            </w:pPr>
            <w:r>
              <w:rPr>
                <w:sz w:val="20"/>
              </w:rPr>
              <w:t xml:space="preserve">62980</w:t>
            </w:r>
          </w:p>
        </w:tc>
        <w:tc>
          <w:tcPr>
            <w:tcW w:w="1134" w:type="dxa"/>
          </w:tcPr>
          <w:p>
            <w:pPr>
              <w:pStyle w:val="0"/>
              <w:jc w:val="center"/>
            </w:pPr>
            <w:r>
              <w:rPr>
                <w:sz w:val="20"/>
              </w:rPr>
              <w:t xml:space="preserve">67620</w:t>
            </w:r>
          </w:p>
        </w:tc>
        <w:tc>
          <w:tcPr>
            <w:tcW w:w="1077" w:type="dxa"/>
          </w:tcPr>
          <w:p>
            <w:pPr>
              <w:pStyle w:val="0"/>
              <w:jc w:val="center"/>
            </w:pPr>
            <w:r>
              <w:rPr>
                <w:sz w:val="20"/>
              </w:rPr>
              <w:t xml:space="preserve">69430</w:t>
            </w:r>
          </w:p>
        </w:tc>
        <w:tc>
          <w:tcPr>
            <w:tcW w:w="1134" w:type="dxa"/>
          </w:tcPr>
          <w:p>
            <w:pPr>
              <w:pStyle w:val="0"/>
              <w:jc w:val="center"/>
            </w:pPr>
            <w:r>
              <w:rPr>
                <w:sz w:val="20"/>
              </w:rPr>
              <w:t xml:space="preserve">72290</w:t>
            </w:r>
          </w:p>
        </w:tc>
        <w:tc>
          <w:tcPr>
            <w:tcW w:w="1020" w:type="dxa"/>
          </w:tcPr>
          <w:p>
            <w:pPr>
              <w:pStyle w:val="0"/>
              <w:jc w:val="center"/>
            </w:pPr>
            <w:r>
              <w:rPr>
                <w:sz w:val="20"/>
              </w:rPr>
              <w:t xml:space="preserve">75170</w:t>
            </w:r>
          </w:p>
        </w:tc>
      </w:tr>
      <w:tr>
        <w:tc>
          <w:tcPr>
            <w:vMerge w:val="continue"/>
          </w:tcPr>
          <w:p/>
        </w:tc>
        <w:tc>
          <w:tcPr>
            <w:tcW w:w="1361" w:type="dxa"/>
          </w:tcPr>
          <w:p>
            <w:pPr>
              <w:pStyle w:val="0"/>
              <w:jc w:val="center"/>
            </w:pPr>
            <w:r>
              <w:rPr>
                <w:sz w:val="20"/>
              </w:rPr>
              <w:t xml:space="preserve">темп роста в % к предыдущему году</w:t>
            </w:r>
          </w:p>
        </w:tc>
        <w:tc>
          <w:tcPr>
            <w:tcW w:w="1077" w:type="dxa"/>
          </w:tcPr>
          <w:p>
            <w:pPr>
              <w:pStyle w:val="0"/>
              <w:jc w:val="center"/>
            </w:pPr>
            <w:r>
              <w:rPr>
                <w:sz w:val="20"/>
              </w:rPr>
              <w:t xml:space="preserve">111,4</w:t>
            </w:r>
          </w:p>
        </w:tc>
        <w:tc>
          <w:tcPr>
            <w:tcW w:w="1077" w:type="dxa"/>
          </w:tcPr>
          <w:p>
            <w:pPr>
              <w:pStyle w:val="0"/>
              <w:jc w:val="center"/>
            </w:pPr>
            <w:r>
              <w:rPr>
                <w:sz w:val="20"/>
              </w:rPr>
              <w:t xml:space="preserve">113,2</w:t>
            </w:r>
          </w:p>
        </w:tc>
        <w:tc>
          <w:tcPr>
            <w:tcW w:w="1134" w:type="dxa"/>
          </w:tcPr>
          <w:p>
            <w:pPr>
              <w:pStyle w:val="0"/>
              <w:jc w:val="center"/>
            </w:pPr>
            <w:r>
              <w:rPr>
                <w:sz w:val="20"/>
              </w:rPr>
              <w:t xml:space="preserve">109,1</w:t>
            </w:r>
          </w:p>
        </w:tc>
        <w:tc>
          <w:tcPr>
            <w:tcW w:w="1077" w:type="dxa"/>
          </w:tcPr>
          <w:p>
            <w:pPr>
              <w:pStyle w:val="0"/>
              <w:jc w:val="center"/>
            </w:pPr>
            <w:r>
              <w:rPr>
                <w:sz w:val="20"/>
              </w:rPr>
              <w:t xml:space="preserve">110,2</w:t>
            </w:r>
          </w:p>
        </w:tc>
        <w:tc>
          <w:tcPr>
            <w:tcW w:w="1134" w:type="dxa"/>
          </w:tcPr>
          <w:p>
            <w:pPr>
              <w:pStyle w:val="0"/>
              <w:jc w:val="center"/>
            </w:pPr>
            <w:r>
              <w:rPr>
                <w:sz w:val="20"/>
              </w:rPr>
              <w:t xml:space="preserve">106,9</w:t>
            </w:r>
          </w:p>
        </w:tc>
        <w:tc>
          <w:tcPr>
            <w:tcW w:w="1020" w:type="dxa"/>
          </w:tcPr>
          <w:p>
            <w:pPr>
              <w:pStyle w:val="0"/>
              <w:jc w:val="center"/>
            </w:pPr>
            <w:r>
              <w:rPr>
                <w:sz w:val="20"/>
              </w:rPr>
              <w:t xml:space="preserve">108,3</w:t>
            </w:r>
          </w:p>
        </w:tc>
      </w:tr>
      <w:tr>
        <w:tc>
          <w:tcPr>
            <w:tcW w:w="2551" w:type="dxa"/>
          </w:tcPr>
          <w:p>
            <w:pPr>
              <w:pStyle w:val="0"/>
              <w:jc w:val="both"/>
            </w:pPr>
            <w:r>
              <w:rPr>
                <w:sz w:val="20"/>
              </w:rPr>
              <w:t xml:space="preserve">Реальная заработная плата работников организаций</w:t>
            </w:r>
          </w:p>
        </w:tc>
        <w:tc>
          <w:tcPr>
            <w:tcW w:w="1361" w:type="dxa"/>
          </w:tcPr>
          <w:p>
            <w:pPr>
              <w:pStyle w:val="0"/>
              <w:jc w:val="center"/>
            </w:pPr>
            <w:r>
              <w:rPr>
                <w:sz w:val="20"/>
              </w:rPr>
              <w:t xml:space="preserve">% к предыдущему году</w:t>
            </w:r>
          </w:p>
        </w:tc>
        <w:tc>
          <w:tcPr>
            <w:tcW w:w="1077" w:type="dxa"/>
          </w:tcPr>
          <w:p>
            <w:pPr>
              <w:pStyle w:val="0"/>
              <w:jc w:val="center"/>
            </w:pPr>
            <w:r>
              <w:rPr>
                <w:sz w:val="20"/>
              </w:rPr>
              <w:t xml:space="preserve">105,3</w:t>
            </w:r>
          </w:p>
        </w:tc>
        <w:tc>
          <w:tcPr>
            <w:tcW w:w="1077" w:type="dxa"/>
          </w:tcPr>
          <w:p>
            <w:pPr>
              <w:pStyle w:val="0"/>
              <w:jc w:val="center"/>
            </w:pPr>
            <w:r>
              <w:rPr>
                <w:sz w:val="20"/>
              </w:rPr>
              <w:t xml:space="preserve">107</w:t>
            </w:r>
          </w:p>
        </w:tc>
        <w:tc>
          <w:tcPr>
            <w:tcW w:w="1134" w:type="dxa"/>
          </w:tcPr>
          <w:p>
            <w:pPr>
              <w:pStyle w:val="0"/>
              <w:jc w:val="center"/>
            </w:pPr>
            <w:r>
              <w:rPr>
                <w:sz w:val="20"/>
              </w:rPr>
              <w:t xml:space="preserve">104,6</w:t>
            </w:r>
          </w:p>
        </w:tc>
        <w:tc>
          <w:tcPr>
            <w:tcW w:w="1077" w:type="dxa"/>
          </w:tcPr>
          <w:p>
            <w:pPr>
              <w:pStyle w:val="0"/>
              <w:jc w:val="center"/>
            </w:pPr>
            <w:r>
              <w:rPr>
                <w:sz w:val="20"/>
              </w:rPr>
              <w:t xml:space="preserve">105,7</w:t>
            </w:r>
          </w:p>
        </w:tc>
        <w:tc>
          <w:tcPr>
            <w:tcW w:w="1134" w:type="dxa"/>
          </w:tcPr>
          <w:p>
            <w:pPr>
              <w:pStyle w:val="0"/>
              <w:jc w:val="center"/>
            </w:pPr>
            <w:r>
              <w:rPr>
                <w:sz w:val="20"/>
              </w:rPr>
              <w:t xml:space="preserve">102,8</w:t>
            </w:r>
          </w:p>
        </w:tc>
        <w:tc>
          <w:tcPr>
            <w:tcW w:w="1020" w:type="dxa"/>
          </w:tcPr>
          <w:p>
            <w:pPr>
              <w:pStyle w:val="0"/>
              <w:jc w:val="center"/>
            </w:pPr>
            <w:r>
              <w:rPr>
                <w:sz w:val="20"/>
              </w:rPr>
              <w:t xml:space="preserve">104,1</w:t>
            </w:r>
          </w:p>
        </w:tc>
      </w:tr>
      <w:tr>
        <w:tc>
          <w:tcPr>
            <w:tcW w:w="2551" w:type="dxa"/>
          </w:tcPr>
          <w:p>
            <w:pPr>
              <w:pStyle w:val="0"/>
              <w:jc w:val="both"/>
            </w:pPr>
            <w:r>
              <w:rPr>
                <w:sz w:val="20"/>
              </w:rPr>
              <w:t xml:space="preserve">Уровень безработицы (по методологии МОТ)</w:t>
            </w:r>
          </w:p>
        </w:tc>
        <w:tc>
          <w:tcPr>
            <w:tcW w:w="1361" w:type="dxa"/>
          </w:tcPr>
          <w:p>
            <w:pPr>
              <w:pStyle w:val="0"/>
              <w:jc w:val="center"/>
            </w:pPr>
            <w:r>
              <w:rPr>
                <w:sz w:val="20"/>
              </w:rPr>
              <w:t xml:space="preserve">% к раб. силе</w:t>
            </w:r>
          </w:p>
        </w:tc>
        <w:tc>
          <w:tcPr>
            <w:tcW w:w="1077" w:type="dxa"/>
          </w:tcPr>
          <w:p>
            <w:pPr>
              <w:pStyle w:val="0"/>
              <w:jc w:val="center"/>
            </w:pPr>
            <w:r>
              <w:rPr>
                <w:sz w:val="20"/>
              </w:rPr>
              <w:t xml:space="preserve">1,3</w:t>
            </w:r>
          </w:p>
        </w:tc>
        <w:tc>
          <w:tcPr>
            <w:tcW w:w="1077" w:type="dxa"/>
          </w:tcPr>
          <w:p>
            <w:pPr>
              <w:pStyle w:val="0"/>
              <w:jc w:val="center"/>
            </w:pPr>
            <w:r>
              <w:rPr>
                <w:sz w:val="20"/>
              </w:rPr>
              <w:t xml:space="preserve">1,3</w:t>
            </w:r>
          </w:p>
        </w:tc>
        <w:tc>
          <w:tcPr>
            <w:tcW w:w="1134" w:type="dxa"/>
          </w:tcPr>
          <w:p>
            <w:pPr>
              <w:pStyle w:val="0"/>
              <w:jc w:val="center"/>
            </w:pPr>
            <w:r>
              <w:rPr>
                <w:sz w:val="20"/>
              </w:rPr>
              <w:t xml:space="preserve">1,3</w:t>
            </w:r>
          </w:p>
        </w:tc>
        <w:tc>
          <w:tcPr>
            <w:tcW w:w="1077" w:type="dxa"/>
          </w:tcPr>
          <w:p>
            <w:pPr>
              <w:pStyle w:val="0"/>
              <w:jc w:val="center"/>
            </w:pPr>
            <w:r>
              <w:rPr>
                <w:sz w:val="20"/>
              </w:rPr>
              <w:t xml:space="preserve">1,3</w:t>
            </w:r>
          </w:p>
        </w:tc>
        <w:tc>
          <w:tcPr>
            <w:tcW w:w="1134" w:type="dxa"/>
          </w:tcPr>
          <w:p>
            <w:pPr>
              <w:pStyle w:val="0"/>
              <w:jc w:val="center"/>
            </w:pPr>
            <w:r>
              <w:rPr>
                <w:sz w:val="20"/>
              </w:rPr>
              <w:t xml:space="preserve">1,3</w:t>
            </w:r>
          </w:p>
        </w:tc>
        <w:tc>
          <w:tcPr>
            <w:tcW w:w="1020" w:type="dxa"/>
          </w:tcPr>
          <w:p>
            <w:pPr>
              <w:pStyle w:val="0"/>
              <w:jc w:val="center"/>
            </w:pPr>
            <w:r>
              <w:rPr>
                <w:sz w:val="20"/>
              </w:rPr>
              <w:t xml:space="preserve">1,3</w:t>
            </w:r>
          </w:p>
        </w:tc>
      </w:tr>
      <w:tr>
        <w:tc>
          <w:tcPr>
            <w:tcW w:w="2551" w:type="dxa"/>
          </w:tcPr>
          <w:p>
            <w:pPr>
              <w:pStyle w:val="0"/>
              <w:jc w:val="both"/>
            </w:pPr>
            <w:r>
              <w:rPr>
                <w:sz w:val="20"/>
              </w:rPr>
              <w:t xml:space="preserve">Уровень зарегистрированной безработицы (на конец года)</w:t>
            </w:r>
          </w:p>
        </w:tc>
        <w:tc>
          <w:tcPr>
            <w:tcW w:w="1361" w:type="dxa"/>
          </w:tcPr>
          <w:p>
            <w:pPr>
              <w:pStyle w:val="0"/>
              <w:jc w:val="center"/>
            </w:pPr>
            <w:r>
              <w:rPr>
                <w:sz w:val="20"/>
              </w:rPr>
              <w:t xml:space="preserve">%</w:t>
            </w:r>
          </w:p>
        </w:tc>
        <w:tc>
          <w:tcPr>
            <w:tcW w:w="1077" w:type="dxa"/>
          </w:tcPr>
          <w:p>
            <w:pPr>
              <w:pStyle w:val="0"/>
              <w:jc w:val="center"/>
            </w:pPr>
            <w:r>
              <w:rPr>
                <w:sz w:val="20"/>
              </w:rPr>
              <w:t xml:space="preserve">0,1</w:t>
            </w:r>
          </w:p>
        </w:tc>
        <w:tc>
          <w:tcPr>
            <w:tcW w:w="1077" w:type="dxa"/>
          </w:tcPr>
          <w:p>
            <w:pPr>
              <w:pStyle w:val="0"/>
              <w:jc w:val="center"/>
            </w:pPr>
            <w:r>
              <w:rPr>
                <w:sz w:val="20"/>
              </w:rPr>
              <w:t xml:space="preserve">0,1</w:t>
            </w:r>
          </w:p>
        </w:tc>
        <w:tc>
          <w:tcPr>
            <w:tcW w:w="1134" w:type="dxa"/>
          </w:tcPr>
          <w:p>
            <w:pPr>
              <w:pStyle w:val="0"/>
              <w:jc w:val="center"/>
            </w:pPr>
            <w:r>
              <w:rPr>
                <w:sz w:val="20"/>
              </w:rPr>
              <w:t xml:space="preserve">0,05</w:t>
            </w:r>
          </w:p>
        </w:tc>
        <w:tc>
          <w:tcPr>
            <w:tcW w:w="1077" w:type="dxa"/>
          </w:tcPr>
          <w:p>
            <w:pPr>
              <w:pStyle w:val="0"/>
              <w:jc w:val="center"/>
            </w:pPr>
            <w:r>
              <w:rPr>
                <w:sz w:val="20"/>
              </w:rPr>
              <w:t xml:space="preserve">0,05</w:t>
            </w:r>
          </w:p>
        </w:tc>
        <w:tc>
          <w:tcPr>
            <w:tcW w:w="1134" w:type="dxa"/>
          </w:tcPr>
          <w:p>
            <w:pPr>
              <w:pStyle w:val="0"/>
              <w:jc w:val="center"/>
            </w:pPr>
            <w:r>
              <w:rPr>
                <w:sz w:val="20"/>
              </w:rPr>
              <w:t xml:space="preserve">0,05</w:t>
            </w:r>
          </w:p>
        </w:tc>
        <w:tc>
          <w:tcPr>
            <w:tcW w:w="1020" w:type="dxa"/>
          </w:tcPr>
          <w:p>
            <w:pPr>
              <w:pStyle w:val="0"/>
              <w:jc w:val="center"/>
            </w:pPr>
            <w:r>
              <w:rPr>
                <w:sz w:val="20"/>
              </w:rPr>
              <w:t xml:space="preserve">0,05</w:t>
            </w:r>
          </w:p>
        </w:tc>
      </w:tr>
      <w:tr>
        <w:tc>
          <w:tcPr>
            <w:tcW w:w="2551" w:type="dxa"/>
            <w:vMerge w:val="restart"/>
          </w:tcPr>
          <w:p>
            <w:pPr>
              <w:pStyle w:val="0"/>
              <w:jc w:val="both"/>
            </w:pPr>
            <w:r>
              <w:rPr>
                <w:sz w:val="20"/>
              </w:rPr>
              <w:t xml:space="preserve">Фонд заработной платы работников организаций</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1082</w:t>
            </w:r>
          </w:p>
        </w:tc>
        <w:tc>
          <w:tcPr>
            <w:tcW w:w="1077" w:type="dxa"/>
          </w:tcPr>
          <w:p>
            <w:pPr>
              <w:pStyle w:val="0"/>
              <w:jc w:val="center"/>
            </w:pPr>
            <w:r>
              <w:rPr>
                <w:sz w:val="20"/>
              </w:rPr>
              <w:t xml:space="preserve">1101</w:t>
            </w:r>
          </w:p>
        </w:tc>
        <w:tc>
          <w:tcPr>
            <w:tcW w:w="1134" w:type="dxa"/>
          </w:tcPr>
          <w:p>
            <w:pPr>
              <w:pStyle w:val="0"/>
              <w:jc w:val="center"/>
            </w:pPr>
            <w:r>
              <w:rPr>
                <w:sz w:val="20"/>
              </w:rPr>
              <w:t xml:space="preserve">1180</w:t>
            </w:r>
          </w:p>
        </w:tc>
        <w:tc>
          <w:tcPr>
            <w:tcW w:w="1077" w:type="dxa"/>
          </w:tcPr>
          <w:p>
            <w:pPr>
              <w:pStyle w:val="0"/>
              <w:jc w:val="center"/>
            </w:pPr>
            <w:r>
              <w:rPr>
                <w:sz w:val="20"/>
              </w:rPr>
              <w:t xml:space="preserve">1217</w:t>
            </w:r>
          </w:p>
        </w:tc>
        <w:tc>
          <w:tcPr>
            <w:tcW w:w="1134" w:type="dxa"/>
          </w:tcPr>
          <w:p>
            <w:pPr>
              <w:pStyle w:val="0"/>
              <w:jc w:val="center"/>
            </w:pPr>
            <w:r>
              <w:rPr>
                <w:sz w:val="20"/>
              </w:rPr>
              <w:t xml:space="preserve">1262</w:t>
            </w:r>
          </w:p>
        </w:tc>
        <w:tc>
          <w:tcPr>
            <w:tcW w:w="1020" w:type="dxa"/>
          </w:tcPr>
          <w:p>
            <w:pPr>
              <w:pStyle w:val="0"/>
              <w:jc w:val="center"/>
            </w:pPr>
            <w:r>
              <w:rPr>
                <w:sz w:val="20"/>
              </w:rPr>
              <w:t xml:space="preserve">1318</w:t>
            </w:r>
          </w:p>
        </w:tc>
      </w:tr>
      <w:tr>
        <w:tc>
          <w:tcPr>
            <w:vMerge w:val="continue"/>
          </w:tcPr>
          <w:p/>
        </w:tc>
        <w:tc>
          <w:tcPr>
            <w:tcW w:w="1361" w:type="dxa"/>
          </w:tcPr>
          <w:p>
            <w:pPr>
              <w:pStyle w:val="0"/>
              <w:jc w:val="center"/>
            </w:pPr>
            <w:r>
              <w:rPr>
                <w:sz w:val="20"/>
              </w:rPr>
              <w:t xml:space="preserve">темп роста в % к предыдущему году</w:t>
            </w:r>
          </w:p>
        </w:tc>
        <w:tc>
          <w:tcPr>
            <w:tcW w:w="1077" w:type="dxa"/>
          </w:tcPr>
          <w:p>
            <w:pPr>
              <w:pStyle w:val="0"/>
              <w:jc w:val="center"/>
            </w:pPr>
            <w:r>
              <w:rPr>
                <w:sz w:val="20"/>
              </w:rPr>
              <w:t xml:space="preserve">111,4</w:t>
            </w:r>
          </w:p>
        </w:tc>
        <w:tc>
          <w:tcPr>
            <w:tcW w:w="1077" w:type="dxa"/>
          </w:tcPr>
          <w:p>
            <w:pPr>
              <w:pStyle w:val="0"/>
              <w:jc w:val="center"/>
            </w:pPr>
            <w:r>
              <w:rPr>
                <w:sz w:val="20"/>
              </w:rPr>
              <w:t xml:space="preserve">113,4</w:t>
            </w:r>
          </w:p>
        </w:tc>
        <w:tc>
          <w:tcPr>
            <w:tcW w:w="1134" w:type="dxa"/>
          </w:tcPr>
          <w:p>
            <w:pPr>
              <w:pStyle w:val="0"/>
              <w:jc w:val="center"/>
            </w:pPr>
            <w:r>
              <w:rPr>
                <w:sz w:val="20"/>
              </w:rPr>
              <w:t xml:space="preserve">109,1</w:t>
            </w:r>
          </w:p>
        </w:tc>
        <w:tc>
          <w:tcPr>
            <w:tcW w:w="1077" w:type="dxa"/>
          </w:tcPr>
          <w:p>
            <w:pPr>
              <w:pStyle w:val="0"/>
              <w:jc w:val="center"/>
            </w:pPr>
            <w:r>
              <w:rPr>
                <w:sz w:val="20"/>
              </w:rPr>
              <w:t xml:space="preserve">110,5</w:t>
            </w:r>
          </w:p>
        </w:tc>
        <w:tc>
          <w:tcPr>
            <w:tcW w:w="1134" w:type="dxa"/>
          </w:tcPr>
          <w:p>
            <w:pPr>
              <w:pStyle w:val="0"/>
              <w:jc w:val="center"/>
            </w:pPr>
            <w:r>
              <w:rPr>
                <w:sz w:val="20"/>
              </w:rPr>
              <w:t xml:space="preserve">106,9</w:t>
            </w:r>
          </w:p>
        </w:tc>
        <w:tc>
          <w:tcPr>
            <w:tcW w:w="1020" w:type="dxa"/>
          </w:tcPr>
          <w:p>
            <w:pPr>
              <w:pStyle w:val="0"/>
              <w:jc w:val="center"/>
            </w:pPr>
            <w:r>
              <w:rPr>
                <w:sz w:val="20"/>
              </w:rPr>
              <w:t xml:space="preserve">108,3</w:t>
            </w:r>
          </w:p>
        </w:tc>
      </w:tr>
      <w:tr>
        <w:tc>
          <w:tcPr>
            <w:gridSpan w:val="8"/>
            <w:tcW w:w="10431" w:type="dxa"/>
          </w:tcPr>
          <w:p>
            <w:pPr>
              <w:pStyle w:val="0"/>
              <w:outlineLvl w:val="4"/>
              <w:jc w:val="both"/>
            </w:pPr>
            <w:r>
              <w:rPr>
                <w:sz w:val="20"/>
              </w:rPr>
              <w:t xml:space="preserve">Финансы организаций</w:t>
            </w:r>
          </w:p>
        </w:tc>
      </w:tr>
      <w:tr>
        <w:tc>
          <w:tcPr>
            <w:tcW w:w="2551" w:type="dxa"/>
            <w:vMerge w:val="restart"/>
          </w:tcPr>
          <w:p>
            <w:pPr>
              <w:pStyle w:val="0"/>
              <w:jc w:val="both"/>
            </w:pPr>
            <w:r>
              <w:rPr>
                <w:sz w:val="20"/>
              </w:rPr>
              <w:t xml:space="preserve">Прибыль прибыльных организаций (по полному кругу)</w:t>
            </w:r>
          </w:p>
        </w:tc>
        <w:tc>
          <w:tcPr>
            <w:tcW w:w="1361" w:type="dxa"/>
          </w:tcPr>
          <w:p>
            <w:pPr>
              <w:pStyle w:val="0"/>
              <w:jc w:val="center"/>
            </w:pPr>
            <w:r>
              <w:rPr>
                <w:sz w:val="20"/>
              </w:rPr>
              <w:t xml:space="preserve">млрд руб.</w:t>
            </w:r>
          </w:p>
        </w:tc>
        <w:tc>
          <w:tcPr>
            <w:tcW w:w="1077" w:type="dxa"/>
          </w:tcPr>
          <w:p>
            <w:pPr>
              <w:pStyle w:val="0"/>
              <w:jc w:val="center"/>
            </w:pPr>
            <w:r>
              <w:rPr>
                <w:sz w:val="20"/>
              </w:rPr>
              <w:t xml:space="preserve">630,9</w:t>
            </w:r>
          </w:p>
        </w:tc>
        <w:tc>
          <w:tcPr>
            <w:tcW w:w="1077" w:type="dxa"/>
          </w:tcPr>
          <w:p>
            <w:pPr>
              <w:pStyle w:val="0"/>
              <w:jc w:val="center"/>
            </w:pPr>
            <w:r>
              <w:rPr>
                <w:sz w:val="20"/>
              </w:rPr>
              <w:t xml:space="preserve">691,5</w:t>
            </w:r>
          </w:p>
        </w:tc>
        <w:tc>
          <w:tcPr>
            <w:tcW w:w="1134" w:type="dxa"/>
          </w:tcPr>
          <w:p>
            <w:pPr>
              <w:pStyle w:val="0"/>
              <w:jc w:val="center"/>
            </w:pPr>
            <w:r>
              <w:rPr>
                <w:sz w:val="20"/>
              </w:rPr>
              <w:t xml:space="preserve">637,2</w:t>
            </w:r>
          </w:p>
        </w:tc>
        <w:tc>
          <w:tcPr>
            <w:tcW w:w="1077" w:type="dxa"/>
          </w:tcPr>
          <w:p>
            <w:pPr>
              <w:pStyle w:val="0"/>
              <w:jc w:val="center"/>
            </w:pPr>
            <w:r>
              <w:rPr>
                <w:sz w:val="20"/>
              </w:rPr>
              <w:t xml:space="preserve">740,6</w:t>
            </w:r>
          </w:p>
        </w:tc>
        <w:tc>
          <w:tcPr>
            <w:tcW w:w="1134" w:type="dxa"/>
          </w:tcPr>
          <w:p>
            <w:pPr>
              <w:pStyle w:val="0"/>
              <w:jc w:val="center"/>
            </w:pPr>
            <w:r>
              <w:rPr>
                <w:sz w:val="20"/>
              </w:rPr>
              <w:t xml:space="preserve">646,8</w:t>
            </w:r>
          </w:p>
        </w:tc>
        <w:tc>
          <w:tcPr>
            <w:tcW w:w="1020" w:type="dxa"/>
          </w:tcPr>
          <w:p>
            <w:pPr>
              <w:pStyle w:val="0"/>
              <w:jc w:val="center"/>
            </w:pPr>
            <w:r>
              <w:rPr>
                <w:sz w:val="20"/>
              </w:rPr>
              <w:t xml:space="preserve">796,1</w:t>
            </w:r>
          </w:p>
        </w:tc>
      </w:tr>
      <w:tr>
        <w:tc>
          <w:tcPr>
            <w:vMerge w:val="continue"/>
          </w:tcPr>
          <w:p/>
        </w:tc>
        <w:tc>
          <w:tcPr>
            <w:tcW w:w="1361" w:type="dxa"/>
          </w:tcPr>
          <w:p>
            <w:pPr>
              <w:pStyle w:val="0"/>
              <w:jc w:val="center"/>
            </w:pPr>
            <w:r>
              <w:rPr>
                <w:sz w:val="20"/>
              </w:rPr>
              <w:t xml:space="preserve">темп роста в % к предыдущему году</w:t>
            </w:r>
          </w:p>
        </w:tc>
        <w:tc>
          <w:tcPr>
            <w:tcW w:w="1077" w:type="dxa"/>
          </w:tcPr>
          <w:p>
            <w:pPr>
              <w:pStyle w:val="0"/>
              <w:jc w:val="center"/>
            </w:pPr>
            <w:r>
              <w:rPr>
                <w:sz w:val="20"/>
              </w:rPr>
              <w:t xml:space="preserve">100</w:t>
            </w:r>
          </w:p>
        </w:tc>
        <w:tc>
          <w:tcPr>
            <w:tcW w:w="1077" w:type="dxa"/>
          </w:tcPr>
          <w:p>
            <w:pPr>
              <w:pStyle w:val="0"/>
              <w:jc w:val="center"/>
            </w:pPr>
            <w:r>
              <w:rPr>
                <w:sz w:val="20"/>
              </w:rPr>
              <w:t xml:space="preserve">109,6</w:t>
            </w:r>
          </w:p>
        </w:tc>
        <w:tc>
          <w:tcPr>
            <w:tcW w:w="1134" w:type="dxa"/>
          </w:tcPr>
          <w:p>
            <w:pPr>
              <w:pStyle w:val="0"/>
              <w:jc w:val="center"/>
            </w:pPr>
            <w:r>
              <w:rPr>
                <w:sz w:val="20"/>
              </w:rPr>
              <w:t xml:space="preserve">101</w:t>
            </w:r>
          </w:p>
        </w:tc>
        <w:tc>
          <w:tcPr>
            <w:tcW w:w="1077" w:type="dxa"/>
          </w:tcPr>
          <w:p>
            <w:pPr>
              <w:pStyle w:val="0"/>
              <w:jc w:val="center"/>
            </w:pPr>
            <w:r>
              <w:rPr>
                <w:sz w:val="20"/>
              </w:rPr>
              <w:t xml:space="preserve">107,1</w:t>
            </w:r>
          </w:p>
        </w:tc>
        <w:tc>
          <w:tcPr>
            <w:tcW w:w="1134" w:type="dxa"/>
          </w:tcPr>
          <w:p>
            <w:pPr>
              <w:pStyle w:val="0"/>
              <w:jc w:val="center"/>
            </w:pPr>
            <w:r>
              <w:rPr>
                <w:sz w:val="20"/>
              </w:rPr>
              <w:t xml:space="preserve">101,5</w:t>
            </w:r>
          </w:p>
        </w:tc>
        <w:tc>
          <w:tcPr>
            <w:tcW w:w="1020" w:type="dxa"/>
          </w:tcPr>
          <w:p>
            <w:pPr>
              <w:pStyle w:val="0"/>
              <w:jc w:val="center"/>
            </w:pPr>
            <w:r>
              <w:rPr>
                <w:sz w:val="20"/>
              </w:rPr>
              <w:t xml:space="preserve">107,5</w:t>
            </w:r>
          </w:p>
        </w:tc>
      </w:tr>
    </w:tbl>
    <w:p>
      <w:pPr>
        <w:sectPr>
          <w:headerReference w:type="default" r:id="rId9"/>
          <w:headerReference w:type="first" r:id="rId9"/>
          <w:footerReference w:type="default" r:id="rId10"/>
          <w:footerReference w:type="first" r:id="rId10"/>
          <w:pgSz w:w="16838" w:h="11906" w:orient="landscape"/>
          <w:pgMar w:top="1133" w:right="1440" w:bottom="566" w:left="1440" w:header="0" w:footer="0" w:gutter="0"/>
          <w:titlePg/>
        </w:sectPr>
      </w:pPr>
    </w:p>
    <w:p>
      <w:pPr>
        <w:pStyle w:val="0"/>
        <w:ind w:firstLine="540"/>
        <w:jc w:val="both"/>
      </w:pPr>
      <w:r>
        <w:rPr>
          <w:sz w:val="20"/>
        </w:rPr>
      </w:r>
    </w:p>
    <w:p>
      <w:pPr>
        <w:pStyle w:val="2"/>
        <w:outlineLvl w:val="1"/>
        <w:jc w:val="center"/>
      </w:pPr>
      <w:r>
        <w:rPr>
          <w:sz w:val="20"/>
        </w:rPr>
        <w:t xml:space="preserve">II. Пояснительная записка к прогнозу</w:t>
      </w:r>
    </w:p>
    <w:p>
      <w:pPr>
        <w:pStyle w:val="2"/>
        <w:jc w:val="center"/>
      </w:pPr>
      <w:r>
        <w:rPr>
          <w:sz w:val="20"/>
        </w:rPr>
        <w:t xml:space="preserve">социально-экономического развития Нижегородской области</w:t>
      </w:r>
    </w:p>
    <w:p>
      <w:pPr>
        <w:pStyle w:val="2"/>
        <w:jc w:val="center"/>
      </w:pPr>
      <w:r>
        <w:rPr>
          <w:sz w:val="20"/>
        </w:rPr>
        <w:t xml:space="preserve">на 2025 год и на плановый период 2026 и 2027 годов</w:t>
      </w:r>
    </w:p>
    <w:p>
      <w:pPr>
        <w:pStyle w:val="0"/>
        <w:ind w:firstLine="540"/>
        <w:jc w:val="both"/>
      </w:pPr>
      <w:r>
        <w:rPr>
          <w:sz w:val="20"/>
        </w:rPr>
      </w:r>
    </w:p>
    <w:p>
      <w:pPr>
        <w:pStyle w:val="0"/>
        <w:ind w:firstLine="540"/>
        <w:jc w:val="both"/>
      </w:pPr>
      <w:r>
        <w:rPr>
          <w:sz w:val="20"/>
        </w:rPr>
        <w:t xml:space="preserve">Прогноз социально-экономического развития Нижегородской области на среднесрочный период (на 2025 год и на плановый период 2026 и 2027 годов) (далее - Прогноз социально-экономического развития Нижегородской области) разработан в соответствии с действующей нормативной правовой базой:</w:t>
      </w:r>
    </w:p>
    <w:p>
      <w:pPr>
        <w:pStyle w:val="0"/>
        <w:spacing w:before="200" w:line-rule="auto"/>
        <w:ind w:firstLine="540"/>
        <w:jc w:val="both"/>
      </w:pPr>
      <w:r>
        <w:rPr>
          <w:sz w:val="20"/>
        </w:rPr>
        <w:t xml:space="preserve">Бюджетным </w:t>
      </w:r>
      <w:hyperlink w:history="0" r:id="rId11" w:tooltip="&quot;Бюджетный кодекс Российской Федерации&quot; от 31.07.1998 N 145-ФЗ (ред. от 13.07.2024, с изм. от 30.09.2024) (с изм. и доп., вступ. в силу с 01.09.2024) ------------ Недействующая редакция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Федеральным </w:t>
      </w:r>
      <w:hyperlink w:history="0" r:id="rId12"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законом</w:t>
        </w:r>
      </w:hyperlink>
      <w:r>
        <w:rPr>
          <w:sz w:val="20"/>
        </w:rPr>
        <w:t xml:space="preserve"> от 28 июня 2014 г. N 172-ФЗ "О стратегическом планировании в Российской Федерации";</w:t>
      </w:r>
    </w:p>
    <w:p>
      <w:pPr>
        <w:pStyle w:val="0"/>
        <w:spacing w:before="200" w:line-rule="auto"/>
        <w:ind w:firstLine="540"/>
        <w:jc w:val="both"/>
      </w:pPr>
      <w:hyperlink w:history="0" r:id="rId13" w:tooltip="Закон Нижегородской области от 12.09.2007 N 126-З (ред. от 14.12.2023) &quot;О бюджетном процессе в Нижегородской области&quot; (принят постановлением ЗС НО от 30.08.2007 N 678-IV) ------------ Недействующая редакция {КонсультантПлюс}">
        <w:r>
          <w:rPr>
            <w:sz w:val="20"/>
            <w:color w:val="0000ff"/>
          </w:rPr>
          <w:t xml:space="preserve">Законом</w:t>
        </w:r>
      </w:hyperlink>
      <w:r>
        <w:rPr>
          <w:sz w:val="20"/>
        </w:rPr>
        <w:t xml:space="preserve"> Нижегородской области от 12 сентября 2007 г. N 126-З "О бюджетном процессе в Нижегородской области";</w:t>
      </w:r>
    </w:p>
    <w:p>
      <w:pPr>
        <w:pStyle w:val="0"/>
        <w:spacing w:before="200" w:line-rule="auto"/>
        <w:ind w:firstLine="540"/>
        <w:jc w:val="both"/>
      </w:pPr>
      <w:hyperlink w:history="0" r:id="rId14" w:tooltip="Закон Нижегородской области от 03.03.2015 N 24-З (ред. от 10.03.2022) &quot;О стратегическом планировании в Нижегородской области&quot; (принят постановлением ЗС НО от 26.02.2015 N 1665-V) ------------ Недействующая редакция {КонсультантПлюс}">
        <w:r>
          <w:rPr>
            <w:sz w:val="20"/>
            <w:color w:val="0000ff"/>
          </w:rPr>
          <w:t xml:space="preserve">Законом</w:t>
        </w:r>
      </w:hyperlink>
      <w:r>
        <w:rPr>
          <w:sz w:val="20"/>
        </w:rPr>
        <w:t xml:space="preserve"> Нижегородской области от 3 марта 2015 г. N 24-З "О стратегическом планировании в Нижегородской области";</w:t>
      </w:r>
    </w:p>
    <w:p>
      <w:pPr>
        <w:pStyle w:val="0"/>
        <w:spacing w:before="200" w:line-rule="auto"/>
        <w:ind w:firstLine="540"/>
        <w:jc w:val="both"/>
      </w:pPr>
      <w:hyperlink w:history="0" r:id="rId15" w:tooltip="Постановление Правительства Нижегородской области от 16.06.2015 N 378 (ред. от 20.12.2023) &quot;О порядке разработки, корректировки, осуществления мониторинга и контроля реализации прогноза социально-экономического развития Нижегородской области на среднесрочный период&quot; {КонсультантПлюс}">
        <w:r>
          <w:rPr>
            <w:sz w:val="20"/>
            <w:color w:val="0000ff"/>
          </w:rPr>
          <w:t xml:space="preserve">постановлением</w:t>
        </w:r>
      </w:hyperlink>
      <w:r>
        <w:rPr>
          <w:sz w:val="20"/>
        </w:rPr>
        <w:t xml:space="preserve"> Правительства Нижегородской области от 16 июня 2015 г. N 378 "О порядке разработки, корректировки, осуществления мониторинга и контроля реализации прогноза социально-экономического развития Нижегородской области на среднесрочный период".</w:t>
      </w:r>
    </w:p>
    <w:p>
      <w:pPr>
        <w:pStyle w:val="0"/>
        <w:spacing w:before="200" w:line-rule="auto"/>
        <w:ind w:firstLine="540"/>
        <w:jc w:val="both"/>
      </w:pPr>
      <w:r>
        <w:rPr>
          <w:sz w:val="20"/>
        </w:rPr>
        <w:t xml:space="preserve">В соответствии со </w:t>
      </w:r>
      <w:hyperlink w:history="0" r:id="rId16"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статьей 35</w:t>
        </w:r>
      </w:hyperlink>
      <w:r>
        <w:rPr>
          <w:sz w:val="20"/>
        </w:rPr>
        <w:t xml:space="preserve"> Федерального закона от 28 июня 2014 г. N 172-ФЗ "О стратегическом планировании в Российской Федерации" прогноз социально-экономического развития Нижегородской области подготовлен Правительством Нижегородской области на основе прогноза социально-экономического развития Российской Федерации на 2025 - 2027 годы и с учетом основных направлений бюджетной политики Нижегородской области, которыми определены приоритеты государственной поддержки различных отраслей экономики.</w:t>
      </w:r>
    </w:p>
    <w:p>
      <w:pPr>
        <w:pStyle w:val="0"/>
        <w:spacing w:before="200" w:line-rule="auto"/>
        <w:ind w:firstLine="540"/>
        <w:jc w:val="both"/>
      </w:pPr>
      <w:r>
        <w:rPr>
          <w:sz w:val="20"/>
        </w:rPr>
        <w:t xml:space="preserve">Система показателей Прогноза социально-экономического развития Нижегородской области соответствует показателям рекомендуемой </w:t>
      </w:r>
      <w:hyperlink w:history="0" r:id="rId17" w:tooltip="Приказ Минэкономразвития России от 13.03.2019 N 124 (ред. от 10.06.2024) &quot;Об утверждении рекомендуемой формы по основным показателям, представляемым исполнительными органами субъектов Российской Федерации в Минэкономразвития России для разработки прогноза социально-экономического развития Российской Федерации на среднесрочный период, и методических рекомендаций по разработке, корректировке, мониторингу среднесрочных прогнозов социально-экономического развития субъектов Российской Федерации&quot; {КонсультантПлюс}">
        <w:r>
          <w:rPr>
            <w:sz w:val="20"/>
            <w:color w:val="0000ff"/>
          </w:rPr>
          <w:t xml:space="preserve">формы</w:t>
        </w:r>
      </w:hyperlink>
      <w:r>
        <w:rPr>
          <w:sz w:val="20"/>
        </w:rPr>
        <w:t xml:space="preserve"> по основным показателям, представляемым органами исполнительной власти субъектов Российской Федерации в Минэкономразвития России для разработки прогноза социально-экономического развития Российской Федерации на среднесрочный период, утвержденной приказом Министерства экономического развития Российской Федерации от 13 марта 2019 г. N 124.</w:t>
      </w:r>
    </w:p>
    <w:p>
      <w:pPr>
        <w:pStyle w:val="0"/>
        <w:spacing w:before="200" w:line-rule="auto"/>
        <w:ind w:firstLine="540"/>
        <w:jc w:val="both"/>
      </w:pPr>
      <w:r>
        <w:rPr>
          <w:sz w:val="20"/>
        </w:rPr>
        <w:t xml:space="preserve">Прогноз социально-экономического развития Нижегородской области является ориентиром социально-экономического развития Нижегородской области для органов исполнительной власти Нижегородской области, органов местного самоуправления муниципальных и городских округов Нижегородской области, а также хозяйствующих субъектов при принятии управленческих решений.</w:t>
      </w:r>
    </w:p>
    <w:p>
      <w:pPr>
        <w:pStyle w:val="0"/>
        <w:spacing w:before="200" w:line-rule="auto"/>
        <w:ind w:firstLine="540"/>
        <w:jc w:val="both"/>
      </w:pPr>
      <w:r>
        <w:rPr>
          <w:sz w:val="20"/>
        </w:rPr>
        <w:t xml:space="preserve">Прогноз социально-экономического развития Нижегородской области является основой для формирования параметров консолидированного бюджета Нижегородской области на 2025 год и на плановый период 2026 и 2027 годов.</w:t>
      </w:r>
    </w:p>
    <w:p>
      <w:pPr>
        <w:pStyle w:val="0"/>
        <w:spacing w:before="200" w:line-rule="auto"/>
        <w:ind w:firstLine="540"/>
        <w:jc w:val="both"/>
      </w:pPr>
      <w:r>
        <w:rPr>
          <w:sz w:val="20"/>
        </w:rPr>
        <w:t xml:space="preserve">Далее будут приведены ключевые подходы по формированию прогнозных параметров на среднесрочную перспективу, в том числе их сопоставление с ранее утвержденными параметрами.</w:t>
      </w:r>
    </w:p>
    <w:p>
      <w:pPr>
        <w:pStyle w:val="0"/>
        <w:spacing w:before="200" w:line-rule="auto"/>
        <w:ind w:firstLine="540"/>
        <w:jc w:val="both"/>
      </w:pPr>
      <w:r>
        <w:rPr>
          <w:sz w:val="20"/>
        </w:rPr>
        <w:t xml:space="preserve">Прогноз социально-экономического развития Нижегородской области разработан с учетом:</w:t>
      </w:r>
    </w:p>
    <w:p>
      <w:pPr>
        <w:pStyle w:val="0"/>
        <w:spacing w:before="200" w:line-rule="auto"/>
        <w:ind w:firstLine="540"/>
        <w:jc w:val="both"/>
      </w:pPr>
      <w:r>
        <w:rPr>
          <w:sz w:val="20"/>
        </w:rPr>
        <w:t xml:space="preserve">- тенденций социально-экономического развития Нижегородской области в 2023 году и первой половине 2024 года;</w:t>
      </w:r>
    </w:p>
    <w:p>
      <w:pPr>
        <w:pStyle w:val="0"/>
        <w:spacing w:before="200" w:line-rule="auto"/>
        <w:ind w:firstLine="540"/>
        <w:jc w:val="both"/>
      </w:pPr>
      <w:r>
        <w:rPr>
          <w:sz w:val="20"/>
        </w:rPr>
        <w:t xml:space="preserve">- параметров прогноза социально-экономического развития Российской Федерации на 2025 год и на плановый период 2026 и 2027 годов (в соответствии с письмом Министерства экономического развития Российской Федерации от 1 октября 2024 г. N 35055-ВД/Д14и);</w:t>
      </w:r>
    </w:p>
    <w:p>
      <w:pPr>
        <w:pStyle w:val="0"/>
        <w:spacing w:before="200" w:line-rule="auto"/>
        <w:ind w:firstLine="540"/>
        <w:jc w:val="both"/>
      </w:pPr>
      <w:r>
        <w:rPr>
          <w:sz w:val="20"/>
        </w:rPr>
        <w:t xml:space="preserve">- реализации </w:t>
      </w:r>
      <w:hyperlink w:history="0" r:id="rId18"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Указа</w:t>
        </w:r>
      </w:hyperlink>
      <w:r>
        <w:rPr>
          <w:sz w:val="20"/>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pPr>
        <w:pStyle w:val="0"/>
        <w:spacing w:before="200" w:line-rule="auto"/>
        <w:ind w:firstLine="540"/>
        <w:jc w:val="both"/>
      </w:pPr>
      <w:r>
        <w:rPr>
          <w:sz w:val="20"/>
        </w:rPr>
        <w:t xml:space="preserve">- реализации национальных проектов по приоритетным направлениям социально-экономического развития Российской Федерации на период до 2030 года;</w:t>
      </w:r>
    </w:p>
    <w:p>
      <w:pPr>
        <w:pStyle w:val="0"/>
        <w:spacing w:before="200" w:line-rule="auto"/>
        <w:ind w:firstLine="540"/>
        <w:jc w:val="both"/>
      </w:pPr>
      <w:r>
        <w:rPr>
          <w:sz w:val="20"/>
        </w:rPr>
        <w:t xml:space="preserve">- </w:t>
      </w:r>
      <w:hyperlink w:history="0" r:id="rId19" w:tooltip="Постановление Правительства Нижегородской области от 21.12.2018 N 889 (ред. от 17.04.2023) &quot;Об утверждении Стратегии социально-экономического развития Нижегородской области до 2035 года&quot; ------------ Недействующая редакция {КонсультантПлюс}">
        <w:r>
          <w:rPr>
            <w:sz w:val="20"/>
            <w:color w:val="0000ff"/>
          </w:rPr>
          <w:t xml:space="preserve">Стратегии</w:t>
        </w:r>
      </w:hyperlink>
      <w:r>
        <w:rPr>
          <w:sz w:val="20"/>
        </w:rPr>
        <w:t xml:space="preserve"> социально-экономического развития Нижегородской области до 2035 года, утвержденной постановлением Правительства Нижегородской области от 21 декабря 2018 года N 889 (далее - Стратегия);</w:t>
      </w:r>
    </w:p>
    <w:p>
      <w:pPr>
        <w:pStyle w:val="0"/>
        <w:spacing w:before="200" w:line-rule="auto"/>
        <w:ind w:firstLine="540"/>
        <w:jc w:val="both"/>
      </w:pPr>
      <w:r>
        <w:rPr>
          <w:sz w:val="20"/>
        </w:rPr>
        <w:t xml:space="preserve">- предложений органов местного самоуправления муниципальных и городских округов, органов исполнительной власти и крупнейших организаций Нижегородской области (далее также - область, регион).</w:t>
      </w:r>
    </w:p>
    <w:p>
      <w:pPr>
        <w:pStyle w:val="0"/>
        <w:spacing w:before="200" w:line-rule="auto"/>
        <w:ind w:firstLine="540"/>
        <w:jc w:val="both"/>
      </w:pPr>
      <w:r>
        <w:rPr>
          <w:sz w:val="20"/>
        </w:rPr>
        <w:t xml:space="preserve">Информационная база формирования Прогноза социально-экономического развития Нижегородской области:</w:t>
      </w:r>
    </w:p>
    <w:p>
      <w:pPr>
        <w:pStyle w:val="0"/>
        <w:spacing w:before="200" w:line-rule="auto"/>
        <w:ind w:firstLine="540"/>
        <w:jc w:val="both"/>
      </w:pPr>
      <w:r>
        <w:rPr>
          <w:sz w:val="20"/>
        </w:rPr>
        <w:t xml:space="preserve">- данные статистического и налогового учета за 2023 год и 1 полугодие 2024 года;</w:t>
      </w:r>
    </w:p>
    <w:p>
      <w:pPr>
        <w:pStyle w:val="0"/>
        <w:spacing w:before="200" w:line-rule="auto"/>
        <w:ind w:firstLine="540"/>
        <w:jc w:val="both"/>
      </w:pPr>
      <w:r>
        <w:rPr>
          <w:sz w:val="20"/>
        </w:rPr>
        <w:t xml:space="preserve">- прогнозные расчеты органов местного самоуправления муниципальных и городских округов Нижегородской области;</w:t>
      </w:r>
    </w:p>
    <w:p>
      <w:pPr>
        <w:pStyle w:val="0"/>
        <w:spacing w:before="200" w:line-rule="auto"/>
        <w:ind w:firstLine="540"/>
        <w:jc w:val="both"/>
      </w:pPr>
      <w:r>
        <w:rPr>
          <w:sz w:val="20"/>
        </w:rPr>
        <w:t xml:space="preserve">- прогнозные расчеты органов исполнительной власти Нижегородской области в разрезе курируемых видов экономической деятельности;</w:t>
      </w:r>
    </w:p>
    <w:p>
      <w:pPr>
        <w:pStyle w:val="0"/>
        <w:spacing w:before="200" w:line-rule="auto"/>
        <w:ind w:firstLine="540"/>
        <w:jc w:val="both"/>
      </w:pPr>
      <w:r>
        <w:rPr>
          <w:sz w:val="20"/>
        </w:rPr>
        <w:t xml:space="preserve">- прогнозы хозяйствующих субъектов.</w:t>
      </w:r>
    </w:p>
    <w:p>
      <w:pPr>
        <w:pStyle w:val="0"/>
        <w:ind w:firstLine="540"/>
        <w:jc w:val="both"/>
      </w:pPr>
      <w:r>
        <w:rPr>
          <w:sz w:val="20"/>
        </w:rPr>
      </w:r>
    </w:p>
    <w:p>
      <w:pPr>
        <w:pStyle w:val="2"/>
        <w:outlineLvl w:val="2"/>
        <w:jc w:val="center"/>
      </w:pPr>
      <w:r>
        <w:rPr>
          <w:sz w:val="20"/>
        </w:rPr>
        <w:t xml:space="preserve">1. Оценка достигнутого уровня социально-экономического</w:t>
      </w:r>
    </w:p>
    <w:p>
      <w:pPr>
        <w:pStyle w:val="2"/>
        <w:jc w:val="center"/>
      </w:pPr>
      <w:r>
        <w:rPr>
          <w:sz w:val="20"/>
        </w:rPr>
        <w:t xml:space="preserve">развития Нижегородской области по итогам 2023 года</w:t>
      </w:r>
    </w:p>
    <w:p>
      <w:pPr>
        <w:pStyle w:val="2"/>
        <w:jc w:val="center"/>
      </w:pPr>
      <w:r>
        <w:rPr>
          <w:sz w:val="20"/>
        </w:rPr>
        <w:t xml:space="preserve">и первой половины 2024 года</w:t>
      </w:r>
    </w:p>
    <w:p>
      <w:pPr>
        <w:pStyle w:val="0"/>
        <w:ind w:firstLine="540"/>
        <w:jc w:val="both"/>
      </w:pPr>
      <w:r>
        <w:rPr>
          <w:sz w:val="20"/>
        </w:rPr>
      </w:r>
    </w:p>
    <w:p>
      <w:pPr>
        <w:pStyle w:val="0"/>
        <w:ind w:firstLine="540"/>
        <w:jc w:val="both"/>
      </w:pPr>
      <w:r>
        <w:rPr>
          <w:sz w:val="20"/>
        </w:rPr>
        <w:t xml:space="preserve">В 2023 году Нижегородская область показала высокую устойчивость к внешним вызовам, рекордный рост экономики и инвестиционной активности.</w:t>
      </w:r>
    </w:p>
    <w:p>
      <w:pPr>
        <w:pStyle w:val="0"/>
        <w:spacing w:before="200" w:line-rule="auto"/>
        <w:ind w:firstLine="540"/>
        <w:jc w:val="both"/>
      </w:pPr>
      <w:r>
        <w:rPr>
          <w:sz w:val="20"/>
        </w:rPr>
        <w:t xml:space="preserve">Итоги экономического развития в 2023 году сложились значительно лучше ожиданий, заложенных в </w:t>
      </w:r>
      <w:hyperlink w:history="0" r:id="rId20" w:tooltip="Постановление Правительства Нижегородской области от 20.10.2023 N 941 &quot;О прогнозе социально-экономического развития Нижегородской области на среднесрочный период (на 2024 год и на плановый период 2025 и 2026 годов)&quot; {КонсультантПлюс}">
        <w:r>
          <w:rPr>
            <w:sz w:val="20"/>
            <w:color w:val="0000ff"/>
          </w:rPr>
          <w:t xml:space="preserve">прогнозе</w:t>
        </w:r>
      </w:hyperlink>
      <w:r>
        <w:rPr>
          <w:sz w:val="20"/>
        </w:rPr>
        <w:t xml:space="preserve"> социально-экономического развития Нижегородской области на 2024 год и на плановый период 2025 и 2026 годов, одобренном постановлением Правительства Нижегородской области от 20 октября 2023 года N 941 (далее - прогноз на 2024 - 2026 годы).</w:t>
      </w:r>
    </w:p>
    <w:p>
      <w:pPr>
        <w:pStyle w:val="0"/>
        <w:spacing w:before="200" w:line-rule="auto"/>
        <w:ind w:firstLine="540"/>
        <w:jc w:val="both"/>
      </w:pPr>
      <w:r>
        <w:rPr>
          <w:sz w:val="20"/>
        </w:rPr>
        <w:t xml:space="preserve">По оценке темп роста ВРП по итогам 2023 года составил 111,2% (в среднем по России - 103,6%).</w:t>
      </w:r>
    </w:p>
    <w:p>
      <w:pPr>
        <w:pStyle w:val="0"/>
        <w:spacing w:before="200" w:line-rule="auto"/>
        <w:ind w:firstLine="540"/>
        <w:jc w:val="both"/>
      </w:pPr>
      <w:r>
        <w:rPr>
          <w:sz w:val="20"/>
        </w:rPr>
        <w:t xml:space="preserve">Ключевым драйвером экономического роста стала промышленность региона, немаловажный вклад в развитие экономики внесли также сектор торговли, строительный и транспортный комплексы, сфера информационных технологий.</w:t>
      </w:r>
    </w:p>
    <w:p>
      <w:pPr>
        <w:pStyle w:val="0"/>
        <w:spacing w:before="200" w:line-rule="auto"/>
        <w:ind w:firstLine="540"/>
        <w:jc w:val="both"/>
      </w:pPr>
      <w:r>
        <w:rPr>
          <w:sz w:val="20"/>
        </w:rPr>
        <w:t xml:space="preserve">Индекс промышленного производства в 2023 году составил 111,7% к уровню 2022 года, в том числе в обрабатывающих производствах - 112,1% (по Российской Федерации (далее - РФ) - 104,1% и 108,6% соответственно).</w:t>
      </w:r>
    </w:p>
    <w:p>
      <w:pPr>
        <w:pStyle w:val="0"/>
        <w:spacing w:before="200" w:line-rule="auto"/>
        <w:ind w:firstLine="540"/>
        <w:jc w:val="both"/>
      </w:pPr>
      <w:r>
        <w:rPr>
          <w:sz w:val="20"/>
        </w:rPr>
        <w:t xml:space="preserve">При этом рост производства отмечался примерно в половине отраслей, формирующих более 70% продукции обрабатывающей промышленности региона.</w:t>
      </w:r>
    </w:p>
    <w:p>
      <w:pPr>
        <w:pStyle w:val="0"/>
        <w:spacing w:before="200" w:line-rule="auto"/>
        <w:ind w:firstLine="540"/>
        <w:jc w:val="both"/>
      </w:pPr>
      <w:r>
        <w:rPr>
          <w:sz w:val="20"/>
        </w:rPr>
        <w:t xml:space="preserve">Положительную динамику показали ключевые отрасли обработки - автопром (120,8%), производство нефтепродуктов (111,1%), пищевых продуктов (108,1%), химических веществ (108,8%), а также отрасли, ориентированные на ОПК.</w:t>
      </w:r>
    </w:p>
    <w:p>
      <w:pPr>
        <w:pStyle w:val="0"/>
        <w:spacing w:before="200" w:line-rule="auto"/>
        <w:ind w:firstLine="540"/>
        <w:jc w:val="both"/>
      </w:pPr>
      <w:r>
        <w:rPr>
          <w:sz w:val="20"/>
        </w:rPr>
        <w:t xml:space="preserve">Сельское хозяйство за 2023 год выросло на 10,3% в сопоставимых ценах, что, в основном, связано с существенным увеличением производства зерна (на 21,3% к уровню 2022 года), сахарной свеклы (в 1,5 раза выше уровня 2022 года), картофеля (на 11,5%).</w:t>
      </w:r>
    </w:p>
    <w:p>
      <w:pPr>
        <w:pStyle w:val="0"/>
        <w:spacing w:before="200" w:line-rule="auto"/>
        <w:ind w:firstLine="540"/>
        <w:jc w:val="both"/>
      </w:pPr>
      <w:r>
        <w:rPr>
          <w:sz w:val="20"/>
        </w:rPr>
        <w:t xml:space="preserve">Объем работ, выполненных в целом по виду экономической деятельности "Строительство", увеличился в 1,3 раза к уровню 2022 года в сопоставимых ценах (по РФ - 107,9%) и составил 326,9 млрд рублей.</w:t>
      </w:r>
    </w:p>
    <w:p>
      <w:pPr>
        <w:pStyle w:val="0"/>
        <w:spacing w:before="200" w:line-rule="auto"/>
        <w:ind w:firstLine="540"/>
        <w:jc w:val="both"/>
      </w:pPr>
      <w:r>
        <w:rPr>
          <w:sz w:val="20"/>
        </w:rPr>
        <w:t xml:space="preserve">В 2023 году на территории Нижегородской области в эксплуатацию введено 1859,4 тыс. кв. м общей площади жилых помещений, что на 9,3% больше, чем в 2022 году и на 16,2% превышает плановый показатель, установленный для региона федеральным проектом "Жилье" в рамках национального проекта "Жилье и городская среда".</w:t>
      </w:r>
    </w:p>
    <w:p>
      <w:pPr>
        <w:pStyle w:val="0"/>
        <w:spacing w:before="200" w:line-rule="auto"/>
        <w:ind w:firstLine="540"/>
        <w:jc w:val="both"/>
      </w:pPr>
      <w:r>
        <w:rPr>
          <w:sz w:val="20"/>
        </w:rPr>
        <w:t xml:space="preserve">Еще одним позитивным итогом 2023 года стал значительный рост инвестиционной активности. Объем инвестиций в основной капитал вырос практически в 1,4 раза в сопоставимой оценке к уровню 2022 года и составил 686,9 млрд рублей. При этом драйвером роста выступили частные инвестиции - их объем вырос почти на 60% в сопоставимых ценах к уровню 2022 года.</w:t>
      </w:r>
    </w:p>
    <w:p>
      <w:pPr>
        <w:pStyle w:val="0"/>
        <w:spacing w:before="200" w:line-rule="auto"/>
        <w:ind w:firstLine="540"/>
        <w:jc w:val="both"/>
      </w:pPr>
      <w:r>
        <w:rPr>
          <w:sz w:val="20"/>
        </w:rPr>
        <w:t xml:space="preserve">Доля инвестиций в ВРП по итогам 2023 года составила 25,4%, что является положительным индикатором, характеризующим эффективность нижегородской экономики.</w:t>
      </w:r>
    </w:p>
    <w:p>
      <w:pPr>
        <w:pStyle w:val="0"/>
        <w:spacing w:before="200" w:line-rule="auto"/>
        <w:ind w:firstLine="540"/>
        <w:jc w:val="both"/>
      </w:pPr>
      <w:r>
        <w:rPr>
          <w:sz w:val="20"/>
        </w:rPr>
        <w:t xml:space="preserve">Положительно повлияло на активизацию инвестиционной деятельности и повышение финансовых результатов организаций. В 2023 году прибыль прибыльных предприятий выросла в 1,5 раза к уровню 2022 года (по кругу крупных и средних организаций).</w:t>
      </w:r>
    </w:p>
    <w:p>
      <w:pPr>
        <w:pStyle w:val="0"/>
        <w:spacing w:before="200" w:line-rule="auto"/>
        <w:ind w:firstLine="540"/>
        <w:jc w:val="both"/>
      </w:pPr>
      <w:r>
        <w:rPr>
          <w:sz w:val="20"/>
        </w:rPr>
        <w:t xml:space="preserve">Заработная плата по итогам 2023 года в действующих ценах увеличилась на 16,9% и составила 56526 рублей. В реальном выражении зарплата выросла на 11% (в РФ - на 8,2%).</w:t>
      </w:r>
    </w:p>
    <w:p>
      <w:pPr>
        <w:pStyle w:val="0"/>
        <w:spacing w:before="200" w:line-rule="auto"/>
        <w:ind w:firstLine="540"/>
        <w:jc w:val="both"/>
      </w:pPr>
      <w:r>
        <w:rPr>
          <w:sz w:val="20"/>
        </w:rPr>
        <w:t xml:space="preserve">На фоне роста реальной заработной платы и, соответственно, покупательной способности населения наблюдался рост основных показателей потребительского рынка: оборот розничной торговли увеличился на 8,3% в сопоставимых ценах к уровню 2022 года (по РФ - на 8%); объем оказанных населению платных услуг - на 3,1% (в РФ - на 6,9%).</w:t>
      </w:r>
    </w:p>
    <w:p>
      <w:pPr>
        <w:pStyle w:val="0"/>
        <w:spacing w:before="200" w:line-rule="auto"/>
        <w:ind w:firstLine="540"/>
        <w:jc w:val="both"/>
      </w:pPr>
      <w:r>
        <w:rPr>
          <w:sz w:val="20"/>
        </w:rPr>
        <w:t xml:space="preserve">Ситуация на рынке труда области в 2023 году характеризовалась низким уровнем зарегистрированной безработицы: на конец года - 0,28%, что ниже среднероссийского значения (0,6%).</w:t>
      </w:r>
    </w:p>
    <w:p>
      <w:pPr>
        <w:pStyle w:val="0"/>
        <w:spacing w:before="200" w:line-rule="auto"/>
        <w:ind w:firstLine="540"/>
        <w:jc w:val="both"/>
      </w:pPr>
      <w:r>
        <w:rPr>
          <w:sz w:val="20"/>
        </w:rPr>
        <w:t xml:space="preserve">Таким образом, итоги 2023 года по ключевым направлениям социально-экономического развития показали, что экономика региона успешно прошла путь адаптации к санкциям и имеет потенциал к дальнейшему развитию.</w:t>
      </w:r>
    </w:p>
    <w:p>
      <w:pPr>
        <w:pStyle w:val="0"/>
        <w:spacing w:before="200" w:line-rule="auto"/>
        <w:ind w:firstLine="540"/>
        <w:jc w:val="both"/>
      </w:pPr>
      <w:r>
        <w:rPr>
          <w:sz w:val="20"/>
        </w:rPr>
        <w:t xml:space="preserve">Итоги 1 полугодия 2024 года подтверждают сохранение стабильности в экономике региона. Темп роста ВРП в сопоставимых ценах оценивается на уровне 5,5% по сравнению с аналогичным периодом 2023 года.</w:t>
      </w:r>
    </w:p>
    <w:p>
      <w:pPr>
        <w:pStyle w:val="0"/>
        <w:spacing w:before="200" w:line-rule="auto"/>
        <w:ind w:firstLine="540"/>
        <w:jc w:val="both"/>
      </w:pPr>
      <w:r>
        <w:rPr>
          <w:sz w:val="20"/>
        </w:rPr>
        <w:t xml:space="preserve">Положительная динамика экономики является результатом успешного развития ее ключевых секторов.</w:t>
      </w:r>
    </w:p>
    <w:p>
      <w:pPr>
        <w:pStyle w:val="0"/>
        <w:spacing w:before="200" w:line-rule="auto"/>
        <w:ind w:firstLine="540"/>
        <w:jc w:val="both"/>
      </w:pPr>
      <w:r>
        <w:rPr>
          <w:sz w:val="20"/>
        </w:rPr>
        <w:t xml:space="preserve">Наибольший вклад в прирост экономики дает промышленное производство, индекс которого по итогам января - июня 2024 года составил 105,3% к аналогичному периоду 2023 года, в том числе в обрабатывающей промышленности - 105,2%.</w:t>
      </w:r>
    </w:p>
    <w:p>
      <w:pPr>
        <w:pStyle w:val="0"/>
        <w:spacing w:before="200" w:line-rule="auto"/>
        <w:ind w:firstLine="540"/>
        <w:jc w:val="both"/>
      </w:pPr>
      <w:r>
        <w:rPr>
          <w:sz w:val="20"/>
        </w:rPr>
        <w:t xml:space="preserve">Основной вклад в положительную динамику индекса внесли отрасли, ориентированные на оборонно-промышленный комплекс и импортозамещение. Наибольший рост продемонстрировали: производство мебели (в 1,5 раза), производство автотранспортных средств (в 1,4 раза), производство готовых металлических изделий (на 32,7%), производство компьютеров (на 28,9%), производство резиновых и пластмассовых изделий (на 20,5%), обработка древесины и производство изделий из дерева (на 12,3%), производство химических веществ (на 7,1%), производство прочей неметаллической минеральной продукции (на 6,7%) и др.</w:t>
      </w:r>
    </w:p>
    <w:p>
      <w:pPr>
        <w:pStyle w:val="0"/>
        <w:spacing w:before="200" w:line-rule="auto"/>
        <w:ind w:firstLine="540"/>
        <w:jc w:val="both"/>
      </w:pPr>
      <w:r>
        <w:rPr>
          <w:sz w:val="20"/>
        </w:rPr>
        <w:t xml:space="preserve">Рост объема строительных работ за январь - июнь 2024 года составил 114,1% к аналогичному периоду 2023 года в сопоставимых ценах (по РФ - 103,9%). В жилищном строительстве прирост составил 11,4%, что связано как с увеличением объемов ввода в эксплуатацию многоквартирных домов, так и с развитием рынка ИЖС. При этом по объему введенного в действие жилья среди категорий застройщиков лидирующее место принадлежит населению, на его долю пришлось порядка 68% объема жилья по области.</w:t>
      </w:r>
    </w:p>
    <w:p>
      <w:pPr>
        <w:pStyle w:val="0"/>
        <w:spacing w:before="200" w:line-rule="auto"/>
        <w:ind w:firstLine="540"/>
        <w:jc w:val="both"/>
      </w:pPr>
      <w:r>
        <w:rPr>
          <w:sz w:val="20"/>
        </w:rPr>
        <w:t xml:space="preserve">Устойчивый рост демонстрирует сектор розничной торговли: оборот розничной торговли за январь - июнь 2024 года увеличился на 9,4% в сопоставимой оценке к аналогичному периоду 2023 года. Рост продаж поддерживается увеличением объемов потребительского кредитования (за 1 полугодие 2024 года объем потребительских кредитов, выданных нижегородцам, вырос в 1,5 раза).</w:t>
      </w:r>
    </w:p>
    <w:p>
      <w:pPr>
        <w:pStyle w:val="0"/>
        <w:spacing w:before="200" w:line-rule="auto"/>
        <w:ind w:firstLine="540"/>
        <w:jc w:val="both"/>
      </w:pPr>
      <w:r>
        <w:rPr>
          <w:sz w:val="20"/>
        </w:rPr>
        <w:t xml:space="preserve">Развивается сфера платных услуг населению: за январь - июнь 2024 года объем платных услуг вырос на 6,5% в сопоставимых ценах. При этом наибольший рост спроса наблюдался на услуги туристических агентств (на 23,7%), в сфере информационно-коммуникационных технологий (на 22,4%), бытовые услуги (на 21,4%), услуги физической культуры и спорта (на 14,2%), транспортные (на 12%).</w:t>
      </w:r>
    </w:p>
    <w:p>
      <w:pPr>
        <w:pStyle w:val="0"/>
        <w:spacing w:before="200" w:line-rule="auto"/>
        <w:ind w:firstLine="540"/>
        <w:jc w:val="both"/>
      </w:pPr>
      <w:r>
        <w:rPr>
          <w:sz w:val="20"/>
        </w:rPr>
        <w:t xml:space="preserve">По итогам января - июня 2024 года объем инвестиций в основной капитал составил 232,3 млрд руб. или 100,5% в сопоставимых ценах к аналогичному периоду 2023 года.</w:t>
      </w:r>
    </w:p>
    <w:p>
      <w:pPr>
        <w:pStyle w:val="0"/>
        <w:spacing w:before="200" w:line-rule="auto"/>
        <w:ind w:firstLine="540"/>
        <w:jc w:val="both"/>
      </w:pPr>
      <w:r>
        <w:rPr>
          <w:sz w:val="20"/>
        </w:rPr>
        <w:t xml:space="preserve">При этом в ряде видов экономической деятельности наблюдался высокий рост капиталовложений, прежде всего, в обрабатывающих производствах (125,6% к январю - июню 2023 года), а также в деятельности профессиональной, научной и технической (в 2 раза), в образовании (в 1,6 раза), в оптовой и розничной торговле (126%), в сфере строительства (120,1%).</w:t>
      </w:r>
    </w:p>
    <w:p>
      <w:pPr>
        <w:pStyle w:val="0"/>
        <w:spacing w:before="200" w:line-rule="auto"/>
        <w:ind w:firstLine="540"/>
        <w:jc w:val="both"/>
      </w:pPr>
      <w:r>
        <w:rPr>
          <w:sz w:val="20"/>
        </w:rPr>
        <w:t xml:space="preserve">Одним из факторов роста инвестиций является привлечение федерального финансирования и выделение средств из областного бюджета на капитальное строительство. В прогнозируемом периоде будут реализованы крупнейшие инвестиционные проекты в рамках механизма инфраструктурных бюджетных кредитов (ИБК) (общий объем одобренных по данным проектам средств составляет 107 млрд рублей, из них 33,5 млрд доведены в 2021 - 2023 годах). Например, за счет средств ИБК, реализуются такие масштабные проекты, как продление линий метрополитена в Нижнем Новгороде, строительство дублера проспекта Гагарина и другие. Также в настоящее время активно применяется инструмент государственно-частного партнерства (ГЧП). Например, в настоящее время в регионе ведется масштабная работа по строительству 18 школ, причем 8 из них строятся по концессионной модели.</w:t>
      </w:r>
    </w:p>
    <w:p>
      <w:pPr>
        <w:pStyle w:val="0"/>
        <w:spacing w:before="200" w:line-rule="auto"/>
        <w:ind w:firstLine="540"/>
        <w:jc w:val="both"/>
      </w:pPr>
      <w:r>
        <w:rPr>
          <w:sz w:val="20"/>
        </w:rPr>
        <w:t xml:space="preserve">В целях развития инвестиционной деятельности и улучшения инвестиционного климата в области оказывается государственная поддержка организациям, реализующим приоритетные инвестиционные проекты, в виде региональных налоговых льгот по налогу на прибыль и налогу на имущество.</w:t>
      </w:r>
    </w:p>
    <w:p>
      <w:pPr>
        <w:pStyle w:val="0"/>
        <w:spacing w:before="200" w:line-rule="auto"/>
        <w:ind w:firstLine="540"/>
        <w:jc w:val="both"/>
      </w:pPr>
      <w:r>
        <w:rPr>
          <w:sz w:val="20"/>
        </w:rPr>
        <w:t xml:space="preserve">За январь - июнь 2024 года размер государственной поддержки составил 1828,9 млн руб., в том числе льготы по налогу на имущество - 786,1 млн руб., льготы по налогу на прибыль - 1042,8 млн руб.</w:t>
      </w:r>
    </w:p>
    <w:p>
      <w:pPr>
        <w:pStyle w:val="0"/>
        <w:spacing w:before="200" w:line-rule="auto"/>
        <w:ind w:firstLine="540"/>
        <w:jc w:val="both"/>
      </w:pPr>
      <w:r>
        <w:rPr>
          <w:sz w:val="20"/>
        </w:rPr>
        <w:t xml:space="preserve">По данным за 1 полугодие 2024 года действует 38 инвестиционных соглашений между Правительством Нижегородской области и инвесторами, реализующими приоритетные инвестиционные проекты, о предоставлении государственной поддержки, по которым предусмотрен объем инвестиций в сумме 411,8 млрд рублей, сохранение и создание более 9 тыс. рабочих мест.</w:t>
      </w:r>
    </w:p>
    <w:p>
      <w:pPr>
        <w:pStyle w:val="0"/>
        <w:spacing w:before="200" w:line-rule="auto"/>
        <w:ind w:firstLine="540"/>
        <w:jc w:val="both"/>
      </w:pPr>
      <w:r>
        <w:rPr>
          <w:sz w:val="20"/>
        </w:rPr>
        <w:t xml:space="preserve">На всей территории области работает развитая сеть центров "Мой бизнес" и инвестиционные уполномоченные, что также способствует созданию комфортной среды для инвесторов.</w:t>
      </w:r>
    </w:p>
    <w:p>
      <w:pPr>
        <w:pStyle w:val="0"/>
        <w:ind w:firstLine="540"/>
        <w:jc w:val="both"/>
      </w:pPr>
      <w:r>
        <w:rPr>
          <w:sz w:val="20"/>
        </w:rPr>
      </w:r>
    </w:p>
    <w:p>
      <w:pPr>
        <w:pStyle w:val="0"/>
        <w:jc w:val="right"/>
      </w:pPr>
      <w:r>
        <w:rPr>
          <w:sz w:val="20"/>
        </w:rPr>
        <w:t xml:space="preserve">Таблица 1</w:t>
      </w:r>
    </w:p>
    <w:p>
      <w:pPr>
        <w:pStyle w:val="0"/>
        <w:ind w:firstLine="540"/>
        <w:jc w:val="both"/>
      </w:pPr>
      <w:r>
        <w:rPr>
          <w:sz w:val="20"/>
        </w:rPr>
      </w:r>
    </w:p>
    <w:p>
      <w:pPr>
        <w:pStyle w:val="0"/>
        <w:jc w:val="center"/>
      </w:pPr>
      <w:r>
        <w:rPr>
          <w:sz w:val="20"/>
        </w:rPr>
        <w:t xml:space="preserve">Динамика ключевых показателей, характеризующих уровень</w:t>
      </w:r>
    </w:p>
    <w:p>
      <w:pPr>
        <w:pStyle w:val="0"/>
        <w:jc w:val="center"/>
      </w:pPr>
      <w:r>
        <w:rPr>
          <w:sz w:val="20"/>
        </w:rPr>
        <w:t xml:space="preserve">развития реального сектора экономики в Нижегородской области</w:t>
      </w:r>
    </w:p>
    <w:p>
      <w:pPr>
        <w:pStyle w:val="0"/>
        <w:jc w:val="center"/>
      </w:pPr>
      <w:r>
        <w:rPr>
          <w:sz w:val="20"/>
        </w:rPr>
        <w:t xml:space="preserve">в сравнении с РФ и ПФО</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8"/>
        <w:gridCol w:w="1305"/>
        <w:gridCol w:w="855"/>
        <w:gridCol w:w="794"/>
        <w:gridCol w:w="1305"/>
        <w:gridCol w:w="975"/>
        <w:gridCol w:w="850"/>
      </w:tblGrid>
      <w:tr>
        <w:tc>
          <w:tcPr>
            <w:tcW w:w="2948" w:type="dxa"/>
            <w:vMerge w:val="restart"/>
          </w:tcPr>
          <w:p>
            <w:pPr>
              <w:pStyle w:val="0"/>
              <w:jc w:val="center"/>
            </w:pPr>
            <w:r>
              <w:rPr>
                <w:sz w:val="20"/>
              </w:rPr>
              <w:t xml:space="preserve">Показатели</w:t>
            </w:r>
          </w:p>
        </w:tc>
        <w:tc>
          <w:tcPr>
            <w:gridSpan w:val="3"/>
            <w:tcW w:w="2954" w:type="dxa"/>
          </w:tcPr>
          <w:p>
            <w:pPr>
              <w:pStyle w:val="0"/>
              <w:jc w:val="center"/>
            </w:pPr>
            <w:r>
              <w:rPr>
                <w:sz w:val="20"/>
              </w:rPr>
              <w:t xml:space="preserve">2023 год</w:t>
            </w:r>
          </w:p>
        </w:tc>
        <w:tc>
          <w:tcPr>
            <w:gridSpan w:val="3"/>
            <w:tcW w:w="3130" w:type="dxa"/>
          </w:tcPr>
          <w:p>
            <w:pPr>
              <w:pStyle w:val="0"/>
              <w:jc w:val="center"/>
            </w:pPr>
            <w:r>
              <w:rPr>
                <w:sz w:val="20"/>
              </w:rPr>
              <w:t xml:space="preserve">Январь - июнь 2024 года</w:t>
            </w:r>
          </w:p>
        </w:tc>
      </w:tr>
      <w:tr>
        <w:tc>
          <w:tcPr>
            <w:vMerge w:val="continue"/>
          </w:tcPr>
          <w:p/>
        </w:tc>
        <w:tc>
          <w:tcPr>
            <w:tcW w:w="1305" w:type="dxa"/>
            <w:vMerge w:val="restart"/>
          </w:tcPr>
          <w:p>
            <w:pPr>
              <w:pStyle w:val="0"/>
              <w:jc w:val="center"/>
            </w:pPr>
            <w:r>
              <w:rPr>
                <w:sz w:val="20"/>
              </w:rPr>
              <w:t xml:space="preserve">Значение</w:t>
            </w:r>
          </w:p>
        </w:tc>
        <w:tc>
          <w:tcPr>
            <w:gridSpan w:val="2"/>
            <w:tcW w:w="1649" w:type="dxa"/>
          </w:tcPr>
          <w:p>
            <w:pPr>
              <w:pStyle w:val="0"/>
              <w:jc w:val="center"/>
            </w:pPr>
            <w:r>
              <w:rPr>
                <w:sz w:val="20"/>
              </w:rPr>
              <w:t xml:space="preserve">Место</w:t>
            </w:r>
          </w:p>
        </w:tc>
        <w:tc>
          <w:tcPr>
            <w:tcW w:w="1305" w:type="dxa"/>
            <w:vMerge w:val="restart"/>
          </w:tcPr>
          <w:p>
            <w:pPr>
              <w:pStyle w:val="0"/>
              <w:jc w:val="center"/>
            </w:pPr>
            <w:r>
              <w:rPr>
                <w:sz w:val="20"/>
              </w:rPr>
              <w:t xml:space="preserve">Значение</w:t>
            </w:r>
          </w:p>
        </w:tc>
        <w:tc>
          <w:tcPr>
            <w:gridSpan w:val="2"/>
            <w:tcW w:w="1825" w:type="dxa"/>
          </w:tcPr>
          <w:p>
            <w:pPr>
              <w:pStyle w:val="0"/>
              <w:jc w:val="center"/>
            </w:pPr>
            <w:r>
              <w:rPr>
                <w:sz w:val="20"/>
              </w:rPr>
              <w:t xml:space="preserve">Место</w:t>
            </w:r>
          </w:p>
        </w:tc>
      </w:tr>
      <w:tr>
        <w:tc>
          <w:tcPr>
            <w:vMerge w:val="continue"/>
          </w:tcPr>
          <w:p/>
        </w:tc>
        <w:tc>
          <w:tcPr>
            <w:vMerge w:val="continue"/>
          </w:tcPr>
          <w:p/>
        </w:tc>
        <w:tc>
          <w:tcPr>
            <w:tcW w:w="855" w:type="dxa"/>
          </w:tcPr>
          <w:p>
            <w:pPr>
              <w:pStyle w:val="0"/>
              <w:jc w:val="center"/>
            </w:pPr>
            <w:r>
              <w:rPr>
                <w:sz w:val="20"/>
              </w:rPr>
              <w:t xml:space="preserve">в ПФО</w:t>
            </w:r>
          </w:p>
        </w:tc>
        <w:tc>
          <w:tcPr>
            <w:tcW w:w="794" w:type="dxa"/>
          </w:tcPr>
          <w:p>
            <w:pPr>
              <w:pStyle w:val="0"/>
              <w:jc w:val="center"/>
            </w:pPr>
            <w:r>
              <w:rPr>
                <w:sz w:val="20"/>
              </w:rPr>
              <w:t xml:space="preserve">в РФ</w:t>
            </w:r>
          </w:p>
        </w:tc>
        <w:tc>
          <w:tcPr>
            <w:vMerge w:val="continue"/>
          </w:tcPr>
          <w:p/>
        </w:tc>
        <w:tc>
          <w:tcPr>
            <w:tcW w:w="975" w:type="dxa"/>
          </w:tcPr>
          <w:p>
            <w:pPr>
              <w:pStyle w:val="0"/>
              <w:jc w:val="center"/>
            </w:pPr>
            <w:r>
              <w:rPr>
                <w:sz w:val="20"/>
              </w:rPr>
              <w:t xml:space="preserve">в ПФО</w:t>
            </w:r>
          </w:p>
        </w:tc>
        <w:tc>
          <w:tcPr>
            <w:tcW w:w="850" w:type="dxa"/>
          </w:tcPr>
          <w:p>
            <w:pPr>
              <w:pStyle w:val="0"/>
              <w:jc w:val="center"/>
            </w:pPr>
            <w:r>
              <w:rPr>
                <w:sz w:val="20"/>
              </w:rPr>
              <w:t xml:space="preserve">в РФ</w:t>
            </w:r>
          </w:p>
        </w:tc>
      </w:tr>
      <w:tr>
        <w:tc>
          <w:tcPr>
            <w:tcW w:w="2948" w:type="dxa"/>
          </w:tcPr>
          <w:p>
            <w:pPr>
              <w:pStyle w:val="0"/>
              <w:jc w:val="both"/>
            </w:pPr>
            <w:r>
              <w:rPr>
                <w:sz w:val="20"/>
              </w:rPr>
              <w:t xml:space="preserve">ИФО ВРП, % г/г</w:t>
            </w:r>
          </w:p>
        </w:tc>
        <w:tc>
          <w:tcPr>
            <w:tcW w:w="1305" w:type="dxa"/>
          </w:tcPr>
          <w:p>
            <w:pPr>
              <w:pStyle w:val="0"/>
              <w:jc w:val="center"/>
            </w:pPr>
            <w:r>
              <w:rPr>
                <w:sz w:val="20"/>
              </w:rPr>
              <w:t xml:space="preserve">111,2 (оценка)</w:t>
            </w:r>
          </w:p>
        </w:tc>
        <w:tc>
          <w:tcPr>
            <w:tcW w:w="855" w:type="dxa"/>
          </w:tcPr>
          <w:p>
            <w:pPr>
              <w:pStyle w:val="0"/>
              <w:jc w:val="center"/>
            </w:pPr>
            <w:r>
              <w:rPr>
                <w:sz w:val="20"/>
              </w:rPr>
              <w:t xml:space="preserve">-</w:t>
            </w:r>
          </w:p>
        </w:tc>
        <w:tc>
          <w:tcPr>
            <w:tcW w:w="794" w:type="dxa"/>
          </w:tcPr>
          <w:p>
            <w:pPr>
              <w:pStyle w:val="0"/>
              <w:jc w:val="center"/>
            </w:pPr>
            <w:r>
              <w:rPr>
                <w:sz w:val="20"/>
              </w:rPr>
              <w:t xml:space="preserve">-</w:t>
            </w:r>
          </w:p>
        </w:tc>
        <w:tc>
          <w:tcPr>
            <w:tcW w:w="1305" w:type="dxa"/>
          </w:tcPr>
          <w:p>
            <w:pPr>
              <w:pStyle w:val="0"/>
              <w:jc w:val="center"/>
            </w:pPr>
            <w:r>
              <w:rPr>
                <w:sz w:val="20"/>
              </w:rPr>
              <w:t xml:space="preserve">105,5 (оценка)</w:t>
            </w:r>
          </w:p>
        </w:tc>
        <w:tc>
          <w:tcPr>
            <w:tcW w:w="975" w:type="dxa"/>
          </w:tcPr>
          <w:p>
            <w:pPr>
              <w:pStyle w:val="0"/>
              <w:jc w:val="center"/>
            </w:pPr>
            <w:r>
              <w:rPr>
                <w:sz w:val="20"/>
              </w:rPr>
              <w:t xml:space="preserve">-</w:t>
            </w:r>
          </w:p>
        </w:tc>
        <w:tc>
          <w:tcPr>
            <w:tcW w:w="850" w:type="dxa"/>
          </w:tcPr>
          <w:p>
            <w:pPr>
              <w:pStyle w:val="0"/>
              <w:jc w:val="center"/>
            </w:pPr>
            <w:r>
              <w:rPr>
                <w:sz w:val="20"/>
              </w:rPr>
              <w:t xml:space="preserve">-</w:t>
            </w:r>
          </w:p>
        </w:tc>
      </w:tr>
      <w:tr>
        <w:tc>
          <w:tcPr>
            <w:tcW w:w="2948" w:type="dxa"/>
          </w:tcPr>
          <w:p>
            <w:pPr>
              <w:pStyle w:val="0"/>
              <w:jc w:val="both"/>
            </w:pPr>
            <w:r>
              <w:rPr>
                <w:sz w:val="20"/>
              </w:rPr>
              <w:t xml:space="preserve">Объем отгрузки продукции промышленного производства, млрд руб.</w:t>
            </w:r>
          </w:p>
        </w:tc>
        <w:tc>
          <w:tcPr>
            <w:tcW w:w="1305" w:type="dxa"/>
          </w:tcPr>
          <w:p>
            <w:pPr>
              <w:pStyle w:val="0"/>
              <w:jc w:val="center"/>
            </w:pPr>
            <w:r>
              <w:rPr>
                <w:sz w:val="20"/>
              </w:rPr>
              <w:t xml:space="preserve">2190,0</w:t>
            </w:r>
          </w:p>
        </w:tc>
        <w:tc>
          <w:tcPr>
            <w:tcW w:w="855" w:type="dxa"/>
          </w:tcPr>
          <w:p>
            <w:pPr>
              <w:pStyle w:val="0"/>
              <w:jc w:val="center"/>
            </w:pPr>
            <w:r>
              <w:rPr>
                <w:sz w:val="20"/>
              </w:rPr>
              <w:t xml:space="preserve">5</w:t>
            </w:r>
          </w:p>
        </w:tc>
        <w:tc>
          <w:tcPr>
            <w:tcW w:w="794" w:type="dxa"/>
          </w:tcPr>
          <w:p>
            <w:pPr>
              <w:pStyle w:val="0"/>
              <w:jc w:val="center"/>
            </w:pPr>
            <w:r>
              <w:rPr>
                <w:sz w:val="20"/>
              </w:rPr>
              <w:t xml:space="preserve">14</w:t>
            </w:r>
          </w:p>
        </w:tc>
        <w:tc>
          <w:tcPr>
            <w:tcW w:w="1305" w:type="dxa"/>
          </w:tcPr>
          <w:p>
            <w:pPr>
              <w:pStyle w:val="0"/>
              <w:jc w:val="center"/>
            </w:pPr>
            <w:r>
              <w:rPr>
                <w:sz w:val="20"/>
              </w:rPr>
              <w:t xml:space="preserve">1083,5</w:t>
            </w:r>
          </w:p>
        </w:tc>
        <w:tc>
          <w:tcPr>
            <w:tcW w:w="975" w:type="dxa"/>
          </w:tcPr>
          <w:p>
            <w:pPr>
              <w:pStyle w:val="0"/>
              <w:jc w:val="center"/>
            </w:pPr>
            <w:r>
              <w:rPr>
                <w:sz w:val="20"/>
              </w:rPr>
              <w:t xml:space="preserve">5</w:t>
            </w:r>
          </w:p>
        </w:tc>
        <w:tc>
          <w:tcPr>
            <w:tcW w:w="850" w:type="dxa"/>
          </w:tcPr>
          <w:p>
            <w:pPr>
              <w:pStyle w:val="0"/>
              <w:jc w:val="center"/>
            </w:pPr>
            <w:r>
              <w:rPr>
                <w:sz w:val="20"/>
              </w:rPr>
              <w:t xml:space="preserve">15</w:t>
            </w:r>
          </w:p>
        </w:tc>
      </w:tr>
      <w:tr>
        <w:tc>
          <w:tcPr>
            <w:tcW w:w="2948" w:type="dxa"/>
          </w:tcPr>
          <w:p>
            <w:pPr>
              <w:pStyle w:val="0"/>
              <w:jc w:val="both"/>
            </w:pPr>
            <w:r>
              <w:rPr>
                <w:sz w:val="20"/>
              </w:rPr>
              <w:t xml:space="preserve">в т.ч. по обрабатывающим производствам</w:t>
            </w:r>
          </w:p>
        </w:tc>
        <w:tc>
          <w:tcPr>
            <w:tcW w:w="1305" w:type="dxa"/>
          </w:tcPr>
          <w:p>
            <w:pPr>
              <w:pStyle w:val="0"/>
              <w:jc w:val="center"/>
            </w:pPr>
            <w:r>
              <w:rPr>
                <w:sz w:val="20"/>
              </w:rPr>
              <w:t xml:space="preserve">1991,9</w:t>
            </w:r>
          </w:p>
        </w:tc>
        <w:tc>
          <w:tcPr>
            <w:tcW w:w="855" w:type="dxa"/>
          </w:tcPr>
          <w:p>
            <w:pPr>
              <w:pStyle w:val="0"/>
              <w:jc w:val="center"/>
            </w:pPr>
            <w:r>
              <w:rPr>
                <w:sz w:val="20"/>
              </w:rPr>
              <w:t xml:space="preserve">2</w:t>
            </w:r>
          </w:p>
        </w:tc>
        <w:tc>
          <w:tcPr>
            <w:tcW w:w="794" w:type="dxa"/>
          </w:tcPr>
          <w:p>
            <w:pPr>
              <w:pStyle w:val="0"/>
              <w:jc w:val="center"/>
            </w:pPr>
            <w:r>
              <w:rPr>
                <w:sz w:val="20"/>
              </w:rPr>
              <w:t xml:space="preserve">7</w:t>
            </w:r>
          </w:p>
        </w:tc>
        <w:tc>
          <w:tcPr>
            <w:tcW w:w="1305" w:type="dxa"/>
          </w:tcPr>
          <w:p>
            <w:pPr>
              <w:pStyle w:val="0"/>
              <w:jc w:val="center"/>
            </w:pPr>
            <w:r>
              <w:rPr>
                <w:sz w:val="20"/>
              </w:rPr>
              <w:t xml:space="preserve">983,4</w:t>
            </w:r>
          </w:p>
        </w:tc>
        <w:tc>
          <w:tcPr>
            <w:tcW w:w="975" w:type="dxa"/>
          </w:tcPr>
          <w:p>
            <w:pPr>
              <w:pStyle w:val="0"/>
              <w:jc w:val="center"/>
            </w:pPr>
            <w:r>
              <w:rPr>
                <w:sz w:val="20"/>
              </w:rPr>
              <w:t xml:space="preserve">2</w:t>
            </w:r>
          </w:p>
        </w:tc>
        <w:tc>
          <w:tcPr>
            <w:tcW w:w="850" w:type="dxa"/>
          </w:tcPr>
          <w:p>
            <w:pPr>
              <w:pStyle w:val="0"/>
              <w:jc w:val="center"/>
            </w:pPr>
            <w:r>
              <w:rPr>
                <w:sz w:val="20"/>
              </w:rPr>
              <w:t xml:space="preserve">7</w:t>
            </w:r>
          </w:p>
        </w:tc>
      </w:tr>
      <w:tr>
        <w:tc>
          <w:tcPr>
            <w:tcW w:w="2948" w:type="dxa"/>
          </w:tcPr>
          <w:p>
            <w:pPr>
              <w:pStyle w:val="0"/>
              <w:jc w:val="both"/>
            </w:pPr>
            <w:r>
              <w:rPr>
                <w:sz w:val="20"/>
              </w:rPr>
              <w:t xml:space="preserve">Индекс промышленного производства, % г/г</w:t>
            </w:r>
          </w:p>
        </w:tc>
        <w:tc>
          <w:tcPr>
            <w:tcW w:w="1305" w:type="dxa"/>
          </w:tcPr>
          <w:p>
            <w:pPr>
              <w:pStyle w:val="0"/>
              <w:jc w:val="center"/>
            </w:pPr>
            <w:r>
              <w:rPr>
                <w:sz w:val="20"/>
              </w:rPr>
              <w:t xml:space="preserve">111,7</w:t>
            </w:r>
          </w:p>
        </w:tc>
        <w:tc>
          <w:tcPr>
            <w:tcW w:w="855" w:type="dxa"/>
          </w:tcPr>
          <w:p>
            <w:pPr>
              <w:pStyle w:val="0"/>
              <w:jc w:val="center"/>
            </w:pPr>
            <w:r>
              <w:rPr>
                <w:sz w:val="20"/>
              </w:rPr>
              <w:t xml:space="preserve">6</w:t>
            </w:r>
          </w:p>
        </w:tc>
        <w:tc>
          <w:tcPr>
            <w:tcW w:w="794" w:type="dxa"/>
          </w:tcPr>
          <w:p>
            <w:pPr>
              <w:pStyle w:val="0"/>
              <w:jc w:val="center"/>
            </w:pPr>
            <w:r>
              <w:rPr>
                <w:sz w:val="20"/>
              </w:rPr>
              <w:t xml:space="preserve">22</w:t>
            </w:r>
          </w:p>
        </w:tc>
        <w:tc>
          <w:tcPr>
            <w:tcW w:w="1305" w:type="dxa"/>
          </w:tcPr>
          <w:p>
            <w:pPr>
              <w:pStyle w:val="0"/>
              <w:jc w:val="center"/>
            </w:pPr>
            <w:r>
              <w:rPr>
                <w:sz w:val="20"/>
              </w:rPr>
              <w:t xml:space="preserve">105,3</w:t>
            </w:r>
          </w:p>
        </w:tc>
        <w:tc>
          <w:tcPr>
            <w:tcW w:w="975" w:type="dxa"/>
          </w:tcPr>
          <w:p>
            <w:pPr>
              <w:pStyle w:val="0"/>
              <w:jc w:val="center"/>
            </w:pPr>
            <w:r>
              <w:rPr>
                <w:sz w:val="20"/>
              </w:rPr>
              <w:t xml:space="preserve">11</w:t>
            </w:r>
          </w:p>
        </w:tc>
        <w:tc>
          <w:tcPr>
            <w:tcW w:w="850" w:type="dxa"/>
          </w:tcPr>
          <w:p>
            <w:pPr>
              <w:pStyle w:val="0"/>
              <w:jc w:val="center"/>
            </w:pPr>
            <w:r>
              <w:rPr>
                <w:sz w:val="20"/>
              </w:rPr>
              <w:t xml:space="preserve">45</w:t>
            </w:r>
          </w:p>
        </w:tc>
      </w:tr>
      <w:tr>
        <w:tc>
          <w:tcPr>
            <w:tcW w:w="2948" w:type="dxa"/>
          </w:tcPr>
          <w:p>
            <w:pPr>
              <w:pStyle w:val="0"/>
              <w:jc w:val="both"/>
            </w:pPr>
            <w:r>
              <w:rPr>
                <w:sz w:val="20"/>
              </w:rPr>
              <w:t xml:space="preserve">в т.ч. по обрабатывающим производствам</w:t>
            </w:r>
          </w:p>
        </w:tc>
        <w:tc>
          <w:tcPr>
            <w:tcW w:w="1305" w:type="dxa"/>
          </w:tcPr>
          <w:p>
            <w:pPr>
              <w:pStyle w:val="0"/>
              <w:jc w:val="center"/>
            </w:pPr>
            <w:r>
              <w:rPr>
                <w:sz w:val="20"/>
              </w:rPr>
              <w:t xml:space="preserve">112,1</w:t>
            </w:r>
          </w:p>
        </w:tc>
        <w:tc>
          <w:tcPr>
            <w:tcW w:w="855" w:type="dxa"/>
          </w:tcPr>
          <w:p>
            <w:pPr>
              <w:pStyle w:val="0"/>
              <w:jc w:val="center"/>
            </w:pPr>
            <w:r>
              <w:rPr>
                <w:sz w:val="20"/>
              </w:rPr>
              <w:t xml:space="preserve">7</w:t>
            </w:r>
          </w:p>
        </w:tc>
        <w:tc>
          <w:tcPr>
            <w:tcW w:w="794" w:type="dxa"/>
          </w:tcPr>
          <w:p>
            <w:pPr>
              <w:pStyle w:val="0"/>
              <w:jc w:val="center"/>
            </w:pPr>
            <w:r>
              <w:rPr>
                <w:sz w:val="20"/>
              </w:rPr>
              <w:t xml:space="preserve">29</w:t>
            </w:r>
          </w:p>
        </w:tc>
        <w:tc>
          <w:tcPr>
            <w:tcW w:w="1305" w:type="dxa"/>
          </w:tcPr>
          <w:p>
            <w:pPr>
              <w:pStyle w:val="0"/>
              <w:jc w:val="center"/>
            </w:pPr>
            <w:r>
              <w:rPr>
                <w:sz w:val="20"/>
              </w:rPr>
              <w:t xml:space="preserve">105,2</w:t>
            </w:r>
          </w:p>
        </w:tc>
        <w:tc>
          <w:tcPr>
            <w:tcW w:w="975" w:type="dxa"/>
          </w:tcPr>
          <w:p>
            <w:pPr>
              <w:pStyle w:val="0"/>
              <w:jc w:val="center"/>
            </w:pPr>
            <w:r>
              <w:rPr>
                <w:sz w:val="20"/>
              </w:rPr>
              <w:t xml:space="preserve">12</w:t>
            </w:r>
          </w:p>
        </w:tc>
        <w:tc>
          <w:tcPr>
            <w:tcW w:w="850" w:type="dxa"/>
          </w:tcPr>
          <w:p>
            <w:pPr>
              <w:pStyle w:val="0"/>
              <w:jc w:val="center"/>
            </w:pPr>
            <w:r>
              <w:rPr>
                <w:sz w:val="20"/>
              </w:rPr>
              <w:t xml:space="preserve">51</w:t>
            </w:r>
          </w:p>
        </w:tc>
      </w:tr>
      <w:tr>
        <w:tc>
          <w:tcPr>
            <w:tcW w:w="2948" w:type="dxa"/>
          </w:tcPr>
          <w:p>
            <w:pPr>
              <w:pStyle w:val="0"/>
              <w:jc w:val="both"/>
            </w:pPr>
            <w:r>
              <w:rPr>
                <w:sz w:val="20"/>
              </w:rPr>
              <w:t xml:space="preserve">Объем инвестиций в основной капитал, млрд руб.</w:t>
            </w:r>
          </w:p>
        </w:tc>
        <w:tc>
          <w:tcPr>
            <w:tcW w:w="1305" w:type="dxa"/>
          </w:tcPr>
          <w:p>
            <w:pPr>
              <w:pStyle w:val="0"/>
              <w:jc w:val="center"/>
            </w:pPr>
            <w:r>
              <w:rPr>
                <w:sz w:val="20"/>
              </w:rPr>
              <w:t xml:space="preserve">686,9</w:t>
            </w:r>
          </w:p>
        </w:tc>
        <w:tc>
          <w:tcPr>
            <w:tcW w:w="855" w:type="dxa"/>
          </w:tcPr>
          <w:p>
            <w:pPr>
              <w:pStyle w:val="0"/>
              <w:jc w:val="center"/>
            </w:pPr>
            <w:r>
              <w:rPr>
                <w:sz w:val="20"/>
              </w:rPr>
              <w:t xml:space="preserve">2</w:t>
            </w:r>
          </w:p>
        </w:tc>
        <w:tc>
          <w:tcPr>
            <w:tcW w:w="794" w:type="dxa"/>
          </w:tcPr>
          <w:p>
            <w:pPr>
              <w:pStyle w:val="0"/>
              <w:jc w:val="center"/>
            </w:pPr>
            <w:r>
              <w:rPr>
                <w:sz w:val="20"/>
              </w:rPr>
              <w:t xml:space="preserve">13</w:t>
            </w:r>
          </w:p>
        </w:tc>
        <w:tc>
          <w:tcPr>
            <w:tcW w:w="1305" w:type="dxa"/>
          </w:tcPr>
          <w:p>
            <w:pPr>
              <w:pStyle w:val="0"/>
              <w:jc w:val="center"/>
            </w:pPr>
            <w:r>
              <w:rPr>
                <w:sz w:val="20"/>
              </w:rPr>
              <w:t xml:space="preserve">232,3</w:t>
            </w:r>
          </w:p>
        </w:tc>
        <w:tc>
          <w:tcPr>
            <w:tcW w:w="975" w:type="dxa"/>
          </w:tcPr>
          <w:p>
            <w:pPr>
              <w:pStyle w:val="0"/>
              <w:jc w:val="center"/>
            </w:pPr>
            <w:r>
              <w:rPr>
                <w:sz w:val="20"/>
              </w:rPr>
              <w:t xml:space="preserve">3</w:t>
            </w:r>
          </w:p>
        </w:tc>
        <w:tc>
          <w:tcPr>
            <w:tcW w:w="850" w:type="dxa"/>
          </w:tcPr>
          <w:p>
            <w:pPr>
              <w:pStyle w:val="0"/>
              <w:jc w:val="center"/>
            </w:pPr>
            <w:r>
              <w:rPr>
                <w:sz w:val="20"/>
              </w:rPr>
              <w:t xml:space="preserve">17</w:t>
            </w:r>
          </w:p>
        </w:tc>
      </w:tr>
      <w:tr>
        <w:tc>
          <w:tcPr>
            <w:tcW w:w="2948" w:type="dxa"/>
          </w:tcPr>
          <w:p>
            <w:pPr>
              <w:pStyle w:val="0"/>
              <w:jc w:val="both"/>
            </w:pPr>
            <w:r>
              <w:rPr>
                <w:sz w:val="20"/>
              </w:rPr>
              <w:t xml:space="preserve">ИФО, % г/г</w:t>
            </w:r>
          </w:p>
        </w:tc>
        <w:tc>
          <w:tcPr>
            <w:tcW w:w="1305" w:type="dxa"/>
          </w:tcPr>
          <w:p>
            <w:pPr>
              <w:pStyle w:val="0"/>
              <w:jc w:val="center"/>
            </w:pPr>
            <w:r>
              <w:rPr>
                <w:sz w:val="20"/>
              </w:rPr>
              <w:t xml:space="preserve">136,6</w:t>
            </w:r>
          </w:p>
        </w:tc>
        <w:tc>
          <w:tcPr>
            <w:tcW w:w="855" w:type="dxa"/>
          </w:tcPr>
          <w:p>
            <w:pPr>
              <w:pStyle w:val="0"/>
              <w:jc w:val="center"/>
            </w:pPr>
            <w:r>
              <w:rPr>
                <w:sz w:val="20"/>
              </w:rPr>
              <w:t xml:space="preserve">1</w:t>
            </w:r>
          </w:p>
        </w:tc>
        <w:tc>
          <w:tcPr>
            <w:tcW w:w="794" w:type="dxa"/>
          </w:tcPr>
          <w:p>
            <w:pPr>
              <w:pStyle w:val="0"/>
              <w:jc w:val="center"/>
            </w:pPr>
            <w:r>
              <w:rPr>
                <w:sz w:val="20"/>
              </w:rPr>
              <w:t xml:space="preserve">5</w:t>
            </w:r>
          </w:p>
        </w:tc>
        <w:tc>
          <w:tcPr>
            <w:tcW w:w="1305" w:type="dxa"/>
          </w:tcPr>
          <w:p>
            <w:pPr>
              <w:pStyle w:val="0"/>
              <w:jc w:val="center"/>
            </w:pPr>
            <w:r>
              <w:rPr>
                <w:sz w:val="20"/>
              </w:rPr>
              <w:t xml:space="preserve">100,5</w:t>
            </w:r>
          </w:p>
        </w:tc>
        <w:tc>
          <w:tcPr>
            <w:tcW w:w="975" w:type="dxa"/>
          </w:tcPr>
          <w:p>
            <w:pPr>
              <w:pStyle w:val="0"/>
              <w:jc w:val="center"/>
            </w:pPr>
            <w:r>
              <w:rPr>
                <w:sz w:val="20"/>
              </w:rPr>
              <w:t xml:space="preserve">12</w:t>
            </w:r>
          </w:p>
        </w:tc>
        <w:tc>
          <w:tcPr>
            <w:tcW w:w="850" w:type="dxa"/>
          </w:tcPr>
          <w:p>
            <w:pPr>
              <w:pStyle w:val="0"/>
              <w:jc w:val="center"/>
            </w:pPr>
            <w:r>
              <w:rPr>
                <w:sz w:val="20"/>
              </w:rPr>
              <w:t xml:space="preserve">70</w:t>
            </w:r>
          </w:p>
        </w:tc>
      </w:tr>
      <w:tr>
        <w:tc>
          <w:tcPr>
            <w:tcW w:w="2948" w:type="dxa"/>
          </w:tcPr>
          <w:p>
            <w:pPr>
              <w:pStyle w:val="0"/>
              <w:jc w:val="both"/>
            </w:pPr>
            <w:r>
              <w:rPr>
                <w:sz w:val="20"/>
              </w:rPr>
              <w:t xml:space="preserve">Объем работ, выполненных по виду деятельности "строительство", млрд руб.</w:t>
            </w:r>
          </w:p>
        </w:tc>
        <w:tc>
          <w:tcPr>
            <w:tcW w:w="1305" w:type="dxa"/>
          </w:tcPr>
          <w:p>
            <w:pPr>
              <w:pStyle w:val="0"/>
              <w:jc w:val="center"/>
            </w:pPr>
            <w:r>
              <w:rPr>
                <w:sz w:val="20"/>
              </w:rPr>
              <w:t xml:space="preserve">326,9</w:t>
            </w:r>
          </w:p>
        </w:tc>
        <w:tc>
          <w:tcPr>
            <w:tcW w:w="855" w:type="dxa"/>
          </w:tcPr>
          <w:p>
            <w:pPr>
              <w:pStyle w:val="0"/>
              <w:jc w:val="center"/>
            </w:pPr>
            <w:r>
              <w:rPr>
                <w:sz w:val="20"/>
              </w:rPr>
              <w:t xml:space="preserve">3</w:t>
            </w:r>
          </w:p>
        </w:tc>
        <w:tc>
          <w:tcPr>
            <w:tcW w:w="794" w:type="dxa"/>
          </w:tcPr>
          <w:p>
            <w:pPr>
              <w:pStyle w:val="0"/>
              <w:jc w:val="center"/>
            </w:pPr>
            <w:r>
              <w:rPr>
                <w:sz w:val="20"/>
              </w:rPr>
              <w:t xml:space="preserve">12</w:t>
            </w:r>
          </w:p>
        </w:tc>
        <w:tc>
          <w:tcPr>
            <w:tcW w:w="1305" w:type="dxa"/>
          </w:tcPr>
          <w:p>
            <w:pPr>
              <w:pStyle w:val="0"/>
              <w:jc w:val="center"/>
            </w:pPr>
            <w:r>
              <w:rPr>
                <w:sz w:val="20"/>
              </w:rPr>
              <w:t xml:space="preserve">128,1</w:t>
            </w:r>
          </w:p>
        </w:tc>
        <w:tc>
          <w:tcPr>
            <w:tcW w:w="975" w:type="dxa"/>
          </w:tcPr>
          <w:p>
            <w:pPr>
              <w:pStyle w:val="0"/>
              <w:jc w:val="center"/>
            </w:pPr>
            <w:r>
              <w:rPr>
                <w:sz w:val="20"/>
              </w:rPr>
              <w:t xml:space="preserve">3</w:t>
            </w:r>
          </w:p>
        </w:tc>
        <w:tc>
          <w:tcPr>
            <w:tcW w:w="850" w:type="dxa"/>
          </w:tcPr>
          <w:p>
            <w:pPr>
              <w:pStyle w:val="0"/>
              <w:jc w:val="center"/>
            </w:pPr>
            <w:r>
              <w:rPr>
                <w:sz w:val="20"/>
              </w:rPr>
              <w:t xml:space="preserve">15</w:t>
            </w:r>
          </w:p>
        </w:tc>
      </w:tr>
      <w:tr>
        <w:tc>
          <w:tcPr>
            <w:tcW w:w="2948" w:type="dxa"/>
          </w:tcPr>
          <w:p>
            <w:pPr>
              <w:pStyle w:val="0"/>
              <w:jc w:val="both"/>
            </w:pPr>
            <w:r>
              <w:rPr>
                <w:sz w:val="20"/>
              </w:rPr>
              <w:t xml:space="preserve">ИФО, % г/г</w:t>
            </w:r>
          </w:p>
        </w:tc>
        <w:tc>
          <w:tcPr>
            <w:tcW w:w="1305" w:type="dxa"/>
          </w:tcPr>
          <w:p>
            <w:pPr>
              <w:pStyle w:val="0"/>
              <w:jc w:val="center"/>
            </w:pPr>
            <w:r>
              <w:rPr>
                <w:sz w:val="20"/>
              </w:rPr>
              <w:t xml:space="preserve">127,6</w:t>
            </w:r>
          </w:p>
        </w:tc>
        <w:tc>
          <w:tcPr>
            <w:tcW w:w="855" w:type="dxa"/>
          </w:tcPr>
          <w:p>
            <w:pPr>
              <w:pStyle w:val="0"/>
              <w:jc w:val="center"/>
            </w:pPr>
            <w:r>
              <w:rPr>
                <w:sz w:val="20"/>
              </w:rPr>
              <w:t xml:space="preserve">3</w:t>
            </w:r>
          </w:p>
        </w:tc>
        <w:tc>
          <w:tcPr>
            <w:tcW w:w="794" w:type="dxa"/>
          </w:tcPr>
          <w:p>
            <w:pPr>
              <w:pStyle w:val="0"/>
              <w:jc w:val="center"/>
            </w:pPr>
            <w:r>
              <w:rPr>
                <w:sz w:val="20"/>
              </w:rPr>
              <w:t xml:space="preserve">12</w:t>
            </w:r>
          </w:p>
        </w:tc>
        <w:tc>
          <w:tcPr>
            <w:tcW w:w="1305" w:type="dxa"/>
          </w:tcPr>
          <w:p>
            <w:pPr>
              <w:pStyle w:val="0"/>
              <w:jc w:val="center"/>
            </w:pPr>
            <w:r>
              <w:rPr>
                <w:sz w:val="20"/>
              </w:rPr>
              <w:t xml:space="preserve">114,1</w:t>
            </w:r>
          </w:p>
        </w:tc>
        <w:tc>
          <w:tcPr>
            <w:tcW w:w="975" w:type="dxa"/>
          </w:tcPr>
          <w:p>
            <w:pPr>
              <w:pStyle w:val="0"/>
              <w:jc w:val="center"/>
            </w:pPr>
            <w:r>
              <w:rPr>
                <w:sz w:val="20"/>
              </w:rPr>
              <w:t xml:space="preserve">5</w:t>
            </w:r>
          </w:p>
        </w:tc>
        <w:tc>
          <w:tcPr>
            <w:tcW w:w="850" w:type="dxa"/>
          </w:tcPr>
          <w:p>
            <w:pPr>
              <w:pStyle w:val="0"/>
              <w:jc w:val="center"/>
            </w:pPr>
            <w:r>
              <w:rPr>
                <w:sz w:val="20"/>
              </w:rPr>
              <w:t xml:space="preserve">29</w:t>
            </w:r>
          </w:p>
        </w:tc>
      </w:tr>
      <w:tr>
        <w:tc>
          <w:tcPr>
            <w:tcW w:w="2948" w:type="dxa"/>
          </w:tcPr>
          <w:p>
            <w:pPr>
              <w:pStyle w:val="0"/>
              <w:jc w:val="both"/>
            </w:pPr>
            <w:r>
              <w:rPr>
                <w:sz w:val="20"/>
              </w:rPr>
              <w:t xml:space="preserve">Ввод в действие жилых домов, тыс. кв. м общей площади</w:t>
            </w:r>
          </w:p>
        </w:tc>
        <w:tc>
          <w:tcPr>
            <w:tcW w:w="1305" w:type="dxa"/>
          </w:tcPr>
          <w:p>
            <w:pPr>
              <w:pStyle w:val="0"/>
              <w:jc w:val="center"/>
            </w:pPr>
            <w:r>
              <w:rPr>
                <w:sz w:val="20"/>
              </w:rPr>
              <w:t xml:space="preserve">1859,4</w:t>
            </w:r>
          </w:p>
        </w:tc>
        <w:tc>
          <w:tcPr>
            <w:tcW w:w="855" w:type="dxa"/>
          </w:tcPr>
          <w:p>
            <w:pPr>
              <w:pStyle w:val="0"/>
              <w:jc w:val="center"/>
            </w:pPr>
            <w:r>
              <w:rPr>
                <w:sz w:val="20"/>
              </w:rPr>
              <w:t xml:space="preserve">5</w:t>
            </w:r>
          </w:p>
        </w:tc>
        <w:tc>
          <w:tcPr>
            <w:tcW w:w="794" w:type="dxa"/>
          </w:tcPr>
          <w:p>
            <w:pPr>
              <w:pStyle w:val="0"/>
              <w:jc w:val="center"/>
            </w:pPr>
            <w:r>
              <w:rPr>
                <w:sz w:val="20"/>
              </w:rPr>
              <w:t xml:space="preserve">17</w:t>
            </w:r>
          </w:p>
        </w:tc>
        <w:tc>
          <w:tcPr>
            <w:tcW w:w="1305" w:type="dxa"/>
          </w:tcPr>
          <w:p>
            <w:pPr>
              <w:pStyle w:val="0"/>
              <w:jc w:val="center"/>
            </w:pPr>
            <w:r>
              <w:rPr>
                <w:sz w:val="20"/>
              </w:rPr>
              <w:t xml:space="preserve">1226,5</w:t>
            </w:r>
          </w:p>
        </w:tc>
        <w:tc>
          <w:tcPr>
            <w:tcW w:w="975" w:type="dxa"/>
          </w:tcPr>
          <w:p>
            <w:pPr>
              <w:pStyle w:val="0"/>
              <w:jc w:val="center"/>
            </w:pPr>
            <w:r>
              <w:rPr>
                <w:sz w:val="20"/>
              </w:rPr>
              <w:t xml:space="preserve">3</w:t>
            </w:r>
          </w:p>
        </w:tc>
        <w:tc>
          <w:tcPr>
            <w:tcW w:w="850" w:type="dxa"/>
          </w:tcPr>
          <w:p>
            <w:pPr>
              <w:pStyle w:val="0"/>
              <w:jc w:val="center"/>
            </w:pPr>
            <w:r>
              <w:rPr>
                <w:sz w:val="20"/>
              </w:rPr>
              <w:t xml:space="preserve">13</w:t>
            </w:r>
          </w:p>
        </w:tc>
      </w:tr>
      <w:tr>
        <w:tc>
          <w:tcPr>
            <w:tcW w:w="2948" w:type="dxa"/>
          </w:tcPr>
          <w:p>
            <w:pPr>
              <w:pStyle w:val="0"/>
              <w:jc w:val="both"/>
            </w:pPr>
            <w:r>
              <w:rPr>
                <w:sz w:val="20"/>
              </w:rPr>
              <w:t xml:space="preserve">Оборот розничной торговли, млрд руб.</w:t>
            </w:r>
          </w:p>
        </w:tc>
        <w:tc>
          <w:tcPr>
            <w:tcW w:w="1305" w:type="dxa"/>
          </w:tcPr>
          <w:p>
            <w:pPr>
              <w:pStyle w:val="0"/>
              <w:jc w:val="center"/>
            </w:pPr>
            <w:r>
              <w:rPr>
                <w:sz w:val="20"/>
              </w:rPr>
              <w:t xml:space="preserve">1093,8</w:t>
            </w:r>
          </w:p>
        </w:tc>
        <w:tc>
          <w:tcPr>
            <w:tcW w:w="855" w:type="dxa"/>
          </w:tcPr>
          <w:p>
            <w:pPr>
              <w:pStyle w:val="0"/>
              <w:jc w:val="center"/>
            </w:pPr>
            <w:r>
              <w:rPr>
                <w:sz w:val="20"/>
              </w:rPr>
              <w:t xml:space="preserve">3</w:t>
            </w:r>
          </w:p>
        </w:tc>
        <w:tc>
          <w:tcPr>
            <w:tcW w:w="794" w:type="dxa"/>
          </w:tcPr>
          <w:p>
            <w:pPr>
              <w:pStyle w:val="0"/>
              <w:jc w:val="center"/>
            </w:pPr>
            <w:r>
              <w:rPr>
                <w:sz w:val="20"/>
              </w:rPr>
              <w:t xml:space="preserve">9</w:t>
            </w:r>
          </w:p>
        </w:tc>
        <w:tc>
          <w:tcPr>
            <w:tcW w:w="1305" w:type="dxa"/>
          </w:tcPr>
          <w:p>
            <w:pPr>
              <w:pStyle w:val="0"/>
              <w:jc w:val="center"/>
            </w:pPr>
            <w:r>
              <w:rPr>
                <w:sz w:val="20"/>
              </w:rPr>
              <w:t xml:space="preserve">597</w:t>
            </w:r>
          </w:p>
        </w:tc>
        <w:tc>
          <w:tcPr>
            <w:tcW w:w="975" w:type="dxa"/>
          </w:tcPr>
          <w:p>
            <w:pPr>
              <w:pStyle w:val="0"/>
              <w:jc w:val="center"/>
            </w:pPr>
            <w:r>
              <w:rPr>
                <w:sz w:val="20"/>
              </w:rPr>
              <w:t xml:space="preserve">3</w:t>
            </w:r>
          </w:p>
        </w:tc>
        <w:tc>
          <w:tcPr>
            <w:tcW w:w="850" w:type="dxa"/>
          </w:tcPr>
          <w:p>
            <w:pPr>
              <w:pStyle w:val="0"/>
              <w:jc w:val="center"/>
            </w:pPr>
            <w:r>
              <w:rPr>
                <w:sz w:val="20"/>
              </w:rPr>
              <w:t xml:space="preserve">9</w:t>
            </w:r>
          </w:p>
        </w:tc>
      </w:tr>
      <w:tr>
        <w:tc>
          <w:tcPr>
            <w:tcW w:w="2948" w:type="dxa"/>
          </w:tcPr>
          <w:p>
            <w:pPr>
              <w:pStyle w:val="0"/>
              <w:jc w:val="both"/>
            </w:pPr>
            <w:r>
              <w:rPr>
                <w:sz w:val="20"/>
              </w:rPr>
              <w:t xml:space="preserve">ИФО, % г/г</w:t>
            </w:r>
          </w:p>
        </w:tc>
        <w:tc>
          <w:tcPr>
            <w:tcW w:w="1305" w:type="dxa"/>
          </w:tcPr>
          <w:p>
            <w:pPr>
              <w:pStyle w:val="0"/>
              <w:jc w:val="center"/>
            </w:pPr>
            <w:r>
              <w:rPr>
                <w:sz w:val="20"/>
              </w:rPr>
              <w:t xml:space="preserve">108,3</w:t>
            </w:r>
          </w:p>
        </w:tc>
        <w:tc>
          <w:tcPr>
            <w:tcW w:w="855" w:type="dxa"/>
          </w:tcPr>
          <w:p>
            <w:pPr>
              <w:pStyle w:val="0"/>
              <w:jc w:val="center"/>
            </w:pPr>
            <w:r>
              <w:rPr>
                <w:sz w:val="20"/>
              </w:rPr>
              <w:t xml:space="preserve">7</w:t>
            </w:r>
          </w:p>
        </w:tc>
        <w:tc>
          <w:tcPr>
            <w:tcW w:w="794" w:type="dxa"/>
          </w:tcPr>
          <w:p>
            <w:pPr>
              <w:pStyle w:val="0"/>
              <w:jc w:val="center"/>
            </w:pPr>
            <w:r>
              <w:rPr>
                <w:sz w:val="20"/>
              </w:rPr>
              <w:t xml:space="preserve">33</w:t>
            </w:r>
          </w:p>
        </w:tc>
        <w:tc>
          <w:tcPr>
            <w:tcW w:w="1305" w:type="dxa"/>
          </w:tcPr>
          <w:p>
            <w:pPr>
              <w:pStyle w:val="0"/>
              <w:jc w:val="center"/>
            </w:pPr>
            <w:r>
              <w:rPr>
                <w:sz w:val="20"/>
              </w:rPr>
              <w:t xml:space="preserve">109,4</w:t>
            </w:r>
          </w:p>
        </w:tc>
        <w:tc>
          <w:tcPr>
            <w:tcW w:w="975" w:type="dxa"/>
          </w:tcPr>
          <w:p>
            <w:pPr>
              <w:pStyle w:val="0"/>
              <w:jc w:val="center"/>
            </w:pPr>
            <w:r>
              <w:rPr>
                <w:sz w:val="20"/>
              </w:rPr>
              <w:t xml:space="preserve">7</w:t>
            </w:r>
          </w:p>
        </w:tc>
        <w:tc>
          <w:tcPr>
            <w:tcW w:w="850" w:type="dxa"/>
          </w:tcPr>
          <w:p>
            <w:pPr>
              <w:pStyle w:val="0"/>
              <w:jc w:val="center"/>
            </w:pPr>
            <w:r>
              <w:rPr>
                <w:sz w:val="20"/>
              </w:rPr>
              <w:t xml:space="preserve">32</w:t>
            </w:r>
          </w:p>
        </w:tc>
      </w:tr>
      <w:tr>
        <w:tc>
          <w:tcPr>
            <w:tcW w:w="2948" w:type="dxa"/>
          </w:tcPr>
          <w:p>
            <w:pPr>
              <w:pStyle w:val="0"/>
              <w:jc w:val="both"/>
            </w:pPr>
            <w:r>
              <w:rPr>
                <w:sz w:val="20"/>
              </w:rPr>
              <w:t xml:space="preserve">Объем платных услуг населению, млрд руб.</w:t>
            </w:r>
          </w:p>
        </w:tc>
        <w:tc>
          <w:tcPr>
            <w:tcW w:w="1305" w:type="dxa"/>
          </w:tcPr>
          <w:p>
            <w:pPr>
              <w:pStyle w:val="0"/>
              <w:jc w:val="center"/>
            </w:pPr>
            <w:r>
              <w:rPr>
                <w:sz w:val="20"/>
              </w:rPr>
              <w:t xml:space="preserve">266</w:t>
            </w:r>
          </w:p>
        </w:tc>
        <w:tc>
          <w:tcPr>
            <w:tcW w:w="855" w:type="dxa"/>
          </w:tcPr>
          <w:p>
            <w:pPr>
              <w:pStyle w:val="0"/>
              <w:jc w:val="center"/>
            </w:pPr>
            <w:r>
              <w:rPr>
                <w:sz w:val="20"/>
              </w:rPr>
              <w:t xml:space="preserve">3</w:t>
            </w:r>
          </w:p>
        </w:tc>
        <w:tc>
          <w:tcPr>
            <w:tcW w:w="794" w:type="dxa"/>
          </w:tcPr>
          <w:p>
            <w:pPr>
              <w:pStyle w:val="0"/>
              <w:jc w:val="center"/>
            </w:pPr>
            <w:r>
              <w:rPr>
                <w:sz w:val="20"/>
              </w:rPr>
              <w:t xml:space="preserve">11</w:t>
            </w:r>
          </w:p>
        </w:tc>
        <w:tc>
          <w:tcPr>
            <w:tcW w:w="1305" w:type="dxa"/>
          </w:tcPr>
          <w:p>
            <w:pPr>
              <w:pStyle w:val="0"/>
              <w:jc w:val="center"/>
            </w:pPr>
            <w:r>
              <w:rPr>
                <w:sz w:val="20"/>
              </w:rPr>
              <w:t xml:space="preserve">144,1</w:t>
            </w:r>
          </w:p>
        </w:tc>
        <w:tc>
          <w:tcPr>
            <w:tcW w:w="975" w:type="dxa"/>
          </w:tcPr>
          <w:p>
            <w:pPr>
              <w:pStyle w:val="0"/>
              <w:jc w:val="center"/>
            </w:pPr>
            <w:r>
              <w:rPr>
                <w:sz w:val="20"/>
              </w:rPr>
              <w:t xml:space="preserve">3</w:t>
            </w:r>
          </w:p>
        </w:tc>
        <w:tc>
          <w:tcPr>
            <w:tcW w:w="850" w:type="dxa"/>
          </w:tcPr>
          <w:p>
            <w:pPr>
              <w:pStyle w:val="0"/>
              <w:jc w:val="center"/>
            </w:pPr>
            <w:r>
              <w:rPr>
                <w:sz w:val="20"/>
              </w:rPr>
              <w:t xml:space="preserve">12</w:t>
            </w:r>
          </w:p>
        </w:tc>
      </w:tr>
      <w:tr>
        <w:tc>
          <w:tcPr>
            <w:tcW w:w="2948" w:type="dxa"/>
          </w:tcPr>
          <w:p>
            <w:pPr>
              <w:pStyle w:val="0"/>
              <w:jc w:val="both"/>
            </w:pPr>
            <w:r>
              <w:rPr>
                <w:sz w:val="20"/>
              </w:rPr>
              <w:t xml:space="preserve">ИФО, % г/г</w:t>
            </w:r>
          </w:p>
        </w:tc>
        <w:tc>
          <w:tcPr>
            <w:tcW w:w="1305" w:type="dxa"/>
          </w:tcPr>
          <w:p>
            <w:pPr>
              <w:pStyle w:val="0"/>
              <w:jc w:val="center"/>
            </w:pPr>
            <w:r>
              <w:rPr>
                <w:sz w:val="20"/>
              </w:rPr>
              <w:t xml:space="preserve">103,1</w:t>
            </w:r>
          </w:p>
        </w:tc>
        <w:tc>
          <w:tcPr>
            <w:tcW w:w="855" w:type="dxa"/>
          </w:tcPr>
          <w:p>
            <w:pPr>
              <w:pStyle w:val="0"/>
              <w:jc w:val="center"/>
            </w:pPr>
            <w:r>
              <w:rPr>
                <w:sz w:val="20"/>
              </w:rPr>
              <w:t xml:space="preserve">10</w:t>
            </w:r>
          </w:p>
        </w:tc>
        <w:tc>
          <w:tcPr>
            <w:tcW w:w="794" w:type="dxa"/>
          </w:tcPr>
          <w:p>
            <w:pPr>
              <w:pStyle w:val="0"/>
              <w:jc w:val="center"/>
            </w:pPr>
            <w:r>
              <w:rPr>
                <w:sz w:val="20"/>
              </w:rPr>
              <w:t xml:space="preserve">44</w:t>
            </w:r>
          </w:p>
        </w:tc>
        <w:tc>
          <w:tcPr>
            <w:tcW w:w="1305" w:type="dxa"/>
          </w:tcPr>
          <w:p>
            <w:pPr>
              <w:pStyle w:val="0"/>
              <w:jc w:val="center"/>
            </w:pPr>
            <w:r>
              <w:rPr>
                <w:sz w:val="20"/>
              </w:rPr>
              <w:t xml:space="preserve">106,5</w:t>
            </w:r>
          </w:p>
        </w:tc>
        <w:tc>
          <w:tcPr>
            <w:tcW w:w="975" w:type="dxa"/>
          </w:tcPr>
          <w:p>
            <w:pPr>
              <w:pStyle w:val="0"/>
              <w:jc w:val="center"/>
            </w:pPr>
            <w:r>
              <w:rPr>
                <w:sz w:val="20"/>
              </w:rPr>
              <w:t xml:space="preserve">1</w:t>
            </w:r>
          </w:p>
        </w:tc>
        <w:tc>
          <w:tcPr>
            <w:tcW w:w="850" w:type="dxa"/>
          </w:tcPr>
          <w:p>
            <w:pPr>
              <w:pStyle w:val="0"/>
              <w:jc w:val="center"/>
            </w:pPr>
            <w:r>
              <w:rPr>
                <w:sz w:val="20"/>
              </w:rPr>
              <w:t xml:space="preserve">9</w:t>
            </w:r>
          </w:p>
        </w:tc>
      </w:tr>
    </w:tbl>
    <w:p>
      <w:pPr>
        <w:pStyle w:val="0"/>
        <w:ind w:firstLine="540"/>
        <w:jc w:val="both"/>
      </w:pPr>
      <w:r>
        <w:rPr>
          <w:sz w:val="20"/>
        </w:rPr>
      </w:r>
    </w:p>
    <w:p>
      <w:pPr>
        <w:pStyle w:val="0"/>
        <w:ind w:firstLine="540"/>
        <w:jc w:val="both"/>
      </w:pPr>
      <w:r>
        <w:rPr>
          <w:sz w:val="20"/>
        </w:rPr>
        <w:t xml:space="preserve">За январь - июнь 2024 года среднедушевые денежные доходы населения сложились на уровне 54 тыс. рублей, что на 19,1% выше аналогичного периода 2023 года в действующих ценах. В реальном выражении среднедушевые денежные доходы выросли на 11,4%.</w:t>
      </w:r>
    </w:p>
    <w:p>
      <w:pPr>
        <w:pStyle w:val="0"/>
        <w:spacing w:before="200" w:line-rule="auto"/>
        <w:ind w:firstLine="540"/>
        <w:jc w:val="both"/>
      </w:pPr>
      <w:r>
        <w:rPr>
          <w:sz w:val="20"/>
        </w:rPr>
        <w:t xml:space="preserve">Рост доходов населения обусловлен положительной динамикой заработной платы, которая за указанный период выросла на 11,6% в реальном выражении к январю - июню 2023 года.</w:t>
      </w:r>
    </w:p>
    <w:p>
      <w:pPr>
        <w:pStyle w:val="0"/>
        <w:spacing w:before="200" w:line-rule="auto"/>
        <w:ind w:firstLine="540"/>
        <w:jc w:val="both"/>
      </w:pPr>
      <w:r>
        <w:rPr>
          <w:sz w:val="20"/>
        </w:rPr>
        <w:t xml:space="preserve">Росту доходов населения также способствуют ежегодное проведение индексации пенсий, прожиточного минимума и минимального размера оплаты труда (МРОТ), а также оказание мер социальной поддержки населению, в том числе семьям с детьми.</w:t>
      </w:r>
    </w:p>
    <w:p>
      <w:pPr>
        <w:pStyle w:val="0"/>
        <w:spacing w:before="200" w:line-rule="auto"/>
        <w:ind w:firstLine="540"/>
        <w:jc w:val="both"/>
      </w:pPr>
      <w:r>
        <w:rPr>
          <w:sz w:val="20"/>
        </w:rPr>
        <w:t xml:space="preserve">В соответствии с поручением Президента Российской Федерации установлено единое ежемесячное пособие в связи с рождением и воспитанием ребенка, которое объединило 5 действующих мер поддержки:</w:t>
      </w:r>
    </w:p>
    <w:p>
      <w:pPr>
        <w:pStyle w:val="0"/>
        <w:spacing w:before="200" w:line-rule="auto"/>
        <w:ind w:firstLine="540"/>
        <w:jc w:val="both"/>
      </w:pPr>
      <w:r>
        <w:rPr>
          <w:sz w:val="20"/>
        </w:rPr>
        <w:t xml:space="preserve">- ежемесячное пособие женщине, вставшей на учет в медицинской организации в ранние сроки беременности;</w:t>
      </w:r>
    </w:p>
    <w:p>
      <w:pPr>
        <w:pStyle w:val="0"/>
        <w:spacing w:before="200" w:line-rule="auto"/>
        <w:ind w:firstLine="540"/>
        <w:jc w:val="both"/>
      </w:pPr>
      <w:r>
        <w:rPr>
          <w:sz w:val="20"/>
        </w:rPr>
        <w:t xml:space="preserve">- ежемесячная выплата в связи с рождением (усыновлением) первого ребенка до достижения им возраста 3 лет;</w:t>
      </w:r>
    </w:p>
    <w:p>
      <w:pPr>
        <w:pStyle w:val="0"/>
        <w:spacing w:before="200" w:line-rule="auto"/>
        <w:ind w:firstLine="540"/>
        <w:jc w:val="both"/>
      </w:pPr>
      <w:r>
        <w:rPr>
          <w:sz w:val="20"/>
        </w:rPr>
        <w:t xml:space="preserve">- ежемесячная выплата в связи с рождением (усыновлением) третьего или последующего ребенка до достижения им возраста 3 лет;</w:t>
      </w:r>
    </w:p>
    <w:p>
      <w:pPr>
        <w:pStyle w:val="0"/>
        <w:spacing w:before="200" w:line-rule="auto"/>
        <w:ind w:firstLine="540"/>
        <w:jc w:val="both"/>
      </w:pPr>
      <w:r>
        <w:rPr>
          <w:sz w:val="20"/>
        </w:rPr>
        <w:t xml:space="preserve">- ежемесячная денежная выплата на ребенка в возрасте от 3 до 7 лет включительно;</w:t>
      </w:r>
    </w:p>
    <w:p>
      <w:pPr>
        <w:pStyle w:val="0"/>
        <w:spacing w:before="200" w:line-rule="auto"/>
        <w:ind w:firstLine="540"/>
        <w:jc w:val="both"/>
      </w:pPr>
      <w:r>
        <w:rPr>
          <w:sz w:val="20"/>
        </w:rPr>
        <w:t xml:space="preserve">- ежемесячная денежная выплата на ребенка в возрасте от 8 до 17 лет.</w:t>
      </w:r>
    </w:p>
    <w:p>
      <w:pPr>
        <w:pStyle w:val="0"/>
        <w:spacing w:before="200" w:line-rule="auto"/>
        <w:ind w:firstLine="540"/>
        <w:jc w:val="both"/>
      </w:pPr>
      <w:r>
        <w:rPr>
          <w:sz w:val="20"/>
        </w:rPr>
        <w:t xml:space="preserve">Данное пособие назначается беременным женщинам и семьям с детьми до 17 лет, у которых среднедушевой доход ниже одного прожиточного минимума (в 2024 году - 14526 руб.) при условии соблюдения требований комплексной оценки нуждаемости.</w:t>
      </w:r>
    </w:p>
    <w:p>
      <w:pPr>
        <w:pStyle w:val="0"/>
        <w:spacing w:before="200" w:line-rule="auto"/>
        <w:ind w:firstLine="540"/>
        <w:jc w:val="both"/>
      </w:pPr>
      <w:r>
        <w:rPr>
          <w:sz w:val="20"/>
        </w:rPr>
        <w:t xml:space="preserve">Пособие назначается на 12 месяцев на каждого ребенка в семье в возрасте до 17 лет в размере 50 - 75 - 100% регионального прожиточного минимума для детей в зависимости от дефицита доходов семьи (размер в 2024 году составляет соответственно 7045 руб., 10567,5 руб. или 14090 руб.).</w:t>
      </w:r>
    </w:p>
    <w:p>
      <w:pPr>
        <w:pStyle w:val="0"/>
        <w:spacing w:before="200" w:line-rule="auto"/>
        <w:ind w:firstLine="540"/>
        <w:jc w:val="both"/>
      </w:pPr>
      <w:r>
        <w:rPr>
          <w:sz w:val="20"/>
        </w:rPr>
        <w:t xml:space="preserve">Для беременных женщин размер выплаты составит 50 - 75 - 100% регионального прожиточного минимума для трудоспособного населения (7916,5 руб., 11874,75 руб. или 15833 руб. соответственно).</w:t>
      </w:r>
    </w:p>
    <w:p>
      <w:pPr>
        <w:pStyle w:val="0"/>
        <w:spacing w:before="200" w:line-rule="auto"/>
        <w:ind w:firstLine="540"/>
        <w:jc w:val="both"/>
      </w:pPr>
      <w:r>
        <w:rPr>
          <w:sz w:val="20"/>
        </w:rPr>
        <w:t xml:space="preserve">На повышение рождаемости и стимулирование многодетности направлены следующие региональные меры социальной поддержки:</w:t>
      </w:r>
    </w:p>
    <w:p>
      <w:pPr>
        <w:pStyle w:val="0"/>
        <w:spacing w:before="200" w:line-rule="auto"/>
        <w:ind w:firstLine="540"/>
        <w:jc w:val="both"/>
      </w:pPr>
      <w:r>
        <w:rPr>
          <w:sz w:val="20"/>
        </w:rPr>
        <w:t xml:space="preserve">- ежемесячная региональная денежная выплата при рождении третьего ребенка или последующих детей до достижения ребенком возраста трех лет;</w:t>
      </w:r>
    </w:p>
    <w:p>
      <w:pPr>
        <w:pStyle w:val="0"/>
        <w:spacing w:before="200" w:line-rule="auto"/>
        <w:ind w:firstLine="540"/>
        <w:jc w:val="both"/>
      </w:pPr>
      <w:r>
        <w:rPr>
          <w:sz w:val="20"/>
        </w:rPr>
        <w:t xml:space="preserve">- региональный материнский (семейный) капитал.</w:t>
      </w:r>
    </w:p>
    <w:p>
      <w:pPr>
        <w:pStyle w:val="0"/>
        <w:spacing w:before="200" w:line-rule="auto"/>
        <w:ind w:firstLine="540"/>
        <w:jc w:val="both"/>
      </w:pPr>
      <w:r>
        <w:rPr>
          <w:sz w:val="20"/>
        </w:rPr>
        <w:t xml:space="preserve">Кроме того, на территории Нижегородской области семьям с детьми предоставляются следующие региональные меры социальной поддержки:</w:t>
      </w:r>
    </w:p>
    <w:p>
      <w:pPr>
        <w:pStyle w:val="0"/>
        <w:spacing w:before="200" w:line-rule="auto"/>
        <w:ind w:firstLine="540"/>
        <w:jc w:val="both"/>
      </w:pPr>
      <w:r>
        <w:rPr>
          <w:sz w:val="20"/>
        </w:rPr>
        <w:t xml:space="preserve">- пособие на ребенка, а также единовременное пособие на рождение ребенка;</w:t>
      </w:r>
    </w:p>
    <w:p>
      <w:pPr>
        <w:pStyle w:val="0"/>
        <w:spacing w:before="200" w:line-rule="auto"/>
        <w:ind w:firstLine="540"/>
        <w:jc w:val="both"/>
      </w:pPr>
      <w:r>
        <w:rPr>
          <w:sz w:val="20"/>
        </w:rPr>
        <w:t xml:space="preserve">- ежемесячная денежная выплата на обеспечение питанием и ежегодная единовременная денежная выплата к началу учебного года на детей из малоимущих семей, обучающихся в государственных и муниципальных общеобразовательных учреждениях;</w:t>
      </w:r>
    </w:p>
    <w:p>
      <w:pPr>
        <w:pStyle w:val="0"/>
        <w:spacing w:before="200" w:line-rule="auto"/>
        <w:ind w:firstLine="540"/>
        <w:jc w:val="both"/>
      </w:pPr>
      <w:r>
        <w:rPr>
          <w:sz w:val="20"/>
        </w:rPr>
        <w:t xml:space="preserve">- ежемесячные денежные выплаты на обеспечение питанием и проезда, ежегодная единовременная выплата к началу учебного года на детей из многодетных семей, обучающихся в общеобразовательных учреждениях, ежемесячные денежные компенсации на оплату коммунальных услуг многодетным семьям Нижегородской области и др.</w:t>
      </w:r>
    </w:p>
    <w:p>
      <w:pPr>
        <w:pStyle w:val="0"/>
        <w:spacing w:before="200" w:line-rule="auto"/>
        <w:ind w:firstLine="540"/>
        <w:jc w:val="both"/>
      </w:pPr>
      <w:r>
        <w:rPr>
          <w:sz w:val="20"/>
        </w:rPr>
        <w:t xml:space="preserve">На рынке труда в 2024 году наблюдается низкий уровень зарегистрированной безработицы: на начало июля - 0,23% (на начало января - 0,28%).</w:t>
      </w:r>
    </w:p>
    <w:p>
      <w:pPr>
        <w:pStyle w:val="0"/>
        <w:ind w:firstLine="540"/>
        <w:jc w:val="both"/>
      </w:pPr>
      <w:r>
        <w:rPr>
          <w:sz w:val="20"/>
        </w:rPr>
      </w:r>
    </w:p>
    <w:p>
      <w:pPr>
        <w:pStyle w:val="0"/>
        <w:jc w:val="right"/>
      </w:pPr>
      <w:r>
        <w:rPr>
          <w:sz w:val="20"/>
        </w:rPr>
        <w:t xml:space="preserve">Таблица 2</w:t>
      </w:r>
    </w:p>
    <w:p>
      <w:pPr>
        <w:pStyle w:val="0"/>
        <w:ind w:firstLine="540"/>
        <w:jc w:val="both"/>
      </w:pPr>
      <w:r>
        <w:rPr>
          <w:sz w:val="20"/>
        </w:rPr>
      </w:r>
    </w:p>
    <w:p>
      <w:pPr>
        <w:pStyle w:val="0"/>
        <w:jc w:val="center"/>
      </w:pPr>
      <w:r>
        <w:rPr>
          <w:sz w:val="20"/>
        </w:rPr>
        <w:t xml:space="preserve">Динамика ключевых показателей, характеризующих уровень</w:t>
      </w:r>
    </w:p>
    <w:p>
      <w:pPr>
        <w:pStyle w:val="0"/>
        <w:jc w:val="center"/>
      </w:pPr>
      <w:r>
        <w:rPr>
          <w:sz w:val="20"/>
        </w:rPr>
        <w:t xml:space="preserve">и качество жизни в Нижегородской области в сравнении</w:t>
      </w:r>
    </w:p>
    <w:p>
      <w:pPr>
        <w:pStyle w:val="0"/>
        <w:jc w:val="center"/>
      </w:pPr>
      <w:r>
        <w:rPr>
          <w:sz w:val="20"/>
        </w:rPr>
        <w:t xml:space="preserve">с РФ и ПФО</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8"/>
        <w:gridCol w:w="1305"/>
        <w:gridCol w:w="855"/>
        <w:gridCol w:w="794"/>
        <w:gridCol w:w="1305"/>
        <w:gridCol w:w="975"/>
        <w:gridCol w:w="850"/>
      </w:tblGrid>
      <w:tr>
        <w:tc>
          <w:tcPr>
            <w:tcW w:w="2948" w:type="dxa"/>
            <w:vMerge w:val="restart"/>
          </w:tcPr>
          <w:p>
            <w:pPr>
              <w:pStyle w:val="0"/>
              <w:jc w:val="center"/>
            </w:pPr>
            <w:r>
              <w:rPr>
                <w:sz w:val="20"/>
              </w:rPr>
              <w:t xml:space="preserve">Показатели</w:t>
            </w:r>
          </w:p>
        </w:tc>
        <w:tc>
          <w:tcPr>
            <w:gridSpan w:val="3"/>
            <w:tcW w:w="2954" w:type="dxa"/>
          </w:tcPr>
          <w:p>
            <w:pPr>
              <w:pStyle w:val="0"/>
              <w:jc w:val="center"/>
            </w:pPr>
            <w:r>
              <w:rPr>
                <w:sz w:val="20"/>
              </w:rPr>
              <w:t xml:space="preserve">2023 год</w:t>
            </w:r>
          </w:p>
        </w:tc>
        <w:tc>
          <w:tcPr>
            <w:gridSpan w:val="3"/>
            <w:tcW w:w="3130" w:type="dxa"/>
          </w:tcPr>
          <w:p>
            <w:pPr>
              <w:pStyle w:val="0"/>
              <w:jc w:val="center"/>
            </w:pPr>
            <w:r>
              <w:rPr>
                <w:sz w:val="20"/>
              </w:rPr>
              <w:t xml:space="preserve">Январь - июнь 2024 года</w:t>
            </w:r>
          </w:p>
        </w:tc>
      </w:tr>
      <w:tr>
        <w:tc>
          <w:tcPr>
            <w:vMerge w:val="continue"/>
          </w:tcPr>
          <w:p/>
        </w:tc>
        <w:tc>
          <w:tcPr>
            <w:tcW w:w="1305" w:type="dxa"/>
            <w:vMerge w:val="restart"/>
          </w:tcPr>
          <w:p>
            <w:pPr>
              <w:pStyle w:val="0"/>
              <w:jc w:val="center"/>
            </w:pPr>
            <w:r>
              <w:rPr>
                <w:sz w:val="20"/>
              </w:rPr>
              <w:t xml:space="preserve">Значение</w:t>
            </w:r>
          </w:p>
        </w:tc>
        <w:tc>
          <w:tcPr>
            <w:gridSpan w:val="2"/>
            <w:tcW w:w="1649" w:type="dxa"/>
          </w:tcPr>
          <w:p>
            <w:pPr>
              <w:pStyle w:val="0"/>
              <w:jc w:val="center"/>
            </w:pPr>
            <w:r>
              <w:rPr>
                <w:sz w:val="20"/>
              </w:rPr>
              <w:t xml:space="preserve">Место</w:t>
            </w:r>
          </w:p>
        </w:tc>
        <w:tc>
          <w:tcPr>
            <w:tcW w:w="1305" w:type="dxa"/>
            <w:vMerge w:val="restart"/>
          </w:tcPr>
          <w:p>
            <w:pPr>
              <w:pStyle w:val="0"/>
              <w:jc w:val="center"/>
            </w:pPr>
            <w:r>
              <w:rPr>
                <w:sz w:val="20"/>
              </w:rPr>
              <w:t xml:space="preserve">Значение</w:t>
            </w:r>
          </w:p>
        </w:tc>
        <w:tc>
          <w:tcPr>
            <w:gridSpan w:val="2"/>
            <w:tcW w:w="1825" w:type="dxa"/>
          </w:tcPr>
          <w:p>
            <w:pPr>
              <w:pStyle w:val="0"/>
              <w:jc w:val="center"/>
            </w:pPr>
            <w:r>
              <w:rPr>
                <w:sz w:val="20"/>
              </w:rPr>
              <w:t xml:space="preserve">Место</w:t>
            </w:r>
          </w:p>
        </w:tc>
      </w:tr>
      <w:tr>
        <w:tc>
          <w:tcPr>
            <w:vMerge w:val="continue"/>
          </w:tcPr>
          <w:p/>
        </w:tc>
        <w:tc>
          <w:tcPr>
            <w:vMerge w:val="continue"/>
          </w:tcPr>
          <w:p/>
        </w:tc>
        <w:tc>
          <w:tcPr>
            <w:tcW w:w="855" w:type="dxa"/>
          </w:tcPr>
          <w:p>
            <w:pPr>
              <w:pStyle w:val="0"/>
              <w:jc w:val="center"/>
            </w:pPr>
            <w:r>
              <w:rPr>
                <w:sz w:val="20"/>
              </w:rPr>
              <w:t xml:space="preserve">в ПФО</w:t>
            </w:r>
          </w:p>
        </w:tc>
        <w:tc>
          <w:tcPr>
            <w:tcW w:w="794" w:type="dxa"/>
          </w:tcPr>
          <w:p>
            <w:pPr>
              <w:pStyle w:val="0"/>
              <w:jc w:val="center"/>
            </w:pPr>
            <w:r>
              <w:rPr>
                <w:sz w:val="20"/>
              </w:rPr>
              <w:t xml:space="preserve">в РФ</w:t>
            </w:r>
          </w:p>
        </w:tc>
        <w:tc>
          <w:tcPr>
            <w:vMerge w:val="continue"/>
          </w:tcPr>
          <w:p/>
        </w:tc>
        <w:tc>
          <w:tcPr>
            <w:tcW w:w="975" w:type="dxa"/>
          </w:tcPr>
          <w:p>
            <w:pPr>
              <w:pStyle w:val="0"/>
              <w:jc w:val="center"/>
            </w:pPr>
            <w:r>
              <w:rPr>
                <w:sz w:val="20"/>
              </w:rPr>
              <w:t xml:space="preserve">в ПФО</w:t>
            </w:r>
          </w:p>
        </w:tc>
        <w:tc>
          <w:tcPr>
            <w:tcW w:w="850" w:type="dxa"/>
          </w:tcPr>
          <w:p>
            <w:pPr>
              <w:pStyle w:val="0"/>
              <w:jc w:val="center"/>
            </w:pPr>
            <w:r>
              <w:rPr>
                <w:sz w:val="20"/>
              </w:rPr>
              <w:t xml:space="preserve">в РФ</w:t>
            </w:r>
          </w:p>
        </w:tc>
      </w:tr>
      <w:tr>
        <w:tc>
          <w:tcPr>
            <w:tcW w:w="2948" w:type="dxa"/>
          </w:tcPr>
          <w:p>
            <w:pPr>
              <w:pStyle w:val="0"/>
              <w:jc w:val="both"/>
            </w:pPr>
            <w:r>
              <w:rPr>
                <w:sz w:val="20"/>
              </w:rPr>
              <w:t xml:space="preserve">Индекс потребительских цен на товары и услуги, в среднем за год, % г/г (1 место - минимальное значение)</w:t>
            </w:r>
          </w:p>
        </w:tc>
        <w:tc>
          <w:tcPr>
            <w:tcW w:w="1305" w:type="dxa"/>
          </w:tcPr>
          <w:p>
            <w:pPr>
              <w:pStyle w:val="0"/>
              <w:jc w:val="center"/>
            </w:pPr>
            <w:r>
              <w:rPr>
                <w:sz w:val="20"/>
              </w:rPr>
              <w:t xml:space="preserve">105,3</w:t>
            </w:r>
          </w:p>
        </w:tc>
        <w:tc>
          <w:tcPr>
            <w:tcW w:w="855" w:type="dxa"/>
          </w:tcPr>
          <w:p>
            <w:pPr>
              <w:pStyle w:val="0"/>
              <w:jc w:val="center"/>
            </w:pPr>
            <w:r>
              <w:rPr>
                <w:sz w:val="20"/>
              </w:rPr>
              <w:t xml:space="preserve">6</w:t>
            </w:r>
          </w:p>
        </w:tc>
        <w:tc>
          <w:tcPr>
            <w:tcW w:w="794" w:type="dxa"/>
          </w:tcPr>
          <w:p>
            <w:pPr>
              <w:pStyle w:val="0"/>
              <w:jc w:val="center"/>
            </w:pPr>
            <w:r>
              <w:rPr>
                <w:sz w:val="20"/>
              </w:rPr>
              <w:t xml:space="preserve">19</w:t>
            </w:r>
          </w:p>
        </w:tc>
        <w:tc>
          <w:tcPr>
            <w:tcW w:w="1305" w:type="dxa"/>
          </w:tcPr>
          <w:p>
            <w:pPr>
              <w:pStyle w:val="0"/>
              <w:jc w:val="center"/>
            </w:pPr>
            <w:r>
              <w:rPr>
                <w:sz w:val="20"/>
              </w:rPr>
              <w:t xml:space="preserve">106,9</w:t>
            </w:r>
          </w:p>
        </w:tc>
        <w:tc>
          <w:tcPr>
            <w:tcW w:w="975" w:type="dxa"/>
          </w:tcPr>
          <w:p>
            <w:pPr>
              <w:pStyle w:val="0"/>
              <w:jc w:val="center"/>
            </w:pPr>
            <w:r>
              <w:rPr>
                <w:sz w:val="20"/>
              </w:rPr>
              <w:t xml:space="preserve">3</w:t>
            </w:r>
          </w:p>
        </w:tc>
        <w:tc>
          <w:tcPr>
            <w:tcW w:w="850" w:type="dxa"/>
          </w:tcPr>
          <w:p>
            <w:pPr>
              <w:pStyle w:val="0"/>
              <w:jc w:val="center"/>
            </w:pPr>
            <w:r>
              <w:rPr>
                <w:sz w:val="20"/>
              </w:rPr>
              <w:t xml:space="preserve">13</w:t>
            </w:r>
          </w:p>
        </w:tc>
      </w:tr>
      <w:tr>
        <w:tblPrEx>
          <w:tblBorders>
            <w:insideH w:val="nil"/>
          </w:tblBorders>
        </w:tblPrEx>
        <w:tc>
          <w:tcPr>
            <w:tcW w:w="2948" w:type="dxa"/>
            <w:tcBorders>
              <w:bottom w:val="nil"/>
            </w:tcBorders>
          </w:tcPr>
          <w:p>
            <w:pPr>
              <w:pStyle w:val="0"/>
              <w:jc w:val="both"/>
            </w:pPr>
            <w:r>
              <w:rPr>
                <w:sz w:val="20"/>
              </w:rPr>
              <w:t xml:space="preserve">Среднемесячная заработная плата, руб.</w:t>
            </w:r>
          </w:p>
        </w:tc>
        <w:tc>
          <w:tcPr>
            <w:tcW w:w="1305" w:type="dxa"/>
            <w:tcBorders>
              <w:bottom w:val="nil"/>
            </w:tcBorders>
          </w:tcPr>
          <w:p>
            <w:pPr>
              <w:pStyle w:val="0"/>
              <w:jc w:val="center"/>
            </w:pPr>
            <w:r>
              <w:rPr>
                <w:sz w:val="20"/>
              </w:rPr>
              <w:t xml:space="preserve">56526,3</w:t>
            </w:r>
          </w:p>
        </w:tc>
        <w:tc>
          <w:tcPr>
            <w:tcW w:w="855" w:type="dxa"/>
            <w:tcBorders>
              <w:bottom w:val="nil"/>
            </w:tcBorders>
          </w:tcPr>
          <w:p>
            <w:pPr>
              <w:pStyle w:val="0"/>
              <w:jc w:val="center"/>
            </w:pPr>
            <w:r>
              <w:rPr>
                <w:sz w:val="20"/>
              </w:rPr>
              <w:t xml:space="preserve">5</w:t>
            </w:r>
          </w:p>
        </w:tc>
        <w:tc>
          <w:tcPr>
            <w:tcW w:w="794" w:type="dxa"/>
            <w:tcBorders>
              <w:bottom w:val="nil"/>
            </w:tcBorders>
          </w:tcPr>
          <w:p>
            <w:pPr>
              <w:pStyle w:val="0"/>
              <w:jc w:val="center"/>
            </w:pPr>
            <w:r>
              <w:rPr>
                <w:sz w:val="20"/>
              </w:rPr>
              <w:t xml:space="preserve">41</w:t>
            </w:r>
          </w:p>
        </w:tc>
        <w:tc>
          <w:tcPr>
            <w:tcW w:w="1305" w:type="dxa"/>
            <w:tcBorders>
              <w:bottom w:val="nil"/>
            </w:tcBorders>
          </w:tcPr>
          <w:p>
            <w:pPr>
              <w:pStyle w:val="0"/>
              <w:jc w:val="center"/>
            </w:pPr>
            <w:r>
              <w:rPr>
                <w:sz w:val="20"/>
              </w:rPr>
              <w:t xml:space="preserve">62003,8</w:t>
            </w:r>
          </w:p>
        </w:tc>
        <w:tc>
          <w:tcPr>
            <w:tcW w:w="975" w:type="dxa"/>
            <w:tcBorders>
              <w:bottom w:val="nil"/>
            </w:tcBorders>
          </w:tcPr>
          <w:p>
            <w:pPr>
              <w:pStyle w:val="0"/>
              <w:jc w:val="center"/>
            </w:pPr>
            <w:r>
              <w:rPr>
                <w:sz w:val="20"/>
              </w:rPr>
              <w:t xml:space="preserve">5</w:t>
            </w:r>
          </w:p>
        </w:tc>
        <w:tc>
          <w:tcPr>
            <w:tcW w:w="850" w:type="dxa"/>
            <w:tcBorders>
              <w:bottom w:val="nil"/>
            </w:tcBorders>
          </w:tcPr>
          <w:p>
            <w:pPr>
              <w:pStyle w:val="0"/>
              <w:jc w:val="center"/>
            </w:pPr>
            <w:r>
              <w:rPr>
                <w:sz w:val="20"/>
              </w:rPr>
              <w:t xml:space="preserve">42</w:t>
            </w:r>
          </w:p>
        </w:tc>
      </w:tr>
      <w:tr>
        <w:tblPrEx>
          <w:tblBorders>
            <w:insideH w:val="nil"/>
          </w:tblBorders>
        </w:tblPrEx>
        <w:tc>
          <w:tcPr>
            <w:tcW w:w="2948" w:type="dxa"/>
            <w:tcBorders>
              <w:top w:val="nil"/>
              <w:bottom w:val="nil"/>
            </w:tcBorders>
          </w:tcPr>
          <w:p>
            <w:pPr>
              <w:pStyle w:val="0"/>
              <w:jc w:val="both"/>
            </w:pPr>
            <w:r>
              <w:rPr>
                <w:sz w:val="20"/>
              </w:rPr>
              <w:t xml:space="preserve">Темп роста, % г/г</w:t>
            </w:r>
          </w:p>
        </w:tc>
        <w:tc>
          <w:tcPr>
            <w:tcW w:w="1305" w:type="dxa"/>
            <w:tcBorders>
              <w:top w:val="nil"/>
              <w:bottom w:val="nil"/>
            </w:tcBorders>
          </w:tcPr>
          <w:p>
            <w:pPr>
              <w:pStyle w:val="0"/>
              <w:jc w:val="center"/>
            </w:pPr>
            <w:r>
              <w:rPr>
                <w:sz w:val="20"/>
              </w:rPr>
              <w:t xml:space="preserve">116,9</w:t>
            </w:r>
          </w:p>
        </w:tc>
        <w:tc>
          <w:tcPr>
            <w:tcW w:w="855" w:type="dxa"/>
            <w:tcBorders>
              <w:top w:val="nil"/>
              <w:bottom w:val="nil"/>
            </w:tcBorders>
          </w:tcPr>
          <w:p>
            <w:pPr>
              <w:pStyle w:val="0"/>
              <w:jc w:val="center"/>
            </w:pPr>
            <w:r>
              <w:rPr>
                <w:sz w:val="20"/>
              </w:rPr>
              <w:t xml:space="preserve">11</w:t>
            </w:r>
          </w:p>
        </w:tc>
        <w:tc>
          <w:tcPr>
            <w:tcW w:w="794" w:type="dxa"/>
            <w:tcBorders>
              <w:top w:val="nil"/>
              <w:bottom w:val="nil"/>
            </w:tcBorders>
          </w:tcPr>
          <w:p>
            <w:pPr>
              <w:pStyle w:val="0"/>
              <w:jc w:val="center"/>
            </w:pPr>
            <w:r>
              <w:rPr>
                <w:sz w:val="20"/>
              </w:rPr>
              <w:t xml:space="preserve">27</w:t>
            </w:r>
          </w:p>
        </w:tc>
        <w:tc>
          <w:tcPr>
            <w:tcW w:w="1305" w:type="dxa"/>
            <w:tcBorders>
              <w:top w:val="nil"/>
              <w:bottom w:val="nil"/>
            </w:tcBorders>
          </w:tcPr>
          <w:p>
            <w:pPr>
              <w:pStyle w:val="0"/>
              <w:jc w:val="center"/>
            </w:pPr>
            <w:r>
              <w:rPr>
                <w:sz w:val="20"/>
              </w:rPr>
              <w:t xml:space="preserve">119,3</w:t>
            </w:r>
          </w:p>
        </w:tc>
        <w:tc>
          <w:tcPr>
            <w:tcW w:w="975" w:type="dxa"/>
            <w:tcBorders>
              <w:top w:val="nil"/>
              <w:bottom w:val="nil"/>
            </w:tcBorders>
          </w:tcPr>
          <w:p>
            <w:pPr>
              <w:pStyle w:val="0"/>
              <w:jc w:val="center"/>
            </w:pPr>
            <w:r>
              <w:rPr>
                <w:sz w:val="20"/>
              </w:rPr>
              <w:t xml:space="preserve">6</w:t>
            </w:r>
          </w:p>
        </w:tc>
        <w:tc>
          <w:tcPr>
            <w:tcW w:w="850" w:type="dxa"/>
            <w:tcBorders>
              <w:top w:val="nil"/>
              <w:bottom w:val="nil"/>
            </w:tcBorders>
          </w:tcPr>
          <w:p>
            <w:pPr>
              <w:pStyle w:val="0"/>
              <w:jc w:val="center"/>
            </w:pPr>
            <w:r>
              <w:rPr>
                <w:sz w:val="20"/>
              </w:rPr>
              <w:t xml:space="preserve">27</w:t>
            </w:r>
          </w:p>
        </w:tc>
      </w:tr>
      <w:tr>
        <w:tblPrEx>
          <w:tblBorders>
            <w:insideH w:val="nil"/>
          </w:tblBorders>
        </w:tblPrEx>
        <w:tc>
          <w:tcPr>
            <w:tcW w:w="2948" w:type="dxa"/>
            <w:tcBorders>
              <w:top w:val="nil"/>
            </w:tcBorders>
          </w:tcPr>
          <w:p>
            <w:pPr>
              <w:pStyle w:val="0"/>
              <w:jc w:val="both"/>
            </w:pPr>
            <w:r>
              <w:rPr>
                <w:sz w:val="20"/>
              </w:rPr>
              <w:t xml:space="preserve">Реальная заработная плата, % г/г</w:t>
            </w:r>
          </w:p>
        </w:tc>
        <w:tc>
          <w:tcPr>
            <w:tcW w:w="1305" w:type="dxa"/>
            <w:tcBorders>
              <w:top w:val="nil"/>
            </w:tcBorders>
          </w:tcPr>
          <w:p>
            <w:pPr>
              <w:pStyle w:val="0"/>
              <w:jc w:val="center"/>
            </w:pPr>
            <w:r>
              <w:rPr>
                <w:sz w:val="20"/>
              </w:rPr>
              <w:t xml:space="preserve">111</w:t>
            </w:r>
          </w:p>
        </w:tc>
        <w:tc>
          <w:tcPr>
            <w:tcW w:w="855" w:type="dxa"/>
            <w:tcBorders>
              <w:top w:val="nil"/>
            </w:tcBorders>
          </w:tcPr>
          <w:p>
            <w:pPr>
              <w:pStyle w:val="0"/>
              <w:jc w:val="center"/>
            </w:pPr>
            <w:r>
              <w:rPr>
                <w:sz w:val="20"/>
              </w:rPr>
              <w:t xml:space="preserve">8</w:t>
            </w:r>
          </w:p>
        </w:tc>
        <w:tc>
          <w:tcPr>
            <w:tcW w:w="794" w:type="dxa"/>
            <w:tcBorders>
              <w:top w:val="nil"/>
            </w:tcBorders>
          </w:tcPr>
          <w:p>
            <w:pPr>
              <w:pStyle w:val="0"/>
              <w:jc w:val="center"/>
            </w:pPr>
            <w:r>
              <w:rPr>
                <w:sz w:val="20"/>
              </w:rPr>
              <w:t xml:space="preserve">20</w:t>
            </w:r>
          </w:p>
        </w:tc>
        <w:tc>
          <w:tcPr>
            <w:tcW w:w="1305" w:type="dxa"/>
            <w:tcBorders>
              <w:top w:val="nil"/>
            </w:tcBorders>
          </w:tcPr>
          <w:p>
            <w:pPr>
              <w:pStyle w:val="0"/>
              <w:jc w:val="center"/>
            </w:pPr>
            <w:r>
              <w:rPr>
                <w:sz w:val="20"/>
              </w:rPr>
              <w:t xml:space="preserve">111,6</w:t>
            </w:r>
          </w:p>
        </w:tc>
        <w:tc>
          <w:tcPr>
            <w:tcW w:w="975" w:type="dxa"/>
            <w:tcBorders>
              <w:top w:val="nil"/>
            </w:tcBorders>
          </w:tcPr>
          <w:p>
            <w:pPr>
              <w:pStyle w:val="0"/>
              <w:jc w:val="center"/>
            </w:pPr>
            <w:r>
              <w:rPr>
                <w:sz w:val="20"/>
              </w:rPr>
              <w:t xml:space="preserve">5</w:t>
            </w:r>
          </w:p>
        </w:tc>
        <w:tc>
          <w:tcPr>
            <w:tcW w:w="850" w:type="dxa"/>
            <w:tcBorders>
              <w:top w:val="nil"/>
            </w:tcBorders>
          </w:tcPr>
          <w:p>
            <w:pPr>
              <w:pStyle w:val="0"/>
              <w:jc w:val="center"/>
            </w:pPr>
            <w:r>
              <w:rPr>
                <w:sz w:val="20"/>
              </w:rPr>
              <w:t xml:space="preserve">20</w:t>
            </w:r>
          </w:p>
        </w:tc>
      </w:tr>
      <w:tr>
        <w:tblPrEx>
          <w:tblBorders>
            <w:insideH w:val="nil"/>
          </w:tblBorders>
        </w:tblPrEx>
        <w:tc>
          <w:tcPr>
            <w:tcW w:w="2948" w:type="dxa"/>
            <w:tcBorders>
              <w:bottom w:val="nil"/>
            </w:tcBorders>
          </w:tcPr>
          <w:p>
            <w:pPr>
              <w:pStyle w:val="0"/>
              <w:jc w:val="both"/>
            </w:pPr>
            <w:r>
              <w:rPr>
                <w:sz w:val="20"/>
              </w:rPr>
              <w:t xml:space="preserve">Среднедушевые денежные доходы населения, руб.</w:t>
            </w:r>
          </w:p>
        </w:tc>
        <w:tc>
          <w:tcPr>
            <w:tcW w:w="1305" w:type="dxa"/>
            <w:tcBorders>
              <w:bottom w:val="nil"/>
            </w:tcBorders>
          </w:tcPr>
          <w:p>
            <w:pPr>
              <w:pStyle w:val="0"/>
              <w:jc w:val="center"/>
            </w:pPr>
            <w:r>
              <w:rPr>
                <w:sz w:val="20"/>
              </w:rPr>
              <w:t xml:space="preserve">50283</w:t>
            </w:r>
          </w:p>
        </w:tc>
        <w:tc>
          <w:tcPr>
            <w:tcW w:w="855" w:type="dxa"/>
            <w:tcBorders>
              <w:bottom w:val="nil"/>
            </w:tcBorders>
          </w:tcPr>
          <w:p>
            <w:pPr>
              <w:pStyle w:val="0"/>
              <w:jc w:val="center"/>
            </w:pPr>
            <w:r>
              <w:rPr>
                <w:sz w:val="20"/>
              </w:rPr>
              <w:t xml:space="preserve">2</w:t>
            </w:r>
          </w:p>
        </w:tc>
        <w:tc>
          <w:tcPr>
            <w:tcW w:w="794" w:type="dxa"/>
            <w:tcBorders>
              <w:bottom w:val="nil"/>
            </w:tcBorders>
          </w:tcPr>
          <w:p>
            <w:pPr>
              <w:pStyle w:val="0"/>
              <w:jc w:val="center"/>
            </w:pPr>
            <w:r>
              <w:rPr>
                <w:sz w:val="20"/>
              </w:rPr>
              <w:t xml:space="preserve">23</w:t>
            </w:r>
          </w:p>
        </w:tc>
        <w:tc>
          <w:tcPr>
            <w:tcW w:w="1305" w:type="dxa"/>
            <w:tcBorders>
              <w:bottom w:val="nil"/>
            </w:tcBorders>
          </w:tcPr>
          <w:p>
            <w:pPr>
              <w:pStyle w:val="0"/>
              <w:jc w:val="center"/>
            </w:pPr>
            <w:r>
              <w:rPr>
                <w:sz w:val="20"/>
              </w:rPr>
              <w:t xml:space="preserve">54005,7</w:t>
            </w:r>
          </w:p>
        </w:tc>
        <w:tc>
          <w:tcPr>
            <w:tcW w:w="975" w:type="dxa"/>
            <w:tcBorders>
              <w:bottom w:val="nil"/>
            </w:tcBorders>
          </w:tcPr>
          <w:p>
            <w:pPr>
              <w:pStyle w:val="0"/>
              <w:jc w:val="center"/>
            </w:pPr>
            <w:r>
              <w:rPr>
                <w:sz w:val="20"/>
              </w:rPr>
              <w:t xml:space="preserve">2</w:t>
            </w:r>
          </w:p>
        </w:tc>
        <w:tc>
          <w:tcPr>
            <w:tcW w:w="850" w:type="dxa"/>
            <w:tcBorders>
              <w:bottom w:val="nil"/>
            </w:tcBorders>
          </w:tcPr>
          <w:p>
            <w:pPr>
              <w:pStyle w:val="0"/>
              <w:jc w:val="center"/>
            </w:pPr>
            <w:r>
              <w:rPr>
                <w:sz w:val="20"/>
              </w:rPr>
              <w:t xml:space="preserve">22</w:t>
            </w:r>
          </w:p>
        </w:tc>
      </w:tr>
      <w:tr>
        <w:tblPrEx>
          <w:tblBorders>
            <w:insideH w:val="nil"/>
          </w:tblBorders>
        </w:tblPrEx>
        <w:tc>
          <w:tcPr>
            <w:tcW w:w="2948" w:type="dxa"/>
            <w:tcBorders>
              <w:top w:val="nil"/>
            </w:tcBorders>
          </w:tcPr>
          <w:p>
            <w:pPr>
              <w:pStyle w:val="0"/>
              <w:jc w:val="both"/>
            </w:pPr>
            <w:r>
              <w:rPr>
                <w:sz w:val="20"/>
              </w:rPr>
              <w:t xml:space="preserve">Реальные среднедушевые денежные доходы населения, % г/г</w:t>
            </w:r>
          </w:p>
        </w:tc>
        <w:tc>
          <w:tcPr>
            <w:tcW w:w="1305" w:type="dxa"/>
            <w:tcBorders>
              <w:top w:val="nil"/>
            </w:tcBorders>
          </w:tcPr>
          <w:p>
            <w:pPr>
              <w:pStyle w:val="0"/>
              <w:jc w:val="center"/>
            </w:pPr>
            <w:r>
              <w:rPr>
                <w:sz w:val="20"/>
              </w:rPr>
              <w:t xml:space="preserve">104,8</w:t>
            </w:r>
          </w:p>
        </w:tc>
        <w:tc>
          <w:tcPr>
            <w:tcW w:w="855" w:type="dxa"/>
            <w:tcBorders>
              <w:top w:val="nil"/>
            </w:tcBorders>
          </w:tcPr>
          <w:p>
            <w:pPr>
              <w:pStyle w:val="0"/>
              <w:jc w:val="center"/>
            </w:pPr>
            <w:r>
              <w:rPr>
                <w:sz w:val="20"/>
              </w:rPr>
              <w:t xml:space="preserve">9</w:t>
            </w:r>
          </w:p>
        </w:tc>
        <w:tc>
          <w:tcPr>
            <w:tcW w:w="794" w:type="dxa"/>
            <w:tcBorders>
              <w:top w:val="nil"/>
            </w:tcBorders>
          </w:tcPr>
          <w:p>
            <w:pPr>
              <w:pStyle w:val="0"/>
              <w:jc w:val="center"/>
            </w:pPr>
            <w:r>
              <w:rPr>
                <w:sz w:val="20"/>
              </w:rPr>
              <w:t xml:space="preserve">47</w:t>
            </w:r>
          </w:p>
        </w:tc>
        <w:tc>
          <w:tcPr>
            <w:tcW w:w="1305" w:type="dxa"/>
            <w:tcBorders>
              <w:top w:val="nil"/>
            </w:tcBorders>
          </w:tcPr>
          <w:p>
            <w:pPr>
              <w:pStyle w:val="0"/>
              <w:jc w:val="center"/>
            </w:pPr>
            <w:r>
              <w:rPr>
                <w:sz w:val="20"/>
              </w:rPr>
              <w:t xml:space="preserve">111,4</w:t>
            </w:r>
          </w:p>
        </w:tc>
        <w:tc>
          <w:tcPr>
            <w:tcW w:w="975" w:type="dxa"/>
            <w:tcBorders>
              <w:top w:val="nil"/>
            </w:tcBorders>
          </w:tcPr>
          <w:p>
            <w:pPr>
              <w:pStyle w:val="0"/>
              <w:jc w:val="center"/>
            </w:pPr>
            <w:r>
              <w:rPr>
                <w:sz w:val="20"/>
              </w:rPr>
              <w:t xml:space="preserve">4</w:t>
            </w:r>
          </w:p>
        </w:tc>
        <w:tc>
          <w:tcPr>
            <w:tcW w:w="850" w:type="dxa"/>
            <w:tcBorders>
              <w:top w:val="nil"/>
            </w:tcBorders>
          </w:tcPr>
          <w:p>
            <w:pPr>
              <w:pStyle w:val="0"/>
              <w:jc w:val="center"/>
            </w:pPr>
            <w:r>
              <w:rPr>
                <w:sz w:val="20"/>
              </w:rPr>
              <w:t xml:space="preserve">7</w:t>
            </w:r>
          </w:p>
        </w:tc>
      </w:tr>
      <w:tr>
        <w:tc>
          <w:tcPr>
            <w:tcW w:w="2948" w:type="dxa"/>
          </w:tcPr>
          <w:p>
            <w:pPr>
              <w:pStyle w:val="0"/>
              <w:jc w:val="both"/>
            </w:pPr>
            <w:r>
              <w:rPr>
                <w:sz w:val="20"/>
              </w:rPr>
              <w:t xml:space="preserve">Численность населения (в среднегодовом исчислении), тыс. чел.</w:t>
            </w:r>
          </w:p>
        </w:tc>
        <w:tc>
          <w:tcPr>
            <w:tcW w:w="1305" w:type="dxa"/>
          </w:tcPr>
          <w:p>
            <w:pPr>
              <w:pStyle w:val="0"/>
              <w:jc w:val="center"/>
            </w:pPr>
            <w:r>
              <w:rPr>
                <w:sz w:val="20"/>
              </w:rPr>
              <w:t xml:space="preserve">3071,1</w:t>
            </w:r>
          </w:p>
        </w:tc>
        <w:tc>
          <w:tcPr>
            <w:tcW w:w="855" w:type="dxa"/>
          </w:tcPr>
          <w:p>
            <w:pPr>
              <w:pStyle w:val="0"/>
              <w:jc w:val="center"/>
            </w:pPr>
            <w:r>
              <w:rPr>
                <w:sz w:val="20"/>
              </w:rPr>
              <w:t xml:space="preserve">4</w:t>
            </w:r>
          </w:p>
        </w:tc>
        <w:tc>
          <w:tcPr>
            <w:tcW w:w="794" w:type="dxa"/>
          </w:tcPr>
          <w:p>
            <w:pPr>
              <w:pStyle w:val="0"/>
              <w:jc w:val="center"/>
            </w:pPr>
            <w:r>
              <w:rPr>
                <w:sz w:val="20"/>
              </w:rPr>
              <w:t xml:space="preserve">12</w:t>
            </w:r>
          </w:p>
        </w:tc>
        <w:tc>
          <w:tcPr>
            <w:tcW w:w="1305" w:type="dxa"/>
          </w:tcPr>
          <w:p>
            <w:pPr>
              <w:pStyle w:val="0"/>
              <w:jc w:val="center"/>
            </w:pPr>
            <w:r>
              <w:rPr>
                <w:sz w:val="20"/>
              </w:rPr>
              <w:t xml:space="preserve">-</w:t>
            </w:r>
          </w:p>
        </w:tc>
        <w:tc>
          <w:tcPr>
            <w:tcW w:w="975" w:type="dxa"/>
          </w:tcPr>
          <w:p>
            <w:pPr>
              <w:pStyle w:val="0"/>
              <w:jc w:val="center"/>
            </w:pPr>
            <w:r>
              <w:rPr>
                <w:sz w:val="20"/>
              </w:rPr>
              <w:t xml:space="preserve">-</w:t>
            </w:r>
          </w:p>
        </w:tc>
        <w:tc>
          <w:tcPr>
            <w:tcW w:w="850" w:type="dxa"/>
          </w:tcPr>
          <w:p>
            <w:pPr>
              <w:pStyle w:val="0"/>
              <w:jc w:val="center"/>
            </w:pPr>
            <w:r>
              <w:rPr>
                <w:sz w:val="20"/>
              </w:rPr>
              <w:t xml:space="preserve">-</w:t>
            </w:r>
          </w:p>
        </w:tc>
      </w:tr>
      <w:tr>
        <w:tc>
          <w:tcPr>
            <w:tcW w:w="2948" w:type="dxa"/>
          </w:tcPr>
          <w:p>
            <w:pPr>
              <w:pStyle w:val="0"/>
              <w:jc w:val="both"/>
            </w:pPr>
            <w:r>
              <w:rPr>
                <w:sz w:val="20"/>
              </w:rPr>
              <w:t xml:space="preserve">Уровень зарегистрированной безработицы, %, на конец отчетного периода (1 место - минимальное значение)</w:t>
            </w:r>
          </w:p>
        </w:tc>
        <w:tc>
          <w:tcPr>
            <w:tcW w:w="1305" w:type="dxa"/>
          </w:tcPr>
          <w:p>
            <w:pPr>
              <w:pStyle w:val="0"/>
              <w:jc w:val="center"/>
            </w:pPr>
            <w:r>
              <w:rPr>
                <w:sz w:val="20"/>
              </w:rPr>
              <w:t xml:space="preserve">0,28</w:t>
            </w:r>
          </w:p>
        </w:tc>
        <w:tc>
          <w:tcPr>
            <w:tcW w:w="855" w:type="dxa"/>
          </w:tcPr>
          <w:p>
            <w:pPr>
              <w:pStyle w:val="0"/>
              <w:jc w:val="center"/>
            </w:pPr>
            <w:r>
              <w:rPr>
                <w:sz w:val="20"/>
              </w:rPr>
              <w:t xml:space="preserve">2</w:t>
            </w:r>
          </w:p>
        </w:tc>
        <w:tc>
          <w:tcPr>
            <w:tcW w:w="794" w:type="dxa"/>
          </w:tcPr>
          <w:p>
            <w:pPr>
              <w:pStyle w:val="0"/>
              <w:jc w:val="center"/>
            </w:pPr>
            <w:r>
              <w:rPr>
                <w:sz w:val="20"/>
              </w:rPr>
              <w:t xml:space="preserve">8</w:t>
            </w:r>
          </w:p>
        </w:tc>
        <w:tc>
          <w:tcPr>
            <w:tcW w:w="1305" w:type="dxa"/>
          </w:tcPr>
          <w:p>
            <w:pPr>
              <w:pStyle w:val="0"/>
              <w:jc w:val="center"/>
            </w:pPr>
            <w:r>
              <w:rPr>
                <w:sz w:val="20"/>
              </w:rPr>
              <w:t xml:space="preserve">0,23</w:t>
            </w:r>
          </w:p>
        </w:tc>
        <w:tc>
          <w:tcPr>
            <w:tcW w:w="975" w:type="dxa"/>
          </w:tcPr>
          <w:p>
            <w:pPr>
              <w:pStyle w:val="0"/>
              <w:jc w:val="center"/>
            </w:pPr>
            <w:r>
              <w:rPr>
                <w:sz w:val="20"/>
              </w:rPr>
              <w:t xml:space="preserve">1</w:t>
            </w:r>
          </w:p>
        </w:tc>
        <w:tc>
          <w:tcPr>
            <w:tcW w:w="850" w:type="dxa"/>
          </w:tcPr>
          <w:p>
            <w:pPr>
              <w:pStyle w:val="0"/>
              <w:jc w:val="center"/>
            </w:pPr>
            <w:r>
              <w:rPr>
                <w:sz w:val="20"/>
              </w:rPr>
              <w:t xml:space="preserve">4</w:t>
            </w:r>
          </w:p>
        </w:tc>
      </w:tr>
      <w:tr>
        <w:tc>
          <w:tcPr>
            <w:tcW w:w="2948" w:type="dxa"/>
          </w:tcPr>
          <w:p>
            <w:pPr>
              <w:pStyle w:val="0"/>
              <w:jc w:val="both"/>
            </w:pPr>
            <w:r>
              <w:rPr>
                <w:sz w:val="20"/>
              </w:rPr>
              <w:t xml:space="preserve">Коэффициент естественного прироста населения, на 1000 человек населения</w:t>
            </w:r>
          </w:p>
        </w:tc>
        <w:tc>
          <w:tcPr>
            <w:tcW w:w="1305" w:type="dxa"/>
          </w:tcPr>
          <w:p>
            <w:pPr>
              <w:pStyle w:val="0"/>
              <w:jc w:val="center"/>
            </w:pPr>
            <w:r>
              <w:rPr>
                <w:sz w:val="20"/>
              </w:rPr>
              <w:t xml:space="preserve">-7,1</w:t>
            </w:r>
          </w:p>
        </w:tc>
        <w:tc>
          <w:tcPr>
            <w:tcW w:w="855" w:type="dxa"/>
          </w:tcPr>
          <w:p>
            <w:pPr>
              <w:pStyle w:val="0"/>
              <w:jc w:val="center"/>
            </w:pPr>
            <w:r>
              <w:rPr>
                <w:sz w:val="20"/>
              </w:rPr>
              <w:t xml:space="preserve">11</w:t>
            </w:r>
          </w:p>
        </w:tc>
        <w:tc>
          <w:tcPr>
            <w:tcW w:w="794" w:type="dxa"/>
          </w:tcPr>
          <w:p>
            <w:pPr>
              <w:pStyle w:val="0"/>
              <w:jc w:val="center"/>
            </w:pPr>
            <w:r>
              <w:rPr>
                <w:sz w:val="20"/>
              </w:rPr>
              <w:t xml:space="preserve">64</w:t>
            </w:r>
          </w:p>
        </w:tc>
        <w:tc>
          <w:tcPr>
            <w:tcW w:w="1305" w:type="dxa"/>
          </w:tcPr>
          <w:p>
            <w:pPr>
              <w:pStyle w:val="0"/>
              <w:jc w:val="center"/>
            </w:pPr>
            <w:r>
              <w:rPr>
                <w:sz w:val="20"/>
              </w:rPr>
              <w:t xml:space="preserve">-8,1</w:t>
            </w:r>
          </w:p>
        </w:tc>
        <w:tc>
          <w:tcPr>
            <w:tcW w:w="975" w:type="dxa"/>
          </w:tcPr>
          <w:p>
            <w:pPr>
              <w:pStyle w:val="0"/>
              <w:jc w:val="center"/>
            </w:pPr>
            <w:r>
              <w:rPr>
                <w:sz w:val="20"/>
              </w:rPr>
              <w:t xml:space="preserve">9</w:t>
            </w:r>
          </w:p>
        </w:tc>
        <w:tc>
          <w:tcPr>
            <w:tcW w:w="850" w:type="dxa"/>
          </w:tcPr>
          <w:p>
            <w:pPr>
              <w:pStyle w:val="0"/>
              <w:jc w:val="center"/>
            </w:pPr>
            <w:r>
              <w:rPr>
                <w:sz w:val="20"/>
              </w:rPr>
              <w:t xml:space="preserve">61</w:t>
            </w:r>
          </w:p>
        </w:tc>
      </w:tr>
    </w:tbl>
    <w:p>
      <w:pPr>
        <w:pStyle w:val="0"/>
        <w:ind w:firstLine="540"/>
        <w:jc w:val="both"/>
      </w:pPr>
      <w:r>
        <w:rPr>
          <w:sz w:val="20"/>
        </w:rPr>
      </w:r>
    </w:p>
    <w:p>
      <w:pPr>
        <w:pStyle w:val="2"/>
        <w:outlineLvl w:val="2"/>
        <w:jc w:val="center"/>
      </w:pPr>
      <w:r>
        <w:rPr>
          <w:sz w:val="20"/>
        </w:rPr>
        <w:t xml:space="preserve">2. Оценка факторов и ограничений экономического роста</w:t>
      </w:r>
    </w:p>
    <w:p>
      <w:pPr>
        <w:pStyle w:val="2"/>
        <w:jc w:val="center"/>
      </w:pPr>
      <w:r>
        <w:rPr>
          <w:sz w:val="20"/>
        </w:rPr>
        <w:t xml:space="preserve">Нижегородской области в 2025 - 2027 годах</w:t>
      </w:r>
    </w:p>
    <w:p>
      <w:pPr>
        <w:pStyle w:val="0"/>
        <w:ind w:firstLine="540"/>
        <w:jc w:val="both"/>
      </w:pPr>
      <w:r>
        <w:rPr>
          <w:sz w:val="20"/>
        </w:rPr>
      </w:r>
    </w:p>
    <w:p>
      <w:pPr>
        <w:pStyle w:val="2"/>
        <w:outlineLvl w:val="3"/>
        <w:jc w:val="center"/>
      </w:pPr>
      <w:r>
        <w:rPr>
          <w:sz w:val="20"/>
        </w:rPr>
        <w:t xml:space="preserve">2.1. Факторы экономического роста</w:t>
      </w:r>
    </w:p>
    <w:p>
      <w:pPr>
        <w:pStyle w:val="0"/>
        <w:ind w:firstLine="540"/>
        <w:jc w:val="both"/>
      </w:pPr>
      <w:r>
        <w:rPr>
          <w:sz w:val="20"/>
        </w:rPr>
      </w:r>
    </w:p>
    <w:p>
      <w:pPr>
        <w:pStyle w:val="0"/>
        <w:ind w:firstLine="540"/>
        <w:jc w:val="both"/>
      </w:pPr>
      <w:r>
        <w:rPr>
          <w:sz w:val="20"/>
        </w:rPr>
        <w:t xml:space="preserve">Социально-экономическое развитие Нижегородской области в среднесрочной перспективе будет определяться эффективностью реализации мер, направленных на увеличение потребительского спроса, рост инвестиционной активности, развитие импортозамещения, сохранение стабильной ситуации на рынке труда.</w:t>
      </w:r>
    </w:p>
    <w:p>
      <w:pPr>
        <w:pStyle w:val="0"/>
        <w:spacing w:before="200" w:line-rule="auto"/>
        <w:ind w:firstLine="540"/>
        <w:jc w:val="both"/>
      </w:pPr>
      <w:r>
        <w:rPr>
          <w:sz w:val="20"/>
        </w:rPr>
        <w:t xml:space="preserve">Укреплению положительных тенденций в среднесрочной перспективе будет способствовать выполнение задач, поставленных в </w:t>
      </w:r>
      <w:hyperlink w:history="0" r:id="rId21"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Указе</w:t>
        </w:r>
      </w:hyperlink>
      <w:r>
        <w:rPr>
          <w:sz w:val="20"/>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и эффективная реализация национальных проектов (приведены в </w:t>
      </w:r>
      <w:hyperlink w:history="0" w:anchor="P1131" w:tooltip="Таблица 4">
        <w:r>
          <w:rPr>
            <w:sz w:val="20"/>
            <w:color w:val="0000ff"/>
          </w:rPr>
          <w:t xml:space="preserve">таблице 4 раздела 3.2</w:t>
        </w:r>
      </w:hyperlink>
      <w:r>
        <w:rPr>
          <w:sz w:val="20"/>
        </w:rPr>
        <w:t xml:space="preserve"> "Основные направления социально-экономического развития Нижегородской области").</w:t>
      </w:r>
    </w:p>
    <w:p>
      <w:pPr>
        <w:pStyle w:val="0"/>
        <w:spacing w:before="200" w:line-rule="auto"/>
        <w:ind w:firstLine="540"/>
        <w:jc w:val="both"/>
      </w:pPr>
      <w:r>
        <w:rPr>
          <w:sz w:val="20"/>
        </w:rPr>
        <w:t xml:space="preserve">Важнейшими факторами экономического роста в среднесрочной перспективе будут являться следующие:</w:t>
      </w:r>
    </w:p>
    <w:p>
      <w:pPr>
        <w:pStyle w:val="0"/>
        <w:ind w:firstLine="540"/>
        <w:jc w:val="both"/>
      </w:pPr>
      <w:r>
        <w:rPr>
          <w:sz w:val="20"/>
        </w:rPr>
      </w:r>
    </w:p>
    <w:p>
      <w:pPr>
        <w:pStyle w:val="0"/>
        <w:jc w:val="right"/>
      </w:pPr>
      <w:r>
        <w:rPr>
          <w:sz w:val="20"/>
        </w:rPr>
        <w:t xml:space="preserve">Схема 1</w:t>
      </w:r>
    </w:p>
    <w:p>
      <w:pPr>
        <w:pStyle w:val="0"/>
        <w:ind w:firstLine="540"/>
        <w:jc w:val="both"/>
      </w:pPr>
      <w:r>
        <w:rPr>
          <w:sz w:val="20"/>
        </w:rPr>
      </w:r>
    </w:p>
    <w:p>
      <w:pPr>
        <w:pStyle w:val="0"/>
        <w:jc w:val="center"/>
      </w:pPr>
      <w:r>
        <w:rPr>
          <w:position w:val="-469"/>
        </w:rPr>
        <w:drawing>
          <wp:inline distT="0" distB="0" distL="0" distR="0">
            <wp:extent cx="5010785" cy="60864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5010785" cy="6086475"/>
                    </a:xfrm>
                    <a:prstGeom prst="rect">
                      <a:avLst/>
                    </a:prstGeom>
                    <a:noFill/>
                    <a:ln>
                      <a:noFill/>
                    </a:ln>
                  </pic:spPr>
                </pic:pic>
              </a:graphicData>
            </a:graphic>
          </wp:inline>
        </w:drawing>
      </w:r>
    </w:p>
    <w:p>
      <w:pPr>
        <w:pStyle w:val="0"/>
        <w:ind w:firstLine="540"/>
        <w:jc w:val="both"/>
      </w:pPr>
      <w:r>
        <w:rPr>
          <w:sz w:val="20"/>
        </w:rPr>
      </w:r>
    </w:p>
    <w:p>
      <w:pPr>
        <w:pStyle w:val="2"/>
        <w:outlineLvl w:val="3"/>
        <w:jc w:val="center"/>
      </w:pPr>
      <w:r>
        <w:rPr>
          <w:sz w:val="20"/>
        </w:rPr>
        <w:t xml:space="preserve">2.2. Ограничения экономического роста</w:t>
      </w:r>
    </w:p>
    <w:p>
      <w:pPr>
        <w:pStyle w:val="0"/>
        <w:ind w:firstLine="540"/>
        <w:jc w:val="both"/>
      </w:pPr>
      <w:r>
        <w:rPr>
          <w:sz w:val="20"/>
        </w:rPr>
      </w:r>
    </w:p>
    <w:p>
      <w:pPr>
        <w:pStyle w:val="0"/>
        <w:ind w:firstLine="540"/>
        <w:jc w:val="both"/>
      </w:pPr>
      <w:r>
        <w:rPr>
          <w:sz w:val="20"/>
        </w:rPr>
        <w:t xml:space="preserve">В настоящее время в экономике Нижегородской области сформировался ряд проблем, которые могут серьезно повлиять на ее развитие в среднесрочной перспективе. При этом на первый план выходят внутренние экономические проблемы - рост дефицита кадров при сохранении низкой производительности труда; высокая ключевая ставка как инструмент сдерживания роста цен; опережающий возможности выпуска рост спроса; сокращение предложения для населения отдельных товаров и услуг.</w:t>
      </w:r>
    </w:p>
    <w:p>
      <w:pPr>
        <w:pStyle w:val="2"/>
        <w:spacing w:before="200" w:line-rule="auto"/>
        <w:outlineLvl w:val="4"/>
        <w:ind w:firstLine="540"/>
        <w:jc w:val="both"/>
      </w:pPr>
      <w:r>
        <w:rPr>
          <w:sz w:val="20"/>
        </w:rPr>
        <w:t xml:space="preserve">1. Дефицит рабочей силы.</w:t>
      </w:r>
    </w:p>
    <w:p>
      <w:pPr>
        <w:pStyle w:val="0"/>
        <w:spacing w:before="200" w:line-rule="auto"/>
        <w:ind w:firstLine="540"/>
        <w:jc w:val="both"/>
      </w:pPr>
      <w:r>
        <w:rPr>
          <w:sz w:val="20"/>
        </w:rPr>
        <w:t xml:space="preserve">Нижегородская область относится к числу трудодефицитных регионов. Количество заявленных работодателями вакансий по состоянию на 28 августа 2024 года составляет 71,8 тыс. рабочих мест, что в 21,8 раза превышает численность зарегистрированных безработных граждан (3301 чел.). Коэффициент напряженности на рынке труда за последние три года снизился в 4 раза и составил 0,06 чел. на свободное рабочее место (с 0,24 чел. в августе 2021 года).</w:t>
      </w:r>
    </w:p>
    <w:p>
      <w:pPr>
        <w:pStyle w:val="0"/>
        <w:spacing w:before="200" w:line-rule="auto"/>
        <w:ind w:firstLine="540"/>
        <w:jc w:val="both"/>
      </w:pPr>
      <w:r>
        <w:rPr>
          <w:sz w:val="20"/>
        </w:rPr>
        <w:t xml:space="preserve">Уровень общей безработицы в регионе регулярно обновляет исторический минимум: в среднем за период май - июль 2024 года - 1,3% (за май - июль 2023 года - 1,7%).</w:t>
      </w:r>
    </w:p>
    <w:p>
      <w:pPr>
        <w:pStyle w:val="0"/>
        <w:spacing w:before="200" w:line-rule="auto"/>
        <w:ind w:firstLine="540"/>
        <w:jc w:val="both"/>
      </w:pPr>
      <w:r>
        <w:rPr>
          <w:sz w:val="20"/>
        </w:rPr>
        <w:t xml:space="preserve">Нехватка рабочей силы формируется, в том числе, из-за негативных демографических процессов (низкий уровень рождаемости и старение населения) на фоне частичной мобилизации, релокации высококвалифицированных специалистов за рубеж, снижения количества мигрантов.</w:t>
      </w:r>
    </w:p>
    <w:p>
      <w:pPr>
        <w:pStyle w:val="0"/>
        <w:spacing w:before="200" w:line-rule="auto"/>
        <w:ind w:firstLine="540"/>
        <w:jc w:val="both"/>
      </w:pPr>
      <w:r>
        <w:rPr>
          <w:sz w:val="20"/>
        </w:rPr>
        <w:t xml:space="preserve">Одним из основных последствий кадрового дефицита является ограничение возможностей для наращивания выпуска в экономике, чтобы удовлетворить растущий спрос.</w:t>
      </w:r>
    </w:p>
    <w:p>
      <w:pPr>
        <w:pStyle w:val="2"/>
        <w:spacing w:before="200" w:line-rule="auto"/>
        <w:outlineLvl w:val="4"/>
        <w:ind w:firstLine="540"/>
        <w:jc w:val="both"/>
      </w:pPr>
      <w:r>
        <w:rPr>
          <w:sz w:val="20"/>
        </w:rPr>
        <w:t xml:space="preserve">2. Высокая инфляция и рост ключевой ставки.</w:t>
      </w:r>
    </w:p>
    <w:p>
      <w:pPr>
        <w:pStyle w:val="0"/>
        <w:spacing w:before="200" w:line-rule="auto"/>
        <w:ind w:firstLine="540"/>
        <w:jc w:val="both"/>
      </w:pPr>
      <w:r>
        <w:rPr>
          <w:sz w:val="20"/>
        </w:rPr>
        <w:t xml:space="preserve">Устойчивый дефицит на рынке труда и повышение зарплат в борьбе за работников стали одной из причин ускорения инфляции существенно выше целевых значений. Росту инфляции способствует и перенос в цены растущих издержек производителей, в частности затрат на оплату труда, транспортно-логистических издержек вследствие нарушения логистических цепочек, увеличения расстояния грузоперевозок, роста тарифов.</w:t>
      </w:r>
    </w:p>
    <w:p>
      <w:pPr>
        <w:pStyle w:val="0"/>
        <w:spacing w:before="200" w:line-rule="auto"/>
        <w:ind w:firstLine="540"/>
        <w:jc w:val="both"/>
      </w:pPr>
      <w:r>
        <w:rPr>
          <w:sz w:val="20"/>
        </w:rPr>
        <w:t xml:space="preserve">Также на ускорение инфляции может повлиять рост цен на плодоовощную продукцию и продукты питания, связанный со снижением урожайности из-за заморозков в мае 2024 года.</w:t>
      </w:r>
    </w:p>
    <w:p>
      <w:pPr>
        <w:pStyle w:val="0"/>
        <w:spacing w:before="200" w:line-rule="auto"/>
        <w:ind w:firstLine="540"/>
        <w:jc w:val="both"/>
      </w:pPr>
      <w:r>
        <w:rPr>
          <w:sz w:val="20"/>
        </w:rPr>
        <w:t xml:space="preserve">В целях сдерживания роста цен Центробанк повысил ключевую ставку с 16% до 18% годовых в июле, а в сентябре - еще на 1 п.п., до 19%, не исключая при этом дальнейшее повышение до конца года. Таким образом, во втором полугодии 2024 года ожидается продолжение жесткой денежно-кредитной политики.</w:t>
      </w:r>
    </w:p>
    <w:p>
      <w:pPr>
        <w:pStyle w:val="0"/>
        <w:spacing w:before="200" w:line-rule="auto"/>
        <w:ind w:firstLine="540"/>
        <w:jc w:val="both"/>
      </w:pPr>
      <w:r>
        <w:rPr>
          <w:sz w:val="20"/>
        </w:rPr>
        <w:t xml:space="preserve">В то же время эффект от предыдущих повышений ключевой ставки практически отсутствовал - инфляция по-прежнему росла, темпы кредитования не замедлились, инфляционные ожидания оставались высокими.</w:t>
      </w:r>
    </w:p>
    <w:p>
      <w:pPr>
        <w:pStyle w:val="0"/>
        <w:spacing w:before="200" w:line-rule="auto"/>
        <w:ind w:firstLine="540"/>
        <w:jc w:val="both"/>
      </w:pPr>
      <w:r>
        <w:rPr>
          <w:sz w:val="20"/>
        </w:rPr>
        <w:t xml:space="preserve">Кроме того, очевидно, что жесткая денежно-кредитная политика ограничивает доступность банковского кредитования и оказывает негативное влияние на инвестиционную активность бизнеса как в краткосрочной, так и в среднесрочной перспективе. Наиболее заметно рост ставок может замедлить отрасли, сильно зависящие от потребительского спроса, к примеру торговля автотранспортными средствами.</w:t>
      </w:r>
    </w:p>
    <w:p>
      <w:pPr>
        <w:pStyle w:val="0"/>
        <w:spacing w:before="200" w:line-rule="auto"/>
        <w:ind w:firstLine="540"/>
        <w:jc w:val="both"/>
      </w:pPr>
      <w:r>
        <w:rPr>
          <w:sz w:val="20"/>
        </w:rPr>
        <w:t xml:space="preserve">Высокие ставки будут способствовать охлаждению потребительской активности и переходу населения к сберегательной модели поведения, сокращая тем самым спрос на товары и услуги.</w:t>
      </w:r>
    </w:p>
    <w:p>
      <w:pPr>
        <w:pStyle w:val="2"/>
        <w:spacing w:before="200" w:line-rule="auto"/>
        <w:outlineLvl w:val="4"/>
        <w:ind w:firstLine="540"/>
        <w:jc w:val="both"/>
      </w:pPr>
      <w:r>
        <w:rPr>
          <w:sz w:val="20"/>
        </w:rPr>
        <w:t xml:space="preserve">3. Сокращение предложения для населения.</w:t>
      </w:r>
    </w:p>
    <w:p>
      <w:pPr>
        <w:pStyle w:val="0"/>
        <w:spacing w:before="200" w:line-rule="auto"/>
        <w:ind w:firstLine="540"/>
        <w:jc w:val="both"/>
      </w:pPr>
      <w:r>
        <w:rPr>
          <w:sz w:val="20"/>
        </w:rPr>
        <w:t xml:space="preserve">Многие сегменты потребления становятся недоступными для населения, в частности:</w:t>
      </w:r>
    </w:p>
    <w:p>
      <w:pPr>
        <w:pStyle w:val="0"/>
        <w:spacing w:before="200" w:line-rule="auto"/>
        <w:ind w:firstLine="540"/>
        <w:jc w:val="both"/>
      </w:pPr>
      <w:r>
        <w:rPr>
          <w:sz w:val="20"/>
        </w:rPr>
        <w:t xml:space="preserve">- некоторые категории отдельных товаров: автомобили (из-за ухода европейских и американских автобрендов рынок стал заполняться китайским автопромом, однако цены на китайские и отечественные автомобили выросли настолько, что стали недоступными для многих автовладельцев; крупная бытовая техника известных брендов, попадающая в страну по параллельному импорту и др.);</w:t>
      </w:r>
    </w:p>
    <w:p>
      <w:pPr>
        <w:pStyle w:val="0"/>
        <w:spacing w:before="200" w:line-rule="auto"/>
        <w:ind w:firstLine="540"/>
        <w:jc w:val="both"/>
      </w:pPr>
      <w:r>
        <w:rPr>
          <w:sz w:val="20"/>
        </w:rPr>
        <w:t xml:space="preserve">- ипотека ввиду отмены с июля 2024 года массовой льготной ипотечной программы под 8% и трансформации других льготных кредитных программ.</w:t>
      </w:r>
    </w:p>
    <w:p>
      <w:pPr>
        <w:pStyle w:val="0"/>
        <w:spacing w:before="200" w:line-rule="auto"/>
        <w:ind w:firstLine="540"/>
        <w:jc w:val="both"/>
      </w:pPr>
      <w:r>
        <w:rPr>
          <w:sz w:val="20"/>
        </w:rPr>
        <w:t xml:space="preserve">С учетом этого у населения появляется некоторая свободная денежная масса, которую они вкладывают в банковские депозиты. Депозитные ставки в настоящее время превышают уровень инфляции, поэтому переход населения к сберегательной модели поведения вполне обоснован. Так, общий объем банковских вкладов нижегородцев в 1 полугодии 2024 года вырос на 27,2% к аналогичному периоду 2023 года.</w:t>
      </w:r>
    </w:p>
    <w:p>
      <w:pPr>
        <w:pStyle w:val="0"/>
        <w:spacing w:before="200" w:line-rule="auto"/>
        <w:ind w:firstLine="540"/>
        <w:jc w:val="both"/>
      </w:pPr>
      <w:r>
        <w:rPr>
          <w:sz w:val="20"/>
        </w:rPr>
        <w:t xml:space="preserve">В то же время рекордный прирост депозитов создает проблемы для банков - куда вложить привлеченные средства населения. Кроме того, у многих банков могут возникнуть серьезные проблемы в области финансовой устойчивости ввиду превышения процентных ставок по депозитам над кредитными ставками.</w:t>
      </w:r>
    </w:p>
    <w:p>
      <w:pPr>
        <w:pStyle w:val="0"/>
        <w:spacing w:before="200" w:line-rule="auto"/>
        <w:ind w:firstLine="540"/>
        <w:jc w:val="both"/>
      </w:pPr>
      <w:r>
        <w:rPr>
          <w:sz w:val="20"/>
        </w:rPr>
        <w:t xml:space="preserve">Кроме указанных рисков, сохраняются риски санкционного противостояния, могут быть введены новые санкции, а также усилен контроль за уже введенными, что может привести к дестабилизации системы внешнеэкономических связей.</w:t>
      </w:r>
    </w:p>
    <w:p>
      <w:pPr>
        <w:pStyle w:val="0"/>
        <w:spacing w:before="200" w:line-rule="auto"/>
        <w:ind w:firstLine="540"/>
        <w:jc w:val="both"/>
      </w:pPr>
      <w:r>
        <w:rPr>
          <w:sz w:val="20"/>
        </w:rPr>
        <w:t xml:space="preserve">В то же время этот риск уже не является настолько критичным для бизнеса, так как большинство компаний адаптировались к новым условиям, выстроили новые хозяйственные цепочки, логистику.</w:t>
      </w:r>
    </w:p>
    <w:p>
      <w:pPr>
        <w:pStyle w:val="0"/>
        <w:ind w:firstLine="540"/>
        <w:jc w:val="both"/>
      </w:pPr>
      <w:r>
        <w:rPr>
          <w:sz w:val="20"/>
        </w:rPr>
      </w:r>
    </w:p>
    <w:p>
      <w:pPr>
        <w:pStyle w:val="0"/>
        <w:jc w:val="right"/>
      </w:pPr>
      <w:r>
        <w:rPr>
          <w:sz w:val="20"/>
        </w:rPr>
        <w:t xml:space="preserve">Схема 2</w:t>
      </w:r>
    </w:p>
    <w:p>
      <w:pPr>
        <w:pStyle w:val="0"/>
        <w:ind w:firstLine="540"/>
        <w:jc w:val="both"/>
      </w:pPr>
      <w:r>
        <w:rPr>
          <w:sz w:val="20"/>
        </w:rPr>
      </w:r>
    </w:p>
    <w:p>
      <w:pPr>
        <w:pStyle w:val="0"/>
        <w:jc w:val="center"/>
      </w:pPr>
      <w:r>
        <w:rPr>
          <w:position w:val="-333"/>
        </w:rPr>
        <w:drawing>
          <wp:inline distT="0" distB="0" distL="0" distR="0">
            <wp:extent cx="4988560" cy="43618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4988560" cy="436181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Результаты выборочных обследований предприятий и организаций отдельных секторов экономики (промышленности, строительства, оптовой и розничной торговли, сферы услуг), проводимых Территориальным органом Федеральной службы государственной статистики по Нижегородской области, позволяют выделить наиболее значимые факторы, ограничивающие производственную деятельность организаций.</w:t>
      </w:r>
    </w:p>
    <w:p>
      <w:pPr>
        <w:pStyle w:val="0"/>
        <w:ind w:firstLine="540"/>
        <w:jc w:val="both"/>
      </w:pPr>
      <w:r>
        <w:rPr>
          <w:sz w:val="20"/>
        </w:rPr>
      </w:r>
    </w:p>
    <w:p>
      <w:pPr>
        <w:pStyle w:val="0"/>
        <w:jc w:val="right"/>
      </w:pPr>
      <w:r>
        <w:rPr>
          <w:sz w:val="20"/>
        </w:rPr>
        <w:t xml:space="preserve">Схема 3</w:t>
      </w:r>
    </w:p>
    <w:p>
      <w:pPr>
        <w:pStyle w:val="0"/>
        <w:ind w:firstLine="540"/>
        <w:jc w:val="both"/>
      </w:pPr>
      <w:r>
        <w:rPr>
          <w:sz w:val="20"/>
        </w:rPr>
      </w:r>
    </w:p>
    <w:p>
      <w:pPr>
        <w:pStyle w:val="0"/>
        <w:jc w:val="center"/>
      </w:pPr>
      <w:r>
        <w:rPr>
          <w:position w:val="-518"/>
        </w:rPr>
        <w:drawing>
          <wp:inline distT="0" distB="0" distL="0" distR="0">
            <wp:extent cx="4994910" cy="67125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4994910" cy="6712585"/>
                    </a:xfrm>
                    <a:prstGeom prst="rect">
                      <a:avLst/>
                    </a:prstGeom>
                    <a:noFill/>
                    <a:ln>
                      <a:noFill/>
                    </a:ln>
                  </pic:spPr>
                </pic:pic>
              </a:graphicData>
            </a:graphic>
          </wp:inline>
        </w:drawing>
      </w:r>
    </w:p>
    <w:p>
      <w:pPr>
        <w:pStyle w:val="0"/>
        <w:ind w:firstLine="540"/>
        <w:jc w:val="both"/>
      </w:pPr>
      <w:r>
        <w:rPr>
          <w:sz w:val="20"/>
        </w:rPr>
      </w:r>
    </w:p>
    <w:p>
      <w:pPr>
        <w:pStyle w:val="2"/>
        <w:outlineLvl w:val="3"/>
        <w:jc w:val="center"/>
      </w:pPr>
      <w:r>
        <w:rPr>
          <w:sz w:val="20"/>
        </w:rPr>
        <w:t xml:space="preserve">2.3. Сценарные условия социально-экономического развития</w:t>
      </w:r>
    </w:p>
    <w:p>
      <w:pPr>
        <w:pStyle w:val="2"/>
        <w:jc w:val="center"/>
      </w:pPr>
      <w:r>
        <w:rPr>
          <w:sz w:val="20"/>
        </w:rPr>
        <w:t xml:space="preserve">Нижегородской области на 2025 - 2027 годы</w:t>
      </w:r>
    </w:p>
    <w:p>
      <w:pPr>
        <w:pStyle w:val="0"/>
        <w:ind w:firstLine="540"/>
        <w:jc w:val="both"/>
      </w:pPr>
      <w:r>
        <w:rPr>
          <w:sz w:val="20"/>
        </w:rPr>
      </w:r>
    </w:p>
    <w:p>
      <w:pPr>
        <w:pStyle w:val="0"/>
        <w:ind w:firstLine="540"/>
        <w:jc w:val="both"/>
      </w:pPr>
      <w:r>
        <w:rPr>
          <w:sz w:val="20"/>
        </w:rPr>
        <w:t xml:space="preserve">Сценарные условия социально-экономического развития Нижегородской области на 2025 - 2027 годы сформированы с учетом основных параметров прогноза социально-экономического развития Российской Федерации на 2025 год и на плановый период 2026 и 2027 годов (далее - Прогноз развития РФ).</w:t>
      </w:r>
    </w:p>
    <w:p>
      <w:pPr>
        <w:pStyle w:val="0"/>
        <w:spacing w:before="200" w:line-rule="auto"/>
        <w:ind w:firstLine="540"/>
        <w:jc w:val="both"/>
      </w:pPr>
      <w:r>
        <w:rPr>
          <w:sz w:val="20"/>
        </w:rPr>
        <w:t xml:space="preserve">Прогноз развития РФ разработан в двух вариантах - базовом и консервативном. Базовый вариант описывает наиболее вероятный сценарий развития российской экономики. Консервативный вариант основан на предпосылках об ухудшении внешнеэкономических условий.</w:t>
      </w:r>
    </w:p>
    <w:p>
      <w:pPr>
        <w:pStyle w:val="0"/>
        <w:spacing w:before="200" w:line-rule="auto"/>
        <w:ind w:firstLine="540"/>
        <w:jc w:val="both"/>
      </w:pPr>
      <w:r>
        <w:rPr>
          <w:sz w:val="20"/>
        </w:rPr>
        <w:t xml:space="preserve">Для разработки параметров федерального бюджета на 2025 - 2027 годы предлагается рассматривать базовый вариант прогноза, представленный на схеме 4.</w:t>
      </w:r>
    </w:p>
    <w:p>
      <w:pPr>
        <w:pStyle w:val="0"/>
        <w:ind w:firstLine="540"/>
        <w:jc w:val="both"/>
      </w:pPr>
      <w:r>
        <w:rPr>
          <w:sz w:val="20"/>
        </w:rPr>
      </w:r>
    </w:p>
    <w:p>
      <w:pPr>
        <w:pStyle w:val="0"/>
        <w:jc w:val="right"/>
      </w:pPr>
      <w:r>
        <w:rPr>
          <w:sz w:val="20"/>
        </w:rPr>
        <w:t xml:space="preserve">Схема 4</w:t>
      </w:r>
    </w:p>
    <w:p>
      <w:pPr>
        <w:pStyle w:val="0"/>
        <w:ind w:firstLine="540"/>
        <w:jc w:val="both"/>
      </w:pPr>
      <w:r>
        <w:rPr>
          <w:sz w:val="20"/>
        </w:rPr>
      </w:r>
    </w:p>
    <w:p>
      <w:pPr>
        <w:pStyle w:val="0"/>
        <w:jc w:val="center"/>
      </w:pPr>
      <w:r>
        <w:rPr>
          <w:position w:val="-166"/>
        </w:rPr>
        <w:drawing>
          <wp:inline distT="0" distB="0" distL="0" distR="0">
            <wp:extent cx="5008880" cy="22459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5008880" cy="224599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Подробнее с основными параметрами прогноза социально-экономического развития Российской Федерации на 2025 год и на плановый период 2026 и 2027 годов можно ознакомиться на официальном сайте Министерства экономического развития Российской Федерации (</w:t>
      </w:r>
      <w:hyperlink w:history="0" r:id="rId26">
        <w:r>
          <w:rPr>
            <w:sz w:val="20"/>
            <w:color w:val="0000ff"/>
          </w:rPr>
          <w:t xml:space="preserve">www.economy.gov.ru</w:t>
        </w:r>
      </w:hyperlink>
      <w:r>
        <w:rPr>
          <w:sz w:val="20"/>
        </w:rPr>
        <w:t xml:space="preserve">) в разделе "Макроэкономика".</w:t>
      </w:r>
    </w:p>
    <w:p>
      <w:pPr>
        <w:pStyle w:val="0"/>
        <w:spacing w:before="200" w:line-rule="auto"/>
        <w:ind w:firstLine="540"/>
        <w:jc w:val="both"/>
      </w:pPr>
      <w:r>
        <w:rPr>
          <w:sz w:val="20"/>
        </w:rPr>
        <w:t xml:space="preserve">Сценарные условия социально-экономического развития Нижегородской области разработаны в трех вариантах - базовом, стратегическом и консервативном (схема 5).</w:t>
      </w:r>
    </w:p>
    <w:p>
      <w:pPr>
        <w:pStyle w:val="0"/>
        <w:ind w:firstLine="540"/>
        <w:jc w:val="both"/>
      </w:pPr>
      <w:r>
        <w:rPr>
          <w:sz w:val="20"/>
        </w:rPr>
      </w:r>
    </w:p>
    <w:p>
      <w:pPr>
        <w:pStyle w:val="0"/>
        <w:jc w:val="right"/>
      </w:pPr>
      <w:r>
        <w:rPr>
          <w:sz w:val="20"/>
        </w:rPr>
        <w:t xml:space="preserve">Схема 5</w:t>
      </w:r>
    </w:p>
    <w:p>
      <w:pPr>
        <w:pStyle w:val="0"/>
        <w:ind w:firstLine="540"/>
        <w:jc w:val="both"/>
      </w:pPr>
      <w:r>
        <w:rPr>
          <w:sz w:val="20"/>
        </w:rPr>
      </w:r>
    </w:p>
    <w:p>
      <w:pPr>
        <w:pStyle w:val="0"/>
        <w:jc w:val="center"/>
      </w:pPr>
      <w:r>
        <w:rPr>
          <w:position w:val="-266"/>
        </w:rPr>
        <w:drawing>
          <wp:inline distT="0" distB="0" distL="0" distR="0">
            <wp:extent cx="4998720" cy="35083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4998720" cy="3508375"/>
                    </a:xfrm>
                    <a:prstGeom prst="rect">
                      <a:avLst/>
                    </a:prstGeom>
                    <a:noFill/>
                    <a:ln>
                      <a:noFill/>
                    </a:ln>
                  </pic:spPr>
                </pic:pic>
              </a:graphicData>
            </a:graphic>
          </wp:inline>
        </w:drawing>
      </w:r>
    </w:p>
    <w:p>
      <w:pPr>
        <w:pStyle w:val="0"/>
        <w:ind w:firstLine="540"/>
        <w:jc w:val="both"/>
      </w:pPr>
      <w:r>
        <w:rPr>
          <w:sz w:val="20"/>
        </w:rPr>
      </w:r>
    </w:p>
    <w:p>
      <w:pPr>
        <w:pStyle w:val="0"/>
        <w:ind w:firstLine="540"/>
        <w:jc w:val="both"/>
      </w:pPr>
      <w:r>
        <w:rPr>
          <w:sz w:val="20"/>
        </w:rPr>
        <w:t xml:space="preserve">Базовый вариант прогноза учитывает рост внутреннего спроса (в том числе в условиях реализации программ импортозамещения, наращивания производства отечественных товаров и услуг) и инвестиционной активности.</w:t>
      </w:r>
    </w:p>
    <w:p>
      <w:pPr>
        <w:pStyle w:val="0"/>
        <w:spacing w:before="200" w:line-rule="auto"/>
        <w:ind w:firstLine="540"/>
        <w:jc w:val="both"/>
      </w:pPr>
      <w:r>
        <w:rPr>
          <w:sz w:val="20"/>
        </w:rPr>
        <w:t xml:space="preserve">При разработке базового варианта учитывались сложившиеся в Нижегородской области социально-экономические тенденции, факторы роста и ограничения экономического развития, а также прогнозы крупнейших предприятий области.</w:t>
      </w:r>
    </w:p>
    <w:p>
      <w:pPr>
        <w:pStyle w:val="0"/>
        <w:spacing w:before="200" w:line-rule="auto"/>
        <w:ind w:firstLine="540"/>
        <w:jc w:val="both"/>
      </w:pPr>
      <w:r>
        <w:rPr>
          <w:sz w:val="20"/>
        </w:rPr>
        <w:t xml:space="preserve">По базовому варианту развития темпы роста ВРП на 2025 - 2027 годы прогнозируются на уровне 103,1 - 103,3% в сопоставимых ценах ежегодно. Темпы роста реальной заработной платы по данному варианту прогноза заложены на уровне 104,1 - 107% ежегодно.</w:t>
      </w:r>
    </w:p>
    <w:p>
      <w:pPr>
        <w:pStyle w:val="0"/>
        <w:spacing w:before="200" w:line-rule="auto"/>
        <w:ind w:firstLine="540"/>
        <w:jc w:val="both"/>
      </w:pPr>
      <w:r>
        <w:rPr>
          <w:sz w:val="20"/>
        </w:rPr>
        <w:t xml:space="preserve">Стратегический вариант прогноза учитывает достижение параметров, определенных в Стратегии развития области социально-экономического развития Нижегородской области до 2035 года.</w:t>
      </w:r>
    </w:p>
    <w:p>
      <w:pPr>
        <w:pStyle w:val="0"/>
        <w:spacing w:before="200" w:line-rule="auto"/>
        <w:ind w:firstLine="540"/>
        <w:jc w:val="both"/>
      </w:pPr>
      <w:r>
        <w:rPr>
          <w:sz w:val="20"/>
        </w:rPr>
        <w:t xml:space="preserve">Консервативный вариант прогноза предполагает ужесточение санкционных ограничений, замедление инвестиционной активности.</w:t>
      </w:r>
    </w:p>
    <w:p>
      <w:pPr>
        <w:pStyle w:val="0"/>
        <w:spacing w:before="200" w:line-rule="auto"/>
        <w:ind w:firstLine="540"/>
        <w:jc w:val="both"/>
      </w:pPr>
      <w:r>
        <w:rPr>
          <w:sz w:val="20"/>
        </w:rPr>
        <w:t xml:space="preserve">Далее ведется описание значений показателей по базовому варианту прогноза, который берется за основу при формировании областного бюджета.</w:t>
      </w:r>
    </w:p>
    <w:p>
      <w:pPr>
        <w:pStyle w:val="0"/>
        <w:ind w:firstLine="540"/>
        <w:jc w:val="both"/>
      </w:pPr>
      <w:r>
        <w:rPr>
          <w:sz w:val="20"/>
        </w:rPr>
      </w:r>
    </w:p>
    <w:p>
      <w:pPr>
        <w:pStyle w:val="2"/>
        <w:outlineLvl w:val="2"/>
        <w:jc w:val="center"/>
      </w:pPr>
      <w:r>
        <w:rPr>
          <w:sz w:val="20"/>
        </w:rPr>
        <w:t xml:space="preserve">3. Основные показатели прогноза социально-экономического</w:t>
      </w:r>
    </w:p>
    <w:p>
      <w:pPr>
        <w:pStyle w:val="2"/>
        <w:jc w:val="center"/>
      </w:pPr>
      <w:r>
        <w:rPr>
          <w:sz w:val="20"/>
        </w:rPr>
        <w:t xml:space="preserve">развития на 2025 - 2027 годы и основные направления</w:t>
      </w:r>
    </w:p>
    <w:p>
      <w:pPr>
        <w:pStyle w:val="2"/>
        <w:jc w:val="center"/>
      </w:pPr>
      <w:r>
        <w:rPr>
          <w:sz w:val="20"/>
        </w:rPr>
        <w:t xml:space="preserve">социально-экономического развития Нижегородской области</w:t>
      </w:r>
    </w:p>
    <w:p>
      <w:pPr>
        <w:pStyle w:val="0"/>
        <w:ind w:firstLine="540"/>
        <w:jc w:val="both"/>
      </w:pPr>
      <w:r>
        <w:rPr>
          <w:sz w:val="20"/>
        </w:rPr>
      </w:r>
    </w:p>
    <w:p>
      <w:pPr>
        <w:pStyle w:val="2"/>
        <w:outlineLvl w:val="3"/>
        <w:jc w:val="center"/>
      </w:pPr>
      <w:r>
        <w:rPr>
          <w:sz w:val="20"/>
        </w:rPr>
        <w:t xml:space="preserve">3.1. Характеристика основных показателей прогноза</w:t>
      </w:r>
    </w:p>
    <w:p>
      <w:pPr>
        <w:pStyle w:val="2"/>
        <w:jc w:val="center"/>
      </w:pPr>
      <w:r>
        <w:rPr>
          <w:sz w:val="20"/>
        </w:rPr>
        <w:t xml:space="preserve">социально-экономического развития</w:t>
      </w:r>
    </w:p>
    <w:p>
      <w:pPr>
        <w:pStyle w:val="0"/>
        <w:ind w:firstLine="540"/>
        <w:jc w:val="both"/>
      </w:pPr>
      <w:r>
        <w:rPr>
          <w:sz w:val="20"/>
        </w:rPr>
      </w:r>
    </w:p>
    <w:p>
      <w:pPr>
        <w:pStyle w:val="0"/>
        <w:ind w:firstLine="540"/>
        <w:jc w:val="both"/>
      </w:pPr>
      <w:r>
        <w:rPr>
          <w:sz w:val="20"/>
        </w:rPr>
        <w:t xml:space="preserve">Прогноз социально-экономического развития Нижегородской области на 2025 - 2027 годы сформирован с учетом ожидаемой ситуации до конца 2024 года, прогноза развития Российской Федерации на период до 2027 года, прогнозных намерений хозяйствующих субъектов и органов местного самоуправления муниципальных и городских округов Нижегородской области.</w:t>
      </w:r>
    </w:p>
    <w:p>
      <w:pPr>
        <w:pStyle w:val="0"/>
        <w:ind w:firstLine="540"/>
        <w:jc w:val="both"/>
      </w:pPr>
      <w:r>
        <w:rPr>
          <w:sz w:val="20"/>
        </w:rPr>
      </w:r>
    </w:p>
    <w:p>
      <w:pPr>
        <w:pStyle w:val="2"/>
        <w:outlineLvl w:val="4"/>
        <w:jc w:val="center"/>
      </w:pPr>
      <w:r>
        <w:rPr>
          <w:sz w:val="20"/>
        </w:rPr>
        <w:t xml:space="preserve">Реальный сектор экономики</w:t>
      </w:r>
    </w:p>
    <w:p>
      <w:pPr>
        <w:pStyle w:val="0"/>
        <w:ind w:firstLine="540"/>
        <w:jc w:val="both"/>
      </w:pPr>
      <w:r>
        <w:rPr>
          <w:sz w:val="20"/>
        </w:rPr>
      </w:r>
    </w:p>
    <w:p>
      <w:pPr>
        <w:pStyle w:val="0"/>
        <w:ind w:firstLine="540"/>
        <w:jc w:val="both"/>
      </w:pPr>
      <w:r>
        <w:rPr>
          <w:sz w:val="20"/>
        </w:rPr>
        <w:t xml:space="preserve">По оценке, экономика Нижегородской области в 2024 году вырастет на 4% (в РФ - на 3,9%). В прогнозном периоде валовой региональный продукт (далее - ВРП) будет расти стабильными темпами 3,1 - 3,3% ежегодно.</w:t>
      </w:r>
    </w:p>
    <w:p>
      <w:pPr>
        <w:pStyle w:val="0"/>
        <w:spacing w:before="200" w:line-rule="auto"/>
        <w:ind w:firstLine="540"/>
        <w:jc w:val="both"/>
      </w:pPr>
      <w:r>
        <w:rPr>
          <w:sz w:val="20"/>
        </w:rPr>
        <w:t xml:space="preserve">Прогноз ИФО ВРП на 2025 - 2026 годы (103,3%, 103,2% соответственно) выше прогнозных значений ИФО ВРП, заложенных в прогнозе на 2024 - 2026 годы (102,8% ежегодно), ввиду улучшения ожиданий развития в среднесрочном периоде ключевых отраслей экономики.</w:t>
      </w:r>
    </w:p>
    <w:p>
      <w:pPr>
        <w:pStyle w:val="0"/>
        <w:spacing w:before="200" w:line-rule="auto"/>
        <w:ind w:firstLine="540"/>
        <w:jc w:val="both"/>
      </w:pPr>
      <w:r>
        <w:rPr>
          <w:sz w:val="20"/>
        </w:rPr>
        <w:t xml:space="preserve">Основная часть валового регионального продукта (более 70% от общего объема) создается в реальном секторе экономики: в промышленном производстве (29%), в оптовой и розничной торговле (18,2%), в научной деятельности (6,6%), в транспортном секторе (7,3%), в строительстве (7,5%) и др.</w:t>
      </w:r>
    </w:p>
    <w:p>
      <w:pPr>
        <w:pStyle w:val="0"/>
        <w:spacing w:before="200" w:line-rule="auto"/>
        <w:ind w:firstLine="540"/>
        <w:jc w:val="both"/>
      </w:pPr>
      <w:r>
        <w:rPr>
          <w:sz w:val="20"/>
        </w:rPr>
        <w:t xml:space="preserve">Также важным фактором роста ВРП в 2025 - 2027 годах станет реализация национальных проектов и крупных инвестиционных проектов (в том числе реализуемых за счет частных средств), и, как следствие, увеличение объема инвестиционных вложений (темпы роста инвестиций в прогнозном периоде ожидаются от 3,3 до 5%, ежегодно).</w:t>
      </w:r>
    </w:p>
    <w:p>
      <w:pPr>
        <w:pStyle w:val="0"/>
        <w:spacing w:before="200" w:line-rule="auto"/>
        <w:ind w:firstLine="540"/>
        <w:jc w:val="both"/>
      </w:pPr>
      <w:r>
        <w:rPr>
          <w:sz w:val="20"/>
        </w:rPr>
        <w:t xml:space="preserve">Объем промышленного производства по оценке в 2024 году увеличится на 2,8 - 4,1% в сопоставимых ценах. В 2025 - 2027 годах прогнозируется на уровне 102,9 - 103,2%. По ключевой отрасли "обрабатывающие производства" в прогнозном периоде индексы производства составят 103 - 103,3%.</w:t>
      </w:r>
    </w:p>
    <w:p>
      <w:pPr>
        <w:pStyle w:val="0"/>
        <w:spacing w:before="200" w:line-rule="auto"/>
        <w:ind w:firstLine="540"/>
        <w:jc w:val="both"/>
      </w:pPr>
      <w:r>
        <w:rPr>
          <w:sz w:val="20"/>
        </w:rPr>
        <w:t xml:space="preserve">Прогнозные значения индекса промышленного производства скорректированы в большую сторону по сравнению с параметрами, заложенными в прогнозе на 2024 - 2026 годы (102,4 - 102,5%, ежегодно), за счет более высоких, чем прогнозировалось ранее, индексов обрабатывающих производств.</w:t>
      </w:r>
    </w:p>
    <w:p>
      <w:pPr>
        <w:pStyle w:val="0"/>
        <w:spacing w:before="200" w:line-rule="auto"/>
        <w:ind w:firstLine="540"/>
        <w:jc w:val="both"/>
      </w:pPr>
      <w:r>
        <w:rPr>
          <w:sz w:val="20"/>
        </w:rPr>
        <w:t xml:space="preserve">В строительстве в 2025 - 2027 годах рост объема работ прогнозируется на уровне 103,6 - 105%. Справочно: среднегодовой индекс цен по виду деятельности "Строительство" составит в 2025 году 106,1%, в 2026 году - 105,3%, в 2027 году - 104,5%.</w:t>
      </w:r>
    </w:p>
    <w:p>
      <w:pPr>
        <w:pStyle w:val="0"/>
        <w:spacing w:before="200" w:line-rule="auto"/>
        <w:ind w:firstLine="540"/>
        <w:jc w:val="both"/>
      </w:pPr>
      <w:r>
        <w:rPr>
          <w:sz w:val="20"/>
        </w:rPr>
        <w:t xml:space="preserve">В 2024 году ожидается рост потребительского спроса, обусловленный увеличением реальных доходов населения. Оборот розничной торговли по оценке вырастет на 8,6% в сопоставимых ценах к 2023 году, объем платных услуг населению - на 3,8%.</w:t>
      </w:r>
    </w:p>
    <w:p>
      <w:pPr>
        <w:pStyle w:val="0"/>
        <w:spacing w:before="200" w:line-rule="auto"/>
        <w:ind w:firstLine="540"/>
        <w:jc w:val="both"/>
      </w:pPr>
      <w:r>
        <w:rPr>
          <w:sz w:val="20"/>
        </w:rPr>
        <w:t xml:space="preserve">В 2025 - 2027 годах рост товарооборота прогнозируется на уровне 104,1 - 107,6% ежегодно, объема платных услуг населению - 103 - 106,4%. Прогнозные темпы роста показателей потребительского рынка на 2025 - 2026 годы скорректированы в большую сторону по сравнению с аналогичными параметрами, заложенными в прогнозе на 2024 - 2026 годы, что связано с более высоким ростом реальных денежных доходов населения.</w:t>
      </w:r>
    </w:p>
    <w:p>
      <w:pPr>
        <w:pStyle w:val="0"/>
        <w:spacing w:before="200" w:line-rule="auto"/>
        <w:ind w:firstLine="540"/>
        <w:jc w:val="both"/>
      </w:pPr>
      <w:r>
        <w:rPr>
          <w:sz w:val="20"/>
        </w:rPr>
        <w:t xml:space="preserve">Производство продукции сельского хозяйства в 2024 году, по оценке, снизится на 14% к уровню 2023 года в сопоставимых ценах за счет снижения объемов производства продукции растениеводства ввиду неблагоприятных погодных условий. В 2025 году ожидается, что индекс производства продукции сельского хозяйства прирастет на 3,6%, в 2026 - 2027 годах - на 0,5 - 0,7%, ежегодно.</w:t>
      </w:r>
    </w:p>
    <w:p>
      <w:pPr>
        <w:pStyle w:val="0"/>
        <w:spacing w:before="200" w:line-rule="auto"/>
        <w:ind w:firstLine="540"/>
        <w:jc w:val="both"/>
      </w:pPr>
      <w:r>
        <w:rPr>
          <w:sz w:val="20"/>
        </w:rPr>
        <w:t xml:space="preserve">С учетом прогнозируемых тенденций вклад отраслей реального сектора экономики в валовую добавленную стоимость сохранит свое преимущество и составит порядка 90%.</w:t>
      </w:r>
    </w:p>
    <w:p>
      <w:pPr>
        <w:pStyle w:val="0"/>
        <w:spacing w:before="200" w:line-rule="auto"/>
        <w:ind w:firstLine="540"/>
        <w:jc w:val="both"/>
      </w:pPr>
      <w:r>
        <w:rPr>
          <w:sz w:val="20"/>
        </w:rPr>
        <w:t xml:space="preserve">Объем инвестиций в основной капитал по оценке в 2024 году составит 764,4 млрд руб. (102% к уровню 2023 года в сопоставимых ценах).</w:t>
      </w:r>
    </w:p>
    <w:p>
      <w:pPr>
        <w:pStyle w:val="0"/>
        <w:spacing w:before="200" w:line-rule="auto"/>
        <w:ind w:firstLine="540"/>
        <w:jc w:val="both"/>
      </w:pPr>
      <w:r>
        <w:rPr>
          <w:sz w:val="20"/>
        </w:rPr>
        <w:t xml:space="preserve">В 2025 - 2027 годах инвестиционный рост прогнозируется на уровне 103,3 - 105% в сопоставимых ценах ежегодно.</w:t>
      </w:r>
    </w:p>
    <w:p>
      <w:pPr>
        <w:pStyle w:val="0"/>
        <w:spacing w:before="200" w:line-rule="auto"/>
        <w:ind w:firstLine="540"/>
        <w:jc w:val="both"/>
      </w:pPr>
      <w:r>
        <w:rPr>
          <w:sz w:val="20"/>
        </w:rPr>
        <w:t xml:space="preserve">Прогнозные значения инвестиций в основной капитал скорректированы в большую сторону по сравнению с параметрами, заложенными в прогнозе на 2024 - 2026 годы (103,7 - 104,5%, ежегодно) за счет более высоких, чем прогнозировалось ранее, объемов частных инвестиций.</w:t>
      </w:r>
    </w:p>
    <w:p>
      <w:pPr>
        <w:pStyle w:val="0"/>
        <w:spacing w:before="200" w:line-rule="auto"/>
        <w:ind w:firstLine="540"/>
        <w:jc w:val="both"/>
      </w:pPr>
      <w:r>
        <w:rPr>
          <w:sz w:val="20"/>
        </w:rPr>
        <w:t xml:space="preserve">В среднесрочном периоде прогнозируется увеличение доли валового накопления основного капитала в ВРП (таблица 3):</w:t>
      </w:r>
    </w:p>
    <w:p>
      <w:pPr>
        <w:pStyle w:val="0"/>
        <w:ind w:firstLine="540"/>
        <w:jc w:val="both"/>
      </w:pPr>
      <w:r>
        <w:rPr>
          <w:sz w:val="20"/>
        </w:rPr>
      </w:r>
    </w:p>
    <w:p>
      <w:pPr>
        <w:pStyle w:val="0"/>
        <w:jc w:val="right"/>
      </w:pPr>
      <w:r>
        <w:rPr>
          <w:sz w:val="20"/>
        </w:rPr>
        <w:t xml:space="preserve">Таблица 3</w:t>
      </w:r>
    </w:p>
    <w:p>
      <w:pPr>
        <w:pStyle w:val="0"/>
        <w:ind w:firstLine="540"/>
        <w:jc w:val="both"/>
      </w:pPr>
      <w:r>
        <w:rPr>
          <w:sz w:val="20"/>
        </w:rPr>
      </w:r>
    </w:p>
    <w:p>
      <w:pPr>
        <w:pStyle w:val="0"/>
        <w:jc w:val="center"/>
      </w:pPr>
      <w:r>
        <w:rPr>
          <w:sz w:val="20"/>
        </w:rPr>
        <w:t xml:space="preserve">Доля инвестиций в основной капитал в ВРП, %</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7"/>
        <w:gridCol w:w="2267"/>
        <w:gridCol w:w="2267"/>
        <w:gridCol w:w="2267"/>
      </w:tblGrid>
      <w:tr>
        <w:tc>
          <w:tcPr>
            <w:tcW w:w="2267" w:type="dxa"/>
          </w:tcPr>
          <w:p>
            <w:pPr>
              <w:pStyle w:val="0"/>
              <w:jc w:val="center"/>
            </w:pPr>
            <w:r>
              <w:rPr>
                <w:sz w:val="20"/>
              </w:rPr>
              <w:t xml:space="preserve">2024 год</w:t>
            </w:r>
          </w:p>
        </w:tc>
        <w:tc>
          <w:tcPr>
            <w:tcW w:w="2267" w:type="dxa"/>
          </w:tcPr>
          <w:p>
            <w:pPr>
              <w:pStyle w:val="0"/>
              <w:jc w:val="center"/>
            </w:pPr>
            <w:r>
              <w:rPr>
                <w:sz w:val="20"/>
              </w:rPr>
              <w:t xml:space="preserve">2025 год</w:t>
            </w:r>
          </w:p>
        </w:tc>
        <w:tc>
          <w:tcPr>
            <w:tcW w:w="2267" w:type="dxa"/>
          </w:tcPr>
          <w:p>
            <w:pPr>
              <w:pStyle w:val="0"/>
              <w:jc w:val="center"/>
            </w:pPr>
            <w:r>
              <w:rPr>
                <w:sz w:val="20"/>
              </w:rPr>
              <w:t xml:space="preserve">2026 год</w:t>
            </w:r>
          </w:p>
        </w:tc>
        <w:tc>
          <w:tcPr>
            <w:tcW w:w="2267" w:type="dxa"/>
          </w:tcPr>
          <w:p>
            <w:pPr>
              <w:pStyle w:val="0"/>
              <w:jc w:val="center"/>
            </w:pPr>
            <w:r>
              <w:rPr>
                <w:sz w:val="20"/>
              </w:rPr>
              <w:t xml:space="preserve">2027 год</w:t>
            </w:r>
          </w:p>
        </w:tc>
      </w:tr>
      <w:tr>
        <w:tc>
          <w:tcPr>
            <w:tcW w:w="2267" w:type="dxa"/>
          </w:tcPr>
          <w:p>
            <w:pPr>
              <w:pStyle w:val="0"/>
              <w:jc w:val="center"/>
            </w:pPr>
            <w:r>
              <w:rPr>
                <w:sz w:val="20"/>
              </w:rPr>
              <w:t xml:space="preserve">оценка</w:t>
            </w:r>
          </w:p>
        </w:tc>
        <w:tc>
          <w:tcPr>
            <w:gridSpan w:val="3"/>
            <w:tcW w:w="6801" w:type="dxa"/>
          </w:tcPr>
          <w:p>
            <w:pPr>
              <w:pStyle w:val="0"/>
              <w:jc w:val="center"/>
            </w:pPr>
            <w:r>
              <w:rPr>
                <w:sz w:val="20"/>
              </w:rPr>
              <w:t xml:space="preserve">прогноз</w:t>
            </w:r>
          </w:p>
        </w:tc>
      </w:tr>
      <w:tr>
        <w:tc>
          <w:tcPr>
            <w:tcW w:w="2267" w:type="dxa"/>
          </w:tcPr>
          <w:p>
            <w:pPr>
              <w:pStyle w:val="0"/>
              <w:jc w:val="center"/>
            </w:pPr>
            <w:r>
              <w:rPr>
                <w:sz w:val="20"/>
              </w:rPr>
              <w:t xml:space="preserve">25,2</w:t>
            </w:r>
          </w:p>
        </w:tc>
        <w:tc>
          <w:tcPr>
            <w:tcW w:w="2267" w:type="dxa"/>
          </w:tcPr>
          <w:p>
            <w:pPr>
              <w:pStyle w:val="0"/>
              <w:jc w:val="center"/>
            </w:pPr>
            <w:r>
              <w:rPr>
                <w:sz w:val="20"/>
              </w:rPr>
              <w:t xml:space="preserve">26,2</w:t>
            </w:r>
          </w:p>
        </w:tc>
        <w:tc>
          <w:tcPr>
            <w:tcW w:w="2267" w:type="dxa"/>
          </w:tcPr>
          <w:p>
            <w:pPr>
              <w:pStyle w:val="0"/>
              <w:jc w:val="center"/>
            </w:pPr>
            <w:r>
              <w:rPr>
                <w:sz w:val="20"/>
              </w:rPr>
              <w:t xml:space="preserve">26,9</w:t>
            </w:r>
          </w:p>
        </w:tc>
        <w:tc>
          <w:tcPr>
            <w:tcW w:w="2267" w:type="dxa"/>
          </w:tcPr>
          <w:p>
            <w:pPr>
              <w:pStyle w:val="0"/>
              <w:jc w:val="center"/>
            </w:pPr>
            <w:r>
              <w:rPr>
                <w:sz w:val="20"/>
              </w:rPr>
              <w:t xml:space="preserve">27,1</w:t>
            </w:r>
          </w:p>
        </w:tc>
      </w:tr>
    </w:tbl>
    <w:p>
      <w:pPr>
        <w:pStyle w:val="0"/>
        <w:ind w:firstLine="540"/>
        <w:jc w:val="both"/>
      </w:pPr>
      <w:r>
        <w:rPr>
          <w:sz w:val="20"/>
        </w:rPr>
      </w:r>
    </w:p>
    <w:p>
      <w:pPr>
        <w:pStyle w:val="0"/>
        <w:ind w:firstLine="540"/>
        <w:jc w:val="both"/>
      </w:pPr>
      <w:r>
        <w:rPr>
          <w:sz w:val="20"/>
        </w:rPr>
        <w:t xml:space="preserve">Увеличение инвестиционной активности в данный период будет обеспечено реализацией крупных инвестиционных проектов, прежде всего в обрабатывающих производствах, являющихся ведущим сектором экономики. На начало сентября 2024 года инвестиционный портфель области включает в себя 86 проектов с объемом инвестиций более 460 млрд руб.</w:t>
      </w:r>
    </w:p>
    <w:p>
      <w:pPr>
        <w:pStyle w:val="0"/>
        <w:spacing w:before="200" w:line-rule="auto"/>
        <w:ind w:firstLine="540"/>
        <w:jc w:val="both"/>
      </w:pPr>
      <w:r>
        <w:rPr>
          <w:sz w:val="20"/>
        </w:rPr>
        <w:t xml:space="preserve">Наиболее крупные проекты, которые планируются к реализации в Нижегородской области в 2025 - 2027 годах:</w:t>
      </w:r>
    </w:p>
    <w:p>
      <w:pPr>
        <w:pStyle w:val="0"/>
        <w:spacing w:before="200" w:line-rule="auto"/>
        <w:ind w:firstLine="540"/>
        <w:jc w:val="both"/>
      </w:pPr>
      <w:r>
        <w:rPr>
          <w:sz w:val="20"/>
        </w:rPr>
        <w:t xml:space="preserve">- производство твердосплавного инструмента и технологической оснастки - ООО "АКСИС" (срок реализации 2023 - 2027 годы, объем инвестиций 3 млрд руб.);</w:t>
      </w:r>
    </w:p>
    <w:p>
      <w:pPr>
        <w:pStyle w:val="0"/>
        <w:spacing w:before="200" w:line-rule="auto"/>
        <w:ind w:firstLine="540"/>
        <w:jc w:val="both"/>
      </w:pPr>
      <w:r>
        <w:rPr>
          <w:sz w:val="20"/>
        </w:rPr>
        <w:t xml:space="preserve">- строительство производства микронизированных силикагелей и стабильных силиказолей - ООО "РусСилика" (срок реализации 2022 - 2025 годы, объем инвестиций 9,9 млрд руб.);</w:t>
      </w:r>
    </w:p>
    <w:p>
      <w:pPr>
        <w:pStyle w:val="0"/>
        <w:spacing w:before="200" w:line-rule="auto"/>
        <w:ind w:firstLine="540"/>
        <w:jc w:val="both"/>
      </w:pPr>
      <w:r>
        <w:rPr>
          <w:sz w:val="20"/>
        </w:rPr>
        <w:t xml:space="preserve">- создание производственно-технического комплекса по переработке химических источников тока - АО "РГ-Центр" (срок реализации 2023 - 2025 годы, объем инвестиций 9,75 млрд руб.);</w:t>
      </w:r>
    </w:p>
    <w:p>
      <w:pPr>
        <w:pStyle w:val="0"/>
        <w:spacing w:before="200" w:line-rule="auto"/>
        <w:ind w:firstLine="540"/>
        <w:jc w:val="both"/>
      </w:pPr>
      <w:r>
        <w:rPr>
          <w:sz w:val="20"/>
        </w:rPr>
        <w:t xml:space="preserve">- строительство современного полигона твердых коммунальных отходов - ООО "Маг Груп" (срок реализации 2010 - 2029 годы, объем инвестиций 13 млрд руб.);</w:t>
      </w:r>
    </w:p>
    <w:p>
      <w:pPr>
        <w:pStyle w:val="0"/>
        <w:spacing w:before="200" w:line-rule="auto"/>
        <w:ind w:firstLine="540"/>
        <w:jc w:val="both"/>
      </w:pPr>
      <w:r>
        <w:rPr>
          <w:sz w:val="20"/>
        </w:rPr>
        <w:t xml:space="preserve">- строительство современного инновационного предприятия полного цикла по производству бытовой химии и гигиенической продукции, с участком производства тары и упаковки - ООО "Вертекс ЭкоРешения" (срок реализации 2024 - 2033 годы, объем инвестиций 7,6 млрд руб.);</w:t>
      </w:r>
    </w:p>
    <w:p>
      <w:pPr>
        <w:pStyle w:val="0"/>
        <w:spacing w:before="200" w:line-rule="auto"/>
        <w:ind w:firstLine="540"/>
        <w:jc w:val="both"/>
      </w:pPr>
      <w:r>
        <w:rPr>
          <w:sz w:val="20"/>
        </w:rPr>
        <w:t xml:space="preserve">- создание производства хлора и каустической соды методом мембранного электролиза и производство эпихлоргидрина из глицерина - ООО "ДЗЕРЖИНСК ХЛОР КАУСТИК" (срок реализации 2024 - 2026 годы, объем инвестиций 10,9 млрд руб.);</w:t>
      </w:r>
    </w:p>
    <w:p>
      <w:pPr>
        <w:pStyle w:val="0"/>
        <w:spacing w:before="200" w:line-rule="auto"/>
        <w:ind w:firstLine="540"/>
        <w:jc w:val="both"/>
      </w:pPr>
      <w:r>
        <w:rPr>
          <w:sz w:val="20"/>
        </w:rPr>
        <w:t xml:space="preserve">- развитие производства упаковочных бумаг с увеличением производственной мощности по переработке сырья и повышения энергоэффективности производства - АО "Волга" (срок реализации 2023 - 2025 годы, объем инвестиций 6,8 млрд руб.);</w:t>
      </w:r>
    </w:p>
    <w:p>
      <w:pPr>
        <w:pStyle w:val="0"/>
        <w:spacing w:before="200" w:line-rule="auto"/>
        <w:ind w:firstLine="540"/>
        <w:jc w:val="both"/>
      </w:pPr>
      <w:r>
        <w:rPr>
          <w:sz w:val="20"/>
        </w:rPr>
        <w:t xml:space="preserve">- строительство завода по производству пестицидов, агрохимикатов, родентицидных приманок - ООО "Завод Агро-Пест" (срок реализации 2024 - 2027 годы, объем инвестиций 1,65 млрд руб.);</w:t>
      </w:r>
    </w:p>
    <w:p>
      <w:pPr>
        <w:pStyle w:val="0"/>
        <w:spacing w:before="200" w:line-rule="auto"/>
        <w:ind w:firstLine="540"/>
        <w:jc w:val="both"/>
      </w:pPr>
      <w:r>
        <w:rPr>
          <w:sz w:val="20"/>
        </w:rPr>
        <w:t xml:space="preserve">- строительство роботизированного молочного комплекса на 1144 головы - СПК "Дубенский" (срок реализации 2024 - 2027 годы, объем инвестиций 1 млрд руб.);</w:t>
      </w:r>
    </w:p>
    <w:p>
      <w:pPr>
        <w:pStyle w:val="0"/>
        <w:spacing w:before="200" w:line-rule="auto"/>
        <w:ind w:firstLine="540"/>
        <w:jc w:val="both"/>
      </w:pPr>
      <w:r>
        <w:rPr>
          <w:sz w:val="20"/>
        </w:rPr>
        <w:t xml:space="preserve">- строительство молочной фермы на 2354 головы КРС - АО "Березниковское" (срок реализации 2024 - 2026 годы, объем инвестиций 2,5 млрд руб.) и др.</w:t>
      </w:r>
    </w:p>
    <w:p>
      <w:pPr>
        <w:pStyle w:val="0"/>
        <w:spacing w:before="200" w:line-rule="auto"/>
        <w:ind w:firstLine="540"/>
        <w:jc w:val="both"/>
      </w:pPr>
      <w:r>
        <w:rPr>
          <w:sz w:val="20"/>
        </w:rPr>
        <w:t xml:space="preserve">Другим значимым фактором роста инвестиций будет привлечение бюджетных средств на реализацию крупных инфраструктурных проектов: продление станций метро, модернизация городского электротранспорта, строительство дублера проспекта Гагарина.</w:t>
      </w:r>
    </w:p>
    <w:p>
      <w:pPr>
        <w:pStyle w:val="0"/>
        <w:spacing w:before="200" w:line-rule="auto"/>
        <w:ind w:firstLine="540"/>
        <w:jc w:val="both"/>
      </w:pPr>
      <w:r>
        <w:rPr>
          <w:sz w:val="20"/>
        </w:rPr>
        <w:t xml:space="preserve">Одним из основных источников инвестиций в основной капитал является прибыль хозяйствующих субъектов. По оценке в 2024 году объем прибыли прибыльных организаций составит 630,9 млрд руб. В прогнозном периоде темпы роста прибыли планируются на уровне 107,1 - 109,6%. Основные объемы прибыли будут формироваться в обрабатывающей промышленности, электроэнергетике, торговле, транспортной отрасли.</w:t>
      </w:r>
    </w:p>
    <w:p>
      <w:pPr>
        <w:pStyle w:val="0"/>
        <w:ind w:firstLine="540"/>
        <w:jc w:val="both"/>
      </w:pPr>
      <w:r>
        <w:rPr>
          <w:sz w:val="20"/>
        </w:rPr>
      </w:r>
    </w:p>
    <w:p>
      <w:pPr>
        <w:pStyle w:val="2"/>
        <w:outlineLvl w:val="4"/>
        <w:jc w:val="center"/>
      </w:pPr>
      <w:r>
        <w:rPr>
          <w:sz w:val="20"/>
        </w:rPr>
        <w:t xml:space="preserve">Социальная сфера</w:t>
      </w:r>
    </w:p>
    <w:p>
      <w:pPr>
        <w:pStyle w:val="0"/>
        <w:ind w:firstLine="540"/>
        <w:jc w:val="both"/>
      </w:pPr>
      <w:r>
        <w:rPr>
          <w:sz w:val="20"/>
        </w:rPr>
      </w:r>
    </w:p>
    <w:p>
      <w:pPr>
        <w:pStyle w:val="0"/>
        <w:ind w:firstLine="540"/>
        <w:jc w:val="both"/>
      </w:pPr>
      <w:r>
        <w:rPr>
          <w:sz w:val="20"/>
        </w:rPr>
        <w:t xml:space="preserve">В среднесрочном периоде в условиях улучшения экономической ситуации и устойчивости экономики к внешним негативным факторам прогнозируется положительная динамика показателей уровня жизни населения области.</w:t>
      </w:r>
    </w:p>
    <w:p>
      <w:pPr>
        <w:pStyle w:val="0"/>
        <w:spacing w:before="200" w:line-rule="auto"/>
        <w:ind w:firstLine="540"/>
        <w:jc w:val="both"/>
      </w:pPr>
      <w:r>
        <w:rPr>
          <w:sz w:val="20"/>
        </w:rPr>
        <w:t xml:space="preserve">По оценке 2024 года в Нижегородской области реальная заработная плата составит 112,5% (в РФ - 109,2%). В номинальном выражении заработная плата составит 68685 рублей, что на 21,5% выше уровня 2023 года в действующих ценах.</w:t>
      </w:r>
    </w:p>
    <w:p>
      <w:pPr>
        <w:pStyle w:val="0"/>
        <w:spacing w:before="200" w:line-rule="auto"/>
        <w:ind w:firstLine="540"/>
        <w:jc w:val="both"/>
      </w:pPr>
      <w:r>
        <w:rPr>
          <w:sz w:val="20"/>
        </w:rPr>
        <w:t xml:space="preserve">В среднесрочной перспективе прогнозируется уверенный рост реальной заработной платы: в 2025 году - 107% (в РФ - 107%), в 2026 - 2027 годах - 104,1 - 105,7%, ежегодно.</w:t>
      </w:r>
    </w:p>
    <w:p>
      <w:pPr>
        <w:pStyle w:val="0"/>
        <w:spacing w:before="200" w:line-rule="auto"/>
        <w:ind w:firstLine="540"/>
        <w:jc w:val="both"/>
      </w:pPr>
      <w:r>
        <w:rPr>
          <w:sz w:val="20"/>
        </w:rPr>
        <w:t xml:space="preserve">В номинальном выражении в 2025 году среднемесячная заработная плата в целом по области составит 77760 рублей и к 2027 году достигнет уровня 92810 рублей. Таким образом, в 2027 году заработная плата увеличится по сравнению с 2025 годом на 19% в действующих ценах. Параметры прогноза на 2025 - 2026 годы по реальной заработной плате превышают аналогичные параметры, заложенные в прогнозе на 2024 - 2026 годы.</w:t>
      </w:r>
    </w:p>
    <w:p>
      <w:pPr>
        <w:pStyle w:val="0"/>
        <w:spacing w:before="200" w:line-rule="auto"/>
        <w:ind w:firstLine="540"/>
        <w:jc w:val="both"/>
      </w:pPr>
      <w:r>
        <w:rPr>
          <w:sz w:val="20"/>
        </w:rPr>
        <w:t xml:space="preserve">Объем фонда оплаты труда (далее - ФОТ) в 2025 году прогнозируется на уровне 1101 млрд руб., что на 13,4% выше уровня 2024 года. В 2026 - 2027 годах ежегодный прирост составит 8,3 - 10,5%. Величина ФОТ к 2027 году достигнет 1318 млрд руб.</w:t>
      </w:r>
    </w:p>
    <w:p>
      <w:pPr>
        <w:pStyle w:val="0"/>
        <w:spacing w:before="200" w:line-rule="auto"/>
        <w:ind w:firstLine="540"/>
        <w:jc w:val="both"/>
      </w:pPr>
      <w:r>
        <w:rPr>
          <w:sz w:val="20"/>
        </w:rPr>
        <w:t xml:space="preserve">В 2024 году с учетом положительной динамики реальной заработной платы ожидается увеличение реального среднедушевого денежного дохода населения на 10,7% к уровню 2023 года. В 2025 - 2027 годах прогнозируется прирост на 3,5 - 6,1% ежегодно.</w:t>
      </w:r>
    </w:p>
    <w:p>
      <w:pPr>
        <w:pStyle w:val="0"/>
        <w:spacing w:before="200" w:line-rule="auto"/>
        <w:ind w:firstLine="540"/>
        <w:jc w:val="both"/>
      </w:pPr>
      <w:r>
        <w:rPr>
          <w:sz w:val="20"/>
        </w:rPr>
        <w:t xml:space="preserve">Параметры прогноза по реальному среднедушевому денежному доходу на 2025 - 2026 годы скорректированы в большую сторону по сравнению с аналогичными параметрами, заложенными в прогнозе на 2024 - 2026 годы, что обусловлено ускоренным ростом реальной заработной платы.</w:t>
      </w:r>
    </w:p>
    <w:p>
      <w:pPr>
        <w:pStyle w:val="0"/>
        <w:spacing w:before="200" w:line-rule="auto"/>
        <w:ind w:firstLine="540"/>
        <w:jc w:val="both"/>
      </w:pPr>
      <w:r>
        <w:rPr>
          <w:sz w:val="20"/>
        </w:rPr>
        <w:t xml:space="preserve">На рынке труда в 2024 году ожидается снижение численности безработных граждан, зарегистрированных в органах службы занятости. Оценочная величина показателя на конец 2024 года - 0,9 тыс. чел. (при уровне регистрируемой безработицы 0,1%). Численность безработных по методологии МОТ составит 21,9 тыс. чел. (при уровне безработицы по методологии МОТ - 1,3%). В 2025 - 2027 годах численность безработных граждан будет постепенно снижаться. В 2027 году численность безработных граждан, зарегистрированных в органах службы занятости, составит 0,8 тыс. чел. (при уровне регистрируемой безработицы 0,05%), численность безработных по методологии МОТ - 21,6 тыс. чел. (при уровне безработицы по методологии МОТ - 1,3%).</w:t>
      </w:r>
    </w:p>
    <w:p>
      <w:pPr>
        <w:pStyle w:val="0"/>
        <w:spacing w:before="200" w:line-rule="auto"/>
        <w:ind w:firstLine="540"/>
        <w:jc w:val="both"/>
      </w:pPr>
      <w:r>
        <w:rPr>
          <w:sz w:val="20"/>
        </w:rPr>
        <w:t xml:space="preserve">Достижению прогнозируемых показателей рынка труда будет способствовать реализация мероприятий нового национального проекта "Кадры", государственной программы "Содействие занятости населения Нижегородской области", а также реализация дополнительных мероприятий, направленных на снижение напряженности на рынке труда, и создание условий для привлечения работодателями необходимых трудовых ресурсов из других субъектов Российской Федерации в рамках федерального проекта "Содействие занятости".</w:t>
      </w:r>
    </w:p>
    <w:p>
      <w:pPr>
        <w:pStyle w:val="0"/>
        <w:spacing w:before="200" w:line-rule="auto"/>
        <w:ind w:firstLine="540"/>
        <w:jc w:val="both"/>
      </w:pPr>
      <w:r>
        <w:rPr>
          <w:sz w:val="20"/>
        </w:rPr>
        <w:t xml:space="preserve">Поддержку рынку труда в прогнозном периоде окажет расширение границ трудоспособного возраста в связи с поэтапным повышением пенсионного возраста. Численность занятого населения по оценке 2024 года составит 1667,4 тыс. чел., что на 0,4% выше уровня 2023 года (раздел 4.1. Прогноз баланса трудовых ресурсов). В среднесрочной перспективе в результате реализации комплекса мероприятий по улучшению ситуации на рынке труда численность занятого населения продолжит расти и в 2027 году составит 1691,8 тыс. чел.</w:t>
      </w:r>
    </w:p>
    <w:p>
      <w:pPr>
        <w:pStyle w:val="0"/>
        <w:spacing w:before="200" w:line-rule="auto"/>
        <w:ind w:firstLine="540"/>
        <w:jc w:val="both"/>
      </w:pPr>
      <w:r>
        <w:rPr>
          <w:sz w:val="20"/>
        </w:rPr>
        <w:t xml:space="preserve">Информация о прогнозной потребности в кадрах Нижегородской области на 2025 - 2027 годы в разрезе видов экономической деятельности и групп занятий приведена в </w:t>
      </w:r>
      <w:hyperlink w:history="0" w:anchor="P3047" w:tooltip="4.2. Прогноз кадровой потребности Нижегородской области">
        <w:r>
          <w:rPr>
            <w:sz w:val="20"/>
            <w:color w:val="0000ff"/>
          </w:rPr>
          <w:t xml:space="preserve">разделе 4.2</w:t>
        </w:r>
      </w:hyperlink>
      <w:r>
        <w:rPr>
          <w:sz w:val="20"/>
        </w:rPr>
        <w:t xml:space="preserve">.</w:t>
      </w:r>
    </w:p>
    <w:p>
      <w:pPr>
        <w:pStyle w:val="0"/>
        <w:spacing w:before="200" w:line-rule="auto"/>
        <w:ind w:firstLine="540"/>
        <w:jc w:val="both"/>
      </w:pPr>
      <w:r>
        <w:rPr>
          <w:sz w:val="20"/>
        </w:rPr>
        <w:t xml:space="preserve">Согласно прогнозу, в структуре общей кадровой потребности предприятий региона наибольшую долю составляют обрабатывающие производства (более 20%). Наиболее востребованы будут специалисты высшего уровня квалификации (более 22% от общей кадровой потребности) и квалифицированные рабочие промышленности, строительства, транспорта и рабочие родственных занятий (около 16%).</w:t>
      </w:r>
    </w:p>
    <w:p>
      <w:pPr>
        <w:pStyle w:val="0"/>
        <w:jc w:val="both"/>
      </w:pPr>
      <w:r>
        <w:rPr>
          <w:sz w:val="20"/>
        </w:rPr>
        <w:t xml:space="preserve">(в ред. </w:t>
      </w:r>
      <w:hyperlink w:history="0" r:id="rId28" w:tooltip="Постановление Правительства Нижегородской области от 24.01.2025 N 28 &quot;О внесении изменений в прогноз социально-экономического развития Нижегородской области на среднесрочный период (на 2025 год и на плановый период 2026 и 2027 годов), одобренный постановлением Правительства Нижегородской области от 23 октября 2024 г. N 639&quot; {КонсультантПлюс}">
        <w:r>
          <w:rPr>
            <w:sz w:val="20"/>
            <w:color w:val="0000ff"/>
          </w:rPr>
          <w:t xml:space="preserve">постановления</w:t>
        </w:r>
      </w:hyperlink>
      <w:r>
        <w:rPr>
          <w:sz w:val="20"/>
        </w:rPr>
        <w:t xml:space="preserve"> Правительства Нижегородской области от 24.01.2025 N 28)</w:t>
      </w:r>
    </w:p>
    <w:p>
      <w:pPr>
        <w:pStyle w:val="0"/>
        <w:spacing w:before="200" w:line-rule="auto"/>
        <w:ind w:firstLine="540"/>
        <w:jc w:val="both"/>
      </w:pPr>
      <w:r>
        <w:rPr>
          <w:sz w:val="20"/>
        </w:rPr>
        <w:t xml:space="preserve">Источниками восполнения кадровой потребности являются: ежегодный выпуск специалистов с высшим и средним профессиональным образованием; привлечение квалифицированных работников из других регионов и иностранных трудовых мигрантов; привлечение потенциальной рабочей силы (пенсионеров, граждан с ограниченными возможностями здоровья) и др.</w:t>
      </w:r>
    </w:p>
    <w:p>
      <w:pPr>
        <w:pStyle w:val="0"/>
        <w:spacing w:before="200" w:line-rule="auto"/>
        <w:ind w:firstLine="540"/>
        <w:jc w:val="both"/>
      </w:pPr>
      <w:r>
        <w:rPr>
          <w:sz w:val="20"/>
        </w:rPr>
        <w:t xml:space="preserve">Развитие человеческого капитала, создание высокотехнологичных производств, внедрение инноваций и цифровых технологий обеспечат в прогнозном периоде рост производительности труда. Индекс производительности труда по всем видам экономической деятельности в 2025 году прогнозируется на уровне 102,8%, в 2026 - 2027 годах до 102,7%, что выше прошлогодних параметров.</w:t>
      </w:r>
    </w:p>
    <w:p>
      <w:pPr>
        <w:pStyle w:val="0"/>
        <w:spacing w:before="200" w:line-rule="auto"/>
        <w:ind w:firstLine="540"/>
        <w:jc w:val="both"/>
      </w:pPr>
      <w:r>
        <w:rPr>
          <w:sz w:val="20"/>
        </w:rPr>
        <w:t xml:space="preserve">Развитию человеческого капитала будет способствовать, в первую очередь, реализация мероприятий национальных проектов. Ожидаемый объем финансирования на повышение уровня и качества жизни населения Нижегородской области за 2024 год составит 30,4 млрд руб. (национальный проект (далее - НП) "Здравоохранение", НП "Демография", НП "Жилье и городская среда", НП "Образование", НП "Культура", НП "Туризм", НП "Наука и университеты").</w:t>
      </w:r>
    </w:p>
    <w:p>
      <w:pPr>
        <w:pStyle w:val="0"/>
        <w:spacing w:before="200" w:line-rule="auto"/>
        <w:ind w:firstLine="540"/>
        <w:jc w:val="both"/>
      </w:pPr>
      <w:r>
        <w:rPr>
          <w:sz w:val="20"/>
        </w:rPr>
        <w:t xml:space="preserve">С учетом действия национальных проектов, а также реализации демографической политики к 2027 году прогнозируется снижение коэффициента естественной убыли населения до 5,6 промилле, увеличение ожидаемой продолжительности жизни при рождении до 73,2 лет. Среднегодовая численность населения по итогам 2027 года составит 3004,3 тыс. чел.</w:t>
      </w:r>
    </w:p>
    <w:p>
      <w:pPr>
        <w:pStyle w:val="0"/>
        <w:ind w:firstLine="540"/>
        <w:jc w:val="both"/>
      </w:pPr>
      <w:r>
        <w:rPr>
          <w:sz w:val="20"/>
        </w:rPr>
      </w:r>
    </w:p>
    <w:p>
      <w:pPr>
        <w:pStyle w:val="2"/>
        <w:outlineLvl w:val="3"/>
        <w:jc w:val="center"/>
      </w:pPr>
      <w:r>
        <w:rPr>
          <w:sz w:val="20"/>
        </w:rPr>
        <w:t xml:space="preserve">3.2. Основные направления социально-экономического</w:t>
      </w:r>
    </w:p>
    <w:p>
      <w:pPr>
        <w:pStyle w:val="2"/>
        <w:jc w:val="center"/>
      </w:pPr>
      <w:r>
        <w:rPr>
          <w:sz w:val="20"/>
        </w:rPr>
        <w:t xml:space="preserve">развития Нижегородской области</w:t>
      </w:r>
    </w:p>
    <w:p>
      <w:pPr>
        <w:pStyle w:val="0"/>
        <w:ind w:firstLine="540"/>
        <w:jc w:val="both"/>
      </w:pPr>
      <w:r>
        <w:rPr>
          <w:sz w:val="20"/>
        </w:rPr>
      </w:r>
    </w:p>
    <w:p>
      <w:pPr>
        <w:pStyle w:val="0"/>
        <w:ind w:firstLine="540"/>
        <w:jc w:val="both"/>
      </w:pPr>
      <w:r>
        <w:rPr>
          <w:sz w:val="20"/>
        </w:rPr>
        <w:t xml:space="preserve">Социально-экономическое развитие Нижегородской области в среднесрочной перспективе будет поддерживаться реализацией мер по достижению целей, поставленных в </w:t>
      </w:r>
      <w:hyperlink w:history="0" r:id="rId29"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Указе</w:t>
        </w:r>
      </w:hyperlink>
      <w:r>
        <w:rPr>
          <w:sz w:val="20"/>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 Указ).</w:t>
      </w:r>
    </w:p>
    <w:p>
      <w:pPr>
        <w:pStyle w:val="0"/>
        <w:spacing w:before="200" w:line-rule="auto"/>
        <w:ind w:firstLine="540"/>
        <w:jc w:val="both"/>
      </w:pPr>
      <w:r>
        <w:rPr>
          <w:sz w:val="20"/>
        </w:rPr>
        <w:t xml:space="preserve">Основным механизмом решения поставленных задач будет реализация национальных проектов и мероприятий государственных программ.</w:t>
      </w:r>
    </w:p>
    <w:p>
      <w:pPr>
        <w:pStyle w:val="0"/>
        <w:spacing w:before="200" w:line-rule="auto"/>
        <w:ind w:firstLine="540"/>
        <w:jc w:val="both"/>
      </w:pPr>
      <w:r>
        <w:rPr>
          <w:sz w:val="20"/>
        </w:rPr>
        <w:t xml:space="preserve">В соответствии с Указом с 2025 года планируется реализация 11 национальных проектов: "Продолжительная и активная жизнь", "Семья", "Молодежь и дети", "Кадры", "Инфраструктура для жизни", "Эффективная транспортная система", "Экологическое благополучие", "Эффективная и конкурентная экономика", "Туризм и гостеприимство", "Международная кооперация и экспорт", "Экономика данных и цифровая трансформация государства".</w:t>
      </w:r>
    </w:p>
    <w:p>
      <w:pPr>
        <w:pStyle w:val="0"/>
        <w:spacing w:before="200" w:line-rule="auto"/>
        <w:ind w:firstLine="540"/>
        <w:jc w:val="both"/>
      </w:pPr>
      <w:r>
        <w:rPr>
          <w:sz w:val="20"/>
        </w:rPr>
        <w:t xml:space="preserve">Для достижения национальных целей, целевых показателей и выполнения задач, предусмотренных настоящим Указом, Правительству Российской Федерации поручено до 1 сентября 2024 года утвердить перечень национальных проектов. Региональные проекты и показатели региональных проектов на 2025 - 2027 годы будут утверждены после утверждения перечня национальных проектов и декомпозиции значений показателей и результатов проектов на субъекты Российской Федерации.</w:t>
      </w:r>
    </w:p>
    <w:p>
      <w:pPr>
        <w:pStyle w:val="0"/>
        <w:spacing w:before="200" w:line-rule="auto"/>
        <w:ind w:firstLine="540"/>
        <w:jc w:val="both"/>
      </w:pPr>
      <w:r>
        <w:rPr>
          <w:sz w:val="20"/>
        </w:rPr>
        <w:t xml:space="preserve">До конца 2024 года продолжится реализация национальных проектов по 13 ключевым направлениям социально-экономического развития: "Демография", "Здравоохранение", "Образование", "Жилье и городская среда", "Экология", "Безопасные качественные дороги", "Производительность труда", "Наука", "Цифровая экономика", "Культура", "Малое и среднее предпринимательство и поддержка индивидуальной предпринимательской инициативы", "Международная кооперация и экспорт", "Туризм и индустрия гостеприимства".</w:t>
      </w:r>
    </w:p>
    <w:p>
      <w:pPr>
        <w:pStyle w:val="0"/>
        <w:spacing w:before="200" w:line-rule="auto"/>
        <w:ind w:firstLine="540"/>
        <w:jc w:val="both"/>
      </w:pPr>
      <w:r>
        <w:rPr>
          <w:sz w:val="20"/>
        </w:rPr>
        <w:t xml:space="preserve">По состоянию на 14 августа 2024 г. на территории Нижегородской области реализуется 48 региональных проектов, по которым заключены соглашения о реализации региональных проектов. Паспорта региональных проектов внесены в систему "Электронный бюджет" </w:t>
      </w:r>
      <w:hyperlink w:history="0" w:anchor="P1131" w:tooltip="Таблица 4">
        <w:r>
          <w:rPr>
            <w:sz w:val="20"/>
            <w:color w:val="0000ff"/>
          </w:rPr>
          <w:t xml:space="preserve">(таблица 4)</w:t>
        </w:r>
      </w:hyperlink>
      <w:r>
        <w:rPr>
          <w:sz w:val="20"/>
        </w:rPr>
        <w:t xml:space="preserve">.</w:t>
      </w:r>
    </w:p>
    <w:p>
      <w:pPr>
        <w:pStyle w:val="0"/>
        <w:spacing w:before="200" w:line-rule="auto"/>
        <w:ind w:firstLine="540"/>
        <w:jc w:val="both"/>
      </w:pPr>
      <w:r>
        <w:rPr>
          <w:sz w:val="20"/>
        </w:rPr>
        <w:t xml:space="preserve">Соответствующие мероприятия региональных проектов учтены в государственных программах Нижегородской области. В 2024 году в регионе осуществляется реализация 33 государственных программ и 1 государственной региональной программы Нижегородской области, связанной с модернизацией систем коммунальной инфраструктуры (перечень государственных программ Нижегородской области приведен в </w:t>
      </w:r>
      <w:hyperlink w:history="0" w:anchor="P1599" w:tooltip="4. Основные параметры государственных программ">
        <w:r>
          <w:rPr>
            <w:sz w:val="20"/>
            <w:color w:val="0000ff"/>
          </w:rPr>
          <w:t xml:space="preserve">разделе 4</w:t>
        </w:r>
      </w:hyperlink>
      <w:r>
        <w:rPr>
          <w:sz w:val="20"/>
        </w:rPr>
        <w:t xml:space="preserve"> "Основные параметры государственных программ Нижегородской области", </w:t>
      </w:r>
      <w:hyperlink w:history="0" w:anchor="P1603" w:tooltip="Таблица 5">
        <w:r>
          <w:rPr>
            <w:sz w:val="20"/>
            <w:color w:val="0000ff"/>
          </w:rPr>
          <w:t xml:space="preserve">таблица 5</w:t>
        </w:r>
      </w:hyperlink>
      <w:r>
        <w:rPr>
          <w:sz w:val="20"/>
        </w:rPr>
        <w:t xml:space="preserve">).</w:t>
      </w:r>
    </w:p>
    <w:p>
      <w:pPr>
        <w:pStyle w:val="0"/>
        <w:ind w:firstLine="540"/>
        <w:jc w:val="both"/>
      </w:pPr>
      <w:r>
        <w:rPr>
          <w:sz w:val="20"/>
        </w:rPr>
      </w:r>
    </w:p>
    <w:bookmarkStart w:id="1131" w:name="P1131"/>
    <w:bookmarkEnd w:id="1131"/>
    <w:p>
      <w:pPr>
        <w:pStyle w:val="0"/>
        <w:jc w:val="right"/>
      </w:pPr>
      <w:r>
        <w:rPr>
          <w:sz w:val="20"/>
        </w:rPr>
        <w:t xml:space="preserve">Таблица 4</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93"/>
      </w:tblGrid>
      <w:tr>
        <w:tc>
          <w:tcPr>
            <w:tcW w:w="2778" w:type="dxa"/>
          </w:tcPr>
          <w:p>
            <w:pPr>
              <w:pStyle w:val="0"/>
              <w:jc w:val="center"/>
            </w:pPr>
            <w:r>
              <w:rPr>
                <w:sz w:val="20"/>
              </w:rPr>
              <w:t xml:space="preserve">Наименование национального проекта, региональной составляющей федерального проекта</w:t>
            </w:r>
          </w:p>
        </w:tc>
        <w:tc>
          <w:tcPr>
            <w:tcW w:w="6293" w:type="dxa"/>
          </w:tcPr>
          <w:p>
            <w:pPr>
              <w:pStyle w:val="0"/>
              <w:jc w:val="center"/>
            </w:pPr>
            <w:r>
              <w:rPr>
                <w:sz w:val="20"/>
              </w:rPr>
              <w:t xml:space="preserve">Целевые показатели регионального проекта по Нижегородской области (данные из утвержденных паспортов приведены по состоянию на 14 августа 2024 г. и могут быть скорректированы)</w:t>
            </w:r>
          </w:p>
        </w:tc>
      </w:tr>
      <w:tr>
        <w:tc>
          <w:tcPr>
            <w:tcW w:w="2778" w:type="dxa"/>
          </w:tcPr>
          <w:p>
            <w:pPr>
              <w:pStyle w:val="0"/>
              <w:jc w:val="both"/>
            </w:pPr>
            <w:r>
              <w:rPr>
                <w:sz w:val="20"/>
              </w:rPr>
              <w:t xml:space="preserve">1. "Жилье и городская среда":</w:t>
            </w:r>
          </w:p>
          <w:p>
            <w:pPr>
              <w:pStyle w:val="0"/>
              <w:jc w:val="both"/>
            </w:pPr>
            <w:r>
              <w:rPr>
                <w:sz w:val="20"/>
              </w:rPr>
              <w:t xml:space="preserve">1.1. Жилье.</w:t>
            </w:r>
          </w:p>
          <w:p>
            <w:pPr>
              <w:pStyle w:val="0"/>
              <w:jc w:val="both"/>
            </w:pPr>
            <w:r>
              <w:rPr>
                <w:sz w:val="20"/>
              </w:rPr>
              <w:t xml:space="preserve">1.2. Формирование комфортной городской среды.</w:t>
            </w:r>
          </w:p>
          <w:p>
            <w:pPr>
              <w:pStyle w:val="0"/>
              <w:jc w:val="both"/>
            </w:pPr>
            <w:r>
              <w:rPr>
                <w:sz w:val="20"/>
              </w:rPr>
              <w:t xml:space="preserve">1.3. Обеспечение устойчивого сокращения непригодного для проживания жилищного фонда.</w:t>
            </w:r>
          </w:p>
          <w:p>
            <w:pPr>
              <w:pStyle w:val="0"/>
              <w:jc w:val="both"/>
            </w:pPr>
            <w:r>
              <w:rPr>
                <w:sz w:val="20"/>
              </w:rPr>
              <w:t xml:space="preserve">1.4. Чистая вода</w:t>
            </w:r>
          </w:p>
        </w:tc>
        <w:tc>
          <w:tcPr>
            <w:tcW w:w="6293" w:type="dxa"/>
          </w:tcPr>
          <w:p>
            <w:pPr>
              <w:pStyle w:val="0"/>
              <w:jc w:val="both"/>
            </w:pPr>
            <w:r>
              <w:rPr>
                <w:sz w:val="20"/>
              </w:rPr>
              <w:t xml:space="preserve">Объем жилищного строительства составит:</w:t>
            </w:r>
          </w:p>
          <w:p>
            <w:pPr>
              <w:pStyle w:val="0"/>
              <w:jc w:val="both"/>
            </w:pPr>
            <w:r>
              <w:rPr>
                <w:sz w:val="20"/>
              </w:rPr>
              <w:t xml:space="preserve">- в 2024 году - 1,728 млн кв. м.</w:t>
            </w:r>
          </w:p>
          <w:p>
            <w:pPr>
              <w:pStyle w:val="0"/>
              <w:jc w:val="both"/>
            </w:pPr>
            <w:r>
              <w:rPr>
                <w:sz w:val="20"/>
              </w:rPr>
              <w:t xml:space="preserve">Ввод жилья в рамках мероприятия по стимулированию программ развития жилищного строительства субъектов</w:t>
            </w:r>
          </w:p>
          <w:p>
            <w:pPr>
              <w:pStyle w:val="0"/>
              <w:jc w:val="both"/>
            </w:pPr>
            <w:r>
              <w:rPr>
                <w:sz w:val="20"/>
              </w:rPr>
              <w:t xml:space="preserve">Российской Федерации составит:</w:t>
            </w:r>
          </w:p>
          <w:p>
            <w:pPr>
              <w:pStyle w:val="0"/>
              <w:jc w:val="both"/>
            </w:pPr>
            <w:r>
              <w:rPr>
                <w:sz w:val="20"/>
              </w:rPr>
              <w:t xml:space="preserve">- в 2024 году - 0,1725 млн кв. м.</w:t>
            </w:r>
          </w:p>
          <w:p>
            <w:pPr>
              <w:pStyle w:val="0"/>
              <w:jc w:val="both"/>
            </w:pPr>
            <w:r>
              <w:rPr>
                <w:sz w:val="20"/>
              </w:rPr>
              <w:t xml:space="preserve">Доля городов с благоприятной средой от общего количества городов (индекс качества городской среды - выше 50%) составит:</w:t>
            </w:r>
          </w:p>
          <w:p>
            <w:pPr>
              <w:pStyle w:val="0"/>
              <w:jc w:val="both"/>
            </w:pPr>
            <w:r>
              <w:rPr>
                <w:sz w:val="20"/>
              </w:rPr>
              <w:t xml:space="preserve">- в 2024 году - 61,0%.</w:t>
            </w:r>
          </w:p>
          <w:p>
            <w:pPr>
              <w:pStyle w:val="0"/>
              <w:jc w:val="both"/>
            </w:pPr>
            <w:r>
              <w:rPr>
                <w:sz w:val="20"/>
              </w:rPr>
              <w:t xml:space="preserve">Количество благоустроенных общественных территорий составит:</w:t>
            </w:r>
          </w:p>
          <w:p>
            <w:pPr>
              <w:pStyle w:val="0"/>
              <w:jc w:val="both"/>
            </w:pPr>
            <w:r>
              <w:rPr>
                <w:sz w:val="20"/>
              </w:rPr>
              <w:t xml:space="preserve">- в 2024 году - 642 ед.</w:t>
            </w:r>
          </w:p>
          <w:p>
            <w:pPr>
              <w:pStyle w:val="0"/>
              <w:jc w:val="both"/>
            </w:pPr>
            <w:r>
              <w:rPr>
                <w:sz w:val="20"/>
              </w:rPr>
              <w:t xml:space="preserve">Количество городов с благоприятной городской средой составит:</w:t>
            </w:r>
          </w:p>
          <w:p>
            <w:pPr>
              <w:pStyle w:val="0"/>
              <w:jc w:val="both"/>
            </w:pPr>
            <w:r>
              <w:rPr>
                <w:sz w:val="20"/>
              </w:rPr>
              <w:t xml:space="preserve">- в 2024 году - 17 ед.</w:t>
            </w:r>
          </w:p>
          <w:p>
            <w:pPr>
              <w:pStyle w:val="0"/>
              <w:jc w:val="both"/>
            </w:pPr>
            <w:r>
              <w:rPr>
                <w:sz w:val="20"/>
              </w:rPr>
              <w:t xml:space="preserve">Индекс качества городской среды составит:</w:t>
            </w:r>
          </w:p>
          <w:p>
            <w:pPr>
              <w:pStyle w:val="0"/>
              <w:jc w:val="both"/>
            </w:pPr>
            <w:r>
              <w:rPr>
                <w:sz w:val="20"/>
              </w:rPr>
              <w:t xml:space="preserve">- в 2024 году - 212,0 баллов.</w:t>
            </w:r>
          </w:p>
          <w:p>
            <w:pPr>
              <w:pStyle w:val="0"/>
              <w:jc w:val="both"/>
            </w:pPr>
            <w:r>
              <w:rPr>
                <w:sz w:val="20"/>
              </w:rPr>
              <w:t xml:space="preserve">Прирост среднего индекса качества городской среды по отношению к 2019 году составит:</w:t>
            </w:r>
          </w:p>
          <w:p>
            <w:pPr>
              <w:pStyle w:val="0"/>
              <w:jc w:val="both"/>
            </w:pPr>
            <w:r>
              <w:rPr>
                <w:sz w:val="20"/>
              </w:rPr>
              <w:t xml:space="preserve">- в 2024 году - 20,0%.</w:t>
            </w:r>
          </w:p>
          <w:p>
            <w:pPr>
              <w:pStyle w:val="0"/>
              <w:jc w:val="both"/>
            </w:pPr>
            <w:r>
              <w:rPr>
                <w:sz w:val="20"/>
              </w:rPr>
              <w:t xml:space="preserve">Доля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реализации мероприятий государственных (муниципальных) программ современной городской среды составит:</w:t>
            </w:r>
          </w:p>
          <w:p>
            <w:pPr>
              <w:pStyle w:val="0"/>
              <w:jc w:val="both"/>
            </w:pPr>
            <w:r>
              <w:rPr>
                <w:sz w:val="20"/>
              </w:rPr>
              <w:t xml:space="preserve">- в 2024 году - 90,0%.</w:t>
            </w:r>
          </w:p>
          <w:p>
            <w:pPr>
              <w:pStyle w:val="0"/>
              <w:jc w:val="both"/>
            </w:pPr>
            <w:r>
              <w:rPr>
                <w:sz w:val="20"/>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составит:</w:t>
            </w:r>
          </w:p>
          <w:p>
            <w:pPr>
              <w:pStyle w:val="0"/>
              <w:jc w:val="both"/>
            </w:pPr>
            <w:r>
              <w:rPr>
                <w:sz w:val="20"/>
              </w:rPr>
              <w:t xml:space="preserve">- в 2024 году - 30,0%.</w:t>
            </w:r>
          </w:p>
          <w:p>
            <w:pPr>
              <w:pStyle w:val="0"/>
              <w:jc w:val="both"/>
            </w:pPr>
            <w:r>
              <w:rPr>
                <w:sz w:val="20"/>
              </w:rPr>
              <w:t xml:space="preserve">Количество граждан, расселенных из непригодного для проживания жилищного фонда составит:</w:t>
            </w:r>
          </w:p>
          <w:p>
            <w:pPr>
              <w:pStyle w:val="0"/>
              <w:jc w:val="both"/>
            </w:pPr>
            <w:r>
              <w:rPr>
                <w:sz w:val="20"/>
              </w:rPr>
              <w:t xml:space="preserve">- в 2024 году - 12,81 тысяч человек.</w:t>
            </w:r>
          </w:p>
          <w:p>
            <w:pPr>
              <w:pStyle w:val="0"/>
              <w:jc w:val="both"/>
            </w:pPr>
            <w:r>
              <w:rPr>
                <w:sz w:val="20"/>
              </w:rPr>
              <w:t xml:space="preserve">Количество квадратных метров расселенного непригодного для проживания жилищного фонда составит:</w:t>
            </w:r>
          </w:p>
          <w:p>
            <w:pPr>
              <w:pStyle w:val="0"/>
              <w:jc w:val="both"/>
            </w:pPr>
            <w:r>
              <w:rPr>
                <w:sz w:val="20"/>
              </w:rPr>
              <w:t xml:space="preserve">- в 2024 году - 224,15 тыс. кв. м.</w:t>
            </w:r>
          </w:p>
          <w:p>
            <w:pPr>
              <w:pStyle w:val="0"/>
              <w:jc w:val="both"/>
            </w:pPr>
            <w:r>
              <w:rPr>
                <w:sz w:val="20"/>
              </w:rPr>
              <w:t xml:space="preserve">Доля населения Российской Федерации, обеспеченного качественной питьевой водой из систем централизованного водоснабжения, составит:</w:t>
            </w:r>
          </w:p>
          <w:p>
            <w:pPr>
              <w:pStyle w:val="0"/>
              <w:jc w:val="both"/>
            </w:pPr>
            <w:r>
              <w:rPr>
                <w:sz w:val="20"/>
              </w:rPr>
              <w:t xml:space="preserve">- в 2024 году - 90,8%.</w:t>
            </w:r>
          </w:p>
          <w:p>
            <w:pPr>
              <w:pStyle w:val="0"/>
              <w:jc w:val="both"/>
            </w:pPr>
            <w:r>
              <w:rPr>
                <w:sz w:val="20"/>
              </w:rPr>
              <w:t xml:space="preserve">Доля городского населения Российской Федерации, обеспеченного качественной питьевой водой из систем централизованного водоснабжения, составит:</w:t>
            </w:r>
          </w:p>
          <w:p>
            <w:pPr>
              <w:pStyle w:val="0"/>
              <w:jc w:val="both"/>
            </w:pPr>
            <w:r>
              <w:rPr>
                <w:sz w:val="20"/>
              </w:rPr>
              <w:t xml:space="preserve">- в 2024 году - 94,2%.</w:t>
            </w:r>
          </w:p>
          <w:p>
            <w:pPr>
              <w:pStyle w:val="0"/>
              <w:jc w:val="both"/>
            </w:pPr>
            <w:r>
              <w:rPr>
                <w:sz w:val="20"/>
              </w:rPr>
              <w:t xml:space="preserve">Количество построенных и реконструированных (модернизированных) объектов питьевого водоснабжения и водоподготовки, предусмотренных региональными программами, составит:</w:t>
            </w:r>
          </w:p>
          <w:p>
            <w:pPr>
              <w:pStyle w:val="0"/>
              <w:jc w:val="both"/>
            </w:pPr>
            <w:r>
              <w:rPr>
                <w:sz w:val="20"/>
              </w:rPr>
              <w:t xml:space="preserve">- в 2024 году - 7 шт.</w:t>
            </w:r>
          </w:p>
        </w:tc>
      </w:tr>
      <w:tr>
        <w:tc>
          <w:tcPr>
            <w:tcW w:w="2778" w:type="dxa"/>
          </w:tcPr>
          <w:p>
            <w:pPr>
              <w:pStyle w:val="0"/>
              <w:jc w:val="both"/>
            </w:pPr>
            <w:r>
              <w:rPr>
                <w:sz w:val="20"/>
              </w:rPr>
              <w:t xml:space="preserve">2. "Демография":</w:t>
            </w:r>
          </w:p>
          <w:p>
            <w:pPr>
              <w:pStyle w:val="0"/>
              <w:jc w:val="both"/>
            </w:pPr>
            <w:r>
              <w:rPr>
                <w:sz w:val="20"/>
              </w:rPr>
              <w:t xml:space="preserve">2.1. Финансовая поддержка семей при рождении детей.</w:t>
            </w:r>
          </w:p>
          <w:p>
            <w:pPr>
              <w:pStyle w:val="0"/>
              <w:jc w:val="both"/>
            </w:pPr>
            <w:r>
              <w:rPr>
                <w:sz w:val="20"/>
              </w:rPr>
              <w:t xml:space="preserve">2.2. Содействие занятости.</w:t>
            </w:r>
          </w:p>
          <w:p>
            <w:pPr>
              <w:pStyle w:val="0"/>
              <w:jc w:val="both"/>
            </w:pPr>
            <w:r>
              <w:rPr>
                <w:sz w:val="20"/>
              </w:rPr>
              <w:t xml:space="preserve">2.3. Создание для всех категорий и групп населения условий для занятий физической культурой и спортом, массовым спортом, в том числе повышения уровня обеспеченности населения объектами спорта, а также подготовка спортивного резерва.</w:t>
            </w:r>
          </w:p>
          <w:p>
            <w:pPr>
              <w:pStyle w:val="0"/>
              <w:jc w:val="both"/>
            </w:pPr>
            <w:r>
              <w:rPr>
                <w:sz w:val="20"/>
              </w:rPr>
              <w:t xml:space="preserve">2.4. Разработка и реализация программы системной поддержки и повышения качества жизни граждан старшего поколения.</w:t>
            </w:r>
          </w:p>
          <w:p>
            <w:pPr>
              <w:pStyle w:val="0"/>
              <w:jc w:val="both"/>
            </w:pPr>
            <w:r>
              <w:rPr>
                <w:sz w:val="20"/>
              </w:rPr>
              <w:t xml:space="preserve">2.5. Формирование системы мотивации граждан к здоровому образу жизни, включая здоровое питание и отказ от вредных привычек</w:t>
            </w:r>
          </w:p>
        </w:tc>
        <w:tc>
          <w:tcPr>
            <w:tcW w:w="6293" w:type="dxa"/>
          </w:tcPr>
          <w:p>
            <w:pPr>
              <w:pStyle w:val="0"/>
              <w:jc w:val="both"/>
            </w:pPr>
            <w:r>
              <w:rPr>
                <w:sz w:val="20"/>
              </w:rPr>
              <w:t xml:space="preserve">Количество дополнительно созданных мест с целью обеспечения дошкольным образованием детей в возрасте до 3 лет нарастающим итогом, составит:</w:t>
            </w:r>
          </w:p>
          <w:p>
            <w:pPr>
              <w:pStyle w:val="0"/>
              <w:jc w:val="both"/>
            </w:pPr>
            <w:r>
              <w:rPr>
                <w:sz w:val="20"/>
              </w:rPr>
              <w:t xml:space="preserve">- на 2024 год - 5,898 тыс. мест.</w:t>
            </w:r>
          </w:p>
          <w:p>
            <w:pPr>
              <w:pStyle w:val="0"/>
              <w:jc w:val="both"/>
            </w:pPr>
            <w:r>
              <w:rPr>
                <w:sz w:val="20"/>
              </w:rPr>
              <w:t xml:space="preserve">Доступность дошкольного образования для детей от полутора до трех лет, составит:</w:t>
            </w:r>
          </w:p>
          <w:p>
            <w:pPr>
              <w:pStyle w:val="0"/>
              <w:jc w:val="both"/>
            </w:pPr>
            <w:r>
              <w:rPr>
                <w:sz w:val="20"/>
              </w:rPr>
              <w:t xml:space="preserve">- в 2024 году - 100%.</w:t>
            </w:r>
          </w:p>
          <w:p>
            <w:pPr>
              <w:pStyle w:val="0"/>
              <w:jc w:val="both"/>
            </w:pPr>
            <w:r>
              <w:rPr>
                <w:sz w:val="20"/>
              </w:rPr>
              <w:t xml:space="preserve">Доля занятых граждан из числа участников дополнительных мероприятий, составит:</w:t>
            </w:r>
          </w:p>
          <w:p>
            <w:pPr>
              <w:pStyle w:val="0"/>
              <w:jc w:val="both"/>
            </w:pPr>
            <w:r>
              <w:rPr>
                <w:sz w:val="20"/>
              </w:rPr>
              <w:t xml:space="preserve">- в 2024 году - 75%.</w:t>
            </w:r>
          </w:p>
          <w:p>
            <w:pPr>
              <w:pStyle w:val="0"/>
              <w:jc w:val="both"/>
            </w:pPr>
            <w:r>
              <w:rPr>
                <w:sz w:val="20"/>
              </w:rPr>
              <w:t xml:space="preserve">Уровень обеспеченности граждан спортивными сооружениями, исходя из единовременной пропускной способности объектов спорта, составит:</w:t>
            </w:r>
          </w:p>
          <w:p>
            <w:pPr>
              <w:pStyle w:val="0"/>
              <w:jc w:val="both"/>
            </w:pPr>
            <w:r>
              <w:rPr>
                <w:sz w:val="20"/>
              </w:rPr>
              <w:t xml:space="preserve">- в 2024 году - 59,0%.</w:t>
            </w:r>
          </w:p>
          <w:p>
            <w:pPr>
              <w:pStyle w:val="0"/>
              <w:jc w:val="both"/>
            </w:pPr>
            <w:r>
              <w:rPr>
                <w:sz w:val="20"/>
              </w:rPr>
              <w:t xml:space="preserve">Доля населения Российской Федерации, систематически занимающегося физической культурой и спортом, в общей численности населения Российской Федерации в возрасте 3 - 79 лет:</w:t>
            </w:r>
          </w:p>
          <w:p>
            <w:pPr>
              <w:pStyle w:val="0"/>
              <w:jc w:val="both"/>
            </w:pPr>
            <w:r>
              <w:rPr>
                <w:sz w:val="20"/>
              </w:rPr>
              <w:t xml:space="preserve">- в 2024 году - 57,6%.</w:t>
            </w:r>
          </w:p>
          <w:p>
            <w:pPr>
              <w:pStyle w:val="0"/>
              <w:jc w:val="both"/>
            </w:pPr>
            <w:r>
              <w:rPr>
                <w:sz w:val="20"/>
              </w:rPr>
              <w:t xml:space="preserve">Доля граждан старше трудоспособного возраста и инвалидов, получающих услуги в рамках системы долговременного ухода, от общего числа граждан старшего трудоспособного возраста и инвалидов, нуждающихся в долговременном уходе, составит:</w:t>
            </w:r>
          </w:p>
          <w:p>
            <w:pPr>
              <w:pStyle w:val="0"/>
              <w:jc w:val="both"/>
            </w:pPr>
            <w:r>
              <w:rPr>
                <w:sz w:val="20"/>
              </w:rPr>
              <w:t xml:space="preserve">- в 2024 году - 7,6%.</w:t>
            </w:r>
          </w:p>
          <w:p>
            <w:pPr>
              <w:pStyle w:val="0"/>
              <w:jc w:val="both"/>
            </w:pPr>
            <w:r>
              <w:rPr>
                <w:sz w:val="20"/>
              </w:rPr>
              <w:t xml:space="preserve">Доля граждан старше трудоспособного возраста и инвалидов, получивших социальные услуги в организациях социального обслуживания, от общего числа граждан старше трудоспособного возраста и инвалидов, составит:</w:t>
            </w:r>
          </w:p>
          <w:p>
            <w:pPr>
              <w:pStyle w:val="0"/>
              <w:jc w:val="both"/>
            </w:pPr>
            <w:r>
              <w:rPr>
                <w:sz w:val="20"/>
              </w:rPr>
              <w:t xml:space="preserve">- в 2024 году - 38,67%.</w:t>
            </w:r>
          </w:p>
          <w:p>
            <w:pPr>
              <w:pStyle w:val="0"/>
              <w:jc w:val="both"/>
            </w:pPr>
            <w:r>
              <w:rPr>
                <w:sz w:val="20"/>
              </w:rPr>
              <w:t xml:space="preserve">Уровень госпитализации на геронтологические койки лиц старше 60 лет на 10 тыс. населения соответствующего возраста, составит:</w:t>
            </w:r>
          </w:p>
          <w:p>
            <w:pPr>
              <w:pStyle w:val="0"/>
              <w:jc w:val="both"/>
            </w:pPr>
            <w:r>
              <w:rPr>
                <w:sz w:val="20"/>
              </w:rPr>
              <w:t xml:space="preserve">- в 2024 году - 57,1%.</w:t>
            </w:r>
          </w:p>
          <w:p>
            <w:pPr>
              <w:pStyle w:val="0"/>
              <w:jc w:val="both"/>
            </w:pPr>
            <w:r>
              <w:rPr>
                <w:sz w:val="20"/>
              </w:rPr>
              <w:t xml:space="preserve">Охват граждан старше трудоспособного возраста профилактическими осмотрами, включая диспансеризацию, составит:</w:t>
            </w:r>
          </w:p>
          <w:p>
            <w:pPr>
              <w:pStyle w:val="0"/>
              <w:jc w:val="both"/>
            </w:pPr>
            <w:r>
              <w:rPr>
                <w:sz w:val="20"/>
              </w:rPr>
              <w:t xml:space="preserve">- в 2024 году - 70,0%.</w:t>
            </w:r>
          </w:p>
          <w:p>
            <w:pPr>
              <w:pStyle w:val="0"/>
              <w:jc w:val="both"/>
            </w:pPr>
            <w:r>
              <w:rPr>
                <w:sz w:val="20"/>
              </w:rPr>
              <w:t xml:space="preserve">Доля лиц старше трудоспособного возраста, у которых выявлены заболевания и патологические состояния, находящихся под диспансерным наблюдением, составит:</w:t>
            </w:r>
          </w:p>
          <w:p>
            <w:pPr>
              <w:pStyle w:val="0"/>
              <w:jc w:val="both"/>
            </w:pPr>
            <w:r>
              <w:rPr>
                <w:sz w:val="20"/>
              </w:rPr>
              <w:t xml:space="preserve">- в 2024 году - 90,0%.</w:t>
            </w:r>
          </w:p>
          <w:p>
            <w:pPr>
              <w:pStyle w:val="0"/>
              <w:jc w:val="both"/>
            </w:pPr>
            <w:r>
              <w:rPr>
                <w:sz w:val="20"/>
              </w:rPr>
              <w:t xml:space="preserve">Темпы прироста первичной заболеваемости ожирением, составят:</w:t>
            </w:r>
          </w:p>
          <w:p>
            <w:pPr>
              <w:pStyle w:val="0"/>
              <w:jc w:val="both"/>
            </w:pPr>
            <w:r>
              <w:rPr>
                <w:sz w:val="20"/>
              </w:rPr>
              <w:t xml:space="preserve">- в 2024 году - 7,1%.</w:t>
            </w:r>
          </w:p>
          <w:p>
            <w:pPr>
              <w:pStyle w:val="0"/>
              <w:jc w:val="both"/>
            </w:pPr>
            <w:r>
              <w:rPr>
                <w:sz w:val="20"/>
              </w:rPr>
              <w:t xml:space="preserve">Розничные продажи алкогольной продукции на душу населения (в литрах этанола), составят:</w:t>
            </w:r>
          </w:p>
          <w:p>
            <w:pPr>
              <w:pStyle w:val="0"/>
              <w:jc w:val="both"/>
            </w:pPr>
            <w:r>
              <w:rPr>
                <w:sz w:val="20"/>
              </w:rPr>
              <w:t xml:space="preserve">- в 2024 году - 7,12 л чистого спирта</w:t>
            </w:r>
          </w:p>
          <w:p>
            <w:pPr>
              <w:pStyle w:val="0"/>
              <w:jc w:val="both"/>
            </w:pPr>
            <w:r>
              <w:rPr>
                <w:sz w:val="20"/>
              </w:rPr>
              <w:t xml:space="preserve">Потребление алкогольной продукции на душу населения (в литрах этанола) составят:</w:t>
            </w:r>
          </w:p>
          <w:p>
            <w:pPr>
              <w:pStyle w:val="0"/>
              <w:jc w:val="both"/>
            </w:pPr>
            <w:r>
              <w:rPr>
                <w:sz w:val="20"/>
              </w:rPr>
              <w:t xml:space="preserve">- в 2024 году - 9,56 л чистого спирта</w:t>
            </w:r>
          </w:p>
        </w:tc>
      </w:tr>
      <w:tr>
        <w:tblPrEx>
          <w:tblBorders>
            <w:insideH w:val="nil"/>
          </w:tblBorders>
        </w:tblPrEx>
        <w:tc>
          <w:tcPr>
            <w:tcW w:w="2778" w:type="dxa"/>
            <w:tcBorders>
              <w:bottom w:val="nil"/>
            </w:tcBorders>
          </w:tcPr>
          <w:p>
            <w:pPr>
              <w:pStyle w:val="0"/>
              <w:jc w:val="both"/>
            </w:pPr>
            <w:r>
              <w:rPr>
                <w:sz w:val="20"/>
              </w:rPr>
              <w:t xml:space="preserve">3. "Здравоохранение":</w:t>
            </w:r>
          </w:p>
          <w:p>
            <w:pPr>
              <w:pStyle w:val="0"/>
              <w:jc w:val="both"/>
            </w:pPr>
            <w:r>
              <w:rPr>
                <w:sz w:val="20"/>
              </w:rPr>
              <w:t xml:space="preserve">3.1. Развитие системы оказания первичной медико-санитарной помощи.</w:t>
            </w:r>
          </w:p>
          <w:p>
            <w:pPr>
              <w:pStyle w:val="0"/>
              <w:jc w:val="both"/>
            </w:pPr>
            <w:r>
              <w:rPr>
                <w:sz w:val="20"/>
              </w:rPr>
              <w:t xml:space="preserve">3.2. Борьба с сердечно-сосудистыми заболеваниями.</w:t>
            </w:r>
          </w:p>
          <w:p>
            <w:pPr>
              <w:pStyle w:val="0"/>
              <w:jc w:val="both"/>
            </w:pPr>
            <w:r>
              <w:rPr>
                <w:sz w:val="20"/>
              </w:rPr>
              <w:t xml:space="preserve">3.3. Борьба с онкологическими заболеваниями.</w:t>
            </w:r>
          </w:p>
          <w:p>
            <w:pPr>
              <w:pStyle w:val="0"/>
              <w:jc w:val="both"/>
            </w:pPr>
            <w:r>
              <w:rPr>
                <w:sz w:val="20"/>
              </w:rPr>
              <w:t xml:space="preserve">3.4. Развитие детского здравоохранения, включая создание современной инфраструктуры оказания медицинской помощи.</w:t>
            </w:r>
          </w:p>
          <w:p>
            <w:pPr>
              <w:pStyle w:val="0"/>
              <w:jc w:val="both"/>
            </w:pPr>
            <w:r>
              <w:rPr>
                <w:sz w:val="20"/>
              </w:rPr>
              <w:t xml:space="preserve">3.5. Обеспечение медицинских организаций системы здравоохранения квалифицированными кадрами.</w:t>
            </w:r>
          </w:p>
          <w:p>
            <w:pPr>
              <w:pStyle w:val="0"/>
              <w:jc w:val="both"/>
            </w:pPr>
            <w:r>
              <w:rPr>
                <w:sz w:val="20"/>
              </w:rPr>
              <w:t xml:space="preserve">3.6. Создание единого цифрового контура в здравоохранении на основе единой государственной информационной системы здравоохранения (ЕГИСЗ).</w:t>
            </w:r>
          </w:p>
          <w:p>
            <w:pPr>
              <w:pStyle w:val="0"/>
              <w:jc w:val="both"/>
            </w:pPr>
            <w:r>
              <w:rPr>
                <w:sz w:val="20"/>
              </w:rPr>
              <w:t xml:space="preserve">3.7. Развитие экспорта медицинских услуг.</w:t>
            </w:r>
          </w:p>
          <w:p>
            <w:pPr>
              <w:pStyle w:val="0"/>
              <w:jc w:val="both"/>
            </w:pPr>
            <w:r>
              <w:rPr>
                <w:sz w:val="20"/>
              </w:rPr>
              <w:t xml:space="preserve">3.8. Модернизация первичного звена здравоохранения Российской Федерации</w:t>
            </w:r>
          </w:p>
        </w:tc>
        <w:tc>
          <w:tcPr>
            <w:tcW w:w="6293" w:type="dxa"/>
            <w:tcBorders>
              <w:bottom w:val="nil"/>
            </w:tcBorders>
          </w:tcPr>
          <w:p>
            <w:pPr>
              <w:pStyle w:val="0"/>
              <w:jc w:val="both"/>
            </w:pPr>
            <w:r>
              <w:rPr>
                <w:sz w:val="20"/>
              </w:rPr>
              <w:t xml:space="preserve">Доля населенных пунктов с числом жителей до 2000 человек, населению которых доступна первичная медико-санитарная помощь по месту их проживания, составит:</w:t>
            </w:r>
          </w:p>
          <w:p>
            <w:pPr>
              <w:pStyle w:val="0"/>
              <w:jc w:val="both"/>
            </w:pPr>
            <w:r>
              <w:rPr>
                <w:sz w:val="20"/>
              </w:rPr>
              <w:t xml:space="preserve">- в 2024 году - 99,29%.</w:t>
            </w:r>
          </w:p>
          <w:p>
            <w:pPr>
              <w:pStyle w:val="0"/>
              <w:jc w:val="both"/>
            </w:pPr>
            <w:r>
              <w:rPr>
                <w:sz w:val="20"/>
              </w:rPr>
              <w:t xml:space="preserve">Число посещений сельскими жителями фельдшерских пунктов, фельдшерско-акушерских пунктов и врачебных амбулаторий, в расчете на 1 сельского жителя, составит:</w:t>
            </w:r>
          </w:p>
          <w:p>
            <w:pPr>
              <w:pStyle w:val="0"/>
              <w:jc w:val="both"/>
            </w:pPr>
            <w:r>
              <w:rPr>
                <w:sz w:val="20"/>
              </w:rPr>
              <w:t xml:space="preserve">- в 2024 году - 4,54 случаев.</w:t>
            </w:r>
          </w:p>
          <w:p>
            <w:pPr>
              <w:pStyle w:val="0"/>
              <w:jc w:val="both"/>
            </w:pPr>
            <w:r>
              <w:rPr>
                <w:sz w:val="20"/>
              </w:rPr>
              <w:t xml:space="preserve">Количество посещений при выездах мобильных медицинских бригад, оснащенных мобильными медицинскими комплексами, тыс. посещений на 1 мобильную медицинскую бригаду, составит:</w:t>
            </w:r>
          </w:p>
          <w:p>
            <w:pPr>
              <w:pStyle w:val="0"/>
              <w:jc w:val="both"/>
            </w:pPr>
            <w:r>
              <w:rPr>
                <w:sz w:val="20"/>
              </w:rPr>
              <w:t xml:space="preserve">- в 2024 году - 3,5 случаев.</w:t>
            </w:r>
          </w:p>
          <w:p>
            <w:pPr>
              <w:pStyle w:val="0"/>
              <w:jc w:val="both"/>
            </w:pPr>
            <w:r>
              <w:rPr>
                <w:sz w:val="20"/>
              </w:rPr>
              <w:t xml:space="preserve">Доля граждан, ежегодно проходящих профилактический медицинский осмотр и (или) диспансеризацию, от общего числа населения, составит:</w:t>
            </w:r>
          </w:p>
          <w:p>
            <w:pPr>
              <w:pStyle w:val="0"/>
              <w:jc w:val="both"/>
            </w:pPr>
            <w:r>
              <w:rPr>
                <w:sz w:val="20"/>
              </w:rPr>
              <w:t xml:space="preserve">- в 2024 году - 70,0%.</w:t>
            </w:r>
          </w:p>
          <w:p>
            <w:pPr>
              <w:pStyle w:val="0"/>
              <w:jc w:val="both"/>
            </w:pPr>
            <w:r>
              <w:rPr>
                <w:sz w:val="20"/>
              </w:rPr>
              <w:t xml:space="preserve">Доля граждан из числа прошедших профилактический медицинский осмотр и (или) диспансеризацию, получивших возможность доступа к данным о прохождении профилактического медицинского осмотра и (или) диспансеризации в Личном кабинете пациента "Мое здоровье" на Едином портале государственных услуг и функций в отчетном году, составит:</w:t>
            </w:r>
          </w:p>
          <w:p>
            <w:pPr>
              <w:pStyle w:val="0"/>
              <w:jc w:val="both"/>
            </w:pPr>
            <w:r>
              <w:rPr>
                <w:sz w:val="20"/>
              </w:rPr>
              <w:t xml:space="preserve">- в 2024 году - 100,0%.</w:t>
            </w:r>
          </w:p>
          <w:p>
            <w:pPr>
              <w:pStyle w:val="0"/>
              <w:jc w:val="both"/>
            </w:pPr>
            <w:r>
              <w:rPr>
                <w:sz w:val="20"/>
              </w:rPr>
              <w:t xml:space="preserve">Доля поликлиник и поликлинических подразделений, участвующих в создании и тиражировании "Новой модели организации оказания медицинской помощи", от общего количества таких организаций, составит:</w:t>
            </w:r>
          </w:p>
          <w:p>
            <w:pPr>
              <w:pStyle w:val="0"/>
              <w:jc w:val="both"/>
            </w:pPr>
            <w:r>
              <w:rPr>
                <w:sz w:val="20"/>
              </w:rPr>
              <w:t xml:space="preserve">- в 2024 году - 93,6%.</w:t>
            </w:r>
          </w:p>
          <w:p>
            <w:pPr>
              <w:pStyle w:val="0"/>
              <w:jc w:val="both"/>
            </w:pPr>
            <w:r>
              <w:rPr>
                <w:sz w:val="20"/>
              </w:rPr>
              <w:t xml:space="preserve">Число выполненных посещений гражданами поликлиник и поликлинических подразделений, участвующих в создании и тиражировании "Новой модели организации оказания медицинской помощи", составит:</w:t>
            </w:r>
          </w:p>
          <w:p>
            <w:pPr>
              <w:pStyle w:val="0"/>
              <w:jc w:val="both"/>
            </w:pPr>
            <w:r>
              <w:rPr>
                <w:sz w:val="20"/>
              </w:rPr>
              <w:t xml:space="preserve">- в 2024 году - 15278,1 тысяча посещений.</w:t>
            </w:r>
          </w:p>
          <w:p>
            <w:pPr>
              <w:pStyle w:val="0"/>
              <w:jc w:val="both"/>
            </w:pPr>
            <w:r>
              <w:rPr>
                <w:sz w:val="20"/>
              </w:rPr>
              <w:t xml:space="preserve">Доля обоснованных жалоб пациентов, застрахованных в системе обязательного медицинского страхования, на оказание медицинской помощи в системе обязательного медицинского страхования, урегулированных в досудебном порядке (от общего числа обоснованных жалоб пациентов), не менее, составит:</w:t>
            </w:r>
          </w:p>
          <w:p>
            <w:pPr>
              <w:pStyle w:val="0"/>
              <w:jc w:val="both"/>
            </w:pPr>
            <w:r>
              <w:rPr>
                <w:sz w:val="20"/>
              </w:rPr>
              <w:t xml:space="preserve">- в 2024 году - 98,5%.</w:t>
            </w:r>
          </w:p>
          <w:p>
            <w:pPr>
              <w:pStyle w:val="0"/>
              <w:jc w:val="both"/>
            </w:pPr>
            <w:r>
              <w:rPr>
                <w:sz w:val="20"/>
              </w:rPr>
              <w:t xml:space="preserve">Число лиц (пациентов), дополнительно эвакуированных с использованием санитарной авиации (ежегодно), не менее, составит:</w:t>
            </w:r>
          </w:p>
          <w:p>
            <w:pPr>
              <w:pStyle w:val="0"/>
              <w:jc w:val="both"/>
            </w:pPr>
            <w:r>
              <w:rPr>
                <w:sz w:val="20"/>
              </w:rPr>
              <w:t xml:space="preserve">- в 2024 году - 344,0 человек.</w:t>
            </w:r>
          </w:p>
          <w:p>
            <w:pPr>
              <w:pStyle w:val="0"/>
              <w:jc w:val="both"/>
            </w:pPr>
            <w:r>
              <w:rPr>
                <w:sz w:val="20"/>
              </w:rPr>
              <w:t xml:space="preserve">Доля лиц, госпитализированных по экстренным показаниям в течение первых суток от общего числа больных, к которым совершены вылеты, составит:</w:t>
            </w:r>
          </w:p>
          <w:p>
            <w:pPr>
              <w:pStyle w:val="0"/>
              <w:jc w:val="both"/>
            </w:pPr>
            <w:r>
              <w:rPr>
                <w:sz w:val="20"/>
              </w:rPr>
              <w:t xml:space="preserve">- в 2024 году - 90,0%.</w:t>
            </w:r>
          </w:p>
          <w:p>
            <w:pPr>
              <w:pStyle w:val="0"/>
              <w:jc w:val="both"/>
            </w:pPr>
            <w:r>
              <w:rPr>
                <w:sz w:val="20"/>
              </w:rPr>
              <w:t xml:space="preserve">Доля лиц с болезнями системы кровообращения, состоящих под диспансерным наблюдением, получивших в текущем году медицинские услуги в рамках диспансерного наблюдения от всех пациентов с болезнями системы кровообращения, состоящих под диспансерным наблюдением, составит:</w:t>
            </w:r>
          </w:p>
          <w:p>
            <w:pPr>
              <w:pStyle w:val="0"/>
              <w:jc w:val="both"/>
            </w:pPr>
            <w:r>
              <w:rPr>
                <w:sz w:val="20"/>
              </w:rPr>
              <w:t xml:space="preserve">- в 2024 году - 80,0%.</w:t>
            </w:r>
          </w:p>
          <w:p>
            <w:pPr>
              <w:pStyle w:val="0"/>
              <w:jc w:val="both"/>
            </w:pPr>
            <w:r>
              <w:rPr>
                <w:sz w:val="20"/>
              </w:rPr>
              <w:t xml:space="preserve">Доля лиц, которые перенесли острое нарушение мозгового кровообращения, инфаркт миокарда, а также которым были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бесплатно получавших в отчетном году необходимые лекарственные препараты в амбулаторных условиях, составит:</w:t>
            </w:r>
          </w:p>
          <w:p>
            <w:pPr>
              <w:pStyle w:val="0"/>
              <w:jc w:val="both"/>
            </w:pPr>
            <w:r>
              <w:rPr>
                <w:sz w:val="20"/>
              </w:rPr>
              <w:t xml:space="preserve">- в 2024 году - 90,0%.</w:t>
            </w:r>
          </w:p>
          <w:p>
            <w:pPr>
              <w:pStyle w:val="0"/>
              <w:jc w:val="both"/>
            </w:pPr>
            <w:r>
              <w:rPr>
                <w:sz w:val="20"/>
              </w:rPr>
              <w:t xml:space="preserve">Количество рентгенэндоваскулярных вмешательств в лечебных целях, составит:</w:t>
            </w:r>
          </w:p>
          <w:p>
            <w:pPr>
              <w:pStyle w:val="0"/>
              <w:jc w:val="both"/>
            </w:pPr>
            <w:r>
              <w:rPr>
                <w:sz w:val="20"/>
              </w:rPr>
              <w:t xml:space="preserve">- в 2024 году - 7,151 тыс. единиц.</w:t>
            </w:r>
          </w:p>
          <w:p>
            <w:pPr>
              <w:pStyle w:val="0"/>
              <w:jc w:val="both"/>
            </w:pPr>
            <w:r>
              <w:rPr>
                <w:sz w:val="20"/>
              </w:rPr>
              <w:t xml:space="preserve">Больничная летальность от инфаркта миокарда, составит:</w:t>
            </w:r>
          </w:p>
          <w:p>
            <w:pPr>
              <w:pStyle w:val="0"/>
              <w:jc w:val="both"/>
            </w:pPr>
            <w:r>
              <w:rPr>
                <w:sz w:val="20"/>
              </w:rPr>
              <w:t xml:space="preserve">- в 2024 году - 9,4%.</w:t>
            </w:r>
          </w:p>
          <w:p>
            <w:pPr>
              <w:pStyle w:val="0"/>
              <w:jc w:val="both"/>
            </w:pPr>
            <w:r>
              <w:rPr>
                <w:sz w:val="20"/>
              </w:rPr>
              <w:t xml:space="preserve">Больничная летальность от острого нарушения мозгового кровообращения, составит:</w:t>
            </w:r>
          </w:p>
          <w:p>
            <w:pPr>
              <w:pStyle w:val="0"/>
              <w:jc w:val="both"/>
            </w:pPr>
            <w:r>
              <w:rPr>
                <w:sz w:val="20"/>
              </w:rPr>
              <w:t xml:space="preserve">- в 2024 году - 16,6%.</w:t>
            </w:r>
          </w:p>
          <w:p>
            <w:pPr>
              <w:pStyle w:val="0"/>
              <w:jc w:val="both"/>
            </w:pPr>
            <w:r>
              <w:rPr>
                <w:sz w:val="20"/>
              </w:rPr>
              <w:t xml:space="preserve">Летальность больных с болезнями системы кровообращения среди лиц с болезнями системы кровообращения, состоящих под диспансерным наблюдением (умершие от БСК/число лиц с БСК, состоящих под диспансерным наблюдением), составит:</w:t>
            </w:r>
          </w:p>
          <w:p>
            <w:pPr>
              <w:pStyle w:val="0"/>
              <w:jc w:val="both"/>
            </w:pPr>
            <w:r>
              <w:rPr>
                <w:sz w:val="20"/>
              </w:rPr>
              <w:t xml:space="preserve">- в 2024 году - 2,78%.</w:t>
            </w:r>
          </w:p>
          <w:p>
            <w:pPr>
              <w:pStyle w:val="0"/>
              <w:jc w:val="both"/>
            </w:pPr>
            <w:r>
              <w:rPr>
                <w:sz w:val="20"/>
              </w:rPr>
              <w:t xml:space="preserve">Доля злокачественных новообразований, выявленных на I - II стадиях, составит:</w:t>
            </w:r>
          </w:p>
          <w:p>
            <w:pPr>
              <w:pStyle w:val="0"/>
              <w:jc w:val="both"/>
            </w:pPr>
            <w:r>
              <w:rPr>
                <w:sz w:val="20"/>
              </w:rPr>
              <w:t xml:space="preserve">- в 2024 году - 59,1%.</w:t>
            </w:r>
          </w:p>
          <w:p>
            <w:pPr>
              <w:pStyle w:val="0"/>
              <w:jc w:val="both"/>
            </w:pPr>
            <w:r>
              <w:rPr>
                <w:sz w:val="20"/>
              </w:rPr>
              <w:t xml:space="preserve">Доля лиц с онкологическими заболеваниями, прошедших обследование и/или лечение в текущем году из числа состоящих под диспансерным наблюдением, составит:</w:t>
            </w:r>
          </w:p>
          <w:p>
            <w:pPr>
              <w:pStyle w:val="0"/>
              <w:jc w:val="both"/>
            </w:pPr>
            <w:r>
              <w:rPr>
                <w:sz w:val="20"/>
              </w:rPr>
              <w:t xml:space="preserve">- в 2024 году - 80,0%.</w:t>
            </w:r>
          </w:p>
          <w:p>
            <w:pPr>
              <w:pStyle w:val="0"/>
              <w:jc w:val="both"/>
            </w:pPr>
            <w:r>
              <w:rPr>
                <w:sz w:val="20"/>
              </w:rPr>
              <w:t xml:space="preserve">Удельный вес больных со злокачественными новообразованиями, состоящих на учете 5 лет и более из общего числа больных со злокачественными образованиями, состоящих под диспансерным наблюдением, составит:</w:t>
            </w:r>
          </w:p>
          <w:p>
            <w:pPr>
              <w:pStyle w:val="0"/>
              <w:jc w:val="both"/>
            </w:pPr>
            <w:r>
              <w:rPr>
                <w:sz w:val="20"/>
              </w:rPr>
              <w:t xml:space="preserve">- в 2024 году - 60,0%.</w:t>
            </w:r>
          </w:p>
          <w:p>
            <w:pPr>
              <w:pStyle w:val="0"/>
              <w:jc w:val="both"/>
            </w:pPr>
            <w:r>
              <w:rPr>
                <w:sz w:val="20"/>
              </w:rPr>
              <w:t xml:space="preserve">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под диспансерное наблюдение в предыдущем году), составит:</w:t>
            </w:r>
          </w:p>
          <w:p>
            <w:pPr>
              <w:pStyle w:val="0"/>
              <w:jc w:val="both"/>
            </w:pPr>
            <w:r>
              <w:rPr>
                <w:sz w:val="20"/>
              </w:rPr>
              <w:t xml:space="preserve">- в 2024 году - 19,1%.</w:t>
            </w:r>
          </w:p>
          <w:p>
            <w:pPr>
              <w:pStyle w:val="0"/>
              <w:jc w:val="both"/>
            </w:pPr>
            <w:r>
              <w:rPr>
                <w:sz w:val="20"/>
              </w:rPr>
              <w:t xml:space="preserve">Количество (доля) детских поликлиник и детских поликлинических отделений с созданной современной инфраструктурой оказания медицинской помощи детям, составит:</w:t>
            </w:r>
          </w:p>
          <w:p>
            <w:pPr>
              <w:pStyle w:val="0"/>
              <w:jc w:val="both"/>
            </w:pPr>
            <w:r>
              <w:rPr>
                <w:sz w:val="20"/>
              </w:rPr>
              <w:t xml:space="preserve">- в 2024 году - 95,0%.</w:t>
            </w:r>
          </w:p>
          <w:p>
            <w:pPr>
              <w:pStyle w:val="0"/>
              <w:jc w:val="both"/>
            </w:pPr>
            <w:r>
              <w:rPr>
                <w:sz w:val="20"/>
              </w:rPr>
              <w:t xml:space="preserve">Число выполненных детьми посещений детских поликлиник и поликлинических подразделений, в которых созданы комфортные условия пребывания детей и дооснащенных медицинским оборудованием, от общего числа посещений детьми детских поликлиник и поликлинических подразделений, составит:</w:t>
            </w:r>
          </w:p>
          <w:p>
            <w:pPr>
              <w:pStyle w:val="0"/>
              <w:jc w:val="both"/>
            </w:pPr>
            <w:r>
              <w:rPr>
                <w:sz w:val="20"/>
              </w:rPr>
              <w:t xml:space="preserve">- в 2024 году - 95,0%.</w:t>
            </w:r>
          </w:p>
          <w:p>
            <w:pPr>
              <w:pStyle w:val="0"/>
              <w:jc w:val="both"/>
            </w:pPr>
            <w:r>
              <w:rPr>
                <w:sz w:val="20"/>
              </w:rPr>
              <w:t xml:space="preserve">Укомплектованность медицинских организаций, оказывающих медицинскую помощь детям (доля занятых физическими лицами должностей от общего количества должностей в медицинских организациях, оказывающих медицинскую помощь в амбулаторных условиях), нарастающим итогом: врачами педиатрами, составит:</w:t>
            </w:r>
          </w:p>
          <w:p>
            <w:pPr>
              <w:pStyle w:val="0"/>
              <w:jc w:val="both"/>
            </w:pPr>
            <w:r>
              <w:rPr>
                <w:sz w:val="20"/>
              </w:rPr>
              <w:t xml:space="preserve">- в 2024 году - 86,8%.</w:t>
            </w:r>
          </w:p>
          <w:p>
            <w:pPr>
              <w:pStyle w:val="0"/>
              <w:jc w:val="both"/>
            </w:pPr>
            <w:r>
              <w:rPr>
                <w:sz w:val="20"/>
              </w:rPr>
              <w:t xml:space="preserve">Младенческая смертность на 1 тыс. родившихся детей, составит:</w:t>
            </w:r>
          </w:p>
          <w:p>
            <w:pPr>
              <w:pStyle w:val="0"/>
              <w:jc w:val="both"/>
            </w:pPr>
            <w:r>
              <w:rPr>
                <w:sz w:val="20"/>
              </w:rPr>
              <w:t xml:space="preserve">- в 2024 году - 4,5 случаев.</w:t>
            </w:r>
          </w:p>
          <w:p>
            <w:pPr>
              <w:pStyle w:val="0"/>
              <w:jc w:val="both"/>
            </w:pPr>
            <w:r>
              <w:rPr>
                <w:sz w:val="20"/>
              </w:rPr>
              <w:t xml:space="preserve">Доля преждевременных родов (22 - 37 недель) в перинатальных центрах, составит:</w:t>
            </w:r>
          </w:p>
          <w:p>
            <w:pPr>
              <w:pStyle w:val="0"/>
              <w:jc w:val="both"/>
            </w:pPr>
            <w:r>
              <w:rPr>
                <w:sz w:val="20"/>
              </w:rPr>
              <w:t xml:space="preserve">- в 2024 году - 72,6%.</w:t>
            </w:r>
          </w:p>
          <w:p>
            <w:pPr>
              <w:pStyle w:val="0"/>
              <w:jc w:val="both"/>
            </w:pPr>
            <w:r>
              <w:rPr>
                <w:sz w:val="20"/>
              </w:rPr>
              <w:t xml:space="preserve">Смертность детей в возрасте 0 - 4 года на 1000 родившихся живыми, составит:</w:t>
            </w:r>
          </w:p>
          <w:p>
            <w:pPr>
              <w:pStyle w:val="0"/>
              <w:jc w:val="both"/>
            </w:pPr>
            <w:r>
              <w:rPr>
                <w:sz w:val="20"/>
              </w:rPr>
              <w:t xml:space="preserve">- в 2024 году - 5,4%.</w:t>
            </w:r>
          </w:p>
          <w:p>
            <w:pPr>
              <w:pStyle w:val="0"/>
              <w:jc w:val="both"/>
            </w:pPr>
            <w:r>
              <w:rPr>
                <w:sz w:val="20"/>
              </w:rPr>
              <w:t xml:space="preserve">Смертность детей в возрасте 0 - 17 лет на 100000 детей соответствующего возраста, составит:</w:t>
            </w:r>
          </w:p>
          <w:p>
            <w:pPr>
              <w:pStyle w:val="0"/>
              <w:jc w:val="both"/>
            </w:pPr>
            <w:r>
              <w:rPr>
                <w:sz w:val="20"/>
              </w:rPr>
              <w:t xml:space="preserve">- в 2024 году - 42,0%.</w:t>
            </w:r>
          </w:p>
          <w:p>
            <w:pPr>
              <w:pStyle w:val="0"/>
              <w:jc w:val="both"/>
            </w:pPr>
            <w:r>
              <w:rPr>
                <w:sz w:val="20"/>
              </w:rPr>
              <w:t xml:space="preserve">Доля посещений детьми медицинских организаций с профилактическими целями, составит:</w:t>
            </w:r>
          </w:p>
          <w:p>
            <w:pPr>
              <w:pStyle w:val="0"/>
              <w:jc w:val="both"/>
            </w:pPr>
            <w:r>
              <w:rPr>
                <w:sz w:val="20"/>
              </w:rPr>
              <w:t xml:space="preserve">- в 2024 году - 51,0%.</w:t>
            </w:r>
          </w:p>
          <w:p>
            <w:pPr>
              <w:pStyle w:val="0"/>
              <w:jc w:val="both"/>
            </w:pPr>
            <w:r>
              <w:rPr>
                <w:sz w:val="20"/>
              </w:rPr>
              <w:t xml:space="preserve">Доля взятых под диспансерное наблюдение детей в возрасте 0 - 17 лет с впервые в жизни установленными диагнозами болезней костно-мышечной системы и соединительной ткани, составит:</w:t>
            </w:r>
          </w:p>
          <w:p>
            <w:pPr>
              <w:pStyle w:val="0"/>
              <w:jc w:val="both"/>
            </w:pPr>
            <w:r>
              <w:rPr>
                <w:sz w:val="20"/>
              </w:rPr>
              <w:t xml:space="preserve">- в 2024 году - 90,0%.</w:t>
            </w:r>
          </w:p>
          <w:p>
            <w:pPr>
              <w:pStyle w:val="0"/>
              <w:jc w:val="both"/>
            </w:pPr>
            <w:r>
              <w:rPr>
                <w:sz w:val="20"/>
              </w:rPr>
              <w:t xml:space="preserve">Доля взятых под диспансерное наблюдение детей в возрасте 0 - 17 лет с впервые в жизни установленными диагнозами болезней системы кровообращения, составит:</w:t>
            </w:r>
          </w:p>
          <w:p>
            <w:pPr>
              <w:pStyle w:val="0"/>
              <w:jc w:val="both"/>
            </w:pPr>
            <w:r>
              <w:rPr>
                <w:sz w:val="20"/>
              </w:rPr>
              <w:t xml:space="preserve">- в 2024 году - 90,0%.</w:t>
            </w:r>
          </w:p>
          <w:p>
            <w:pPr>
              <w:pStyle w:val="0"/>
              <w:jc w:val="both"/>
            </w:pPr>
            <w:r>
              <w:rPr>
                <w:sz w:val="20"/>
              </w:rPr>
              <w:t xml:space="preserve">Доля взятых под диспансерное наблюдение детей в возрасте 0 - 17 лет с впервые в жизни установленными диагнозами болезней органов пищеварения, составит:</w:t>
            </w:r>
          </w:p>
          <w:p>
            <w:pPr>
              <w:pStyle w:val="0"/>
              <w:jc w:val="both"/>
            </w:pPr>
            <w:r>
              <w:rPr>
                <w:sz w:val="20"/>
              </w:rPr>
              <w:t xml:space="preserve">- в 2024 году - 90,0%.</w:t>
            </w:r>
          </w:p>
        </w:tc>
      </w:tr>
      <w:tr>
        <w:tblPrEx>
          <w:tblBorders>
            <w:insideH w:val="nil"/>
          </w:tblBorders>
        </w:tblPrEx>
        <w:tc>
          <w:tcPr>
            <w:tcW w:w="2778" w:type="dxa"/>
            <w:tcBorders>
              <w:top w:val="nil"/>
              <w:bottom w:val="nil"/>
            </w:tcBorders>
          </w:tcPr>
          <w:p>
            <w:pPr>
              <w:pStyle w:val="0"/>
            </w:pPr>
            <w:r>
              <w:rPr>
                <w:sz w:val="20"/>
              </w:rPr>
            </w:r>
          </w:p>
        </w:tc>
        <w:tc>
          <w:tcPr>
            <w:tcW w:w="6293" w:type="dxa"/>
            <w:tcBorders>
              <w:top w:val="nil"/>
              <w:bottom w:val="nil"/>
            </w:tcBorders>
          </w:tcPr>
          <w:p>
            <w:pPr>
              <w:pStyle w:val="0"/>
              <w:jc w:val="both"/>
            </w:pPr>
            <w:r>
              <w:rPr>
                <w:sz w:val="20"/>
              </w:rPr>
              <w:t xml:space="preserve">Доля взятых под диспансерное наблюдение детей в возрасте 0 - 17 лет с впервые в жизни установленными диагнозами болезней глаза и его придаточного аппарата, составит:</w:t>
            </w:r>
          </w:p>
          <w:p>
            <w:pPr>
              <w:pStyle w:val="0"/>
              <w:jc w:val="both"/>
            </w:pPr>
            <w:r>
              <w:rPr>
                <w:sz w:val="20"/>
              </w:rPr>
              <w:t xml:space="preserve">- в 2024 году - 90,0%.</w:t>
            </w:r>
          </w:p>
          <w:p>
            <w:pPr>
              <w:pStyle w:val="0"/>
              <w:jc w:val="both"/>
            </w:pPr>
            <w:r>
              <w:rPr>
                <w:sz w:val="20"/>
              </w:rPr>
              <w:t xml:space="preserve">Доля взятых под диспансерное наблюдение детей в возрасте 0 - 17 лет с впервые в жизни установленными диагнозами болезней эндокринной системы, расстройств питания и нарушения обмена веществ, составит:</w:t>
            </w:r>
          </w:p>
          <w:p>
            <w:pPr>
              <w:pStyle w:val="0"/>
              <w:jc w:val="both"/>
            </w:pPr>
            <w:r>
              <w:rPr>
                <w:sz w:val="20"/>
              </w:rPr>
              <w:t xml:space="preserve">- в 2024 году - 90,0%.</w:t>
            </w:r>
          </w:p>
          <w:p>
            <w:pPr>
              <w:pStyle w:val="0"/>
              <w:jc w:val="both"/>
            </w:pPr>
            <w:r>
              <w:rPr>
                <w:sz w:val="20"/>
              </w:rPr>
              <w:t xml:space="preserve">Укомплектованность фельдшерских пунктов, фельдшерско-акушерских пунктов, врачебных амбулаторий медицинскими работниками, составит:</w:t>
            </w:r>
          </w:p>
          <w:p>
            <w:pPr>
              <w:pStyle w:val="0"/>
              <w:jc w:val="both"/>
            </w:pPr>
            <w:r>
              <w:rPr>
                <w:sz w:val="20"/>
              </w:rPr>
              <w:t xml:space="preserve">- в 2024 году - 92,1%.</w:t>
            </w:r>
          </w:p>
          <w:p>
            <w:pPr>
              <w:pStyle w:val="0"/>
              <w:jc w:val="both"/>
            </w:pPr>
            <w:r>
              <w:rPr>
                <w:sz w:val="20"/>
              </w:rPr>
              <w:t xml:space="preserve">Обеспеченность населения врачами, оказывающими первичную медико-санитарную помощь, составит:</w:t>
            </w:r>
          </w:p>
          <w:p>
            <w:pPr>
              <w:pStyle w:val="0"/>
              <w:jc w:val="both"/>
            </w:pPr>
            <w:r>
              <w:rPr>
                <w:sz w:val="20"/>
              </w:rPr>
              <w:t xml:space="preserve">- в 2024 году - 19,6 человек на 10 тыс. населения.</w:t>
            </w:r>
          </w:p>
          <w:p>
            <w:pPr>
              <w:pStyle w:val="0"/>
              <w:jc w:val="both"/>
            </w:pPr>
            <w:r>
              <w:rPr>
                <w:sz w:val="20"/>
              </w:rPr>
              <w:t xml:space="preserve">Обеспеченность медицинскими работниками, оказывающими скорую медицинскую помощь, составит:</w:t>
            </w:r>
          </w:p>
          <w:p>
            <w:pPr>
              <w:pStyle w:val="0"/>
              <w:jc w:val="both"/>
            </w:pPr>
            <w:r>
              <w:rPr>
                <w:sz w:val="20"/>
              </w:rPr>
              <w:t xml:space="preserve">- в 2024 году - 7,3 человек на 10 тыс. населения.</w:t>
            </w:r>
          </w:p>
          <w:p>
            <w:pPr>
              <w:pStyle w:val="0"/>
              <w:jc w:val="both"/>
            </w:pPr>
            <w:r>
              <w:rPr>
                <w:sz w:val="20"/>
              </w:rPr>
              <w:t xml:space="preserve">Обеспеченность населения врачами, оказывающими специализированную медицинскую помощь, составит:</w:t>
            </w:r>
          </w:p>
          <w:p>
            <w:pPr>
              <w:pStyle w:val="0"/>
              <w:jc w:val="both"/>
            </w:pPr>
            <w:r>
              <w:rPr>
                <w:sz w:val="20"/>
              </w:rPr>
              <w:t xml:space="preserve">- в 2024 году - 15,4 человек на 10 тыс. населения.</w:t>
            </w:r>
          </w:p>
          <w:p>
            <w:pPr>
              <w:pStyle w:val="0"/>
              <w:jc w:val="both"/>
            </w:pPr>
            <w:r>
              <w:rPr>
                <w:sz w:val="20"/>
              </w:rPr>
              <w:t xml:space="preserve">Обеспеченность населения средними медицинскими работниками, работающими в государственных и муниципальных медицинских организациях, составит:</w:t>
            </w:r>
          </w:p>
          <w:p>
            <w:pPr>
              <w:pStyle w:val="0"/>
              <w:jc w:val="both"/>
            </w:pPr>
            <w:r>
              <w:rPr>
                <w:sz w:val="20"/>
              </w:rPr>
              <w:t xml:space="preserve">- в 2024 году - 95,1 человек на 10 тыс. населения.</w:t>
            </w:r>
          </w:p>
          <w:p>
            <w:pPr>
              <w:pStyle w:val="0"/>
              <w:jc w:val="both"/>
            </w:pPr>
            <w:r>
              <w:rPr>
                <w:sz w:val="20"/>
              </w:rPr>
              <w:t xml:space="preserve">Обеспеченность населения врачами, работающими в государственных и муниципальных медицинских организациях, составит:</w:t>
            </w:r>
          </w:p>
          <w:p>
            <w:pPr>
              <w:pStyle w:val="0"/>
              <w:jc w:val="both"/>
            </w:pPr>
            <w:r>
              <w:rPr>
                <w:sz w:val="20"/>
              </w:rPr>
              <w:t xml:space="preserve">- в 2024 году - 38,9 человек на 10 тыс. населения.</w:t>
            </w:r>
          </w:p>
          <w:p>
            <w:pPr>
              <w:pStyle w:val="0"/>
              <w:jc w:val="both"/>
            </w:pPr>
            <w:r>
              <w:rPr>
                <w:sz w:val="20"/>
              </w:rPr>
              <w:t xml:space="preserve">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 нарастающим итогом: врачами, составит:</w:t>
            </w:r>
          </w:p>
          <w:p>
            <w:pPr>
              <w:pStyle w:val="0"/>
              <w:jc w:val="both"/>
            </w:pPr>
            <w:r>
              <w:rPr>
                <w:sz w:val="20"/>
              </w:rPr>
              <w:t xml:space="preserve">- в 2024 году - 89,4%.</w:t>
            </w:r>
          </w:p>
          <w:p>
            <w:pPr>
              <w:pStyle w:val="0"/>
              <w:jc w:val="both"/>
            </w:pPr>
            <w:r>
              <w:rPr>
                <w:sz w:val="20"/>
              </w:rPr>
              <w:t xml:space="preserve">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средними медицинскими работниками, составит:</w:t>
            </w:r>
          </w:p>
          <w:p>
            <w:pPr>
              <w:pStyle w:val="0"/>
              <w:jc w:val="both"/>
            </w:pPr>
            <w:r>
              <w:rPr>
                <w:sz w:val="20"/>
              </w:rPr>
              <w:t xml:space="preserve">- в 2024 году - 95,0%.</w:t>
            </w:r>
          </w:p>
          <w:p>
            <w:pPr>
              <w:pStyle w:val="0"/>
              <w:jc w:val="both"/>
            </w:pPr>
            <w:r>
              <w:rPr>
                <w:sz w:val="20"/>
              </w:rPr>
              <w:t xml:space="preserve">Число специалистов, участвующих в системе непрерывного образования медицинских работников, в том числе с использованием дистанционных образовательных технологий, составит:</w:t>
            </w:r>
          </w:p>
          <w:p>
            <w:pPr>
              <w:pStyle w:val="0"/>
              <w:jc w:val="both"/>
            </w:pPr>
            <w:r>
              <w:rPr>
                <w:sz w:val="20"/>
              </w:rPr>
              <w:t xml:space="preserve">- в 2024 году - 40,0 тыс. человек.</w:t>
            </w:r>
          </w:p>
          <w:p>
            <w:pPr>
              <w:pStyle w:val="0"/>
              <w:jc w:val="both"/>
            </w:pPr>
            <w:r>
              <w:rPr>
                <w:sz w:val="20"/>
              </w:rPr>
              <w:t xml:space="preserve">Число граждан, воспользовавшихся услугами (сервисами) в Личном кабинете пациента "Мое здоровье" на Едином портале государственных услуг и функций, составит:</w:t>
            </w:r>
          </w:p>
          <w:p>
            <w:pPr>
              <w:pStyle w:val="0"/>
              <w:jc w:val="both"/>
            </w:pPr>
            <w:r>
              <w:rPr>
                <w:sz w:val="20"/>
              </w:rPr>
              <w:t xml:space="preserve">- в 2024 году - 798,52 тыс. человек.</w:t>
            </w:r>
          </w:p>
          <w:p>
            <w:pPr>
              <w:pStyle w:val="0"/>
              <w:jc w:val="both"/>
            </w:pPr>
            <w:r>
              <w:rPr>
                <w:sz w:val="20"/>
              </w:rPr>
              <w:t xml:space="preserve">Доля государственных и муниципальных медицинских организаций Нижегородской области, обеспечивающих межведомственное электронное взаимодействие с учреждениями медико-социальной экспертизы посредством ЕГИСЗ, составит:</w:t>
            </w:r>
          </w:p>
          <w:p>
            <w:pPr>
              <w:pStyle w:val="0"/>
              <w:jc w:val="both"/>
            </w:pPr>
            <w:r>
              <w:rPr>
                <w:sz w:val="20"/>
              </w:rPr>
              <w:t xml:space="preserve">- в 2024 году - 100%.</w:t>
            </w:r>
          </w:p>
          <w:p>
            <w:pPr>
              <w:pStyle w:val="0"/>
              <w:jc w:val="both"/>
            </w:pPr>
            <w:r>
              <w:rPr>
                <w:sz w:val="20"/>
              </w:rPr>
              <w:t xml:space="preserve">Доля медицинских организаций государственной и муниципальной систем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ЕГИСЗ, составит:</w:t>
            </w:r>
          </w:p>
          <w:p>
            <w:pPr>
              <w:pStyle w:val="0"/>
              <w:jc w:val="both"/>
            </w:pPr>
            <w:r>
              <w:rPr>
                <w:sz w:val="20"/>
              </w:rPr>
              <w:t xml:space="preserve">- в 2024 году - 100%.</w:t>
            </w:r>
          </w:p>
          <w:p>
            <w:pPr>
              <w:pStyle w:val="0"/>
              <w:jc w:val="both"/>
            </w:pPr>
            <w:r>
              <w:rPr>
                <w:sz w:val="20"/>
              </w:rPr>
              <w:t xml:space="preserve">Доля записей на прием к врачу, совершенных гражданами дистанционно, составит:</w:t>
            </w:r>
          </w:p>
          <w:p>
            <w:pPr>
              <w:pStyle w:val="0"/>
              <w:jc w:val="both"/>
            </w:pPr>
            <w:r>
              <w:rPr>
                <w:sz w:val="20"/>
              </w:rPr>
              <w:t xml:space="preserve">- в 2024 году - 63%.</w:t>
            </w:r>
          </w:p>
          <w:p>
            <w:pPr>
              <w:pStyle w:val="0"/>
              <w:jc w:val="both"/>
            </w:pPr>
            <w:r>
              <w:rPr>
                <w:sz w:val="20"/>
              </w:rPr>
              <w:t xml:space="preserve">Доля граждан, являющихся пользователями ЕПГУ, которым доступны электронные медицинские документы в Личном кабинете пациента "Мое здоровье" по факту оказания медицинской помощи за период, составит:</w:t>
            </w:r>
          </w:p>
          <w:p>
            <w:pPr>
              <w:pStyle w:val="0"/>
              <w:jc w:val="both"/>
            </w:pPr>
            <w:r>
              <w:rPr>
                <w:sz w:val="20"/>
              </w:rPr>
              <w:t xml:space="preserve">- в 2024 году - 90%.</w:t>
            </w:r>
          </w:p>
          <w:p>
            <w:pPr>
              <w:pStyle w:val="0"/>
              <w:jc w:val="both"/>
            </w:pPr>
            <w:r>
              <w:rPr>
                <w:sz w:val="20"/>
              </w:rPr>
              <w:t xml:space="preserve">Доля медицинских организаций государственной и муниципальной систем здравоохранения Нижегородской области, обеспечивает передачу в электронном виде медицинских свидетельств о рождении в Единый государственный реестр записей актов гражданского состояния (далее - ЕГР ЗАГС) посредством ЕГИСЗ, составит:</w:t>
            </w:r>
          </w:p>
          <w:p>
            <w:pPr>
              <w:pStyle w:val="0"/>
              <w:jc w:val="both"/>
            </w:pPr>
            <w:r>
              <w:rPr>
                <w:sz w:val="20"/>
              </w:rPr>
              <w:t xml:space="preserve">- в 2024 году - 100%.</w:t>
            </w:r>
          </w:p>
          <w:p>
            <w:pPr>
              <w:pStyle w:val="0"/>
              <w:jc w:val="both"/>
            </w:pPr>
            <w:r>
              <w:rPr>
                <w:sz w:val="20"/>
              </w:rPr>
              <w:t xml:space="preserve">Доля медицинских организаций государственной и муниципальной систем здравоохранения Нижегородской области, обеспечивает передачу в электронном виде медицинских свидетельств о смерти в ЕГР ЗАГС посредством ЕГИСЗ, составит:</w:t>
            </w:r>
          </w:p>
          <w:p>
            <w:pPr>
              <w:pStyle w:val="0"/>
              <w:jc w:val="both"/>
            </w:pPr>
            <w:r>
              <w:rPr>
                <w:sz w:val="20"/>
              </w:rPr>
              <w:t xml:space="preserve">- в 2024 году - 100%.</w:t>
            </w:r>
          </w:p>
          <w:p>
            <w:pPr>
              <w:pStyle w:val="0"/>
              <w:jc w:val="both"/>
            </w:pPr>
            <w:r>
              <w:rPr>
                <w:sz w:val="20"/>
              </w:rPr>
              <w:t xml:space="preserve">Доля медицинских организаций государственной и муниципальной систем здравоохранения Нижегородской области, обеспечивающих межведомственное электронное взаимодействие с Фондом социального страхования в части обмена сведениями об электронном родовом сертификате для оплаты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а также по проведению профилактических медицинских осмотров ребенка в течение первого года жизни,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подключенные к сети Интернет), использующих электронный сервис идентификации граждан по полису ОМС и документам, удостоверяющим личность, составит:</w:t>
            </w:r>
          </w:p>
          <w:p>
            <w:pPr>
              <w:pStyle w:val="0"/>
              <w:jc w:val="both"/>
            </w:pPr>
            <w:r>
              <w:rPr>
                <w:sz w:val="20"/>
              </w:rPr>
              <w:t xml:space="preserve">- в 2024 году - 100%.</w:t>
            </w:r>
          </w:p>
          <w:p>
            <w:pPr>
              <w:pStyle w:val="0"/>
              <w:jc w:val="both"/>
            </w:pPr>
            <w:r>
              <w:rPr>
                <w:sz w:val="20"/>
              </w:rPr>
              <w:t xml:space="preserve">Доля аптечных организаций Нижегородской области, обеспечивающих электронное информационное взаимодействие с медицинскими организациями при обслуживании рецептов, оформленных в форме электронного документа с использованием УКЭП медицинского работника, составит:</w:t>
            </w:r>
          </w:p>
          <w:p>
            <w:pPr>
              <w:pStyle w:val="0"/>
              <w:jc w:val="both"/>
            </w:pPr>
            <w:r>
              <w:rPr>
                <w:sz w:val="20"/>
              </w:rPr>
              <w:t xml:space="preserve">- в 2024 году - 100%.</w:t>
            </w:r>
          </w:p>
        </w:tc>
      </w:tr>
      <w:tr>
        <w:tblPrEx>
          <w:tblBorders>
            <w:insideH w:val="nil"/>
          </w:tblBorders>
        </w:tblPrEx>
        <w:tc>
          <w:tcPr>
            <w:tcW w:w="2778" w:type="dxa"/>
            <w:tcBorders>
              <w:top w:val="nil"/>
              <w:bottom w:val="nil"/>
            </w:tcBorders>
          </w:tcPr>
          <w:p>
            <w:pPr>
              <w:pStyle w:val="0"/>
            </w:pPr>
            <w:r>
              <w:rPr>
                <w:sz w:val="20"/>
              </w:rPr>
            </w:r>
          </w:p>
        </w:tc>
        <w:tc>
          <w:tcPr>
            <w:tcW w:w="6293" w:type="dxa"/>
            <w:tcBorders>
              <w:top w:val="nil"/>
              <w:bottom w:val="nil"/>
            </w:tcBorders>
          </w:tcPr>
          <w:p>
            <w:pPr>
              <w:pStyle w:val="0"/>
              <w:jc w:val="both"/>
            </w:pPr>
            <w:r>
              <w:rPr>
                <w:sz w:val="20"/>
              </w:rPr>
              <w:t xml:space="preserve">Доля медицинских организаций государственной и муниципальной систем здравоохранения Нижегородской области, обеспечивающих посредством ЕГИСЗ передачу сведений о прохождении медицинского освидетельствования на получение права ношения оружия и права заниматься частной детективной и охранной деятельностью с целью обеспечения межведомственного электронного взаимодействия с Росгвардией,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подключенные к сети Интернет), подключенных к защищенной сети передачи данных Нижегородской области, составляет: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обеспечивающих сервис записи на прием к врачу по направлению для получения первичной специализированной медико-санитарной помощи в ЛКП "Мое Здоровье" на ЕПГУ,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обеспечивающих для граждан сервис прикрепления онлайн в личном кабинете пациента "Мое Здоровье" на Едином портале государственных услуг и функций,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субъекта Российской Федерации, оказывающих медицинскую помощь в условиях стационара, передающих СЭМД "Эпикриз в стационаре выписной" и/или "Выписной эпикриз из родильного дома" в РЭМД ЕГИСЗ, составит:</w:t>
            </w:r>
          </w:p>
          <w:p>
            <w:pPr>
              <w:pStyle w:val="0"/>
              <w:jc w:val="both"/>
            </w:pPr>
            <w:r>
              <w:rPr>
                <w:sz w:val="20"/>
              </w:rPr>
              <w:t xml:space="preserve">- в 2024 году - 90%.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субъекта Российской Федерации, оказывающих первичную медико-санитарную помощь, в том числе специализированную, передающих СЭМД "Эпикриз по законченному случаю амбулаторный"/"Талон амбулаторного пациента" и/или "Протокол консультации" в РЭМД ЕГИСЗ, составит:</w:t>
            </w:r>
          </w:p>
          <w:p>
            <w:pPr>
              <w:pStyle w:val="0"/>
              <w:jc w:val="both"/>
            </w:pPr>
            <w:r>
              <w:rPr>
                <w:sz w:val="20"/>
              </w:rPr>
              <w:t xml:space="preserve">- в 2024 году - 100%.</w:t>
            </w:r>
          </w:p>
          <w:p>
            <w:pPr>
              <w:pStyle w:val="0"/>
              <w:jc w:val="both"/>
            </w:pPr>
            <w:r>
              <w:rPr>
                <w:sz w:val="20"/>
              </w:rPr>
              <w:t xml:space="preserve">Доля клинико-диагностических лабораторий медицинских организаций и клинико-диагностических лабораторий государственной и муниципальной систем здравоохранения субъекта Российской Федерации, обеспечивающих передачу СЭМД "Протокол лабораторного исследования", составит:</w:t>
            </w:r>
          </w:p>
          <w:p>
            <w:pPr>
              <w:pStyle w:val="0"/>
              <w:jc w:val="both"/>
            </w:pPr>
            <w:r>
              <w:rPr>
                <w:sz w:val="20"/>
              </w:rPr>
              <w:t xml:space="preserve">- в 2024 году - 100%.</w:t>
            </w:r>
          </w:p>
          <w:p>
            <w:pPr>
              <w:pStyle w:val="0"/>
              <w:jc w:val="both"/>
            </w:pPr>
            <w:r>
              <w:rPr>
                <w:sz w:val="20"/>
              </w:rPr>
              <w:t xml:space="preserve">Доля направлений на медико-социальную экспертизу, формируемых в медицинских организациях государственной и муниципальной систем здравоохранения субъекта Российской Федерации в форме электронных медицинских документов, зарегистрированных в РЭМД ЕГИСЗ, составит:</w:t>
            </w:r>
          </w:p>
          <w:p>
            <w:pPr>
              <w:pStyle w:val="0"/>
              <w:jc w:val="both"/>
            </w:pPr>
            <w:r>
              <w:rPr>
                <w:sz w:val="20"/>
              </w:rPr>
              <w:t xml:space="preserve">- в 2024 году - 100%.</w:t>
            </w:r>
          </w:p>
          <w:p>
            <w:pPr>
              <w:pStyle w:val="0"/>
              <w:jc w:val="both"/>
            </w:pPr>
            <w:r>
              <w:rPr>
                <w:sz w:val="20"/>
              </w:rPr>
              <w:t xml:space="preserve">Доля станций скорой медицинской помощи, обеспечивающих передачу СЭМД "Карта вызова скорой медицинской помощи" в РЭМД ЕГИСЗ, составит:</w:t>
            </w:r>
          </w:p>
          <w:p>
            <w:pPr>
              <w:pStyle w:val="0"/>
              <w:jc w:val="both"/>
            </w:pPr>
            <w:r>
              <w:rPr>
                <w:sz w:val="20"/>
              </w:rPr>
              <w:t xml:space="preserve">- в 2024 году - 60%.</w:t>
            </w:r>
          </w:p>
          <w:p>
            <w:pPr>
              <w:pStyle w:val="0"/>
              <w:jc w:val="both"/>
            </w:pPr>
            <w:r>
              <w:rPr>
                <w:sz w:val="20"/>
              </w:rPr>
              <w:t xml:space="preserve">Доля медицинских организаций государственной и муниципальной систем здравоохранения субъекта Российской Федерации, оказывающих первичную медико-санитарную помощь, обеспечивающих передачу в ЕГИСЗ и в федеральную государственную информационную систему "Единый портал государственных и муниципальных услуг (функций)" всех расписаний приема медицинских работников, в том числе с использованием витрин данных федеральной государственной информационной системы "Единая информационная платформа национальной системы управления данными", составит:</w:t>
            </w:r>
          </w:p>
          <w:p>
            <w:pPr>
              <w:pStyle w:val="0"/>
              <w:jc w:val="both"/>
            </w:pPr>
            <w:r>
              <w:rPr>
                <w:sz w:val="20"/>
              </w:rPr>
              <w:t xml:space="preserve">- в 2024 году - 100%.</w:t>
            </w:r>
          </w:p>
          <w:p>
            <w:pPr>
              <w:pStyle w:val="0"/>
              <w:jc w:val="both"/>
            </w:pPr>
            <w:r>
              <w:rPr>
                <w:sz w:val="20"/>
              </w:rPr>
              <w:t xml:space="preserve">Доля видов структурированных электронных медицинских документов, которые передаются на регистрацию в РЭМД ЕГИСЗ, составит:</w:t>
            </w:r>
          </w:p>
          <w:p>
            <w:pPr>
              <w:pStyle w:val="0"/>
              <w:jc w:val="both"/>
            </w:pPr>
            <w:r>
              <w:rPr>
                <w:sz w:val="20"/>
              </w:rPr>
              <w:t xml:space="preserve">- в 2024 году - 100%.</w:t>
            </w:r>
          </w:p>
          <w:p>
            <w:pPr>
              <w:pStyle w:val="0"/>
              <w:jc w:val="both"/>
            </w:pPr>
            <w:r>
              <w:rPr>
                <w:sz w:val="20"/>
              </w:rPr>
              <w:t xml:space="preserve">Доля успешных записей через сервис "Запись на прием к врачу" ЕПГУ от общего числа попыток записи (без учета "черновиков", ошибок ФЭР и ЕПГУ), составит:</w:t>
            </w:r>
          </w:p>
          <w:p>
            <w:pPr>
              <w:pStyle w:val="0"/>
              <w:jc w:val="both"/>
            </w:pPr>
            <w:r>
              <w:rPr>
                <w:sz w:val="20"/>
              </w:rPr>
              <w:t xml:space="preserve">- в 2024 году - 90%.</w:t>
            </w:r>
          </w:p>
          <w:p>
            <w:pPr>
              <w:pStyle w:val="0"/>
              <w:jc w:val="both"/>
            </w:pPr>
            <w:r>
              <w:rPr>
                <w:sz w:val="20"/>
              </w:rPr>
              <w:t xml:space="preserve">Доля СЭМД "Эпикриз в стационаре выписной" и/или СЭМД "Выписной эпикриз из родильного дома" в РЭМД ЕГИСЗ относительно количества случаев медицинской помощи, оказанной в условиях стационаров, состоит:</w:t>
            </w:r>
          </w:p>
          <w:p>
            <w:pPr>
              <w:pStyle w:val="0"/>
              <w:jc w:val="both"/>
            </w:pPr>
            <w:r>
              <w:rPr>
                <w:sz w:val="20"/>
              </w:rPr>
              <w:t xml:space="preserve">- в 2024 году - 80%.</w:t>
            </w:r>
          </w:p>
          <w:p>
            <w:pPr>
              <w:pStyle w:val="0"/>
              <w:jc w:val="both"/>
            </w:pPr>
            <w:r>
              <w:rPr>
                <w:sz w:val="20"/>
              </w:rPr>
              <w:t xml:space="preserve">Доля СЭМД "Эпикриз по законченному случаю амбулаторный", СЭМД "Протокол консультации" в РЭМД ЕГИСЗ относительно количества случаев оказания первичной медико-санитарной медицинской помощи, состоит:</w:t>
            </w:r>
          </w:p>
          <w:p>
            <w:pPr>
              <w:pStyle w:val="0"/>
              <w:jc w:val="both"/>
            </w:pPr>
            <w:r>
              <w:rPr>
                <w:sz w:val="20"/>
              </w:rPr>
              <w:t xml:space="preserve">- в 2024 году - 80%.</w:t>
            </w:r>
          </w:p>
          <w:p>
            <w:pPr>
              <w:pStyle w:val="0"/>
              <w:jc w:val="both"/>
            </w:pPr>
            <w:r>
              <w:rPr>
                <w:sz w:val="20"/>
              </w:rPr>
              <w:t xml:space="preserve">Доля технических ошибок ГИС Нижегородской области (без учета ошибок ФЭР или ЕПГУ) от общего числа попыток записи через сервис "Запись на прием к врачу" на ЕПГУ, в том числе и успешных записей (без учета "Черновиков", ошибок ФЭР и ЕПГУ), состоит:</w:t>
            </w:r>
          </w:p>
          <w:p>
            <w:pPr>
              <w:pStyle w:val="0"/>
              <w:jc w:val="both"/>
            </w:pPr>
            <w:r>
              <w:rPr>
                <w:sz w:val="20"/>
              </w:rPr>
              <w:t xml:space="preserve">- в 2024 год - 10%.</w:t>
            </w:r>
          </w:p>
          <w:p>
            <w:pPr>
              <w:pStyle w:val="0"/>
              <w:jc w:val="both"/>
            </w:pPr>
            <w:r>
              <w:rPr>
                <w:sz w:val="20"/>
              </w:rPr>
              <w:t xml:space="preserve">В 2024 году применяются не менее трех медицинских изделий с технологией искусственного интеллекта в подсистемах государственной информационной системы в сфере здравоохранения субъекта Российской Федерации, составляет:</w:t>
            </w:r>
          </w:p>
          <w:p>
            <w:pPr>
              <w:pStyle w:val="0"/>
              <w:jc w:val="both"/>
            </w:pPr>
            <w:r>
              <w:rPr>
                <w:sz w:val="20"/>
              </w:rPr>
              <w:t xml:space="preserve">- в 2024 год - 3 единицы.</w:t>
            </w:r>
          </w:p>
          <w:p>
            <w:pPr>
              <w:pStyle w:val="0"/>
              <w:jc w:val="both"/>
            </w:pPr>
            <w:r>
              <w:rPr>
                <w:sz w:val="20"/>
              </w:rPr>
              <w:t xml:space="preserve">Доля случаев оказания медицинской помощи, по которым предоставлены электронные медицинские документы в подсистеме ЕГИСЗ за период, составит:</w:t>
            </w:r>
          </w:p>
          <w:p>
            <w:pPr>
              <w:pStyle w:val="0"/>
              <w:jc w:val="both"/>
            </w:pPr>
            <w:r>
              <w:rPr>
                <w:sz w:val="20"/>
              </w:rPr>
              <w:t xml:space="preserve">- в 2024 году - 100%.</w:t>
            </w:r>
          </w:p>
          <w:p>
            <w:pPr>
              <w:pStyle w:val="0"/>
              <w:jc w:val="both"/>
            </w:pPr>
            <w:r>
              <w:rPr>
                <w:sz w:val="20"/>
              </w:rPr>
              <w:t xml:space="preserve">Доля отделений (станций и подстанций) медицинских организаций государственной и муниципальной систем здравоохранения субъекта Российской Федерации, обеспечивающих оказание скорой медицинской помощи, подключенных к централизованной системе (подсистеме) "Управление системой оказания скорой медицинской помощи и медицинской эвакуацией (в том числе санитарно-авиационной) в повседневном режиме и в режиме чрезвычайной ситуации" государственной информационной системы в сфере здравоохранения субъекта Российской Федерации, составит:</w:t>
            </w:r>
          </w:p>
          <w:p>
            <w:pPr>
              <w:pStyle w:val="0"/>
              <w:jc w:val="both"/>
            </w:pPr>
            <w:r>
              <w:rPr>
                <w:sz w:val="20"/>
              </w:rPr>
              <w:t xml:space="preserve">- в 2024 год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подключенные к сети Интернет), подключенных к централизованной системе (подсистеме) "Телемедицинские консультации"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подключенных к сети Интернет), подключенных к централизованной системе (подсистеме) "Лабораторные исследования"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клинико-диагностических лабораторий медицинских организаций государственной и муниципальной систем здравоохранения Нижегородской области, подключенных к централизованной системе (подсистеме) "Лабораторные исследования"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подключенных к централизованной системе (подсистеме) "Центральный архив медицинских изображений"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участвующих в оказании медицинской помощи беременным женщинам, подключенных к централизованной системе (подсистеме) "Организация оказания медицинской помощи по профилям "Акушерство и гинекология" и "Неонатология" (Мониторинг беременных)"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подключенные к сети Интернет), подключенных к централизованной системе (подсистеме) "Организация оказания профилактической медицинской помощи (диспансеризация, диспансерное наблюдение, профилактические осмотры)"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участвующих в оказании медицинской помощи больным онкологическими заболеваниями, подключенных к централизованной системе (подсистеме) "Организация оказания медицинской помощи больным онкологическими заболеваниями" ГИС Нижегородской области, составит:</w:t>
            </w:r>
          </w:p>
          <w:p>
            <w:pPr>
              <w:pStyle w:val="0"/>
              <w:jc w:val="both"/>
            </w:pPr>
            <w:r>
              <w:rPr>
                <w:sz w:val="20"/>
              </w:rPr>
              <w:t xml:space="preserve">- в 2024 году - 100%.</w:t>
            </w:r>
          </w:p>
        </w:tc>
      </w:tr>
      <w:tr>
        <w:tblPrEx>
          <w:tblBorders>
            <w:insideH w:val="nil"/>
          </w:tblBorders>
        </w:tblPrEx>
        <w:tc>
          <w:tcPr>
            <w:tcW w:w="2778" w:type="dxa"/>
            <w:tcBorders>
              <w:top w:val="nil"/>
            </w:tcBorders>
          </w:tcPr>
          <w:p>
            <w:pPr>
              <w:pStyle w:val="0"/>
            </w:pPr>
            <w:r>
              <w:rPr>
                <w:sz w:val="20"/>
              </w:rPr>
            </w:r>
          </w:p>
        </w:tc>
        <w:tc>
          <w:tcPr>
            <w:tcW w:w="6293" w:type="dxa"/>
            <w:tcBorders>
              <w:top w:val="nil"/>
            </w:tcBorders>
          </w:tcPr>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общего профиля и сердечно сосудистых центров, участвующих в оказании медицинской помощи больным сердечно сосудистыми заболеваниями, подключенных к централизованной системе (подсистеме) "Организация оказания медицинской помощи больным сердечно сосудистыми заболеваниями"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подключенные к сети Интернет), подключенных к централизованной системе (подсистеме) "Интегрированная электронная медицинская карта" ГИС Нижегородской области, составит:</w:t>
            </w:r>
          </w:p>
          <w:p>
            <w:pPr>
              <w:pStyle w:val="0"/>
              <w:jc w:val="both"/>
            </w:pPr>
            <w:r>
              <w:rPr>
                <w:sz w:val="20"/>
              </w:rPr>
              <w:t xml:space="preserve">- в 2024 году - 100%.</w:t>
            </w:r>
          </w:p>
          <w:p>
            <w:pPr>
              <w:pStyle w:val="0"/>
              <w:jc w:val="both"/>
            </w:pPr>
            <w:r>
              <w:rPr>
                <w:sz w:val="20"/>
              </w:rPr>
              <w:t xml:space="preserve">Доля медицинских организаций государственной и муниципальной систем здравоохранения, подключенных к централизованным подсистемам государственных информационных систем в сфере здравоохранения субъектов Российской Федерации, составит:</w:t>
            </w:r>
          </w:p>
          <w:p>
            <w:pPr>
              <w:pStyle w:val="0"/>
              <w:jc w:val="both"/>
            </w:pPr>
            <w:r>
              <w:rPr>
                <w:sz w:val="20"/>
              </w:rPr>
              <w:t xml:space="preserve">- в 2024 году - 100%.</w:t>
            </w:r>
          </w:p>
          <w:p>
            <w:pPr>
              <w:pStyle w:val="0"/>
              <w:jc w:val="both"/>
            </w:pPr>
            <w:r>
              <w:rPr>
                <w:sz w:val="20"/>
              </w:rPr>
              <w:t xml:space="preserve">Доля медицинских организаций государственной и муниципальной систем здравоохранения субъекта Российской Федерации, оказывающих медицинскую помощь в условиях стационара, обеспечивающих персонифицированный учет лекарственных средств, составит:</w:t>
            </w:r>
          </w:p>
          <w:p>
            <w:pPr>
              <w:pStyle w:val="0"/>
              <w:jc w:val="both"/>
            </w:pPr>
            <w:r>
              <w:rPr>
                <w:sz w:val="20"/>
              </w:rPr>
              <w:t xml:space="preserve">- в 2024 году - 60%.</w:t>
            </w:r>
          </w:p>
          <w:p>
            <w:pPr>
              <w:pStyle w:val="0"/>
              <w:jc w:val="both"/>
            </w:pPr>
            <w:r>
              <w:rPr>
                <w:sz w:val="20"/>
              </w:rPr>
              <w:t xml:space="preserve">Доля медицинских свидетельств о смерти, формируемых в медицинских организациях государственной и муниципальной систем здравоохранения субъекта Российской Федерации в форме электронных медицинских документов, зарегистрированных в РЭМД ЕГИСЗ, составит:</w:t>
            </w:r>
          </w:p>
          <w:p>
            <w:pPr>
              <w:pStyle w:val="0"/>
              <w:jc w:val="both"/>
            </w:pPr>
            <w:r>
              <w:rPr>
                <w:sz w:val="20"/>
              </w:rPr>
              <w:t xml:space="preserve">- в 2024 году - 100%.</w:t>
            </w:r>
          </w:p>
          <w:p>
            <w:pPr>
              <w:pStyle w:val="0"/>
              <w:jc w:val="both"/>
            </w:pPr>
            <w:r>
              <w:rPr>
                <w:sz w:val="20"/>
              </w:rPr>
              <w:t xml:space="preserve">Доля медицинских свидетельств о рождении, формируемых в медицинских организациях государственной и муниципальной систем здравоохранения субъекта Российской Федерации в форме электронных медицинских документов, зарегистрированных в РЭМД ЕГИСЗ, составит:</w:t>
            </w:r>
          </w:p>
          <w:p>
            <w:pPr>
              <w:pStyle w:val="0"/>
              <w:jc w:val="both"/>
            </w:pPr>
            <w:r>
              <w:rPr>
                <w:sz w:val="20"/>
              </w:rPr>
              <w:t xml:space="preserve">- в 2024 году - 100%.</w:t>
            </w:r>
          </w:p>
          <w:p>
            <w:pPr>
              <w:pStyle w:val="0"/>
              <w:jc w:val="both"/>
            </w:pPr>
            <w:r>
              <w:rPr>
                <w:sz w:val="20"/>
              </w:rPr>
              <w:t xml:space="preserve">Доля врачей медицинских организаций государственной и муниципальной систем здравоохранения субъекта Российской Федерации, от которых зарегистрированы СЭМД в РЭМД ЕГИСЗ, составит:</w:t>
            </w:r>
          </w:p>
          <w:p>
            <w:pPr>
              <w:pStyle w:val="0"/>
              <w:jc w:val="both"/>
            </w:pPr>
            <w:r>
              <w:rPr>
                <w:sz w:val="20"/>
              </w:rPr>
              <w:t xml:space="preserve">- в 2024 году - 80%.</w:t>
            </w:r>
          </w:p>
          <w:p>
            <w:pPr>
              <w:pStyle w:val="0"/>
              <w:jc w:val="both"/>
            </w:pPr>
            <w:r>
              <w:rPr>
                <w:sz w:val="20"/>
              </w:rPr>
              <w:t xml:space="preserve">Доля территориально выделенных структурных подразделений медицинских организаций государственной и муниципальной систем здравоохранения субъекта Российской Федерации, с тяжелым диагностическим оборудованием, обеспечивающих передачу СЭМД "Протокол инструментальных исследований" в РЭМД ЕГИСЗ, составит:</w:t>
            </w:r>
          </w:p>
          <w:p>
            <w:pPr>
              <w:pStyle w:val="0"/>
              <w:jc w:val="both"/>
            </w:pPr>
            <w:r>
              <w:rPr>
                <w:sz w:val="20"/>
              </w:rPr>
              <w:t xml:space="preserve">- в 2024 году - 60%.</w:t>
            </w:r>
          </w:p>
          <w:p>
            <w:pPr>
              <w:pStyle w:val="0"/>
              <w:jc w:val="both"/>
            </w:pPr>
            <w:r>
              <w:rPr>
                <w:sz w:val="20"/>
              </w:rPr>
              <w:t xml:space="preserve">Доля медицинских организаций государственной и муниципальной систем здравоохранения субъекта Российской Федерации, перешедших на электронный медицинский документооборот согласно утвержденному приказу и плану, составит:</w:t>
            </w:r>
          </w:p>
          <w:p>
            <w:pPr>
              <w:pStyle w:val="0"/>
              <w:jc w:val="both"/>
            </w:pPr>
            <w:r>
              <w:rPr>
                <w:sz w:val="20"/>
              </w:rPr>
              <w:t xml:space="preserve">- в 2024 году - 30%.</w:t>
            </w:r>
          </w:p>
          <w:p>
            <w:pPr>
              <w:pStyle w:val="0"/>
              <w:jc w:val="both"/>
            </w:pPr>
            <w:r>
              <w:rPr>
                <w:sz w:val="20"/>
              </w:rPr>
              <w:t xml:space="preserve">Число централизованных подсистем ГИС субъекта Российской Федерации, в которых применяются медицинские изделия с технологией искусственного интеллекта, составит:</w:t>
            </w:r>
          </w:p>
          <w:p>
            <w:pPr>
              <w:pStyle w:val="0"/>
              <w:jc w:val="both"/>
            </w:pPr>
            <w:r>
              <w:rPr>
                <w:sz w:val="20"/>
              </w:rPr>
              <w:t xml:space="preserve">- в 2024 году - 3 единицы.</w:t>
            </w:r>
          </w:p>
          <w:p>
            <w:pPr>
              <w:pStyle w:val="0"/>
              <w:jc w:val="both"/>
            </w:pPr>
            <w:r>
              <w:rPr>
                <w:sz w:val="20"/>
              </w:rPr>
              <w:t xml:space="preserve">Доля врачей медицинских организаций государственной и муниципальной систем здравоохранения субъекта Российской Федерации, участвующих в оказании медицинской помощи, обеспечены усиленной квалифицированной электронной подписью, составит:</w:t>
            </w:r>
          </w:p>
          <w:p>
            <w:pPr>
              <w:pStyle w:val="0"/>
              <w:jc w:val="both"/>
            </w:pPr>
            <w:r>
              <w:rPr>
                <w:sz w:val="20"/>
              </w:rPr>
              <w:t xml:space="preserve">- в 2024 году - 100%.</w:t>
            </w:r>
          </w:p>
          <w:p>
            <w:pPr>
              <w:pStyle w:val="0"/>
              <w:jc w:val="both"/>
            </w:pPr>
            <w:r>
              <w:rPr>
                <w:sz w:val="20"/>
              </w:rPr>
              <w:t xml:space="preserve">Доля отделений (станций и подстанций) государственных и муниципальных медицинских организаций субъектов Российской Федерации, обеспечивающих оказание скорой и неотложной медицинской помощи подключенных к централизованной системе (подсистеме) "Управление системой оказания скорой медицинской помощи и медицинской эвакуацией (в том числе санитарно авиационной) в повседневном режиме и в режиме чрезвычайной ситуации" субъекта Российской Федерации, составит:</w:t>
            </w:r>
          </w:p>
          <w:p>
            <w:pPr>
              <w:pStyle w:val="0"/>
              <w:jc w:val="both"/>
            </w:pPr>
            <w:r>
              <w:rPr>
                <w:sz w:val="20"/>
              </w:rPr>
              <w:t xml:space="preserve">- в 2024 году - 100%.</w:t>
            </w:r>
          </w:p>
          <w:p>
            <w:pPr>
              <w:pStyle w:val="0"/>
              <w:jc w:val="both"/>
            </w:pPr>
            <w:r>
              <w:rPr>
                <w:sz w:val="20"/>
              </w:rPr>
              <w:t xml:space="preserve">Доля врачей медицинских организаций государственной и муниципальной систем здравоохранения субъекта Российской Федерации III уровня оказания медицинской помощи, от которых зарегистрированы СЭМД в РЭМД ЕГИСЗ, составит:</w:t>
            </w:r>
          </w:p>
          <w:p>
            <w:pPr>
              <w:pStyle w:val="0"/>
              <w:jc w:val="both"/>
            </w:pPr>
            <w:r>
              <w:rPr>
                <w:sz w:val="20"/>
              </w:rPr>
              <w:t xml:space="preserve">- в 2024 году - 90%.</w:t>
            </w:r>
          </w:p>
          <w:p>
            <w:pPr>
              <w:pStyle w:val="0"/>
              <w:jc w:val="both"/>
            </w:pPr>
            <w:r>
              <w:rPr>
                <w:sz w:val="20"/>
              </w:rPr>
              <w:t xml:space="preserve">Проведена интеграция ГИС субъекта Российской Федерации с подсистемами "Федеральный регистр медицинских работников" и "Федеральный реестр медицинских организаций" ЕГИСЗ, составит:</w:t>
            </w:r>
          </w:p>
          <w:p>
            <w:pPr>
              <w:pStyle w:val="0"/>
              <w:jc w:val="both"/>
            </w:pPr>
            <w:r>
              <w:rPr>
                <w:sz w:val="20"/>
              </w:rPr>
              <w:t xml:space="preserve">- в 2024 году - 2 единицы.</w:t>
            </w:r>
          </w:p>
          <w:p>
            <w:pPr>
              <w:pStyle w:val="0"/>
              <w:jc w:val="both"/>
            </w:pPr>
            <w:r>
              <w:rPr>
                <w:sz w:val="20"/>
              </w:rPr>
              <w:t xml:space="preserve">Доля государственных и муниципальных медицинских организаций, и их структурных подразделений (включая ФАП и ФП, подключенных к сети Интернет) субъекта Российской Федерации и доля аптечных организаций субъекта Российской Федерации, участвующих в реализации программ льготного лекарственного обеспечения, подключенных к централизованной системе (подсистеме) "Управление льготным лекарственным обеспечением" субъекта Российской Федерации, составит:</w:t>
            </w:r>
          </w:p>
          <w:p>
            <w:pPr>
              <w:pStyle w:val="0"/>
              <w:jc w:val="both"/>
            </w:pPr>
            <w:r>
              <w:rPr>
                <w:sz w:val="20"/>
              </w:rPr>
              <w:t xml:space="preserve">- в 2024 году - 100%.</w:t>
            </w:r>
          </w:p>
          <w:p>
            <w:pPr>
              <w:pStyle w:val="0"/>
              <w:jc w:val="both"/>
            </w:pPr>
            <w:r>
              <w:rPr>
                <w:sz w:val="20"/>
              </w:rPr>
              <w:t xml:space="preserve">Увеличение объема экспорта медицинских услуг не менее чем в четыре раза по сравнению с 2017 годом (до 1 млрд долларов США в год), составит:</w:t>
            </w:r>
          </w:p>
          <w:p>
            <w:pPr>
              <w:pStyle w:val="0"/>
              <w:jc w:val="both"/>
            </w:pPr>
            <w:r>
              <w:rPr>
                <w:sz w:val="20"/>
              </w:rPr>
              <w:t xml:space="preserve">- в 2024 году - 3,35 млн долларов.</w:t>
            </w:r>
          </w:p>
          <w:p>
            <w:pPr>
              <w:pStyle w:val="0"/>
              <w:jc w:val="both"/>
            </w:pPr>
            <w:r>
              <w:rPr>
                <w:sz w:val="20"/>
              </w:rPr>
              <w:t xml:space="preserve">Количество пролеченных иностранных граждан, составит:</w:t>
            </w:r>
          </w:p>
          <w:p>
            <w:pPr>
              <w:pStyle w:val="0"/>
              <w:jc w:val="both"/>
            </w:pPr>
            <w:r>
              <w:rPr>
                <w:sz w:val="20"/>
              </w:rPr>
              <w:t xml:space="preserve">- в 2024 году - 106,915 тыс. человек.</w:t>
            </w:r>
          </w:p>
          <w:p>
            <w:pPr>
              <w:pStyle w:val="0"/>
              <w:jc w:val="both"/>
            </w:pPr>
            <w:r>
              <w:rPr>
                <w:sz w:val="20"/>
              </w:rPr>
              <w:t xml:space="preserve">Число посещений сельскими жителями медицинских организаций, составит:</w:t>
            </w:r>
          </w:p>
          <w:p>
            <w:pPr>
              <w:pStyle w:val="0"/>
              <w:jc w:val="both"/>
            </w:pPr>
            <w:r>
              <w:rPr>
                <w:sz w:val="20"/>
              </w:rPr>
              <w:t xml:space="preserve">- в 2024 году - 6,82 на 1 сельского жителя в год.</w:t>
            </w:r>
          </w:p>
          <w:p>
            <w:pPr>
              <w:pStyle w:val="0"/>
              <w:jc w:val="both"/>
            </w:pPr>
            <w:r>
              <w:rPr>
                <w:sz w:val="20"/>
              </w:rPr>
              <w:t xml:space="preserve">Доля оборудования в подразделениях, оказывающих медицинскую помощь в амбулаторных условиях, со сроком эксплуатации свыше 10 лет от общего числа данного вида оборудования, составит:</w:t>
            </w:r>
          </w:p>
          <w:p>
            <w:pPr>
              <w:pStyle w:val="0"/>
              <w:jc w:val="both"/>
            </w:pPr>
            <w:r>
              <w:rPr>
                <w:sz w:val="20"/>
              </w:rPr>
              <w:t xml:space="preserve">- в 2024 году - 39,6%.</w:t>
            </w:r>
          </w:p>
          <w:p>
            <w:pPr>
              <w:pStyle w:val="0"/>
              <w:jc w:val="both"/>
            </w:pPr>
            <w:r>
              <w:rPr>
                <w:sz w:val="20"/>
              </w:rPr>
              <w:t xml:space="preserve">Доля зданий медицинских организаций, оказывающих первичную медико-санитарную помощь, находящихся в аварийном состоянии, требующих сноса, реконструкции и капитального ремонта, составит:</w:t>
            </w:r>
          </w:p>
          <w:p>
            <w:pPr>
              <w:pStyle w:val="0"/>
              <w:jc w:val="both"/>
            </w:pPr>
            <w:r>
              <w:rPr>
                <w:sz w:val="20"/>
              </w:rPr>
              <w:t xml:space="preserve">- в 2024 году - 43,4%.</w:t>
            </w:r>
          </w:p>
          <w:p>
            <w:pPr>
              <w:pStyle w:val="0"/>
              <w:jc w:val="both"/>
            </w:pPr>
            <w:r>
              <w:rPr>
                <w:sz w:val="20"/>
              </w:rPr>
              <w:t xml:space="preserve">Оценка общественного мнения по удовлетворенности населения медицинской помощью, составит:</w:t>
            </w:r>
          </w:p>
          <w:p>
            <w:pPr>
              <w:pStyle w:val="0"/>
              <w:jc w:val="both"/>
            </w:pPr>
            <w:r>
              <w:rPr>
                <w:sz w:val="20"/>
              </w:rPr>
              <w:t xml:space="preserve">- в 2024 году - 67,0%</w:t>
            </w:r>
          </w:p>
        </w:tc>
      </w:tr>
      <w:tr>
        <w:tc>
          <w:tcPr>
            <w:tcW w:w="2778" w:type="dxa"/>
          </w:tcPr>
          <w:p>
            <w:pPr>
              <w:pStyle w:val="0"/>
              <w:jc w:val="both"/>
            </w:pPr>
            <w:r>
              <w:rPr>
                <w:sz w:val="20"/>
              </w:rPr>
              <w:t xml:space="preserve">4. "Образование":</w:t>
            </w:r>
          </w:p>
          <w:p>
            <w:pPr>
              <w:pStyle w:val="0"/>
              <w:jc w:val="both"/>
            </w:pPr>
            <w:r>
              <w:rPr>
                <w:sz w:val="20"/>
              </w:rPr>
              <w:t xml:space="preserve">4.1. Современная школа.</w:t>
            </w:r>
          </w:p>
          <w:p>
            <w:pPr>
              <w:pStyle w:val="0"/>
              <w:jc w:val="both"/>
            </w:pPr>
            <w:r>
              <w:rPr>
                <w:sz w:val="20"/>
              </w:rPr>
              <w:t xml:space="preserve">4.2. Успех каждого ребенка.</w:t>
            </w:r>
          </w:p>
          <w:p>
            <w:pPr>
              <w:pStyle w:val="0"/>
              <w:jc w:val="both"/>
            </w:pPr>
            <w:r>
              <w:rPr>
                <w:sz w:val="20"/>
              </w:rPr>
              <w:t xml:space="preserve">4.3. Цифровая образовательная среда.</w:t>
            </w:r>
          </w:p>
          <w:p>
            <w:pPr>
              <w:pStyle w:val="0"/>
              <w:jc w:val="both"/>
            </w:pPr>
            <w:r>
              <w:rPr>
                <w:sz w:val="20"/>
              </w:rPr>
              <w:t xml:space="preserve">4.5. Социальная активность.</w:t>
            </w:r>
          </w:p>
          <w:p>
            <w:pPr>
              <w:pStyle w:val="0"/>
              <w:jc w:val="both"/>
            </w:pPr>
            <w:r>
              <w:rPr>
                <w:sz w:val="20"/>
              </w:rPr>
              <w:t xml:space="preserve">4.6. Патриотическое воспитание граждан Российской Федерации.</w:t>
            </w:r>
          </w:p>
          <w:p>
            <w:pPr>
              <w:pStyle w:val="0"/>
              <w:jc w:val="both"/>
            </w:pPr>
            <w:r>
              <w:rPr>
                <w:sz w:val="20"/>
              </w:rPr>
              <w:t xml:space="preserve">4.7. Развитие системы поддержки молодежи</w:t>
            </w:r>
          </w:p>
        </w:tc>
        <w:tc>
          <w:tcPr>
            <w:tcW w:w="6293" w:type="dxa"/>
          </w:tcPr>
          <w:p>
            <w:pPr>
              <w:pStyle w:val="0"/>
              <w:jc w:val="both"/>
            </w:pPr>
            <w:r>
              <w:rPr>
                <w:sz w:val="20"/>
              </w:rPr>
              <w:t xml:space="preserve">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составит:</w:t>
            </w:r>
          </w:p>
          <w:p>
            <w:pPr>
              <w:pStyle w:val="0"/>
              <w:jc w:val="both"/>
            </w:pPr>
            <w:r>
              <w:rPr>
                <w:sz w:val="20"/>
              </w:rPr>
              <w:t xml:space="preserve">- в 2024 году - 87,7%.</w:t>
            </w:r>
          </w:p>
          <w:p>
            <w:pPr>
              <w:pStyle w:val="0"/>
              <w:jc w:val="both"/>
            </w:pPr>
            <w:r>
              <w:rPr>
                <w:sz w:val="20"/>
              </w:rPr>
              <w:t xml:space="preserve">Доля детей в возрасте от 5 до 18 лет, охваченных дополнительным образованием, составит:</w:t>
            </w:r>
          </w:p>
          <w:p>
            <w:pPr>
              <w:pStyle w:val="0"/>
              <w:jc w:val="both"/>
            </w:pPr>
            <w:r>
              <w:rPr>
                <w:sz w:val="20"/>
              </w:rPr>
              <w:t xml:space="preserve">- в 2024 году - 80%.</w:t>
            </w:r>
          </w:p>
          <w:p>
            <w:pPr>
              <w:pStyle w:val="0"/>
              <w:jc w:val="both"/>
            </w:pPr>
            <w:r>
              <w:rPr>
                <w:sz w:val="20"/>
              </w:rPr>
              <w:t xml:space="preserve">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 составит:</w:t>
            </w:r>
          </w:p>
          <w:p>
            <w:pPr>
              <w:pStyle w:val="0"/>
              <w:jc w:val="both"/>
            </w:pPr>
            <w:r>
              <w:rPr>
                <w:sz w:val="20"/>
              </w:rPr>
              <w:t xml:space="preserve">- в 2024 году - 40%.</w:t>
            </w:r>
          </w:p>
          <w:p>
            <w:pPr>
              <w:pStyle w:val="0"/>
              <w:jc w:val="both"/>
            </w:pPr>
            <w:r>
              <w:rPr>
                <w:sz w:val="20"/>
              </w:rPr>
              <w:t xml:space="preserve">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 составит:</w:t>
            </w:r>
          </w:p>
          <w:p>
            <w:pPr>
              <w:pStyle w:val="0"/>
              <w:jc w:val="both"/>
            </w:pPr>
            <w:r>
              <w:rPr>
                <w:sz w:val="20"/>
              </w:rPr>
              <w:t xml:space="preserve">- к 2024 году - 15,9%.</w:t>
            </w:r>
          </w:p>
          <w:p>
            <w:pPr>
              <w:pStyle w:val="0"/>
              <w:jc w:val="both"/>
            </w:pPr>
            <w:r>
              <w:rPr>
                <w:sz w:val="20"/>
              </w:rPr>
              <w:t xml:space="preserve">Доля общеобразовательных организаций, оснащенных в целях внедрения цифровой образовательной среды, составит:</w:t>
            </w:r>
          </w:p>
          <w:p>
            <w:pPr>
              <w:pStyle w:val="0"/>
              <w:jc w:val="both"/>
            </w:pPr>
            <w:r>
              <w:rPr>
                <w:sz w:val="20"/>
              </w:rPr>
              <w:t xml:space="preserve">- к 2024 году - 26,43%.</w:t>
            </w:r>
          </w:p>
          <w:p>
            <w:pPr>
              <w:pStyle w:val="0"/>
              <w:jc w:val="both"/>
            </w:pPr>
            <w:r>
              <w:rPr>
                <w:sz w:val="20"/>
              </w:rPr>
              <w:t xml:space="preserve">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 составит:</w:t>
            </w:r>
          </w:p>
          <w:p>
            <w:pPr>
              <w:pStyle w:val="0"/>
              <w:jc w:val="both"/>
            </w:pPr>
            <w:r>
              <w:rPr>
                <w:sz w:val="20"/>
              </w:rPr>
              <w:t xml:space="preserve">- в 2024 году - 50%.</w:t>
            </w:r>
          </w:p>
          <w:p>
            <w:pPr>
              <w:pStyle w:val="0"/>
              <w:jc w:val="both"/>
            </w:pPr>
            <w:r>
              <w:rPr>
                <w:sz w:val="20"/>
              </w:rPr>
              <w:t xml:space="preserve">Доля педагогических работников, использующих сервисы федеральной информационно-сервисной платформы цифровой образовательной среды, составит:</w:t>
            </w:r>
          </w:p>
          <w:p>
            <w:pPr>
              <w:pStyle w:val="0"/>
              <w:jc w:val="both"/>
            </w:pPr>
            <w:r>
              <w:rPr>
                <w:sz w:val="20"/>
              </w:rPr>
              <w:t xml:space="preserve">- в 2024 году - 81%.</w:t>
            </w:r>
          </w:p>
          <w:p>
            <w:pPr>
              <w:pStyle w:val="0"/>
              <w:jc w:val="both"/>
            </w:pPr>
            <w:r>
              <w:rPr>
                <w:sz w:val="20"/>
              </w:rPr>
              <w:t xml:space="preserve">Доля образовательных организаций, использующих сервисы федеральной информационно-сервисной платформы цифровой образовательной среды при реализации программ основного общего образования, составит:</w:t>
            </w:r>
          </w:p>
          <w:p>
            <w:pPr>
              <w:pStyle w:val="0"/>
              <w:jc w:val="both"/>
            </w:pPr>
            <w:r>
              <w:rPr>
                <w:sz w:val="20"/>
              </w:rPr>
              <w:t xml:space="preserve">- к 2024 году - 33% организаций.</w:t>
            </w:r>
          </w:p>
          <w:p>
            <w:pPr>
              <w:pStyle w:val="0"/>
              <w:jc w:val="both"/>
            </w:pPr>
            <w:r>
              <w:rPr>
                <w:sz w:val="20"/>
              </w:rPr>
              <w:t xml:space="preserve">Доля граждан, вовлеченных центрами (сообществами, объединениями) поддержки добровольчества (волонтерства)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составит:</w:t>
            </w:r>
          </w:p>
          <w:p>
            <w:pPr>
              <w:pStyle w:val="0"/>
              <w:jc w:val="both"/>
            </w:pPr>
            <w:r>
              <w:rPr>
                <w:sz w:val="20"/>
              </w:rPr>
              <w:t xml:space="preserve">- в 2024 году - 8,2%</w:t>
            </w:r>
          </w:p>
        </w:tc>
      </w:tr>
      <w:tr>
        <w:tc>
          <w:tcPr>
            <w:tcW w:w="2778" w:type="dxa"/>
          </w:tcPr>
          <w:p>
            <w:pPr>
              <w:pStyle w:val="0"/>
              <w:jc w:val="both"/>
            </w:pPr>
            <w:r>
              <w:rPr>
                <w:sz w:val="20"/>
              </w:rPr>
              <w:t xml:space="preserve">5. "Экология":</w:t>
            </w:r>
          </w:p>
          <w:p>
            <w:pPr>
              <w:pStyle w:val="0"/>
              <w:jc w:val="both"/>
            </w:pPr>
            <w:r>
              <w:rPr>
                <w:sz w:val="20"/>
              </w:rPr>
              <w:t xml:space="preserve">5.1. Чистая страна.</w:t>
            </w:r>
          </w:p>
          <w:p>
            <w:pPr>
              <w:pStyle w:val="0"/>
              <w:jc w:val="both"/>
            </w:pPr>
            <w:r>
              <w:rPr>
                <w:sz w:val="20"/>
              </w:rPr>
              <w:t xml:space="preserve">5.2. Комплексная система обращения с твердыми коммунальными отходами (далее - ТКО).</w:t>
            </w:r>
          </w:p>
          <w:p>
            <w:pPr>
              <w:pStyle w:val="0"/>
              <w:jc w:val="both"/>
            </w:pPr>
            <w:r>
              <w:rPr>
                <w:sz w:val="20"/>
              </w:rPr>
              <w:t xml:space="preserve">5.3. Оздоровление Волги.</w:t>
            </w:r>
          </w:p>
          <w:p>
            <w:pPr>
              <w:pStyle w:val="0"/>
              <w:jc w:val="both"/>
            </w:pPr>
            <w:r>
              <w:rPr>
                <w:sz w:val="20"/>
              </w:rPr>
              <w:t xml:space="preserve">5.4. Сохранение уникальных водных объектов.</w:t>
            </w:r>
          </w:p>
          <w:p>
            <w:pPr>
              <w:pStyle w:val="0"/>
              <w:jc w:val="both"/>
            </w:pPr>
            <w:r>
              <w:rPr>
                <w:sz w:val="20"/>
              </w:rPr>
              <w:t xml:space="preserve">5.5. Сохранение лесов</w:t>
            </w:r>
          </w:p>
        </w:tc>
        <w:tc>
          <w:tcPr>
            <w:tcW w:w="6293" w:type="dxa"/>
          </w:tcPr>
          <w:p>
            <w:pPr>
              <w:pStyle w:val="0"/>
              <w:jc w:val="both"/>
            </w:pPr>
            <w:r>
              <w:rPr>
                <w:sz w:val="20"/>
              </w:rPr>
              <w:t xml:space="preserve">Количество ликвидированных наиболее опасных объектов накопленного вреда окружающей среде составит:</w:t>
            </w:r>
          </w:p>
          <w:p>
            <w:pPr>
              <w:pStyle w:val="0"/>
              <w:jc w:val="both"/>
            </w:pPr>
            <w:r>
              <w:rPr>
                <w:sz w:val="20"/>
              </w:rPr>
              <w:t xml:space="preserve">- в 2024 году - 2 шт.</w:t>
            </w:r>
          </w:p>
          <w:p>
            <w:pPr>
              <w:pStyle w:val="0"/>
              <w:jc w:val="both"/>
            </w:pPr>
            <w:r>
              <w:rPr>
                <w:sz w:val="20"/>
              </w:rPr>
              <w:t xml:space="preserve">Количество ликвидированных несанкционированных свалок в границах городов составит:</w:t>
            </w:r>
          </w:p>
          <w:p>
            <w:pPr>
              <w:pStyle w:val="0"/>
              <w:jc w:val="both"/>
            </w:pPr>
            <w:r>
              <w:rPr>
                <w:sz w:val="20"/>
              </w:rPr>
              <w:t xml:space="preserve">- в 2024 году - 7 шт.</w:t>
            </w:r>
          </w:p>
          <w:p>
            <w:pPr>
              <w:pStyle w:val="0"/>
              <w:jc w:val="both"/>
            </w:pPr>
            <w:r>
              <w:rPr>
                <w:sz w:val="20"/>
              </w:rPr>
              <w:t xml:space="preserve">Численность населения, качество жизни которого улучшится в связи с ликвидацией несанкционированных свалок в границах городов, составит:</w:t>
            </w:r>
          </w:p>
          <w:p>
            <w:pPr>
              <w:pStyle w:val="0"/>
              <w:jc w:val="both"/>
            </w:pPr>
            <w:r>
              <w:rPr>
                <w:sz w:val="20"/>
              </w:rPr>
              <w:t xml:space="preserve">- в 2024 году - 1560,8 тыс. чел.</w:t>
            </w:r>
          </w:p>
          <w:p>
            <w:pPr>
              <w:pStyle w:val="0"/>
              <w:jc w:val="both"/>
            </w:pPr>
            <w:r>
              <w:rPr>
                <w:sz w:val="20"/>
              </w:rPr>
              <w:t xml:space="preserve">Численность населения, качество жизни которого улучшится в связи с ликвидацией наиболее опасных объектов накопленного вреда окружающей среде, в том числе находящихся в собственности Российской Федерации, составит:</w:t>
            </w:r>
          </w:p>
          <w:p>
            <w:pPr>
              <w:pStyle w:val="0"/>
              <w:jc w:val="both"/>
            </w:pPr>
            <w:r>
              <w:rPr>
                <w:sz w:val="20"/>
              </w:rPr>
              <w:t xml:space="preserve">- в 2024 году - 229,0 тыс. чел.</w:t>
            </w:r>
          </w:p>
          <w:p>
            <w:pPr>
              <w:pStyle w:val="0"/>
              <w:jc w:val="both"/>
            </w:pPr>
            <w:r>
              <w:rPr>
                <w:sz w:val="20"/>
              </w:rPr>
              <w:t xml:space="preserve">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 составит:</w:t>
            </w:r>
          </w:p>
          <w:p>
            <w:pPr>
              <w:pStyle w:val="0"/>
              <w:jc w:val="both"/>
            </w:pPr>
            <w:r>
              <w:rPr>
                <w:sz w:val="20"/>
              </w:rPr>
              <w:t xml:space="preserve">- в 2024 году - 88,1%.</w:t>
            </w:r>
          </w:p>
          <w:p>
            <w:pPr>
              <w:pStyle w:val="0"/>
              <w:jc w:val="both"/>
            </w:pPr>
            <w:r>
              <w:rPr>
                <w:sz w:val="20"/>
              </w:rPr>
              <w:t xml:space="preserve">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 составит:</w:t>
            </w:r>
          </w:p>
          <w:p>
            <w:pPr>
              <w:pStyle w:val="0"/>
              <w:jc w:val="both"/>
            </w:pPr>
            <w:r>
              <w:rPr>
                <w:sz w:val="20"/>
              </w:rPr>
              <w:t xml:space="preserve">- в 2024 году - 11,9%.</w:t>
            </w:r>
          </w:p>
          <w:p>
            <w:pPr>
              <w:pStyle w:val="0"/>
              <w:jc w:val="both"/>
            </w:pPr>
            <w:r>
              <w:rPr>
                <w:sz w:val="20"/>
              </w:rPr>
              <w:t xml:space="preserve">Доля твердых коммунальных отходов, направленных на обработку (сортировку), в общей массе образованных твердых коммунальных отходов достигнет:</w:t>
            </w:r>
          </w:p>
          <w:p>
            <w:pPr>
              <w:pStyle w:val="0"/>
              <w:jc w:val="both"/>
            </w:pPr>
            <w:r>
              <w:rPr>
                <w:sz w:val="20"/>
              </w:rPr>
              <w:t xml:space="preserve">- в 2024 году - 80,0%.</w:t>
            </w:r>
          </w:p>
          <w:p>
            <w:pPr>
              <w:pStyle w:val="0"/>
              <w:jc w:val="both"/>
            </w:pPr>
            <w:r>
              <w:rPr>
                <w:sz w:val="20"/>
              </w:rPr>
              <w:t xml:space="preserve">Доля импорта оборудования для обработки и утилизации твердых коммунальных отходов составит:</w:t>
            </w:r>
          </w:p>
          <w:p>
            <w:pPr>
              <w:pStyle w:val="0"/>
              <w:jc w:val="both"/>
            </w:pPr>
            <w:r>
              <w:rPr>
                <w:sz w:val="20"/>
              </w:rPr>
              <w:t xml:space="preserve">- в 2024 году - 36%.</w:t>
            </w:r>
          </w:p>
          <w:p>
            <w:pPr>
              <w:pStyle w:val="0"/>
              <w:jc w:val="both"/>
            </w:pPr>
            <w:r>
              <w:rPr>
                <w:sz w:val="20"/>
              </w:rPr>
              <w:t xml:space="preserve">Прирост мощности очистных сооружений, обеспечивающих нормативную очистку сточных вод, нарастающим итогом, составит:</w:t>
            </w:r>
          </w:p>
          <w:p>
            <w:pPr>
              <w:pStyle w:val="0"/>
              <w:jc w:val="both"/>
            </w:pPr>
            <w:r>
              <w:rPr>
                <w:sz w:val="20"/>
              </w:rPr>
              <w:t xml:space="preserve">- в 2024 году - 0,0558 куб. км.</w:t>
            </w:r>
          </w:p>
          <w:p>
            <w:pPr>
              <w:pStyle w:val="0"/>
              <w:jc w:val="both"/>
            </w:pPr>
            <w:r>
              <w:rPr>
                <w:sz w:val="20"/>
              </w:rPr>
              <w:t xml:space="preserve">Количество населения, улучшившего экологические условия проживания вблизи водных объектов, нарастающим итогом, составит:</w:t>
            </w:r>
          </w:p>
          <w:p>
            <w:pPr>
              <w:pStyle w:val="0"/>
              <w:jc w:val="both"/>
            </w:pPr>
            <w:r>
              <w:rPr>
                <w:sz w:val="20"/>
              </w:rPr>
              <w:t xml:space="preserve">- в 2024 году - 0,3538 млн чел.</w:t>
            </w:r>
          </w:p>
          <w:p>
            <w:pPr>
              <w:pStyle w:val="0"/>
              <w:jc w:val="both"/>
            </w:pPr>
            <w:r>
              <w:rPr>
                <w:sz w:val="20"/>
              </w:rPr>
              <w:t xml:space="preserve">Протяженность расчищенных участков русел рек составит:</w:t>
            </w:r>
          </w:p>
          <w:p>
            <w:pPr>
              <w:pStyle w:val="0"/>
              <w:jc w:val="both"/>
            </w:pPr>
            <w:r>
              <w:rPr>
                <w:sz w:val="20"/>
              </w:rPr>
              <w:t xml:space="preserve">- в 2024 году - 37,3 км.</w:t>
            </w:r>
          </w:p>
          <w:p>
            <w:pPr>
              <w:pStyle w:val="0"/>
              <w:jc w:val="both"/>
            </w:pPr>
            <w:r>
              <w:rPr>
                <w:sz w:val="20"/>
              </w:rPr>
              <w:t xml:space="preserve">Отношение площади лесовосстановления и лесоразведения к площади вырубленных и погибших лесных насаждений составит:</w:t>
            </w:r>
          </w:p>
          <w:p>
            <w:pPr>
              <w:pStyle w:val="0"/>
              <w:jc w:val="both"/>
            </w:pPr>
            <w:r>
              <w:rPr>
                <w:sz w:val="20"/>
              </w:rPr>
              <w:t xml:space="preserve">- в 2024 году - 100%.</w:t>
            </w:r>
          </w:p>
          <w:p>
            <w:pPr>
              <w:pStyle w:val="0"/>
              <w:jc w:val="both"/>
            </w:pPr>
            <w:r>
              <w:rPr>
                <w:sz w:val="20"/>
              </w:rPr>
              <w:t xml:space="preserve">Площадь лесовосстановления и лесоразведения составит:</w:t>
            </w:r>
          </w:p>
          <w:p>
            <w:pPr>
              <w:pStyle w:val="0"/>
              <w:jc w:val="both"/>
            </w:pPr>
            <w:r>
              <w:rPr>
                <w:sz w:val="20"/>
              </w:rPr>
              <w:t xml:space="preserve">- в 2024 году - 15,0 тыс. га.</w:t>
            </w:r>
          </w:p>
          <w:p>
            <w:pPr>
              <w:pStyle w:val="0"/>
              <w:jc w:val="both"/>
            </w:pPr>
            <w:r>
              <w:rPr>
                <w:sz w:val="20"/>
              </w:rPr>
              <w:t xml:space="preserve">Количество выращенного посадочного материала лесных растений составит:</w:t>
            </w:r>
          </w:p>
          <w:p>
            <w:pPr>
              <w:pStyle w:val="0"/>
              <w:jc w:val="both"/>
            </w:pPr>
            <w:r>
              <w:rPr>
                <w:sz w:val="20"/>
              </w:rPr>
              <w:t xml:space="preserve">- в 2024 году - 18,3 млн шт.</w:t>
            </w:r>
          </w:p>
          <w:p>
            <w:pPr>
              <w:pStyle w:val="0"/>
              <w:jc w:val="both"/>
            </w:pPr>
            <w:r>
              <w:rPr>
                <w:sz w:val="20"/>
              </w:rPr>
              <w:t xml:space="preserve">Запас семян лесных растений для лесовосстановления составит:</w:t>
            </w:r>
          </w:p>
          <w:p>
            <w:pPr>
              <w:pStyle w:val="0"/>
              <w:jc w:val="both"/>
            </w:pPr>
            <w:r>
              <w:rPr>
                <w:sz w:val="20"/>
              </w:rPr>
              <w:t xml:space="preserve">- в 2024 году - 3,0910 усл. т.</w:t>
            </w:r>
          </w:p>
          <w:p>
            <w:pPr>
              <w:pStyle w:val="0"/>
              <w:jc w:val="both"/>
            </w:pPr>
            <w:r>
              <w:rPr>
                <w:sz w:val="20"/>
              </w:rPr>
              <w:t xml:space="preserve">Ущерб от лесных пожаров по годам составит:</w:t>
            </w:r>
          </w:p>
          <w:p>
            <w:pPr>
              <w:pStyle w:val="0"/>
              <w:jc w:val="both"/>
            </w:pPr>
            <w:r>
              <w:rPr>
                <w:sz w:val="20"/>
              </w:rPr>
              <w:t xml:space="preserve">- в 2024 году - 6,5 млн руб.</w:t>
            </w:r>
          </w:p>
          <w:p>
            <w:pPr>
              <w:pStyle w:val="0"/>
              <w:jc w:val="both"/>
            </w:pPr>
            <w:r>
              <w:rPr>
                <w:sz w:val="20"/>
              </w:rPr>
              <w:t xml:space="preserve">Площадь погибших лесных насаждений составит:</w:t>
            </w:r>
          </w:p>
          <w:p>
            <w:pPr>
              <w:pStyle w:val="0"/>
              <w:jc w:val="both"/>
            </w:pPr>
            <w:r>
              <w:rPr>
                <w:sz w:val="20"/>
              </w:rPr>
              <w:t xml:space="preserve">- в 2024 году - 1,9 тыс. га</w:t>
            </w:r>
          </w:p>
        </w:tc>
      </w:tr>
      <w:tr>
        <w:tc>
          <w:tcPr>
            <w:tcW w:w="2778" w:type="dxa"/>
          </w:tcPr>
          <w:p>
            <w:pPr>
              <w:pStyle w:val="0"/>
              <w:jc w:val="both"/>
            </w:pPr>
            <w:r>
              <w:rPr>
                <w:sz w:val="20"/>
              </w:rPr>
              <w:t xml:space="preserve">6. "Безопасные качественные дороги":</w:t>
            </w:r>
          </w:p>
          <w:p>
            <w:pPr>
              <w:pStyle w:val="0"/>
              <w:jc w:val="both"/>
            </w:pPr>
            <w:r>
              <w:rPr>
                <w:sz w:val="20"/>
              </w:rPr>
              <w:t xml:space="preserve">6.1. Региональная и местная дорожная сеть.</w:t>
            </w:r>
          </w:p>
          <w:p>
            <w:pPr>
              <w:pStyle w:val="0"/>
              <w:jc w:val="both"/>
            </w:pPr>
            <w:r>
              <w:rPr>
                <w:sz w:val="20"/>
              </w:rPr>
              <w:t xml:space="preserve">6.2. Общесистемные меры развития дорожного хозяйства.</w:t>
            </w:r>
          </w:p>
          <w:p>
            <w:pPr>
              <w:pStyle w:val="0"/>
              <w:jc w:val="both"/>
            </w:pPr>
            <w:r>
              <w:rPr>
                <w:sz w:val="20"/>
              </w:rPr>
              <w:t xml:space="preserve">6.3. Безопасность дорожного движения.</w:t>
            </w:r>
          </w:p>
          <w:p>
            <w:pPr>
              <w:pStyle w:val="0"/>
              <w:jc w:val="both"/>
            </w:pPr>
            <w:r>
              <w:rPr>
                <w:sz w:val="20"/>
              </w:rPr>
              <w:t xml:space="preserve">6.4. Развитие общественного транспорта</w:t>
            </w:r>
          </w:p>
        </w:tc>
        <w:tc>
          <w:tcPr>
            <w:tcW w:w="6293" w:type="dxa"/>
          </w:tcPr>
          <w:p>
            <w:pPr>
              <w:pStyle w:val="0"/>
              <w:jc w:val="both"/>
            </w:pPr>
            <w:r>
              <w:rPr>
                <w:sz w:val="20"/>
              </w:rPr>
              <w:t xml:space="preserve">Доля дорожной сети городских агломераций, находящаяся в нормативном состоянии, составит:</w:t>
            </w:r>
          </w:p>
          <w:p>
            <w:pPr>
              <w:pStyle w:val="0"/>
              <w:jc w:val="both"/>
            </w:pPr>
            <w:r>
              <w:rPr>
                <w:sz w:val="20"/>
              </w:rPr>
              <w:t xml:space="preserve">- в 2024 году - 85,0003%.</w:t>
            </w:r>
          </w:p>
          <w:p>
            <w:pPr>
              <w:pStyle w:val="0"/>
              <w:jc w:val="both"/>
            </w:pPr>
            <w:r>
              <w:rPr>
                <w:sz w:val="20"/>
              </w:rPr>
              <w:t xml:space="preserve">Доля автомобильных дорог регионального и межмуниципального значения, соответствующих нормативным требованиям, достигнет:</w:t>
            </w:r>
          </w:p>
          <w:p>
            <w:pPr>
              <w:pStyle w:val="0"/>
              <w:jc w:val="both"/>
            </w:pPr>
            <w:r>
              <w:rPr>
                <w:sz w:val="20"/>
              </w:rPr>
              <w:t xml:space="preserve">- в 2024 году - 32,45%.</w:t>
            </w:r>
          </w:p>
          <w:p>
            <w:pPr>
              <w:pStyle w:val="0"/>
              <w:jc w:val="both"/>
            </w:pPr>
            <w:r>
              <w:rPr>
                <w:sz w:val="20"/>
              </w:rPr>
              <w:t xml:space="preserve">Осуществлено строительство и реконструкция автомобильных дорог регионального или межмуниципального, местного значения составит:</w:t>
            </w:r>
          </w:p>
          <w:p>
            <w:pPr>
              <w:pStyle w:val="0"/>
              <w:jc w:val="both"/>
            </w:pPr>
            <w:r>
              <w:rPr>
                <w:sz w:val="20"/>
              </w:rPr>
              <w:t xml:space="preserve">- в 2024 году - 8,31 километр; тысяча метров.</w:t>
            </w:r>
          </w:p>
          <w:p>
            <w:pPr>
              <w:pStyle w:val="0"/>
              <w:jc w:val="both"/>
            </w:pPr>
            <w:r>
              <w:rPr>
                <w:sz w:val="20"/>
              </w:rPr>
              <w:t xml:space="preserve">Доля дорожной сети городских агломераций, образованных городами с населением от 100 до 200 тысяч человек, находящаяся в нормативном состоянии, составит:</w:t>
            </w:r>
          </w:p>
          <w:p>
            <w:pPr>
              <w:pStyle w:val="0"/>
              <w:jc w:val="both"/>
            </w:pPr>
            <w:r>
              <w:rPr>
                <w:sz w:val="20"/>
              </w:rPr>
              <w:t xml:space="preserve">- в 2024 году - 29,4168%.</w:t>
            </w:r>
          </w:p>
          <w:p>
            <w:pPr>
              <w:pStyle w:val="0"/>
              <w:jc w:val="both"/>
            </w:pPr>
            <w:r>
              <w:rPr>
                <w:sz w:val="20"/>
              </w:rPr>
              <w:t xml:space="preserve">Доля автомобильных дорог регионального значения, входящих в опорную сеть, соответствующих нормативным требованиям, составит:</w:t>
            </w:r>
          </w:p>
          <w:p>
            <w:pPr>
              <w:pStyle w:val="0"/>
              <w:jc w:val="both"/>
            </w:pPr>
            <w:r>
              <w:rPr>
                <w:sz w:val="20"/>
              </w:rPr>
              <w:t xml:space="preserve">- в 2024 году - 50,12%.</w:t>
            </w:r>
          </w:p>
          <w:p>
            <w:pPr>
              <w:pStyle w:val="0"/>
              <w:jc w:val="both"/>
            </w:pPr>
            <w:r>
              <w:rPr>
                <w:sz w:val="20"/>
              </w:rPr>
              <w:t xml:space="preserve">Доля автомобильных дорог регионального значения, входящих в опорную сеть, рассчитанных на нормативную нагрузку не менее 11,5 тонн на ось, составит:</w:t>
            </w:r>
          </w:p>
          <w:p>
            <w:pPr>
              <w:pStyle w:val="0"/>
              <w:jc w:val="both"/>
            </w:pPr>
            <w:r>
              <w:rPr>
                <w:sz w:val="20"/>
              </w:rPr>
              <w:t xml:space="preserve">- в 2024 году - 3,3609%.</w:t>
            </w:r>
          </w:p>
          <w:p>
            <w:pPr>
              <w:pStyle w:val="0"/>
              <w:jc w:val="both"/>
            </w:pPr>
            <w:r>
              <w:rPr>
                <w:sz w:val="20"/>
              </w:rPr>
              <w:t xml:space="preserve">Протяженность приведенных в нормативное состояние искусственных сооружений на автомобильных дорогах регионального или межмуниципального и местного значения составит:</w:t>
            </w:r>
          </w:p>
          <w:p>
            <w:pPr>
              <w:pStyle w:val="0"/>
              <w:jc w:val="both"/>
            </w:pPr>
            <w:r>
              <w:rPr>
                <w:sz w:val="20"/>
              </w:rPr>
              <w:t xml:space="preserve">- в 2024 году - 2,4037 тысяча погонных метров.</w:t>
            </w:r>
          </w:p>
          <w:p>
            <w:pPr>
              <w:pStyle w:val="0"/>
              <w:jc w:val="both"/>
            </w:pPr>
            <w:r>
              <w:rPr>
                <w:sz w:val="20"/>
              </w:rPr>
              <w:t xml:space="preserve">Доля искусственных сооружений, расположенных на автомобильных дорогах общего пользования регионального значения, входящих в опорную сеть, рассчитанных на нагрузку не менее А11, составит:</w:t>
            </w:r>
          </w:p>
          <w:p>
            <w:pPr>
              <w:pStyle w:val="0"/>
              <w:jc w:val="both"/>
            </w:pPr>
            <w:r>
              <w:rPr>
                <w:sz w:val="20"/>
              </w:rPr>
              <w:t xml:space="preserve">- в 2024 году - 89,2328%.</w:t>
            </w:r>
          </w:p>
          <w:p>
            <w:pPr>
              <w:pStyle w:val="0"/>
              <w:jc w:val="both"/>
            </w:pPr>
            <w:r>
              <w:rPr>
                <w:sz w:val="20"/>
              </w:rPr>
              <w:t xml:space="preserve">Доля отечественного оборудования (товаров, работ, услуг) в общем объеме закупок составит:</w:t>
            </w:r>
          </w:p>
          <w:p>
            <w:pPr>
              <w:pStyle w:val="0"/>
              <w:jc w:val="both"/>
            </w:pPr>
            <w:r>
              <w:rPr>
                <w:sz w:val="20"/>
              </w:rPr>
              <w:t xml:space="preserve">- в 2024 году - 70,0%.</w:t>
            </w:r>
          </w:p>
          <w:p>
            <w:pPr>
              <w:pStyle w:val="0"/>
              <w:jc w:val="both"/>
            </w:pPr>
            <w:r>
              <w:rPr>
                <w:sz w:val="20"/>
              </w:rPr>
              <w:t xml:space="preserve">Доля объектов, на которых предусматривается использование новых и наилучших технологий, включенных в Реестр, достигнет:</w:t>
            </w:r>
          </w:p>
          <w:p>
            <w:pPr>
              <w:pStyle w:val="0"/>
              <w:jc w:val="both"/>
            </w:pPr>
            <w:r>
              <w:rPr>
                <w:sz w:val="20"/>
              </w:rPr>
              <w:t xml:space="preserve">- в 2024 году - 40,0%.</w:t>
            </w:r>
          </w:p>
          <w:p>
            <w:pPr>
              <w:pStyle w:val="0"/>
              <w:jc w:val="both"/>
            </w:pPr>
            <w:r>
              <w:rPr>
                <w:sz w:val="20"/>
              </w:rPr>
              <w:t xml:space="preserve">Количество погибших в дорожно-транспортных происшествиях на 10 тысяч транспортных средств составит:</w:t>
            </w:r>
          </w:p>
          <w:p>
            <w:pPr>
              <w:pStyle w:val="0"/>
              <w:jc w:val="both"/>
            </w:pPr>
            <w:r>
              <w:rPr>
                <w:sz w:val="20"/>
              </w:rPr>
              <w:t xml:space="preserve">- в 2024 году - 2,13 человек.</w:t>
            </w:r>
          </w:p>
          <w:p>
            <w:pPr>
              <w:pStyle w:val="0"/>
              <w:jc w:val="both"/>
            </w:pPr>
            <w:r>
              <w:rPr>
                <w:sz w:val="20"/>
              </w:rPr>
              <w:t xml:space="preserve">Количество погибших в дорожно-транспортных происшествиях, на 100 тыс. населения составит:</w:t>
            </w:r>
          </w:p>
          <w:p>
            <w:pPr>
              <w:pStyle w:val="0"/>
              <w:jc w:val="both"/>
            </w:pPr>
            <w:r>
              <w:rPr>
                <w:sz w:val="20"/>
              </w:rPr>
              <w:t xml:space="preserve">- в 2024 году - 11,2 человек</w:t>
            </w:r>
          </w:p>
        </w:tc>
      </w:tr>
      <w:tr>
        <w:tc>
          <w:tcPr>
            <w:tcW w:w="2778" w:type="dxa"/>
          </w:tcPr>
          <w:p>
            <w:pPr>
              <w:pStyle w:val="0"/>
              <w:jc w:val="both"/>
            </w:pPr>
            <w:r>
              <w:rPr>
                <w:sz w:val="20"/>
              </w:rPr>
              <w:t xml:space="preserve">7. "Производительность труда":</w:t>
            </w:r>
          </w:p>
          <w:p>
            <w:pPr>
              <w:pStyle w:val="0"/>
              <w:jc w:val="both"/>
            </w:pPr>
            <w:r>
              <w:rPr>
                <w:sz w:val="20"/>
              </w:rPr>
              <w:t xml:space="preserve">7.1. Системные меры по повышению производительности труда.</w:t>
            </w:r>
          </w:p>
          <w:p>
            <w:pPr>
              <w:pStyle w:val="0"/>
              <w:jc w:val="both"/>
            </w:pPr>
            <w:r>
              <w:rPr>
                <w:sz w:val="20"/>
              </w:rPr>
              <w:t xml:space="preserve">7.2. Адресная поддержка повышения производительности труда на предприятиях</w:t>
            </w:r>
          </w:p>
        </w:tc>
        <w:tc>
          <w:tcPr>
            <w:tcW w:w="6293" w:type="dxa"/>
          </w:tcPr>
          <w:p>
            <w:pPr>
              <w:pStyle w:val="0"/>
              <w:jc w:val="both"/>
            </w:pPr>
            <w:r>
              <w:rPr>
                <w:sz w:val="20"/>
              </w:rPr>
              <w:t xml:space="preserve">Доля предприятий, достигших ежегодный 5% прирост производительности труда на предприятиях - участниках, внедряющих мероприятия национального проекта под федеральным и региональным управлением в течение трех лет участия в проекте, составит:</w:t>
            </w:r>
          </w:p>
          <w:p>
            <w:pPr>
              <w:pStyle w:val="0"/>
              <w:jc w:val="both"/>
            </w:pPr>
            <w:r>
              <w:rPr>
                <w:sz w:val="20"/>
              </w:rPr>
              <w:t xml:space="preserve">- в 2024 году - 50,0%.</w:t>
            </w:r>
          </w:p>
          <w:p>
            <w:pPr>
              <w:pStyle w:val="0"/>
              <w:jc w:val="both"/>
            </w:pPr>
            <w:r>
              <w:rPr>
                <w:sz w:val="20"/>
              </w:rPr>
              <w:t xml:space="preserve">Количество предприятий - участников, вовлеченных в национальный проект через получение адресной поддержки, составит:</w:t>
            </w:r>
          </w:p>
          <w:p>
            <w:pPr>
              <w:pStyle w:val="0"/>
              <w:jc w:val="both"/>
            </w:pPr>
            <w:r>
              <w:rPr>
                <w:sz w:val="20"/>
              </w:rPr>
              <w:t xml:space="preserve">- в 2024 году - 206 ед.</w:t>
            </w:r>
          </w:p>
          <w:p>
            <w:pPr>
              <w:pStyle w:val="0"/>
              <w:jc w:val="both"/>
            </w:pPr>
            <w:r>
              <w:rPr>
                <w:sz w:val="20"/>
              </w:rPr>
              <w:t xml:space="preserve">Количество сотрудников предприятий и представителей региональных команд, прошедших обучение инструментам повышения производительности труда, составит:</w:t>
            </w:r>
          </w:p>
          <w:p>
            <w:pPr>
              <w:pStyle w:val="0"/>
              <w:jc w:val="both"/>
            </w:pPr>
            <w:r>
              <w:rPr>
                <w:sz w:val="20"/>
              </w:rPr>
              <w:t xml:space="preserve">- в 2024 году - 3801 чел.</w:t>
            </w:r>
          </w:p>
          <w:p>
            <w:pPr>
              <w:pStyle w:val="0"/>
              <w:jc w:val="both"/>
            </w:pPr>
            <w:r>
              <w:rPr>
                <w:sz w:val="20"/>
              </w:rPr>
              <w:t xml:space="preserve">Количество предприятий - участников, внедряющих мероприятия национального проекта самостоятельно, составит:</w:t>
            </w:r>
          </w:p>
          <w:p>
            <w:pPr>
              <w:pStyle w:val="0"/>
              <w:jc w:val="both"/>
            </w:pPr>
            <w:r>
              <w:rPr>
                <w:sz w:val="20"/>
              </w:rPr>
              <w:t xml:space="preserve">- в 2024 году - 22 ед.</w:t>
            </w:r>
          </w:p>
          <w:p>
            <w:pPr>
              <w:pStyle w:val="0"/>
              <w:jc w:val="both"/>
            </w:pPr>
            <w:r>
              <w:rPr>
                <w:sz w:val="20"/>
              </w:rPr>
              <w:t xml:space="preserve">Количество предприятий - участников, внедряющих мероприятия национального проекта под федеральным управлением (с ФЦК </w:t>
            </w:r>
            <w:hyperlink w:history="0" w:anchor="P1596" w:tooltip="&lt;1&gt; Автономная некоммерческая организация &quot;Федеральный центр компетенций в сфере производительности труда.">
              <w:r>
                <w:rPr>
                  <w:sz w:val="20"/>
                  <w:color w:val="0000ff"/>
                </w:rPr>
                <w:t xml:space="preserve">&lt;1&gt;</w:t>
              </w:r>
            </w:hyperlink>
            <w:r>
              <w:rPr>
                <w:sz w:val="20"/>
              </w:rPr>
              <w:t xml:space="preserve">), составит:</w:t>
            </w:r>
          </w:p>
          <w:p>
            <w:pPr>
              <w:pStyle w:val="0"/>
              <w:jc w:val="both"/>
            </w:pPr>
            <w:r>
              <w:rPr>
                <w:sz w:val="20"/>
              </w:rPr>
              <w:t xml:space="preserve">- в 2024 году - 47 ед.</w:t>
            </w:r>
          </w:p>
          <w:p>
            <w:pPr>
              <w:pStyle w:val="0"/>
              <w:jc w:val="both"/>
            </w:pPr>
            <w:r>
              <w:rPr>
                <w:sz w:val="20"/>
              </w:rPr>
              <w:t xml:space="preserve">Количество региональных центров компетенций, созданных в субъектах Российской Федерации в целях распространения лучших практик производительности труда, составит:</w:t>
            </w:r>
          </w:p>
          <w:p>
            <w:pPr>
              <w:pStyle w:val="0"/>
              <w:jc w:val="both"/>
            </w:pPr>
            <w:r>
              <w:rPr>
                <w:sz w:val="20"/>
              </w:rPr>
              <w:t xml:space="preserve">- в 2024 году - 1 ед.</w:t>
            </w:r>
          </w:p>
          <w:p>
            <w:pPr>
              <w:pStyle w:val="0"/>
              <w:jc w:val="both"/>
            </w:pPr>
            <w:r>
              <w:rPr>
                <w:sz w:val="20"/>
              </w:rPr>
              <w:t xml:space="preserve">Удовлетворенность предприятий работой региональных центров компетенций (доля предприятий, удовлетворенных работой названных центров), составит:</w:t>
            </w:r>
          </w:p>
          <w:p>
            <w:pPr>
              <w:pStyle w:val="0"/>
              <w:jc w:val="both"/>
            </w:pPr>
            <w:r>
              <w:rPr>
                <w:sz w:val="20"/>
              </w:rPr>
              <w:t xml:space="preserve">- в 2024 году - 80,0%.</w:t>
            </w:r>
          </w:p>
          <w:p>
            <w:pPr>
              <w:pStyle w:val="0"/>
              <w:jc w:val="both"/>
            </w:pPr>
            <w:r>
              <w:rPr>
                <w:sz w:val="20"/>
              </w:rPr>
              <w:t xml:space="preserve">Количество сотрудников предприятий, прошедших обучение инструментам повышения производительности труда под региональным управлением (с РЦК </w:t>
            </w:r>
            <w:hyperlink w:history="0" w:anchor="P1597" w:tooltip="&lt;2&gt; Региональный центр компетенций.">
              <w:r>
                <w:rPr>
                  <w:sz w:val="20"/>
                  <w:color w:val="0000ff"/>
                </w:rPr>
                <w:t xml:space="preserve">&lt;2&gt;</w:t>
              </w:r>
            </w:hyperlink>
            <w:r>
              <w:rPr>
                <w:sz w:val="20"/>
              </w:rPr>
              <w:t xml:space="preserve">), составит:</w:t>
            </w:r>
          </w:p>
          <w:p>
            <w:pPr>
              <w:pStyle w:val="0"/>
              <w:jc w:val="both"/>
            </w:pPr>
            <w:r>
              <w:rPr>
                <w:sz w:val="20"/>
              </w:rPr>
              <w:t xml:space="preserve">- в 2024 году - 2693 чел.</w:t>
            </w:r>
          </w:p>
          <w:p>
            <w:pPr>
              <w:pStyle w:val="0"/>
              <w:jc w:val="both"/>
            </w:pPr>
            <w:r>
              <w:rPr>
                <w:sz w:val="20"/>
              </w:rPr>
              <w:t xml:space="preserve">Количество сотрудников предприятий, прошедших обучение инструментам повышения производительности труда под федеральным управлением (с ФЦК), составит:</w:t>
            </w:r>
          </w:p>
          <w:p>
            <w:pPr>
              <w:pStyle w:val="0"/>
              <w:jc w:val="both"/>
            </w:pPr>
            <w:r>
              <w:rPr>
                <w:sz w:val="20"/>
              </w:rPr>
              <w:t xml:space="preserve">- в 2024 году - 827 чел.</w:t>
            </w:r>
          </w:p>
          <w:p>
            <w:pPr>
              <w:pStyle w:val="0"/>
              <w:jc w:val="both"/>
            </w:pPr>
            <w:r>
              <w:rPr>
                <w:sz w:val="20"/>
              </w:rPr>
              <w:t xml:space="preserve">Количество обученных сотрудников предприятий-участников в рамках реализации мероприятий по повышению производительности труда самостоятельно, а также органов исполнительной власти, составит:</w:t>
            </w:r>
          </w:p>
          <w:p>
            <w:pPr>
              <w:pStyle w:val="0"/>
              <w:jc w:val="both"/>
            </w:pPr>
            <w:r>
              <w:rPr>
                <w:sz w:val="20"/>
              </w:rPr>
              <w:t xml:space="preserve">- в 2024 году - 206 чел.</w:t>
            </w:r>
          </w:p>
          <w:p>
            <w:pPr>
              <w:pStyle w:val="0"/>
              <w:jc w:val="both"/>
            </w:pPr>
            <w:r>
              <w:rPr>
                <w:sz w:val="20"/>
              </w:rPr>
              <w:t xml:space="preserve">Количество представителей региональных команд, прошедших обучение инструментам повышения производительности труда, составит:</w:t>
            </w:r>
          </w:p>
          <w:p>
            <w:pPr>
              <w:pStyle w:val="0"/>
              <w:jc w:val="both"/>
            </w:pPr>
            <w:r>
              <w:rPr>
                <w:sz w:val="20"/>
              </w:rPr>
              <w:t xml:space="preserve">- в 2024 году - 75 чел.</w:t>
            </w:r>
          </w:p>
          <w:p>
            <w:pPr>
              <w:pStyle w:val="0"/>
              <w:jc w:val="both"/>
            </w:pPr>
            <w:r>
              <w:rPr>
                <w:sz w:val="20"/>
              </w:rPr>
              <w:t xml:space="preserve">Количество предприятий - участников, внедряющих мероприятия национального проекта под региональным управлением (с РЦК), составит:</w:t>
            </w:r>
          </w:p>
          <w:p>
            <w:pPr>
              <w:pStyle w:val="0"/>
              <w:jc w:val="both"/>
            </w:pPr>
            <w:r>
              <w:rPr>
                <w:sz w:val="20"/>
              </w:rPr>
              <w:t xml:space="preserve">- в 2024 году - 137 ед.</w:t>
            </w:r>
          </w:p>
          <w:p>
            <w:pPr>
              <w:pStyle w:val="0"/>
              <w:jc w:val="both"/>
            </w:pPr>
            <w:r>
              <w:rPr>
                <w:sz w:val="20"/>
              </w:rPr>
              <w:t xml:space="preserve">Количество подготовленных инструкторов по бережливому производству на предприятиях - участниках национального проекта под региональным управлением (с РЦК) составит:</w:t>
            </w:r>
          </w:p>
          <w:p>
            <w:pPr>
              <w:pStyle w:val="0"/>
              <w:jc w:val="both"/>
            </w:pPr>
            <w:r>
              <w:rPr>
                <w:sz w:val="20"/>
              </w:rPr>
              <w:t xml:space="preserve">- в 2024 году - 192 ед.</w:t>
            </w:r>
          </w:p>
        </w:tc>
      </w:tr>
      <w:tr>
        <w:tc>
          <w:tcPr>
            <w:tcW w:w="2778" w:type="dxa"/>
          </w:tcPr>
          <w:p>
            <w:pPr>
              <w:pStyle w:val="0"/>
              <w:jc w:val="both"/>
            </w:pPr>
            <w:r>
              <w:rPr>
                <w:sz w:val="20"/>
              </w:rPr>
              <w:t xml:space="preserve">8. "Наука и университеты":</w:t>
            </w:r>
          </w:p>
          <w:p>
            <w:pPr>
              <w:pStyle w:val="0"/>
              <w:jc w:val="both"/>
            </w:pPr>
            <w:r>
              <w:rPr>
                <w:sz w:val="20"/>
              </w:rPr>
              <w:t xml:space="preserve">8.1. Создание сети современных кампусов (Нижегородская область)</w:t>
            </w:r>
          </w:p>
        </w:tc>
        <w:tc>
          <w:tcPr>
            <w:tcW w:w="6293" w:type="dxa"/>
          </w:tcPr>
          <w:p>
            <w:pPr>
              <w:pStyle w:val="0"/>
              <w:jc w:val="both"/>
            </w:pPr>
            <w:r>
              <w:rPr>
                <w:sz w:val="20"/>
              </w:rPr>
              <w:t xml:space="preserve">Количество сетевых образовательных программ, разработанных для проведения учебного процесса в новых объектах кампусов, составит:</w:t>
            </w:r>
          </w:p>
          <w:p>
            <w:pPr>
              <w:pStyle w:val="0"/>
              <w:jc w:val="both"/>
            </w:pPr>
            <w:r>
              <w:rPr>
                <w:sz w:val="20"/>
              </w:rPr>
              <w:t xml:space="preserve">- в 2024 году - 3 единицы.</w:t>
            </w:r>
          </w:p>
          <w:p>
            <w:pPr>
              <w:pStyle w:val="0"/>
              <w:jc w:val="both"/>
            </w:pPr>
            <w:r>
              <w:rPr>
                <w:sz w:val="20"/>
              </w:rPr>
              <w:t xml:space="preserve">Количество разработанных практико-ориентированных образовательных программ совместно с лидерами отрасли или индустриальными партнерами составит:</w:t>
            </w:r>
          </w:p>
          <w:p>
            <w:pPr>
              <w:pStyle w:val="0"/>
              <w:jc w:val="both"/>
            </w:pPr>
            <w:r>
              <w:rPr>
                <w:sz w:val="20"/>
              </w:rPr>
              <w:t xml:space="preserve">- в 2024 году - 3 единицы</w:t>
            </w:r>
          </w:p>
        </w:tc>
      </w:tr>
      <w:tr>
        <w:tc>
          <w:tcPr>
            <w:tcW w:w="2778" w:type="dxa"/>
          </w:tcPr>
          <w:p>
            <w:pPr>
              <w:pStyle w:val="0"/>
              <w:jc w:val="both"/>
            </w:pPr>
            <w:r>
              <w:rPr>
                <w:sz w:val="20"/>
              </w:rPr>
              <w:t xml:space="preserve">9. "Цифровая экономика":</w:t>
            </w:r>
          </w:p>
          <w:p>
            <w:pPr>
              <w:pStyle w:val="0"/>
              <w:jc w:val="both"/>
            </w:pPr>
            <w:r>
              <w:rPr>
                <w:sz w:val="20"/>
              </w:rPr>
              <w:t xml:space="preserve">9.1. Информационная инфраструктура.</w:t>
            </w:r>
          </w:p>
          <w:p>
            <w:pPr>
              <w:pStyle w:val="0"/>
              <w:jc w:val="both"/>
            </w:pPr>
            <w:r>
              <w:rPr>
                <w:sz w:val="20"/>
              </w:rPr>
              <w:t xml:space="preserve">9.2. Информационная безопасность.</w:t>
            </w:r>
          </w:p>
          <w:p>
            <w:pPr>
              <w:pStyle w:val="0"/>
              <w:jc w:val="both"/>
            </w:pPr>
            <w:r>
              <w:rPr>
                <w:sz w:val="20"/>
              </w:rPr>
              <w:t xml:space="preserve">9.3. Цифровые технологии.</w:t>
            </w:r>
          </w:p>
          <w:p>
            <w:pPr>
              <w:pStyle w:val="0"/>
              <w:jc w:val="both"/>
            </w:pPr>
            <w:r>
              <w:rPr>
                <w:sz w:val="20"/>
              </w:rPr>
              <w:t xml:space="preserve">9.4. Цифровое государственное управление</w:t>
            </w:r>
          </w:p>
        </w:tc>
        <w:tc>
          <w:tcPr>
            <w:tcW w:w="6293" w:type="dxa"/>
          </w:tcPr>
          <w:p>
            <w:pPr>
              <w:pStyle w:val="0"/>
              <w:jc w:val="both"/>
            </w:pPr>
            <w:r>
              <w:rPr>
                <w:sz w:val="20"/>
              </w:rPr>
              <w:t xml:space="preserve">Доля государственных и муниципальных образовательных организаций, реализующих программы начального общего, основного общего и среднего общего образования, в помещениях которых обеспечена возможность беспроводного широкополосного доступа к информационно-телекоммуникационной сети "Интернет" по технологии Wi-Fi, составит:</w:t>
            </w:r>
          </w:p>
          <w:p>
            <w:pPr>
              <w:pStyle w:val="0"/>
              <w:jc w:val="both"/>
            </w:pPr>
            <w:r>
              <w:rPr>
                <w:sz w:val="20"/>
              </w:rPr>
              <w:t xml:space="preserve">- в 2024 году - 66,63%.</w:t>
            </w:r>
          </w:p>
          <w:p>
            <w:pPr>
              <w:pStyle w:val="0"/>
              <w:jc w:val="both"/>
            </w:pPr>
            <w:r>
              <w:rPr>
                <w:sz w:val="20"/>
              </w:rPr>
              <w:t xml:space="preserve">Доля социально значимых объектов, имеющих широкополосный доступ к информационно-телекоммуникационной сети "Интернет" в соответствии с утвержденными требованиями, составит:</w:t>
            </w:r>
          </w:p>
          <w:p>
            <w:pPr>
              <w:pStyle w:val="0"/>
              <w:jc w:val="both"/>
            </w:pPr>
            <w:r>
              <w:rPr>
                <w:sz w:val="20"/>
              </w:rPr>
              <w:t xml:space="preserve">- в 2024 году - 100%.</w:t>
            </w:r>
          </w:p>
          <w:p>
            <w:pPr>
              <w:pStyle w:val="0"/>
              <w:jc w:val="both"/>
            </w:pPr>
            <w:r>
              <w:rPr>
                <w:sz w:val="20"/>
              </w:rPr>
              <w:t xml:space="preserve">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(далее - ЕПГУ) составит:</w:t>
            </w:r>
          </w:p>
          <w:p>
            <w:pPr>
              <w:pStyle w:val="0"/>
              <w:jc w:val="both"/>
            </w:pPr>
            <w:r>
              <w:rPr>
                <w:sz w:val="20"/>
              </w:rPr>
              <w:t xml:space="preserve">- в 2024 году - 4,4 балла.</w:t>
            </w:r>
          </w:p>
          <w:p>
            <w:pPr>
              <w:pStyle w:val="0"/>
              <w:jc w:val="both"/>
            </w:pPr>
            <w:r>
              <w:rPr>
                <w:sz w:val="20"/>
              </w:rPr>
              <w:t xml:space="preserve">Доля массовых социально значимых государственных и муниципальных услуг в электронном виде, предоставляемых с использованием ЕПГУ, от общего количества таких услуг, предоставляемых в электронном виде, составит:</w:t>
            </w:r>
          </w:p>
          <w:p>
            <w:pPr>
              <w:pStyle w:val="0"/>
              <w:jc w:val="both"/>
            </w:pPr>
            <w:r>
              <w:rPr>
                <w:sz w:val="20"/>
              </w:rPr>
              <w:t xml:space="preserve">- в 2024 году - 95,0%.</w:t>
            </w:r>
          </w:p>
          <w:p>
            <w:pPr>
              <w:pStyle w:val="0"/>
              <w:jc w:val="both"/>
            </w:pPr>
            <w:r>
              <w:rPr>
                <w:sz w:val="20"/>
              </w:rPr>
              <w:t xml:space="preserve">Доля обращений за получением массовых социально значимых государственных и муниципальных услуг в электронном виде с использованием ЕПГУ, без необходимости личного посещения органов государственной власти, органов местного самоуправления и многофункциональных центров (далее - МФЦ), от общего количества таких услуг составит:</w:t>
            </w:r>
          </w:p>
          <w:p>
            <w:pPr>
              <w:pStyle w:val="0"/>
              <w:jc w:val="both"/>
            </w:pPr>
            <w:r>
              <w:rPr>
                <w:sz w:val="20"/>
              </w:rPr>
              <w:t xml:space="preserve">- в 2024 году - 50,0%.</w:t>
            </w:r>
          </w:p>
          <w:p>
            <w:pPr>
              <w:pStyle w:val="0"/>
              <w:jc w:val="both"/>
            </w:pPr>
            <w:r>
              <w:rPr>
                <w:sz w:val="20"/>
              </w:rPr>
              <w:t xml:space="preserve">Количество видов сведений, предоставляемых в режиме онлайн органами государственной власти в рамках межведомственного взаимодействия при предоставлении государственных услуг и исполнения функций, в том числе коммерческих организаций в соответствии с законодательством, составит:</w:t>
            </w:r>
          </w:p>
          <w:p>
            <w:pPr>
              <w:pStyle w:val="0"/>
              <w:jc w:val="both"/>
            </w:pPr>
            <w:r>
              <w:rPr>
                <w:sz w:val="20"/>
              </w:rPr>
              <w:t xml:space="preserve">- в 2024 году - 4 условных единицы.</w:t>
            </w:r>
          </w:p>
          <w:p>
            <w:pPr>
              <w:pStyle w:val="0"/>
              <w:jc w:val="both"/>
            </w:pPr>
            <w:r>
              <w:rPr>
                <w:sz w:val="20"/>
              </w:rPr>
              <w:t xml:space="preserve">Количество государственных услуг, предоставляемых органами государственной власти в реестровой модели и/или в проактивном режиме с предоставлением результата в электронном виде на ЕПГУ, составит:</w:t>
            </w:r>
          </w:p>
          <w:p>
            <w:pPr>
              <w:pStyle w:val="0"/>
              <w:jc w:val="both"/>
            </w:pPr>
            <w:r>
              <w:rPr>
                <w:sz w:val="20"/>
              </w:rPr>
              <w:t xml:space="preserve">- в 2024 году - 85 условных единиц.</w:t>
            </w:r>
          </w:p>
          <w:p>
            <w:pPr>
              <w:pStyle w:val="0"/>
              <w:jc w:val="both"/>
            </w:pPr>
            <w:r>
              <w:rPr>
                <w:sz w:val="20"/>
              </w:rPr>
              <w:t xml:space="preserve">Доля расходов на закупки и/или аренду отечественного программного обеспечения и платформ от общих расходов на закупку или аренду программного обеспечения составит:</w:t>
            </w:r>
          </w:p>
          <w:p>
            <w:pPr>
              <w:pStyle w:val="0"/>
              <w:jc w:val="both"/>
            </w:pPr>
            <w:r>
              <w:rPr>
                <w:sz w:val="20"/>
              </w:rPr>
              <w:t xml:space="preserve">- в 2024 году - 95,0%.</w:t>
            </w:r>
          </w:p>
          <w:p>
            <w:pPr>
              <w:pStyle w:val="0"/>
              <w:jc w:val="both"/>
            </w:pPr>
            <w:r>
              <w:rPr>
                <w:sz w:val="20"/>
              </w:rPr>
              <w:t xml:space="preserve">Количество реализованных на базе единой платформы сервисов обеспечения функций органов государственной власти и органов местного самоуправления, в том числе типовых функций, составит:</w:t>
            </w:r>
          </w:p>
          <w:p>
            <w:pPr>
              <w:pStyle w:val="0"/>
              <w:jc w:val="both"/>
            </w:pPr>
            <w:r>
              <w:rPr>
                <w:sz w:val="20"/>
              </w:rPr>
              <w:t xml:space="preserve">- в 2024 году - 85 штук.</w:t>
            </w:r>
          </w:p>
          <w:p>
            <w:pPr>
              <w:pStyle w:val="0"/>
              <w:jc w:val="both"/>
            </w:pPr>
            <w:r>
              <w:rPr>
                <w:sz w:val="20"/>
              </w:rPr>
              <w:t xml:space="preserve">Доля органов государственной власти, использующих государственные облачные сервисы и инфраструктуру, составит:</w:t>
            </w:r>
          </w:p>
          <w:p>
            <w:pPr>
              <w:pStyle w:val="0"/>
              <w:jc w:val="both"/>
            </w:pPr>
            <w:r>
              <w:rPr>
                <w:sz w:val="20"/>
              </w:rPr>
              <w:t xml:space="preserve">- в 2024 году - 100%.</w:t>
            </w:r>
          </w:p>
          <w:p>
            <w:pPr>
              <w:pStyle w:val="0"/>
              <w:jc w:val="both"/>
            </w:pPr>
            <w:r>
              <w:rPr>
                <w:sz w:val="20"/>
              </w:rPr>
              <w:t xml:space="preserve">Доля зарегистрированных пользователей ЕПГУ, использующих сервисы ЕПГУ в текущем году в целях получения государственных и муниципальных услуг в электронном виде, от общего числа зарегистрированных пользователей ЕПГУ составит:</w:t>
            </w:r>
          </w:p>
          <w:p>
            <w:pPr>
              <w:pStyle w:val="0"/>
              <w:jc w:val="both"/>
            </w:pPr>
            <w:r>
              <w:rPr>
                <w:sz w:val="20"/>
              </w:rPr>
              <w:t xml:space="preserve">- в 2024 году - 60,0%</w:t>
            </w:r>
          </w:p>
        </w:tc>
      </w:tr>
      <w:tr>
        <w:tc>
          <w:tcPr>
            <w:tcW w:w="2778" w:type="dxa"/>
          </w:tcPr>
          <w:p>
            <w:pPr>
              <w:pStyle w:val="0"/>
              <w:jc w:val="both"/>
            </w:pPr>
            <w:r>
              <w:rPr>
                <w:sz w:val="20"/>
              </w:rPr>
              <w:t xml:space="preserve">10. "Культура":</w:t>
            </w:r>
          </w:p>
          <w:p>
            <w:pPr>
              <w:pStyle w:val="0"/>
              <w:jc w:val="both"/>
            </w:pPr>
            <w:r>
              <w:rPr>
                <w:sz w:val="20"/>
              </w:rPr>
              <w:t xml:space="preserve">10.1. Обеспечение качественно нового уровня развития инфраструктуры культуры ("Культурная среда").</w:t>
            </w:r>
          </w:p>
          <w:p>
            <w:pPr>
              <w:pStyle w:val="0"/>
              <w:jc w:val="both"/>
            </w:pPr>
            <w:r>
              <w:rPr>
                <w:sz w:val="20"/>
              </w:rPr>
              <w:t xml:space="preserve">10.2. Создание условий для реализации творческого потенциала нации ("Творческие люди").</w:t>
            </w:r>
          </w:p>
          <w:p>
            <w:pPr>
              <w:pStyle w:val="0"/>
              <w:jc w:val="both"/>
            </w:pPr>
            <w:r>
              <w:rPr>
                <w:sz w:val="20"/>
              </w:rPr>
              <w:t xml:space="preserve">10.3. Цифровизация услуг и формирование информационного пространства в сфере культуры ("Цифровая культура")</w:t>
            </w:r>
          </w:p>
        </w:tc>
        <w:tc>
          <w:tcPr>
            <w:tcW w:w="6293" w:type="dxa"/>
          </w:tcPr>
          <w:p>
            <w:pPr>
              <w:pStyle w:val="0"/>
              <w:jc w:val="both"/>
            </w:pPr>
            <w:r>
              <w:rPr>
                <w:sz w:val="20"/>
              </w:rPr>
              <w:t xml:space="preserve">Количество созданных (реконструированных) и капитально отремонтированных объектов организаций культуры составит:</w:t>
            </w:r>
          </w:p>
          <w:p>
            <w:pPr>
              <w:pStyle w:val="0"/>
              <w:jc w:val="both"/>
            </w:pPr>
            <w:r>
              <w:rPr>
                <w:sz w:val="20"/>
              </w:rPr>
              <w:t xml:space="preserve">- в 2024 году - 78 ед.</w:t>
            </w:r>
          </w:p>
          <w:p>
            <w:pPr>
              <w:pStyle w:val="0"/>
              <w:jc w:val="both"/>
            </w:pPr>
            <w:r>
              <w:rPr>
                <w:sz w:val="20"/>
              </w:rPr>
              <w:t xml:space="preserve">Количество организаций культуры, получивших современное оборудование, составит:</w:t>
            </w:r>
          </w:p>
          <w:p>
            <w:pPr>
              <w:pStyle w:val="0"/>
              <w:jc w:val="both"/>
            </w:pPr>
            <w:r>
              <w:rPr>
                <w:sz w:val="20"/>
              </w:rPr>
              <w:t xml:space="preserve">- в 2024 году - 99 ед.</w:t>
            </w:r>
          </w:p>
          <w:p>
            <w:pPr>
              <w:pStyle w:val="0"/>
              <w:jc w:val="both"/>
            </w:pPr>
            <w:r>
              <w:rPr>
                <w:sz w:val="20"/>
              </w:rPr>
              <w:t xml:space="preserve">Количество специалистов, прошедших повышение квалификации на базе Центров непрерывного образования, составит:</w:t>
            </w:r>
          </w:p>
          <w:p>
            <w:pPr>
              <w:pStyle w:val="0"/>
              <w:jc w:val="both"/>
            </w:pPr>
            <w:r>
              <w:rPr>
                <w:sz w:val="20"/>
              </w:rPr>
              <w:t xml:space="preserve">- в 2024 году - 4787 чел.</w:t>
            </w:r>
          </w:p>
          <w:p>
            <w:pPr>
              <w:pStyle w:val="0"/>
              <w:jc w:val="both"/>
            </w:pPr>
            <w:r>
              <w:rPr>
                <w:sz w:val="20"/>
              </w:rPr>
              <w:t xml:space="preserve">Количество поддержанных творческих инициатив и проектов составит:</w:t>
            </w:r>
          </w:p>
          <w:p>
            <w:pPr>
              <w:pStyle w:val="0"/>
              <w:jc w:val="both"/>
            </w:pPr>
            <w:r>
              <w:rPr>
                <w:sz w:val="20"/>
              </w:rPr>
              <w:t xml:space="preserve">- в 2024 году - 167 ед.</w:t>
            </w:r>
          </w:p>
          <w:p>
            <w:pPr>
              <w:pStyle w:val="0"/>
              <w:jc w:val="both"/>
            </w:pPr>
            <w:r>
              <w:rPr>
                <w:sz w:val="20"/>
              </w:rPr>
              <w:t xml:space="preserve">Количество волонтеров, вовлеченных в программу "Волонтеры культуры", составит:</w:t>
            </w:r>
          </w:p>
          <w:p>
            <w:pPr>
              <w:pStyle w:val="0"/>
              <w:jc w:val="both"/>
            </w:pPr>
            <w:r>
              <w:rPr>
                <w:sz w:val="20"/>
              </w:rPr>
              <w:t xml:space="preserve">- в 2024 году - 8684 чел.</w:t>
            </w:r>
          </w:p>
        </w:tc>
      </w:tr>
      <w:tr>
        <w:tc>
          <w:tcPr>
            <w:tcW w:w="2778" w:type="dxa"/>
          </w:tcPr>
          <w:p>
            <w:pPr>
              <w:pStyle w:val="0"/>
              <w:jc w:val="both"/>
            </w:pPr>
            <w:r>
              <w:rPr>
                <w:sz w:val="20"/>
              </w:rPr>
              <w:t xml:space="preserve">11. "Малое и среднее предпринимательство и поддержка индивидуальной предпринимательской инициативы":</w:t>
            </w:r>
          </w:p>
          <w:p>
            <w:pPr>
              <w:pStyle w:val="0"/>
              <w:jc w:val="both"/>
            </w:pPr>
            <w:r>
              <w:rPr>
                <w:sz w:val="20"/>
              </w:rPr>
              <w:t xml:space="preserve">11.1. Создание благоприятных условий для осуществления деятельности самозанятыми гражданами.</w:t>
            </w:r>
          </w:p>
          <w:p>
            <w:pPr>
              <w:pStyle w:val="0"/>
              <w:jc w:val="both"/>
            </w:pPr>
            <w:r>
              <w:rPr>
                <w:sz w:val="20"/>
              </w:rPr>
              <w:t xml:space="preserve">11.2. Создание условий для легкого старта и комфортного ведения бизнеса.</w:t>
            </w:r>
          </w:p>
          <w:p>
            <w:pPr>
              <w:pStyle w:val="0"/>
              <w:jc w:val="both"/>
            </w:pPr>
            <w:r>
              <w:rPr>
                <w:sz w:val="20"/>
              </w:rPr>
              <w:t xml:space="preserve">11.3. Акселерация субъектов малого и среднего предпринимательства</w:t>
            </w:r>
          </w:p>
        </w:tc>
        <w:tc>
          <w:tcPr>
            <w:tcW w:w="6293" w:type="dxa"/>
          </w:tcPr>
          <w:p>
            <w:pPr>
              <w:pStyle w:val="0"/>
              <w:jc w:val="both"/>
            </w:pPr>
            <w:r>
              <w:rPr>
                <w:sz w:val="20"/>
              </w:rPr>
              <w:t xml:space="preserve">Количество самозанятых граждан, зафиксировавших свой статус и применяющих специальный налоговый режим "Налог на профессиональный доход", составит (нарастающим итогом):</w:t>
            </w:r>
          </w:p>
          <w:p>
            <w:pPr>
              <w:pStyle w:val="0"/>
              <w:jc w:val="both"/>
            </w:pPr>
            <w:r>
              <w:rPr>
                <w:sz w:val="20"/>
              </w:rPr>
              <w:t xml:space="preserve">- в 2024 году - 42,741 тыс. человек.</w:t>
            </w:r>
          </w:p>
          <w:p>
            <w:pPr>
              <w:pStyle w:val="0"/>
              <w:jc w:val="both"/>
            </w:pPr>
            <w:r>
              <w:rPr>
                <w:sz w:val="20"/>
              </w:rPr>
              <w:t xml:space="preserve">Численность занятых в сфере малого и среднего предпринимательства, включая индивидуальных предпринимателей, составит:</w:t>
            </w:r>
          </w:p>
          <w:p>
            <w:pPr>
              <w:pStyle w:val="0"/>
              <w:jc w:val="both"/>
            </w:pPr>
            <w:r>
              <w:rPr>
                <w:sz w:val="20"/>
              </w:rPr>
              <w:t xml:space="preserve">- в 2024 году - 0,5465 млн человек</w:t>
            </w:r>
          </w:p>
        </w:tc>
      </w:tr>
      <w:tr>
        <w:tc>
          <w:tcPr>
            <w:tcW w:w="2778" w:type="dxa"/>
          </w:tcPr>
          <w:p>
            <w:pPr>
              <w:pStyle w:val="0"/>
              <w:jc w:val="both"/>
            </w:pPr>
            <w:r>
              <w:rPr>
                <w:sz w:val="20"/>
              </w:rPr>
              <w:t xml:space="preserve">12. "Международная кооперация и экспорт":</w:t>
            </w:r>
          </w:p>
          <w:p>
            <w:pPr>
              <w:pStyle w:val="0"/>
              <w:jc w:val="both"/>
            </w:pPr>
            <w:r>
              <w:rPr>
                <w:sz w:val="20"/>
              </w:rPr>
              <w:t xml:space="preserve">12.1. Экспорт продукции АПК.</w:t>
            </w:r>
          </w:p>
          <w:p>
            <w:pPr>
              <w:pStyle w:val="0"/>
              <w:jc w:val="both"/>
            </w:pPr>
            <w:r>
              <w:rPr>
                <w:sz w:val="20"/>
              </w:rPr>
              <w:t xml:space="preserve">12.2. Системные меры развития международной кооперации и экспорта</w:t>
            </w:r>
          </w:p>
        </w:tc>
        <w:tc>
          <w:tcPr>
            <w:tcW w:w="6293" w:type="dxa"/>
          </w:tcPr>
          <w:p>
            <w:pPr>
              <w:pStyle w:val="0"/>
              <w:jc w:val="both"/>
            </w:pPr>
            <w:r>
              <w:rPr>
                <w:sz w:val="20"/>
              </w:rPr>
              <w:t xml:space="preserve">Объем экспорта продукции агропромышленного комплекса составит:</w:t>
            </w:r>
          </w:p>
          <w:p>
            <w:pPr>
              <w:pStyle w:val="0"/>
              <w:jc w:val="both"/>
            </w:pPr>
            <w:r>
              <w:rPr>
                <w:sz w:val="20"/>
              </w:rPr>
              <w:t xml:space="preserve">- в 2024 году - 0,1843 млрд долл. США.</w:t>
            </w:r>
          </w:p>
          <w:p>
            <w:pPr>
              <w:pStyle w:val="0"/>
              <w:jc w:val="both"/>
            </w:pPr>
            <w:r>
              <w:rPr>
                <w:sz w:val="20"/>
              </w:rPr>
              <w:t xml:space="preserve">Количество субъектов Российской Федерации, в которых внедрен Региональный экспортный стандарт 2.0, составит:</w:t>
            </w:r>
          </w:p>
          <w:p>
            <w:pPr>
              <w:pStyle w:val="0"/>
              <w:jc w:val="both"/>
            </w:pPr>
            <w:r>
              <w:rPr>
                <w:sz w:val="20"/>
              </w:rPr>
              <w:t xml:space="preserve">- в 2024 году - 1 ед.</w:t>
            </w:r>
          </w:p>
        </w:tc>
      </w:tr>
    </w:tbl>
    <w:p>
      <w:pPr>
        <w:pStyle w:val="0"/>
        <w:ind w:firstLine="540"/>
        <w:jc w:val="both"/>
      </w:pPr>
      <w:r>
        <w:rPr>
          <w:sz w:val="20"/>
        </w:rPr>
      </w:r>
    </w:p>
    <w:p>
      <w:pPr>
        <w:pStyle w:val="0"/>
        <w:ind w:firstLine="540"/>
        <w:jc w:val="both"/>
      </w:pPr>
      <w:r>
        <w:rPr>
          <w:sz w:val="20"/>
        </w:rPr>
        <w:t xml:space="preserve">--------------------------------</w:t>
      </w:r>
    </w:p>
    <w:bookmarkStart w:id="1596" w:name="P1596"/>
    <w:bookmarkEnd w:id="1596"/>
    <w:p>
      <w:pPr>
        <w:pStyle w:val="0"/>
        <w:spacing w:before="200" w:line-rule="auto"/>
        <w:ind w:firstLine="540"/>
        <w:jc w:val="both"/>
      </w:pPr>
      <w:r>
        <w:rPr>
          <w:sz w:val="20"/>
        </w:rPr>
        <w:t xml:space="preserve">&lt;1&gt; Автономная некоммерческая организация "Федеральный центр компетенций в сфере производительности труда.</w:t>
      </w:r>
    </w:p>
    <w:bookmarkStart w:id="1597" w:name="P1597"/>
    <w:bookmarkEnd w:id="1597"/>
    <w:p>
      <w:pPr>
        <w:pStyle w:val="0"/>
        <w:spacing w:before="200" w:line-rule="auto"/>
        <w:ind w:firstLine="540"/>
        <w:jc w:val="both"/>
      </w:pPr>
      <w:r>
        <w:rPr>
          <w:sz w:val="20"/>
        </w:rPr>
        <w:t xml:space="preserve">&lt;2&gt; Региональный центр компетенций.</w:t>
      </w:r>
    </w:p>
    <w:p>
      <w:pPr>
        <w:pStyle w:val="0"/>
        <w:ind w:firstLine="540"/>
        <w:jc w:val="both"/>
      </w:pPr>
      <w:r>
        <w:rPr>
          <w:sz w:val="20"/>
        </w:rPr>
      </w:r>
    </w:p>
    <w:bookmarkStart w:id="1599" w:name="P1599"/>
    <w:bookmarkEnd w:id="1599"/>
    <w:p>
      <w:pPr>
        <w:pStyle w:val="2"/>
        <w:outlineLvl w:val="2"/>
        <w:jc w:val="center"/>
      </w:pPr>
      <w:r>
        <w:rPr>
          <w:sz w:val="20"/>
        </w:rPr>
        <w:t xml:space="preserve">4. Основные параметры государственных программ</w:t>
      </w:r>
    </w:p>
    <w:p>
      <w:pPr>
        <w:pStyle w:val="2"/>
        <w:jc w:val="center"/>
      </w:pPr>
      <w:r>
        <w:rPr>
          <w:sz w:val="20"/>
        </w:rPr>
        <w:t xml:space="preserve">Нижегородской области (согласно редакциям,</w:t>
      </w:r>
    </w:p>
    <w:p>
      <w:pPr>
        <w:pStyle w:val="2"/>
        <w:jc w:val="center"/>
      </w:pPr>
      <w:r>
        <w:rPr>
          <w:sz w:val="20"/>
        </w:rPr>
        <w:t xml:space="preserve">действующим по состоянию на 15 августа 2024 г.)</w:t>
      </w:r>
    </w:p>
    <w:p>
      <w:pPr>
        <w:pStyle w:val="0"/>
        <w:ind w:firstLine="540"/>
        <w:jc w:val="both"/>
      </w:pPr>
      <w:r>
        <w:rPr>
          <w:sz w:val="20"/>
        </w:rPr>
      </w:r>
    </w:p>
    <w:bookmarkStart w:id="1603" w:name="P1603"/>
    <w:bookmarkEnd w:id="1603"/>
    <w:p>
      <w:pPr>
        <w:pStyle w:val="0"/>
        <w:outlineLvl w:val="3"/>
        <w:jc w:val="right"/>
      </w:pPr>
      <w:r>
        <w:rPr>
          <w:sz w:val="20"/>
        </w:rPr>
        <w:t xml:space="preserve">Таблица 5</w:t>
      </w:r>
    </w:p>
    <w:p>
      <w:pPr>
        <w:pStyle w:val="0"/>
        <w:ind w:firstLine="54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324"/>
        <w:gridCol w:w="2324"/>
        <w:gridCol w:w="1984"/>
        <w:gridCol w:w="3458"/>
        <w:gridCol w:w="3175"/>
        <w:gridCol w:w="1814"/>
      </w:tblGrid>
      <w:tr>
        <w:tc>
          <w:tcPr>
            <w:tcW w:w="567" w:type="dxa"/>
          </w:tcPr>
          <w:p>
            <w:pPr>
              <w:pStyle w:val="0"/>
              <w:jc w:val="center"/>
            </w:pPr>
            <w:r>
              <w:rPr>
                <w:sz w:val="20"/>
              </w:rPr>
              <w:t xml:space="preserve">N п/п</w:t>
            </w:r>
          </w:p>
        </w:tc>
        <w:tc>
          <w:tcPr>
            <w:tcW w:w="2324" w:type="dxa"/>
          </w:tcPr>
          <w:p>
            <w:pPr>
              <w:pStyle w:val="0"/>
              <w:jc w:val="center"/>
            </w:pPr>
            <w:r>
              <w:rPr>
                <w:sz w:val="20"/>
              </w:rPr>
              <w:t xml:space="preserve">Наименование государственной программы</w:t>
            </w:r>
          </w:p>
        </w:tc>
        <w:tc>
          <w:tcPr>
            <w:tcW w:w="2324" w:type="dxa"/>
          </w:tcPr>
          <w:p>
            <w:pPr>
              <w:pStyle w:val="0"/>
              <w:jc w:val="center"/>
            </w:pPr>
            <w:r>
              <w:rPr>
                <w:sz w:val="20"/>
              </w:rPr>
              <w:t xml:space="preserve">Цели государственной программы</w:t>
            </w:r>
          </w:p>
        </w:tc>
        <w:tc>
          <w:tcPr>
            <w:tcW w:w="1984" w:type="dxa"/>
          </w:tcPr>
          <w:p>
            <w:pPr>
              <w:pStyle w:val="0"/>
              <w:jc w:val="center"/>
            </w:pPr>
            <w:r>
              <w:rPr>
                <w:sz w:val="20"/>
              </w:rPr>
              <w:t xml:space="preserve">Направления (подпрограммы)</w:t>
            </w:r>
          </w:p>
        </w:tc>
        <w:tc>
          <w:tcPr>
            <w:tcW w:w="3458" w:type="dxa"/>
          </w:tcPr>
          <w:p>
            <w:pPr>
              <w:pStyle w:val="0"/>
              <w:jc w:val="center"/>
            </w:pPr>
            <w:r>
              <w:rPr>
                <w:sz w:val="20"/>
              </w:rPr>
              <w:t xml:space="preserve">Задачи структурных элементов</w:t>
            </w:r>
          </w:p>
        </w:tc>
        <w:tc>
          <w:tcPr>
            <w:tcW w:w="3175" w:type="dxa"/>
          </w:tcPr>
          <w:p>
            <w:pPr>
              <w:pStyle w:val="0"/>
              <w:jc w:val="center"/>
            </w:pPr>
            <w:r>
              <w:rPr>
                <w:sz w:val="20"/>
              </w:rPr>
              <w:t xml:space="preserve">Показатели государственной программы</w:t>
            </w:r>
          </w:p>
        </w:tc>
        <w:tc>
          <w:tcPr>
            <w:tcW w:w="1814" w:type="dxa"/>
          </w:tcPr>
          <w:p>
            <w:pPr>
              <w:pStyle w:val="0"/>
              <w:jc w:val="center"/>
            </w:pPr>
            <w:r>
              <w:rPr>
                <w:sz w:val="20"/>
              </w:rPr>
              <w:t xml:space="preserve">Связь с национальными целями развития Российской Федерации/Государственными программами Российской Федерации</w:t>
            </w:r>
          </w:p>
        </w:tc>
      </w:tr>
      <w:tr>
        <w:tc>
          <w:tcPr>
            <w:tcW w:w="567" w:type="dxa"/>
          </w:tcPr>
          <w:p>
            <w:pPr>
              <w:pStyle w:val="0"/>
              <w:jc w:val="both"/>
            </w:pPr>
            <w:r>
              <w:rPr>
                <w:sz w:val="20"/>
              </w:rPr>
              <w:t xml:space="preserve">1</w:t>
            </w:r>
          </w:p>
        </w:tc>
        <w:tc>
          <w:tcPr>
            <w:tcW w:w="2324" w:type="dxa"/>
          </w:tcPr>
          <w:p>
            <w:pPr>
              <w:pStyle w:val="0"/>
              <w:jc w:val="both"/>
            </w:pPr>
            <w:r>
              <w:rPr>
                <w:sz w:val="20"/>
              </w:rPr>
              <w:t xml:space="preserve">Государственная </w:t>
            </w:r>
            <w:hyperlink w:history="0" r:id="rId30" w:tooltip="Постановление Правительства Нижегородской области от 30.04.2014 N 297 (ред. от 31.12.2023) &quot;Об утверждении государственной программы Нижегородской области &quot;Развитие промышленности и инноваций Нижегородской области&quot; (с изм. и доп., вступающими в силу с 01.01.2024) ------------ Недействующая редакция {КонсультантПлюс}">
              <w:r>
                <w:rPr>
                  <w:sz w:val="20"/>
                  <w:color w:val="0000ff"/>
                </w:rPr>
                <w:t xml:space="preserve">программа</w:t>
              </w:r>
            </w:hyperlink>
            <w:r>
              <w:rPr>
                <w:sz w:val="20"/>
              </w:rPr>
              <w:t xml:space="preserve"> "Развитие промышленности и инноваций Нижегородской области", утвержденная постановлением Правительства Нижегородской области от 30 апреля 2014 г. N 297</w:t>
            </w:r>
          </w:p>
        </w:tc>
        <w:tc>
          <w:tcPr>
            <w:tcW w:w="2324" w:type="dxa"/>
          </w:tcPr>
          <w:p>
            <w:pPr>
              <w:pStyle w:val="0"/>
              <w:jc w:val="both"/>
            </w:pPr>
            <w:r>
              <w:rPr>
                <w:sz w:val="20"/>
              </w:rPr>
              <w:t xml:space="preserve">1. Обеспечение устойчивого роста и эффективного развития промышленного комплекса Нижегородской области.</w:t>
            </w:r>
          </w:p>
          <w:p>
            <w:pPr>
              <w:pStyle w:val="0"/>
              <w:jc w:val="both"/>
            </w:pPr>
            <w:r>
              <w:rPr>
                <w:sz w:val="20"/>
              </w:rPr>
              <w:t xml:space="preserve">2. Повышение конкурентоспособности промышленности Нижегородской области и обеспечение достижения стратегических приоритетов в долгосрочной перспективе</w:t>
            </w:r>
          </w:p>
        </w:tc>
        <w:tc>
          <w:tcPr>
            <w:tcW w:w="1984" w:type="dxa"/>
          </w:tcPr>
          <w:p>
            <w:pPr>
              <w:pStyle w:val="0"/>
              <w:jc w:val="both"/>
            </w:pPr>
            <w:r>
              <w:rPr>
                <w:sz w:val="20"/>
              </w:rPr>
              <w:t xml:space="preserve">1. "Развитие благоприятной среды и инфраструктуры поддержки промышленности Нижегородской области".</w:t>
            </w:r>
          </w:p>
          <w:p>
            <w:pPr>
              <w:pStyle w:val="0"/>
              <w:jc w:val="both"/>
            </w:pPr>
            <w:r>
              <w:rPr>
                <w:sz w:val="20"/>
              </w:rPr>
              <w:t xml:space="preserve">2. "Реализация финансовой поддержки промышленных предприятий Нижегородской области".</w:t>
            </w:r>
          </w:p>
          <w:p>
            <w:pPr>
              <w:pStyle w:val="0"/>
              <w:jc w:val="both"/>
            </w:pPr>
            <w:r>
              <w:rPr>
                <w:sz w:val="20"/>
              </w:rPr>
              <w:t xml:space="preserve">3. "Обеспечение реализации государственной программы"</w:t>
            </w:r>
          </w:p>
        </w:tc>
        <w:tc>
          <w:tcPr>
            <w:tcW w:w="3458" w:type="dxa"/>
          </w:tcPr>
          <w:p>
            <w:pPr>
              <w:pStyle w:val="0"/>
              <w:jc w:val="both"/>
            </w:pPr>
            <w:r>
              <w:rPr>
                <w:sz w:val="20"/>
              </w:rPr>
              <w:t xml:space="preserve">1. Предприятиям предоставлена возможность по внедрению лучших практик (типовых решений) и получению услуг по повышению производительности труда посредством специализированных центров компетенций на федеральном и региональном уровне.</w:t>
            </w:r>
          </w:p>
          <w:p>
            <w:pPr>
              <w:pStyle w:val="0"/>
              <w:jc w:val="both"/>
            </w:pPr>
            <w:r>
              <w:rPr>
                <w:sz w:val="20"/>
              </w:rPr>
              <w:t xml:space="preserve">2. Комплексная поддержка предприятий-участников национального проекта.</w:t>
            </w:r>
          </w:p>
          <w:p>
            <w:pPr>
              <w:pStyle w:val="0"/>
              <w:jc w:val="both"/>
            </w:pPr>
            <w:r>
              <w:rPr>
                <w:sz w:val="20"/>
              </w:rPr>
              <w:t xml:space="preserve">3. Реализуется комплекс институциональных мероприятий по популяризации и содействию развитию экспорта.</w:t>
            </w:r>
          </w:p>
          <w:p>
            <w:pPr>
              <w:pStyle w:val="0"/>
              <w:jc w:val="both"/>
            </w:pPr>
            <w:r>
              <w:rPr>
                <w:sz w:val="20"/>
              </w:rPr>
              <w:t xml:space="preserve">4. Создание и развитие индустриальных парков, промышленных технопарков в Нижегородской области.</w:t>
            </w:r>
          </w:p>
          <w:p>
            <w:pPr>
              <w:pStyle w:val="0"/>
              <w:jc w:val="both"/>
            </w:pPr>
            <w:r>
              <w:rPr>
                <w:sz w:val="20"/>
              </w:rPr>
              <w:t xml:space="preserve">5. Создание и развитие эффективной инфраструктуры поддержки промышленности, стимулирование в промышленности Нижегородской области процессов кооперации и импортозамещения.</w:t>
            </w:r>
          </w:p>
          <w:p>
            <w:pPr>
              <w:pStyle w:val="0"/>
              <w:jc w:val="both"/>
            </w:pPr>
            <w:r>
              <w:rPr>
                <w:sz w:val="20"/>
              </w:rPr>
              <w:t xml:space="preserve">6. Популяризация региональной промышленности, содействие повышению качества подготовки квалифицированных работников.</w:t>
            </w:r>
          </w:p>
          <w:p>
            <w:pPr>
              <w:pStyle w:val="0"/>
              <w:jc w:val="both"/>
            </w:pPr>
            <w:r>
              <w:rPr>
                <w:sz w:val="20"/>
              </w:rPr>
              <w:t xml:space="preserve">7. Популяризация и поощрение высоких достижений трудовой деятельности, повышение престижа научно-технической и инновационной деятельности в сфере промышленного производства.</w:t>
            </w:r>
          </w:p>
          <w:p>
            <w:pPr>
              <w:pStyle w:val="0"/>
              <w:jc w:val="both"/>
            </w:pPr>
            <w:r>
              <w:rPr>
                <w:sz w:val="20"/>
              </w:rPr>
              <w:t xml:space="preserve">8. Стимулирование развития промышленных предприятий Нижегородской области посредством предоставления финансовой поддержки.</w:t>
            </w:r>
          </w:p>
          <w:p>
            <w:pPr>
              <w:pStyle w:val="0"/>
              <w:jc w:val="both"/>
            </w:pPr>
            <w:r>
              <w:rPr>
                <w:sz w:val="20"/>
              </w:rPr>
              <w:t xml:space="preserve">9. Обеспечение выполнения функций и задач, возложенных на министерство промышленности, торговли и предпринимательства Нижегородской области.</w:t>
            </w:r>
          </w:p>
          <w:p>
            <w:pPr>
              <w:pStyle w:val="0"/>
              <w:jc w:val="both"/>
            </w:pPr>
            <w:r>
              <w:rPr>
                <w:sz w:val="20"/>
              </w:rPr>
              <w:t xml:space="preserve">10. Обеспечение выполнения функций и задач, возложенных на ГКУ НО "Агентство по развитию производства, кооперации и конкуренции"</w:t>
            </w:r>
          </w:p>
        </w:tc>
        <w:tc>
          <w:tcPr>
            <w:tcW w:w="3175" w:type="dxa"/>
          </w:tcPr>
          <w:p>
            <w:pPr>
              <w:pStyle w:val="0"/>
              <w:jc w:val="both"/>
            </w:pPr>
            <w:r>
              <w:rPr>
                <w:sz w:val="20"/>
              </w:rPr>
              <w:t xml:space="preserve">- объем отгруженных товаров собственного производства, выполненных работ (услуг) собственными силами по разделу "Обрабатывающие производства" (по полному кругу организаций), в фактических ценах;</w:t>
            </w:r>
          </w:p>
          <w:p>
            <w:pPr>
              <w:pStyle w:val="0"/>
              <w:jc w:val="both"/>
            </w:pPr>
            <w:r>
              <w:rPr>
                <w:sz w:val="20"/>
              </w:rPr>
              <w:t xml:space="preserve">- индекс промышленного производства;</w:t>
            </w:r>
          </w:p>
          <w:p>
            <w:pPr>
              <w:pStyle w:val="0"/>
              <w:jc w:val="both"/>
            </w:pPr>
            <w:r>
              <w:rPr>
                <w:sz w:val="20"/>
              </w:rPr>
              <w:t xml:space="preserve">- индекс производства по разделу "Обрабатывающие производства";</w:t>
            </w:r>
          </w:p>
          <w:p>
            <w:pPr>
              <w:pStyle w:val="0"/>
              <w:jc w:val="both"/>
            </w:pPr>
            <w:r>
              <w:rPr>
                <w:sz w:val="20"/>
              </w:rPr>
              <w:t xml:space="preserve">- численность работников списочного состава по разделу "Обрабатывающие производства";</w:t>
            </w:r>
          </w:p>
          <w:p>
            <w:pPr>
              <w:pStyle w:val="0"/>
              <w:jc w:val="both"/>
            </w:pPr>
            <w:r>
              <w:rPr>
                <w:sz w:val="20"/>
              </w:rPr>
              <w:t xml:space="preserve">- доля предприятий, достигших ежегодный 5% прирост производительности труда на предприятиях - участниках, внедряющих мероприятия национального проекта под федеральным и региональным управлением в течение трех лет участия в проекте;</w:t>
            </w:r>
          </w:p>
          <w:p>
            <w:pPr>
              <w:pStyle w:val="0"/>
              <w:jc w:val="both"/>
            </w:pPr>
            <w:r>
              <w:rPr>
                <w:sz w:val="20"/>
              </w:rPr>
              <w:t xml:space="preserve">- количество предприятий-участников, вовлеченных в национальный проект через получение адресной поддержки (нарастающим итогом);</w:t>
            </w:r>
          </w:p>
          <w:p>
            <w:pPr>
              <w:pStyle w:val="0"/>
              <w:jc w:val="both"/>
            </w:pPr>
            <w:r>
              <w:rPr>
                <w:sz w:val="20"/>
              </w:rPr>
              <w:t xml:space="preserve">- количество сотрудников предприятий и представителей региональных команд, прошедших обучение инструментам повышения производительности труда, нарастающим итогом;</w:t>
            </w:r>
          </w:p>
          <w:p>
            <w:pPr>
              <w:pStyle w:val="0"/>
              <w:jc w:val="both"/>
            </w:pPr>
            <w:r>
              <w:rPr>
                <w:sz w:val="20"/>
              </w:rPr>
              <w:t xml:space="preserve">- количество предприятий-участников, внедряющих мероприятия национального проекта самостоятельно (нарастающим итогом);</w:t>
            </w:r>
          </w:p>
          <w:p>
            <w:pPr>
              <w:pStyle w:val="0"/>
              <w:jc w:val="both"/>
            </w:pPr>
            <w:r>
              <w:rPr>
                <w:sz w:val="20"/>
              </w:rPr>
              <w:t xml:space="preserve">- количество предприятий-участников, внедряющих мероприятия национального проекта под федеральным управлением (с ФЦК, нарастающим итогом);</w:t>
            </w:r>
          </w:p>
          <w:p>
            <w:pPr>
              <w:pStyle w:val="0"/>
              <w:jc w:val="both"/>
            </w:pPr>
            <w:r>
              <w:rPr>
                <w:sz w:val="20"/>
              </w:rPr>
              <w:t xml:space="preserve">- количество региональных центров компетенций, созданных в субъектах Российской Федерации в целях распространения лучших практик производительности труда, нарастающим итогом;</w:t>
            </w:r>
          </w:p>
          <w:p>
            <w:pPr>
              <w:pStyle w:val="0"/>
              <w:jc w:val="both"/>
            </w:pPr>
            <w:r>
              <w:rPr>
                <w:sz w:val="20"/>
              </w:rPr>
              <w:t xml:space="preserve">- удовлетворенность предприятий работой региональных центров компетенций (доля предприятий, удовлетворенных работой названных центров);</w:t>
            </w:r>
          </w:p>
          <w:p>
            <w:pPr>
              <w:pStyle w:val="0"/>
              <w:jc w:val="both"/>
            </w:pPr>
            <w:r>
              <w:rPr>
                <w:sz w:val="20"/>
              </w:rPr>
              <w:t xml:space="preserve">- количество сотрудников предприятий, прошедших обучение инструментам повышения производительности труда под региональным управлением (с РЦК, нарастающим итогом);</w:t>
            </w:r>
          </w:p>
          <w:p>
            <w:pPr>
              <w:pStyle w:val="0"/>
              <w:jc w:val="both"/>
            </w:pPr>
            <w:r>
              <w:rPr>
                <w:sz w:val="20"/>
              </w:rPr>
              <w:t xml:space="preserve">- количество сотрудников предприятий, прошедших обучение инструментам повышения производительности труда под федеральным управлением (с ФЦК, нарастающим итогом);</w:t>
            </w:r>
          </w:p>
          <w:p>
            <w:pPr>
              <w:pStyle w:val="0"/>
              <w:jc w:val="both"/>
            </w:pPr>
            <w:r>
              <w:rPr>
                <w:sz w:val="20"/>
              </w:rPr>
              <w:t xml:space="preserve">- количество обученных сотрудников предприятий-участников в рамках реализации мероприятий по повышению производительности труда самостоятельно, а также органов исполнительной власти, нарастающим итогом;</w:t>
            </w:r>
          </w:p>
          <w:p>
            <w:pPr>
              <w:pStyle w:val="0"/>
              <w:jc w:val="both"/>
            </w:pPr>
            <w:r>
              <w:rPr>
                <w:sz w:val="20"/>
              </w:rPr>
              <w:t xml:space="preserve">- количество представителей региональных команд, прошедших обучение инструментам повышения производительности труда, нарастающим итогом;</w:t>
            </w:r>
          </w:p>
          <w:p>
            <w:pPr>
              <w:pStyle w:val="0"/>
              <w:jc w:val="both"/>
            </w:pPr>
            <w:r>
              <w:rPr>
                <w:sz w:val="20"/>
              </w:rPr>
              <w:t xml:space="preserve">- количество подготовленных инструкторов по бережливому производству на предприятиях - участниках национального проекта под региональным управлением (с РЦК);</w:t>
            </w:r>
          </w:p>
          <w:p>
            <w:pPr>
              <w:pStyle w:val="0"/>
              <w:jc w:val="both"/>
            </w:pPr>
            <w:r>
              <w:rPr>
                <w:sz w:val="20"/>
              </w:rPr>
              <w:t xml:space="preserve">- количество предприятий-участников, внедряющих мероприятия национального проекта под региональным управлением (с РЦК, нарастающим итогом);</w:t>
            </w:r>
          </w:p>
          <w:p>
            <w:pPr>
              <w:pStyle w:val="0"/>
              <w:jc w:val="both"/>
            </w:pPr>
            <w:r>
              <w:rPr>
                <w:sz w:val="20"/>
              </w:rPr>
              <w:t xml:space="preserve">- количество субъектов Российской Федерации, в которых внедрен Региональный экспортный стандарт 2.0;</w:t>
            </w:r>
          </w:p>
          <w:p>
            <w:pPr>
              <w:pStyle w:val="0"/>
              <w:jc w:val="both"/>
            </w:pPr>
            <w:r>
              <w:rPr>
                <w:sz w:val="20"/>
              </w:rPr>
              <w:t xml:space="preserve">- доля продукции высокотехнологичных и наукоемких отраслей в валовом региональном продукте;</w:t>
            </w:r>
          </w:p>
          <w:p>
            <w:pPr>
              <w:pStyle w:val="0"/>
              <w:jc w:val="both"/>
            </w:pPr>
            <w:r>
              <w:rPr>
                <w:sz w:val="20"/>
              </w:rPr>
              <w:t xml:space="preserve">- уровень инновационной активности организаций обрабатывающих производств Нижегородской области</w:t>
            </w:r>
          </w:p>
        </w:tc>
        <w:tc>
          <w:tcPr>
            <w:tcW w:w="1814" w:type="dxa"/>
          </w:tcPr>
          <w:p>
            <w:pPr>
              <w:pStyle w:val="0"/>
              <w:jc w:val="both"/>
            </w:pPr>
            <w:r>
              <w:rPr>
                <w:sz w:val="20"/>
              </w:rPr>
              <w:t xml:space="preserve">Национальная цель "Устойчивая и динамичная экономика"/Государственная программа Российской Федерации "Развитие промышленности и повышение ее конкурентоспособности";</w:t>
            </w:r>
          </w:p>
          <w:p>
            <w:pPr>
              <w:pStyle w:val="0"/>
              <w:jc w:val="both"/>
            </w:pPr>
            <w:r>
              <w:rPr>
                <w:sz w:val="20"/>
              </w:rPr>
              <w:t xml:space="preserve">Государственная программа Российской Федерации "Развитие электронной и радиоэлектронной промышленности"</w:t>
            </w:r>
          </w:p>
        </w:tc>
      </w:tr>
      <w:tr>
        <w:tc>
          <w:tcPr>
            <w:tcW w:w="567" w:type="dxa"/>
          </w:tcPr>
          <w:p>
            <w:pPr>
              <w:pStyle w:val="0"/>
              <w:jc w:val="both"/>
            </w:pPr>
            <w:r>
              <w:rPr>
                <w:sz w:val="20"/>
              </w:rPr>
              <w:t xml:space="preserve">2</w:t>
            </w:r>
          </w:p>
        </w:tc>
        <w:tc>
          <w:tcPr>
            <w:tcW w:w="2324" w:type="dxa"/>
          </w:tcPr>
          <w:p>
            <w:pPr>
              <w:pStyle w:val="0"/>
              <w:jc w:val="both"/>
            </w:pPr>
            <w:r>
              <w:rPr>
                <w:sz w:val="20"/>
              </w:rPr>
              <w:t xml:space="preserve">Государственная </w:t>
            </w:r>
            <w:hyperlink w:history="0" r:id="rId31" w:tooltip="Постановление Правительства Нижегородской области от 29.04.2014 N 290 (ред. от 29.12.2023) &quot;Об утверждении государственной программы Нижегородской области &quot;Развитие предпринимательства Нижегородской области&quot; (с изм. и доп., вступающими в силу с 01.01.2024) {КонсультантПлюс}">
              <w:r>
                <w:rPr>
                  <w:sz w:val="20"/>
                  <w:color w:val="0000ff"/>
                </w:rPr>
                <w:t xml:space="preserve">программа</w:t>
              </w:r>
            </w:hyperlink>
            <w:r>
              <w:rPr>
                <w:sz w:val="20"/>
              </w:rPr>
              <w:t xml:space="preserve"> "Развитие предпринимательства Нижегородской области", утвержденная постановлением Правительства Нижегородской области от 29 апреля 2014 г. N 290</w:t>
            </w:r>
          </w:p>
        </w:tc>
        <w:tc>
          <w:tcPr>
            <w:tcW w:w="2324" w:type="dxa"/>
          </w:tcPr>
          <w:p>
            <w:pPr>
              <w:pStyle w:val="0"/>
              <w:jc w:val="both"/>
            </w:pPr>
            <w:r>
              <w:rPr>
                <w:sz w:val="20"/>
              </w:rPr>
              <w:t xml:space="preserve">1. Увеличение численности занятых в сфере малого и среднего предпринимательства, включая индивидуальных предпринимателей и самозанятых.</w:t>
            </w:r>
          </w:p>
          <w:p>
            <w:pPr>
              <w:pStyle w:val="0"/>
              <w:jc w:val="both"/>
            </w:pPr>
            <w:r>
              <w:rPr>
                <w:sz w:val="20"/>
              </w:rPr>
              <w:t xml:space="preserve">2. Создание условий для наиболее полного удовлетворения потребностей населения в потребительских товарах посредством развития различных форм торговли и повышения потребительской грамотности населения</w:t>
            </w:r>
          </w:p>
        </w:tc>
        <w:tc>
          <w:tcPr>
            <w:tcW w:w="1984" w:type="dxa"/>
          </w:tcPr>
          <w:p>
            <w:pPr>
              <w:pStyle w:val="0"/>
              <w:jc w:val="both"/>
            </w:pPr>
            <w:r>
              <w:rPr>
                <w:sz w:val="20"/>
              </w:rPr>
              <w:t xml:space="preserve">1. "Развитие предпринимательства Нижегородской области".</w:t>
            </w:r>
          </w:p>
          <w:p>
            <w:pPr>
              <w:pStyle w:val="0"/>
              <w:jc w:val="both"/>
            </w:pPr>
            <w:r>
              <w:rPr>
                <w:sz w:val="20"/>
              </w:rPr>
              <w:t xml:space="preserve">2. "Развитие торговли в Нижегородской области"</w:t>
            </w:r>
          </w:p>
        </w:tc>
        <w:tc>
          <w:tcPr>
            <w:tcW w:w="3458" w:type="dxa"/>
          </w:tcPr>
          <w:p>
            <w:pPr>
              <w:pStyle w:val="0"/>
              <w:jc w:val="both"/>
            </w:pPr>
            <w:r>
              <w:rPr>
                <w:sz w:val="20"/>
              </w:rPr>
              <w:t xml:space="preserve">1. Создание благоприятных условий для осуществления деятельности самозанятыми гражданами посредством применения нового режима налогообложения и предоставления мер поддержки.</w:t>
            </w:r>
          </w:p>
          <w:p>
            <w:pPr>
              <w:pStyle w:val="0"/>
              <w:jc w:val="both"/>
            </w:pPr>
            <w:r>
              <w:rPr>
                <w:sz w:val="20"/>
              </w:rPr>
              <w:t xml:space="preserve">2. Создание условий для легкого старта и комфортного ведения бизнеса (предакселерация).</w:t>
            </w:r>
          </w:p>
          <w:p>
            <w:pPr>
              <w:pStyle w:val="0"/>
              <w:jc w:val="both"/>
            </w:pPr>
            <w:r>
              <w:rPr>
                <w:sz w:val="20"/>
              </w:rPr>
              <w:t xml:space="preserve">3. Создана комплексная система акселерации, включающая в себя финансовые и налоговые инструменты поддержки субъектов МСП, а также инфраструктуру для комфортной работы и развития субъектов МСП.</w:t>
            </w:r>
          </w:p>
          <w:p>
            <w:pPr>
              <w:pStyle w:val="0"/>
              <w:jc w:val="both"/>
            </w:pPr>
            <w:r>
              <w:rPr>
                <w:sz w:val="20"/>
              </w:rPr>
              <w:t xml:space="preserve">4. Создана комплексная система оказания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w:t>
            </w:r>
          </w:p>
          <w:p>
            <w:pPr>
              <w:pStyle w:val="0"/>
              <w:jc w:val="both"/>
            </w:pPr>
            <w:r>
              <w:rPr>
                <w:sz w:val="20"/>
              </w:rPr>
              <w:t xml:space="preserve">5. Осуществление материально-технического обеспечения муниципальных бизнес-инкубаторов и муниципальных центров (фондов) поддержки предпринимательства.</w:t>
            </w:r>
          </w:p>
          <w:p>
            <w:pPr>
              <w:pStyle w:val="0"/>
              <w:jc w:val="both"/>
            </w:pPr>
            <w:r>
              <w:rPr>
                <w:sz w:val="20"/>
              </w:rPr>
              <w:t xml:space="preserve">6. Осуществление материально-технического обеспечения государственного учреждения "Нижегородский инновационный бизнес-инкубатор".</w:t>
            </w:r>
          </w:p>
          <w:p>
            <w:pPr>
              <w:pStyle w:val="0"/>
              <w:jc w:val="both"/>
            </w:pPr>
            <w:r>
              <w:rPr>
                <w:sz w:val="20"/>
              </w:rPr>
              <w:t xml:space="preserve">7. Создание и обеспечение благоприятных условий для развития и повышения конкурентоспособности малого и среднего предпринимательства Нижегородской области.</w:t>
            </w:r>
          </w:p>
          <w:p>
            <w:pPr>
              <w:pStyle w:val="0"/>
              <w:jc w:val="both"/>
            </w:pPr>
            <w:r>
              <w:rPr>
                <w:sz w:val="20"/>
              </w:rPr>
              <w:t xml:space="preserve">8. Предоставление субсидии ГУ "НИБИ" на финансовое обеспечение выполнения государственного задания на оказание государственных услуг (выполнение работ) и на иные цели.</w:t>
            </w:r>
          </w:p>
          <w:p>
            <w:pPr>
              <w:pStyle w:val="0"/>
              <w:jc w:val="both"/>
            </w:pPr>
            <w:r>
              <w:rPr>
                <w:sz w:val="20"/>
              </w:rPr>
              <w:t xml:space="preserve">9. Создание условий для развития современных форматов торговли, в том числе в удаленных районах Нижегородской области.</w:t>
            </w:r>
          </w:p>
          <w:p>
            <w:pPr>
              <w:pStyle w:val="0"/>
              <w:jc w:val="both"/>
            </w:pPr>
            <w:r>
              <w:rPr>
                <w:sz w:val="20"/>
              </w:rPr>
              <w:t xml:space="preserve">10. Формирование и ведение торгового реестра Нижегородской области.</w:t>
            </w:r>
          </w:p>
          <w:p>
            <w:pPr>
              <w:pStyle w:val="0"/>
              <w:jc w:val="both"/>
            </w:pPr>
            <w:r>
              <w:rPr>
                <w:sz w:val="20"/>
              </w:rPr>
              <w:t xml:space="preserve">11. Повышение привлекательности региональных товаров и стимулирование спроса на продукцию нижегородских товаропроизводителей.</w:t>
            </w:r>
          </w:p>
          <w:p>
            <w:pPr>
              <w:pStyle w:val="0"/>
              <w:jc w:val="both"/>
            </w:pPr>
            <w:r>
              <w:rPr>
                <w:sz w:val="20"/>
              </w:rPr>
              <w:t xml:space="preserve">12. Проведение мероприятий, способствующих повышению уровня квалификации специалистов сферы торговли и потребительской грамотности населения Нижегородской области в сфере торговли и услуг</w:t>
            </w:r>
          </w:p>
        </w:tc>
        <w:tc>
          <w:tcPr>
            <w:tcW w:w="3175" w:type="dxa"/>
          </w:tcPr>
          <w:p>
            <w:pPr>
              <w:pStyle w:val="0"/>
              <w:jc w:val="both"/>
            </w:pPr>
            <w:r>
              <w:rPr>
                <w:sz w:val="20"/>
              </w:rPr>
              <w:t xml:space="preserve">- численность занятых в сфере малого и среднего предпринимательства, включая индивидуальных предпринимателей;</w:t>
            </w:r>
          </w:p>
          <w:p>
            <w:pPr>
              <w:pStyle w:val="0"/>
              <w:jc w:val="both"/>
            </w:pPr>
            <w:r>
              <w:rPr>
                <w:sz w:val="20"/>
              </w:rPr>
              <w:t xml:space="preserve">- количество самозанятых граждан, зафиксировавших свой статус и применяющих специальный налоговый режим "Налог на профессиональный доход" (НПД), накопленным итогом;</w:t>
            </w:r>
          </w:p>
          <w:p>
            <w:pPr>
              <w:pStyle w:val="0"/>
              <w:jc w:val="both"/>
            </w:pPr>
            <w:r>
              <w:rPr>
                <w:sz w:val="20"/>
              </w:rPr>
              <w:t xml:space="preserve">- индекс физического объема оборота розничной торговли</w:t>
            </w:r>
          </w:p>
        </w:tc>
        <w:tc>
          <w:tcPr>
            <w:tcW w:w="1814" w:type="dxa"/>
          </w:tcPr>
          <w:p>
            <w:pPr>
              <w:pStyle w:val="0"/>
              <w:jc w:val="both"/>
            </w:pPr>
            <w:r>
              <w:rPr>
                <w:sz w:val="20"/>
              </w:rPr>
              <w:t xml:space="preserve">Национальная цель "Достойный, эффективный труд и успешное предпринимательство"/Государственная программа Российской Федерации "Экономическое развитие и инновационная экономика"</w:t>
            </w:r>
          </w:p>
        </w:tc>
      </w:tr>
      <w:tr>
        <w:tc>
          <w:tcPr>
            <w:tcW w:w="567" w:type="dxa"/>
          </w:tcPr>
          <w:p>
            <w:pPr>
              <w:pStyle w:val="0"/>
              <w:jc w:val="both"/>
            </w:pPr>
            <w:r>
              <w:rPr>
                <w:sz w:val="20"/>
              </w:rPr>
              <w:t xml:space="preserve">3</w:t>
            </w:r>
          </w:p>
        </w:tc>
        <w:tc>
          <w:tcPr>
            <w:tcW w:w="2324" w:type="dxa"/>
          </w:tcPr>
          <w:p>
            <w:pPr>
              <w:pStyle w:val="0"/>
              <w:jc w:val="both"/>
            </w:pPr>
            <w:r>
              <w:rPr>
                <w:sz w:val="20"/>
              </w:rPr>
              <w:t xml:space="preserve">Государственная </w:t>
            </w:r>
            <w:hyperlink w:history="0" r:id="rId32" w:tooltip="Постановление Правительства Нижегородской области от 28.04.2014 N 286 (ред. от 25.12.2023) &quot;Об утверждении государственной программы Нижегородской области &quot;Развитие инвестиционного климата Нижегородской области&quot; {КонсультантПлюс}">
              <w:r>
                <w:rPr>
                  <w:sz w:val="20"/>
                  <w:color w:val="0000ff"/>
                </w:rPr>
                <w:t xml:space="preserve">программа</w:t>
              </w:r>
            </w:hyperlink>
            <w:r>
              <w:rPr>
                <w:sz w:val="20"/>
              </w:rPr>
              <w:t xml:space="preserve"> "Развитие инвестиционного климата Нижегородской области", утвержденная постановлением Правительства Нижегородской области от 28 апреля 2014 г. N 286</w:t>
            </w:r>
          </w:p>
        </w:tc>
        <w:tc>
          <w:tcPr>
            <w:tcW w:w="2324" w:type="dxa"/>
          </w:tcPr>
          <w:p>
            <w:pPr>
              <w:pStyle w:val="0"/>
              <w:jc w:val="both"/>
            </w:pPr>
            <w:r>
              <w:rPr>
                <w:sz w:val="20"/>
              </w:rPr>
              <w:t xml:space="preserve">Развитие и совершенствование факторных условий для улучшения инвестиционного климата в Нижегородской области, обеспечивающего устойчивое социально-экономическое развитие региона, повышение уровня благосостояния и качества жизни населения</w:t>
            </w:r>
          </w:p>
        </w:tc>
        <w:tc>
          <w:tcPr>
            <w:tcW w:w="1984" w:type="dxa"/>
          </w:tcPr>
          <w:p>
            <w:pPr>
              <w:pStyle w:val="0"/>
              <w:jc w:val="both"/>
            </w:pPr>
            <w:r>
              <w:rPr>
                <w:sz w:val="20"/>
              </w:rPr>
              <w:t xml:space="preserve">1. "Стимулирование инвестиционной деятельности".</w:t>
            </w:r>
          </w:p>
          <w:p>
            <w:pPr>
              <w:pStyle w:val="0"/>
              <w:jc w:val="both"/>
            </w:pPr>
            <w:r>
              <w:rPr>
                <w:sz w:val="20"/>
              </w:rPr>
              <w:t xml:space="preserve">2. "Формирование и поддержание положительного инвестиционного имиджа Нижегородской области".</w:t>
            </w:r>
          </w:p>
          <w:p>
            <w:pPr>
              <w:pStyle w:val="0"/>
              <w:jc w:val="both"/>
            </w:pPr>
            <w:r>
              <w:rPr>
                <w:sz w:val="20"/>
              </w:rPr>
              <w:t xml:space="preserve">3. "Комплексное развитие Нижегородской агломерации"</w:t>
            </w:r>
          </w:p>
        </w:tc>
        <w:tc>
          <w:tcPr>
            <w:tcW w:w="3458" w:type="dxa"/>
          </w:tcPr>
          <w:p>
            <w:pPr>
              <w:pStyle w:val="0"/>
              <w:jc w:val="both"/>
            </w:pPr>
            <w:r>
              <w:rPr>
                <w:sz w:val="20"/>
              </w:rPr>
              <w:t xml:space="preserve">1. Осуществление механизмов снижения инфраструктурных и организационных ограничений.</w:t>
            </w:r>
          </w:p>
          <w:p>
            <w:pPr>
              <w:pStyle w:val="0"/>
              <w:jc w:val="both"/>
            </w:pPr>
            <w:r>
              <w:rPr>
                <w:sz w:val="20"/>
              </w:rPr>
              <w:t xml:space="preserve">2. Реализация механизмов поддержки создания объектов инфраструктуры в рамках реализации инвестиционных проектов.</w:t>
            </w:r>
          </w:p>
          <w:p>
            <w:pPr>
              <w:pStyle w:val="0"/>
              <w:jc w:val="both"/>
            </w:pPr>
            <w:r>
              <w:rPr>
                <w:sz w:val="20"/>
              </w:rPr>
              <w:t xml:space="preserve">3. Организация и участие в форумах, конференциях и семинарах на региональных, федеральных и иных уровнях с подготовкой полной и актуальной информации для инвесторов об инвестиционном потенциале Нижегородской области на нескольких иностранных языках, в том числе взаимодействие с аналитическими и рейтинговыми агентствами.</w:t>
            </w:r>
          </w:p>
          <w:p>
            <w:pPr>
              <w:pStyle w:val="0"/>
              <w:jc w:val="both"/>
            </w:pPr>
            <w:r>
              <w:rPr>
                <w:sz w:val="20"/>
              </w:rPr>
              <w:t xml:space="preserve">4. Обеспечение на территории ОЭЗ "Кулибин" инженерной и транспортной инфраструктуры, промышленно-производственных зданий и сооружений для реализации инвестиционных проектов</w:t>
            </w:r>
          </w:p>
        </w:tc>
        <w:tc>
          <w:tcPr>
            <w:tcW w:w="3175" w:type="dxa"/>
          </w:tcPr>
          <w:p>
            <w:pPr>
              <w:pStyle w:val="0"/>
              <w:jc w:val="both"/>
            </w:pPr>
            <w:r>
              <w:rPr>
                <w:sz w:val="20"/>
              </w:rPr>
              <w:t xml:space="preserve">- доля инвестиций в основной капитал в ВРП;</w:t>
            </w:r>
          </w:p>
          <w:p>
            <w:pPr>
              <w:pStyle w:val="0"/>
              <w:jc w:val="both"/>
            </w:pPr>
            <w:r>
              <w:rPr>
                <w:sz w:val="20"/>
              </w:rPr>
              <w:t xml:space="preserve">- 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к 2020 году;</w:t>
            </w:r>
          </w:p>
          <w:p>
            <w:pPr>
              <w:pStyle w:val="0"/>
              <w:jc w:val="both"/>
            </w:pPr>
            <w:r>
              <w:rPr>
                <w:sz w:val="20"/>
              </w:rPr>
              <w:t xml:space="preserve">- индекс физического объема инвестиций в основной капитал;</w:t>
            </w:r>
          </w:p>
          <w:p>
            <w:pPr>
              <w:pStyle w:val="0"/>
              <w:jc w:val="both"/>
            </w:pPr>
            <w:r>
              <w:rPr>
                <w:sz w:val="20"/>
              </w:rPr>
              <w:t xml:space="preserve">- количество инвестиционных проектов, которым предоставляется региональная субсидия на создание объектов инфраструктуры в рамках </w:t>
            </w:r>
            <w:hyperlink w:history="0" r:id="rId33" w:tooltip="Постановление Правительства РФ от 19.10.2020 N 1704 (ред. от 18.09.2024) &quot;Об утверждении Правил определения новых инвестиционных проектов, в целях реализации которых 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подлежат направлению на выполнение инженерных изысканий, проектирование, экспертизу проектной документации и (или) результатов инженерных изысканий,  ------------ Недействующая редакция {КонсультантПлюс}">
              <w:r>
                <w:rPr>
                  <w:sz w:val="20"/>
                  <w:color w:val="0000ff"/>
                </w:rPr>
                <w:t xml:space="preserve">постановления</w:t>
              </w:r>
            </w:hyperlink>
            <w:r>
              <w:rPr>
                <w:sz w:val="20"/>
              </w:rPr>
              <w:t xml:space="preserve"> Правительства Российской Федерации от 19 октября 2020 г. N 1704 (нарастающим итогом);</w:t>
            </w:r>
          </w:p>
          <w:p>
            <w:pPr>
              <w:pStyle w:val="0"/>
              <w:jc w:val="both"/>
            </w:pPr>
            <w:r>
              <w:rPr>
                <w:sz w:val="20"/>
              </w:rPr>
              <w:t xml:space="preserve">- количество соглашений на сопровождении в рамках механизма соглашений о защите и поощрении капиталовложений (нарастающим итогом);</w:t>
            </w:r>
          </w:p>
          <w:p>
            <w:pPr>
              <w:pStyle w:val="0"/>
              <w:jc w:val="both"/>
            </w:pPr>
            <w:r>
              <w:rPr>
                <w:sz w:val="20"/>
              </w:rPr>
              <w:t xml:space="preserve">- реализация плана мероприятий, направленных на презентацию инвестиционного потенциала Нижегородской области;</w:t>
            </w:r>
          </w:p>
          <w:p>
            <w:pPr>
              <w:pStyle w:val="0"/>
              <w:jc w:val="both"/>
            </w:pPr>
            <w:r>
              <w:rPr>
                <w:sz w:val="20"/>
              </w:rPr>
              <w:t xml:space="preserve">- объем инвестиций в основной капитал;</w:t>
            </w:r>
          </w:p>
          <w:p>
            <w:pPr>
              <w:pStyle w:val="0"/>
              <w:jc w:val="both"/>
            </w:pPr>
            <w:r>
              <w:rPr>
                <w:sz w:val="20"/>
              </w:rPr>
              <w:t xml:space="preserve">- создание объектов инженерной и транспортной инфраструктуры, промышленно-производственных зданий и сооружений особой экономической зоны промышленно-производственного типа "Кулибин" (нарастающим итогом);</w:t>
            </w:r>
          </w:p>
          <w:p>
            <w:pPr>
              <w:pStyle w:val="0"/>
              <w:jc w:val="both"/>
            </w:pPr>
            <w:r>
              <w:rPr>
                <w:sz w:val="20"/>
              </w:rPr>
              <w:t xml:space="preserve">- заключение с резидентом особой экономической зоны промышленно-производственного типа "Кулибин" договора о подключении к объектам инфраструктуры (с 2025 года)</w:t>
            </w:r>
          </w:p>
        </w:tc>
        <w:tc>
          <w:tcPr>
            <w:tcW w:w="1814" w:type="dxa"/>
          </w:tcPr>
          <w:p>
            <w:pPr>
              <w:pStyle w:val="0"/>
              <w:jc w:val="both"/>
            </w:pPr>
            <w:r>
              <w:rPr>
                <w:sz w:val="20"/>
              </w:rPr>
              <w:t xml:space="preserve">Национальная цель "Достойный, эффективный труд и успешное предпринимательство"</w:t>
            </w:r>
          </w:p>
        </w:tc>
      </w:tr>
      <w:tr>
        <w:tc>
          <w:tcPr>
            <w:tcW w:w="567" w:type="dxa"/>
          </w:tcPr>
          <w:p>
            <w:pPr>
              <w:pStyle w:val="0"/>
              <w:jc w:val="both"/>
            </w:pPr>
            <w:r>
              <w:rPr>
                <w:sz w:val="20"/>
              </w:rPr>
              <w:t xml:space="preserve">4</w:t>
            </w:r>
          </w:p>
        </w:tc>
        <w:tc>
          <w:tcPr>
            <w:tcW w:w="2324" w:type="dxa"/>
          </w:tcPr>
          <w:p>
            <w:pPr>
              <w:pStyle w:val="0"/>
              <w:jc w:val="both"/>
            </w:pPr>
            <w:r>
              <w:rPr>
                <w:sz w:val="20"/>
              </w:rPr>
              <w:t xml:space="preserve">Государственная </w:t>
            </w:r>
            <w:hyperlink w:history="0" r:id="rId34" w:tooltip="Постановление Правительства Нижегородской области от 28.04.2014 N 273 (ред. от 28.12.2023) &quot;Об утверждении государственной программы Нижегородской области &quot;Содействие занятости населения Нижегородской области&quot; (с изм. и доп., вступающими в силу с 01.01.2024) {КонсультантПлюс}">
              <w:r>
                <w:rPr>
                  <w:sz w:val="20"/>
                  <w:color w:val="0000ff"/>
                </w:rPr>
                <w:t xml:space="preserve">программа</w:t>
              </w:r>
            </w:hyperlink>
            <w:r>
              <w:rPr>
                <w:sz w:val="20"/>
              </w:rPr>
              <w:t xml:space="preserve"> "Содействие занятости населения Нижегородской области", утвержденная постановлением Правительства Нижегородской области от 28 апреля 2014 г. N 273</w:t>
            </w:r>
          </w:p>
        </w:tc>
        <w:tc>
          <w:tcPr>
            <w:tcW w:w="2324" w:type="dxa"/>
          </w:tcPr>
          <w:p>
            <w:pPr>
              <w:pStyle w:val="0"/>
              <w:jc w:val="both"/>
            </w:pPr>
            <w:r>
              <w:rPr>
                <w:sz w:val="20"/>
              </w:rPr>
              <w:t xml:space="preserve">1. Непревышение к концу 2026 года значения уровня регистрируемой безработицы более 0,3 процента.</w:t>
            </w:r>
          </w:p>
          <w:p>
            <w:pPr>
              <w:pStyle w:val="0"/>
              <w:jc w:val="both"/>
            </w:pPr>
            <w:r>
              <w:rPr>
                <w:sz w:val="20"/>
              </w:rPr>
              <w:t xml:space="preserve">2. Создание условий для формирования культуры безопасного труда и повышение эффективности мер, направленных на сохранение жизни и здоровья работников в процессе трудовой деятельности.</w:t>
            </w:r>
          </w:p>
        </w:tc>
        <w:tc>
          <w:tcPr>
            <w:tcW w:w="1984" w:type="dxa"/>
          </w:tcPr>
          <w:p>
            <w:pPr>
              <w:pStyle w:val="0"/>
              <w:jc w:val="both"/>
            </w:pPr>
            <w:r>
              <w:rPr>
                <w:sz w:val="20"/>
              </w:rPr>
              <w:t xml:space="preserve">1. "Мероприятия в сфере занятости населения и социальная поддержка безработных граждан"</w:t>
            </w:r>
          </w:p>
          <w:p>
            <w:pPr>
              <w:pStyle w:val="0"/>
              <w:jc w:val="both"/>
            </w:pPr>
            <w:r>
              <w:rPr>
                <w:sz w:val="20"/>
              </w:rPr>
              <w:t xml:space="preserve">2. "Безопасный труд".</w:t>
            </w:r>
          </w:p>
          <w:p>
            <w:pPr>
              <w:pStyle w:val="0"/>
              <w:jc w:val="both"/>
            </w:pPr>
            <w:r>
              <w:rPr>
                <w:sz w:val="20"/>
              </w:rPr>
              <w:t xml:space="preserve">3. "Обеспечение реализации государственной программы"</w:t>
            </w:r>
          </w:p>
        </w:tc>
        <w:tc>
          <w:tcPr>
            <w:tcW w:w="3458" w:type="dxa"/>
          </w:tcPr>
          <w:p>
            <w:pPr>
              <w:pStyle w:val="0"/>
              <w:jc w:val="both"/>
            </w:pPr>
            <w:r>
              <w:rPr>
                <w:sz w:val="20"/>
              </w:rPr>
              <w:t xml:space="preserve">1. Создание условий для привлечения работодателями необходимых трудовых ресурсов из других субъектов Российской Федерации.</w:t>
            </w:r>
          </w:p>
          <w:p>
            <w:pPr>
              <w:pStyle w:val="0"/>
              <w:jc w:val="both"/>
            </w:pPr>
            <w:r>
              <w:rPr>
                <w:sz w:val="20"/>
              </w:rPr>
              <w:t xml:space="preserve">2. Снижение напряженности на рынке труда.</w:t>
            </w:r>
          </w:p>
          <w:p>
            <w:pPr>
              <w:pStyle w:val="0"/>
              <w:jc w:val="both"/>
            </w:pPr>
            <w:r>
              <w:rPr>
                <w:sz w:val="20"/>
              </w:rPr>
              <w:t xml:space="preserve">3. Содействие трудоустройству граждан с инвалидностью.</w:t>
            </w:r>
          </w:p>
          <w:p>
            <w:pPr>
              <w:pStyle w:val="0"/>
              <w:jc w:val="both"/>
            </w:pPr>
            <w:r>
              <w:rPr>
                <w:sz w:val="20"/>
              </w:rPr>
              <w:t xml:space="preserve">4. Содействие трудоустройству, в том числе слабозащищенных категорий граждан, повышение конкурентоспособности граждан на рынке труда.</w:t>
            </w:r>
          </w:p>
          <w:p>
            <w:pPr>
              <w:pStyle w:val="0"/>
              <w:jc w:val="both"/>
            </w:pPr>
            <w:r>
              <w:rPr>
                <w:sz w:val="20"/>
              </w:rPr>
              <w:t xml:space="preserve">5. Обеспечение государственных гарантий в части социальной поддержки безработных граждан.</w:t>
            </w:r>
          </w:p>
          <w:p>
            <w:pPr>
              <w:pStyle w:val="0"/>
              <w:jc w:val="both"/>
            </w:pPr>
            <w:r>
              <w:rPr>
                <w:sz w:val="20"/>
              </w:rPr>
              <w:t xml:space="preserve">6. Формирование комфортных и безопасных условий труда, обеспечивающих конкурентоспособность человеческого капитала на протяжении всей трудовой деятельности.</w:t>
            </w:r>
          </w:p>
          <w:p>
            <w:pPr>
              <w:pStyle w:val="0"/>
              <w:jc w:val="both"/>
            </w:pPr>
            <w:r>
              <w:rPr>
                <w:sz w:val="20"/>
              </w:rPr>
              <w:t xml:space="preserve">7. Обеспечение выполнения полномочий управления по труду и занятости населения Нижегородской области.</w:t>
            </w:r>
          </w:p>
          <w:p>
            <w:pPr>
              <w:pStyle w:val="0"/>
              <w:jc w:val="both"/>
            </w:pPr>
            <w:r>
              <w:rPr>
                <w:sz w:val="20"/>
              </w:rPr>
              <w:t xml:space="preserve">8. Материально-техническое и финансовое обеспечение деятельности государственного казенного учреждения Нижегородской области "Нижегородский центр занятости населения".</w:t>
            </w:r>
          </w:p>
          <w:p>
            <w:pPr>
              <w:pStyle w:val="0"/>
              <w:jc w:val="both"/>
            </w:pPr>
            <w:r>
              <w:rPr>
                <w:sz w:val="20"/>
              </w:rPr>
              <w:t xml:space="preserve">9. Обеспечение реализации государственной программы "Оказание содействия добровольному переселению в Нижегородскую область соотечественников, проживающих за рубежом, на 2021 - 2025 годы"</w:t>
            </w:r>
          </w:p>
        </w:tc>
        <w:tc>
          <w:tcPr>
            <w:tcW w:w="3175" w:type="dxa"/>
          </w:tcPr>
          <w:p>
            <w:pPr>
              <w:pStyle w:val="0"/>
              <w:jc w:val="both"/>
            </w:pPr>
            <w:r>
              <w:rPr>
                <w:sz w:val="20"/>
              </w:rPr>
              <w:t xml:space="preserve">- уровень регистрируемой безработицы на конец года;</w:t>
            </w:r>
          </w:p>
          <w:p>
            <w:pPr>
              <w:pStyle w:val="0"/>
              <w:jc w:val="both"/>
            </w:pPr>
            <w:r>
              <w:rPr>
                <w:sz w:val="20"/>
              </w:rPr>
              <w:t xml:space="preserve">- доля занятых граждан из числа участников дополнительных мероприятий;</w:t>
            </w:r>
          </w:p>
          <w:p>
            <w:pPr>
              <w:pStyle w:val="0"/>
              <w:jc w:val="both"/>
            </w:pPr>
            <w:r>
              <w:rPr>
                <w:sz w:val="20"/>
              </w:rPr>
              <w:t xml:space="preserve">- численность пострадавших при несчастных случаях на производстве с утратой трудоспособности на 1 рабочий день и более и со смертельным исходом (на 1000 работающих);</w:t>
            </w:r>
          </w:p>
          <w:p>
            <w:pPr>
              <w:pStyle w:val="0"/>
              <w:jc w:val="both"/>
            </w:pPr>
            <w:r>
              <w:rPr>
                <w:sz w:val="20"/>
              </w:rPr>
              <w:t xml:space="preserve">- численность пострадавших при несчастных случаях на производстве со смертельным исходом (на 1000 работающих)</w:t>
            </w:r>
          </w:p>
        </w:tc>
        <w:tc>
          <w:tcPr>
            <w:tcW w:w="1814" w:type="dxa"/>
          </w:tcPr>
          <w:p>
            <w:pPr>
              <w:pStyle w:val="0"/>
              <w:jc w:val="both"/>
            </w:pPr>
            <w:r>
              <w:rPr>
                <w:sz w:val="20"/>
              </w:rPr>
              <w:t xml:space="preserve">Национальная цель "Сохранение населения, здоровье и благополучие людей"/Государственная программа Российской Федерации "Содействие занятости населения"</w:t>
            </w:r>
          </w:p>
        </w:tc>
      </w:tr>
      <w:tr>
        <w:tc>
          <w:tcPr>
            <w:tcW w:w="567" w:type="dxa"/>
          </w:tcPr>
          <w:p>
            <w:pPr>
              <w:pStyle w:val="0"/>
              <w:jc w:val="both"/>
            </w:pPr>
            <w:r>
              <w:rPr>
                <w:sz w:val="20"/>
              </w:rPr>
              <w:t xml:space="preserve">5</w:t>
            </w:r>
          </w:p>
        </w:tc>
        <w:tc>
          <w:tcPr>
            <w:tcW w:w="2324" w:type="dxa"/>
          </w:tcPr>
          <w:p>
            <w:pPr>
              <w:pStyle w:val="0"/>
              <w:jc w:val="both"/>
            </w:pPr>
            <w:r>
              <w:rPr>
                <w:sz w:val="20"/>
              </w:rPr>
              <w:t xml:space="preserve">Государственная </w:t>
            </w:r>
            <w:hyperlink w:history="0" r:id="rId35" w:tooltip="Постановление Правительства Нижегородской области от 10.11.2017 N 797 (ред. от 29.12.2023) &quot;Об утверждении государственной программы Нижегородской области &quot;Реализация государственной национальной политики на территории Нижегородской области&quot; {КонсультантПлюс}">
              <w:r>
                <w:rPr>
                  <w:sz w:val="20"/>
                  <w:color w:val="0000ff"/>
                </w:rPr>
                <w:t xml:space="preserve">программа</w:t>
              </w:r>
            </w:hyperlink>
            <w:r>
              <w:rPr>
                <w:sz w:val="20"/>
              </w:rPr>
              <w:t xml:space="preserve"> "Реализация государственной национальной политики на территории Нижегородской области", утвержденная постановлением Правительства Нижегородской области от 10 ноября 2017 г. N 797</w:t>
            </w:r>
          </w:p>
        </w:tc>
        <w:tc>
          <w:tcPr>
            <w:tcW w:w="2324" w:type="dxa"/>
          </w:tcPr>
          <w:p>
            <w:pPr>
              <w:pStyle w:val="0"/>
              <w:jc w:val="both"/>
            </w:pPr>
            <w:r>
              <w:rPr>
                <w:sz w:val="20"/>
              </w:rPr>
              <w:t xml:space="preserve">1. Укрепление общероссийской гражданской идентичности и единства многонационального народа Российской Федерации (российской нации).</w:t>
            </w:r>
          </w:p>
          <w:p>
            <w:pPr>
              <w:pStyle w:val="0"/>
              <w:jc w:val="both"/>
            </w:pPr>
            <w:r>
              <w:rPr>
                <w:sz w:val="20"/>
              </w:rPr>
              <w:t xml:space="preserve">2. Гармонизация межнациональных (межэтнических) отношений,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pPr>
              <w:pStyle w:val="0"/>
              <w:jc w:val="both"/>
            </w:pPr>
            <w:r>
              <w:rPr>
                <w:sz w:val="20"/>
              </w:rPr>
              <w:t xml:space="preserve">3. Обеспечение успешной социальной и культурной адаптации иностранных граждан в Российской Федерации и их интеграции в российское общество.</w:t>
            </w:r>
          </w:p>
          <w:p>
            <w:pPr>
              <w:pStyle w:val="0"/>
              <w:jc w:val="both"/>
            </w:pPr>
            <w:r>
              <w:rPr>
                <w:sz w:val="20"/>
              </w:rPr>
              <w:t xml:space="preserve">4. Содействие консолидации российского казачества, сохранению, развитию, использованию духовного наследия и культуры казачества для обеспечения реализации его потребности в служении обществу.</w:t>
            </w:r>
          </w:p>
          <w:p>
            <w:pPr>
              <w:pStyle w:val="0"/>
              <w:jc w:val="both"/>
            </w:pPr>
            <w:r>
              <w:rPr>
                <w:sz w:val="20"/>
              </w:rPr>
              <w:t xml:space="preserve">5. 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tc>
        <w:tc>
          <w:tcPr>
            <w:tcW w:w="1984" w:type="dxa"/>
          </w:tcPr>
          <w:p>
            <w:pPr>
              <w:pStyle w:val="0"/>
              <w:jc w:val="both"/>
            </w:pPr>
            <w:r>
              <w:rPr>
                <w:sz w:val="20"/>
              </w:rPr>
              <w:t xml:space="preserve">"Государственно-общественное партнерство в сфере государственной национальной политики Российской Федерации на территории Нижегородской области"</w:t>
            </w:r>
          </w:p>
        </w:tc>
        <w:tc>
          <w:tcPr>
            <w:tcW w:w="3458" w:type="dxa"/>
          </w:tcPr>
          <w:p>
            <w:pPr>
              <w:pStyle w:val="0"/>
              <w:jc w:val="both"/>
            </w:pPr>
            <w:r>
              <w:rPr>
                <w:sz w:val="20"/>
              </w:rPr>
              <w:t xml:space="preserve">1. Обеспечение социально-экономических условий для эффективной реализации государственной национальной политики Российской Федерации.</w:t>
            </w:r>
          </w:p>
          <w:p>
            <w:pPr>
              <w:pStyle w:val="0"/>
              <w:jc w:val="both"/>
            </w:pPr>
            <w:r>
              <w:rPr>
                <w:sz w:val="20"/>
              </w:rPr>
              <w:t xml:space="preserve">2. Содействие этнокультурному и духовному развитию народов Российской Федерации.</w:t>
            </w:r>
          </w:p>
          <w:p>
            <w:pPr>
              <w:pStyle w:val="0"/>
              <w:jc w:val="both"/>
            </w:pPr>
            <w:r>
              <w:rPr>
                <w:sz w:val="20"/>
              </w:rPr>
              <w:t xml:space="preserve">3. Содействие воспитанию подрастающего поколения в духе патриотизма, гражданской ответственности и готовности служению Отечеству с опорой на духовно-нравственные основы и ценности российского казачества.</w:t>
            </w:r>
          </w:p>
          <w:p>
            <w:pPr>
              <w:pStyle w:val="0"/>
              <w:jc w:val="both"/>
            </w:pPr>
            <w:r>
              <w:rPr>
                <w:sz w:val="20"/>
              </w:rPr>
              <w:t xml:space="preserve">4. Формирование у детей и молодежи на всех этапах образовательного процесса общероссийской гражданской идентичности, патриотизма, гражданской ответственности, чувства гордости за историю России, воспитание культуры межнационального общения, основанной на уважении чести и национального достоинства граждан, традиционных российских духовно-нравственных ценностей.</w:t>
            </w:r>
          </w:p>
          <w:p>
            <w:pPr>
              <w:pStyle w:val="0"/>
              <w:jc w:val="both"/>
            </w:pPr>
            <w:r>
              <w:rPr>
                <w:sz w:val="20"/>
              </w:rPr>
              <w:t xml:space="preserve">5. Информационное обеспечение реализации государственной национальной политики Российской Федерации в Нижегородской области, а также организация информационного противодействия распространению экстремистской идеологии</w:t>
            </w:r>
          </w:p>
          <w:p>
            <w:pPr>
              <w:pStyle w:val="0"/>
              <w:jc w:val="both"/>
            </w:pPr>
            <w:r>
              <w:rPr>
                <w:sz w:val="20"/>
              </w:rPr>
              <w:t xml:space="preserve">6. Совершенствование государственного управления в сфере государственной национальной политики Российской Федерации.</w:t>
            </w:r>
          </w:p>
          <w:p>
            <w:pPr>
              <w:pStyle w:val="0"/>
              <w:jc w:val="both"/>
            </w:pPr>
            <w:r>
              <w:rPr>
                <w:sz w:val="20"/>
              </w:rPr>
              <w:t xml:space="preserve">7. Сохранение и поддержка русского языка как государственного языка Российской Федерации и языков народов Российской Федерации.</w:t>
            </w:r>
          </w:p>
          <w:p>
            <w:pPr>
              <w:pStyle w:val="0"/>
              <w:jc w:val="both"/>
            </w:pPr>
            <w:r>
              <w:rPr>
                <w:sz w:val="20"/>
              </w:rPr>
              <w:t xml:space="preserve">8. Разработка и осуществление комплекса мер по повышению эффективности профилактики, выявления и пресечения преступлений и административных правонарушений экстремистской направленности.</w:t>
            </w:r>
          </w:p>
          <w:p>
            <w:pPr>
              <w:pStyle w:val="0"/>
              <w:jc w:val="both"/>
            </w:pPr>
            <w:r>
              <w:rPr>
                <w:sz w:val="20"/>
              </w:rPr>
              <w:t xml:space="preserve">9. Консолидация усилий субъектов противодействия экстремизму, институтов гражданского общества и иных заинтересованных организаций.</w:t>
            </w:r>
          </w:p>
          <w:p>
            <w:pPr>
              <w:pStyle w:val="0"/>
              <w:jc w:val="both"/>
            </w:pPr>
            <w:r>
              <w:rPr>
                <w:sz w:val="20"/>
              </w:rPr>
              <w:t xml:space="preserve">10. Поддержка взаимодействия между казачьими обществами и иными объединениями казаков.</w:t>
            </w:r>
          </w:p>
          <w:p>
            <w:pPr>
              <w:pStyle w:val="0"/>
              <w:jc w:val="both"/>
            </w:pPr>
            <w:r>
              <w:rPr>
                <w:sz w:val="20"/>
              </w:rPr>
              <w:t xml:space="preserve">11. Содействие сохранению и развитию культуры российского казачества.</w:t>
            </w:r>
          </w:p>
          <w:p>
            <w:pPr>
              <w:pStyle w:val="0"/>
              <w:jc w:val="both"/>
            </w:pPr>
            <w:r>
              <w:rPr>
                <w:sz w:val="20"/>
              </w:rPr>
              <w:t xml:space="preserve">12. Формирование системы социальной и культурной адаптации иностранных граждан в Российской Федерации и их интеграции в российское общество.</w:t>
            </w:r>
          </w:p>
          <w:p>
            <w:pPr>
              <w:pStyle w:val="0"/>
              <w:jc w:val="both"/>
            </w:pPr>
            <w:r>
              <w:rPr>
                <w:sz w:val="20"/>
              </w:rPr>
              <w:t xml:space="preserve">13. Обеспечение межнационального мира и согласия, гармонизации межнациональных (межэтнических) отношений</w:t>
            </w:r>
          </w:p>
        </w:tc>
        <w:tc>
          <w:tcPr>
            <w:tcW w:w="3175" w:type="dxa"/>
          </w:tcPr>
          <w:p>
            <w:pPr>
              <w:pStyle w:val="0"/>
              <w:jc w:val="both"/>
            </w:pPr>
            <w:r>
              <w:rPr>
                <w:sz w:val="20"/>
              </w:rPr>
              <w:t xml:space="preserve">- доля граждан, положительно оценивающих состояние межнациональных (межэтнических) отношений, в общей численности граждан Нижегородской области;</w:t>
            </w:r>
          </w:p>
          <w:p>
            <w:pPr>
              <w:pStyle w:val="0"/>
              <w:jc w:val="both"/>
            </w:pPr>
            <w:r>
              <w:rPr>
                <w:sz w:val="20"/>
              </w:rPr>
              <w:t xml:space="preserve">- уровень общероссийской гражданской идентичности;</w:t>
            </w:r>
          </w:p>
          <w:p>
            <w:pPr>
              <w:pStyle w:val="0"/>
              <w:jc w:val="both"/>
            </w:pPr>
            <w:r>
              <w:rPr>
                <w:sz w:val="20"/>
              </w:rPr>
              <w:t xml:space="preserve">- доля граждан, не испытывающих негативного отношения к иностранным гражданам, в общей численности граждан Нижегородской области;</w:t>
            </w:r>
          </w:p>
          <w:p>
            <w:pPr>
              <w:pStyle w:val="0"/>
              <w:jc w:val="both"/>
            </w:pPr>
            <w:r>
              <w:rPr>
                <w:sz w:val="20"/>
              </w:rPr>
              <w:t xml:space="preserve">- численность членов казачьих обществ;</w:t>
            </w:r>
          </w:p>
          <w:p>
            <w:pPr>
              <w:pStyle w:val="0"/>
              <w:jc w:val="both"/>
            </w:pPr>
            <w:r>
              <w:rPr>
                <w:sz w:val="20"/>
              </w:rPr>
              <w:t xml:space="preserve">- доля граждан, отмечающих отсутствие в отношении себя дискриминации по признаку национальной, языковой или религиозной принадлежности, в общем количестве опрошенных граждан</w:t>
            </w:r>
          </w:p>
        </w:tc>
        <w:tc>
          <w:tcPr>
            <w:tcW w:w="1814" w:type="dxa"/>
          </w:tcPr>
          <w:p>
            <w:pPr>
              <w:pStyle w:val="0"/>
              <w:jc w:val="both"/>
            </w:pPr>
            <w:r>
              <w:rPr>
                <w:sz w:val="20"/>
              </w:rPr>
              <w:t xml:space="preserve">Национальная цель "Возможности для самореализации и развития талантов"/Государственная программа Российской Федерации "Реализация государственной национальной политики"</w:t>
            </w:r>
          </w:p>
        </w:tc>
      </w:tr>
      <w:tr>
        <w:tc>
          <w:tcPr>
            <w:tcW w:w="567" w:type="dxa"/>
          </w:tcPr>
          <w:p>
            <w:pPr>
              <w:pStyle w:val="0"/>
              <w:jc w:val="both"/>
            </w:pPr>
            <w:r>
              <w:rPr>
                <w:sz w:val="20"/>
              </w:rPr>
              <w:t xml:space="preserve">6</w:t>
            </w:r>
          </w:p>
        </w:tc>
        <w:tc>
          <w:tcPr>
            <w:tcW w:w="2324" w:type="dxa"/>
          </w:tcPr>
          <w:p>
            <w:pPr>
              <w:pStyle w:val="0"/>
              <w:jc w:val="both"/>
            </w:pPr>
            <w:r>
              <w:rPr>
                <w:sz w:val="20"/>
              </w:rPr>
              <w:t xml:space="preserve">Государственная </w:t>
            </w:r>
            <w:hyperlink w:history="0" r:id="rId36" w:tooltip="Постановление Правительства Нижегородской области от 30.04.2014 N 296 (ред. от 25.09.2024) &quot;Об утверждении государственной программы Нижегородской области &quot;Управление государственными финансами Нижегородской области&quot; {КонсультантПлюс}">
              <w:r>
                <w:rPr>
                  <w:sz w:val="20"/>
                  <w:color w:val="0000ff"/>
                </w:rPr>
                <w:t xml:space="preserve">программа</w:t>
              </w:r>
            </w:hyperlink>
            <w:r>
              <w:rPr>
                <w:sz w:val="20"/>
              </w:rPr>
              <w:t xml:space="preserve"> "Управление государственными финансами Нижегородской области", утвержденная постановлением Правительства Нижегородской области от 30 апреля 2014 г. N 296</w:t>
            </w:r>
          </w:p>
        </w:tc>
        <w:tc>
          <w:tcPr>
            <w:tcW w:w="2324" w:type="dxa"/>
          </w:tcPr>
          <w:p>
            <w:pPr>
              <w:pStyle w:val="0"/>
              <w:jc w:val="both"/>
            </w:pPr>
            <w:r>
              <w:rPr>
                <w:sz w:val="20"/>
              </w:rPr>
              <w:t xml:space="preserve">1. Обеспечение сбалансированности и долгосрочной финансовой устойчивости бюджета Нижегородской области.</w:t>
            </w:r>
          </w:p>
          <w:p>
            <w:pPr>
              <w:pStyle w:val="0"/>
              <w:jc w:val="both"/>
            </w:pPr>
            <w:r>
              <w:rPr>
                <w:sz w:val="20"/>
              </w:rPr>
              <w:t xml:space="preserve">2. Повышение эффективности и качества управления государственными финансами Нижегородской области.</w:t>
            </w:r>
          </w:p>
          <w:p>
            <w:pPr>
              <w:pStyle w:val="0"/>
              <w:jc w:val="both"/>
            </w:pPr>
            <w:r>
              <w:rPr>
                <w:sz w:val="20"/>
              </w:rPr>
              <w:t xml:space="preserve">3. Повышение финансовой грамотности и формирование финансовой культуры населения Нижегородской области</w:t>
            </w:r>
          </w:p>
        </w:tc>
        <w:tc>
          <w:tcPr>
            <w:tcW w:w="1984" w:type="dxa"/>
          </w:tcPr>
          <w:p>
            <w:pPr>
              <w:pStyle w:val="0"/>
              <w:jc w:val="both"/>
            </w:pPr>
            <w:r>
              <w:rPr>
                <w:sz w:val="20"/>
              </w:rPr>
              <w:t xml:space="preserve">1. "Организация и совершенствование бюджетного процесса Нижегородской области.</w:t>
            </w:r>
          </w:p>
          <w:p>
            <w:pPr>
              <w:pStyle w:val="0"/>
              <w:jc w:val="both"/>
            </w:pPr>
            <w:r>
              <w:rPr>
                <w:sz w:val="20"/>
              </w:rPr>
              <w:t xml:space="preserve">2. "Создание условий для эффективного выполнения органами местного самоуправления муниципальных образований Нижегородской области собственных и передаваемых полномочий".</w:t>
            </w:r>
          </w:p>
          <w:p>
            <w:pPr>
              <w:pStyle w:val="0"/>
              <w:jc w:val="both"/>
            </w:pPr>
            <w:r>
              <w:rPr>
                <w:sz w:val="20"/>
              </w:rPr>
              <w:t xml:space="preserve">3. "Повышение эффективности управления региональными финансами Нижегородской области".</w:t>
            </w:r>
          </w:p>
          <w:p>
            <w:pPr>
              <w:pStyle w:val="0"/>
              <w:jc w:val="both"/>
            </w:pPr>
            <w:r>
              <w:rPr>
                <w:sz w:val="20"/>
              </w:rPr>
              <w:t xml:space="preserve">4. "Обеспечение реализации государственных программ".</w:t>
            </w:r>
          </w:p>
          <w:p>
            <w:pPr>
              <w:pStyle w:val="0"/>
              <w:jc w:val="both"/>
            </w:pPr>
            <w:r>
              <w:rPr>
                <w:sz w:val="20"/>
              </w:rPr>
              <w:t xml:space="preserve">5. "Повышение финансовой грамотности и формирование финансовой культуры населения Нижегородской области"</w:t>
            </w:r>
          </w:p>
        </w:tc>
        <w:tc>
          <w:tcPr>
            <w:tcW w:w="3458" w:type="dxa"/>
          </w:tcPr>
          <w:p>
            <w:pPr>
              <w:pStyle w:val="0"/>
              <w:jc w:val="both"/>
            </w:pPr>
            <w:r>
              <w:rPr>
                <w:sz w:val="20"/>
              </w:rPr>
              <w:t xml:space="preserve">1. Своевременное и качественное планирование областного бюджета.</w:t>
            </w:r>
          </w:p>
          <w:p>
            <w:pPr>
              <w:pStyle w:val="0"/>
              <w:jc w:val="both"/>
            </w:pPr>
            <w:r>
              <w:rPr>
                <w:sz w:val="20"/>
              </w:rPr>
              <w:t xml:space="preserve">2. Организация исполнения областного бюджета и формирование бюджетной отчетности в соответствии с требованиями бюджетного законодательства.</w:t>
            </w:r>
          </w:p>
          <w:p>
            <w:pPr>
              <w:pStyle w:val="0"/>
              <w:jc w:val="both"/>
            </w:pPr>
            <w:r>
              <w:rPr>
                <w:sz w:val="20"/>
              </w:rPr>
              <w:t xml:space="preserve">3. Совершенствование механизмов контроля за использованием бюджетных средств и внутреннего государственного финансового контроля и контроля в сфере закупок.</w:t>
            </w:r>
          </w:p>
          <w:p>
            <w:pPr>
              <w:pStyle w:val="0"/>
              <w:jc w:val="both"/>
            </w:pPr>
            <w:r>
              <w:rPr>
                <w:sz w:val="20"/>
              </w:rPr>
              <w:t xml:space="preserve">4. Эффективное управление государственным долгом.</w:t>
            </w:r>
          </w:p>
          <w:p>
            <w:pPr>
              <w:pStyle w:val="0"/>
              <w:jc w:val="both"/>
            </w:pPr>
            <w:r>
              <w:rPr>
                <w:sz w:val="20"/>
              </w:rPr>
              <w:t xml:space="preserve">5. Создание условий для повышения эффективности выравнивания бюджетной обеспеченности муниципальных образований Нижегородской области и финансового обеспечения расходных обязательств муниципальных образований на выполнение передаваемых полномочий и соблюдения финансовой дисциплины муниципальных образований - получателей межбюджетных трансфертов.</w:t>
            </w:r>
          </w:p>
          <w:p>
            <w:pPr>
              <w:pStyle w:val="0"/>
              <w:jc w:val="both"/>
            </w:pPr>
            <w:r>
              <w:rPr>
                <w:sz w:val="20"/>
              </w:rPr>
              <w:t xml:space="preserve">6. Обеспечение повышения эффективности государственного управления областными финансами.</w:t>
            </w:r>
          </w:p>
          <w:p>
            <w:pPr>
              <w:pStyle w:val="0"/>
              <w:jc w:val="both"/>
            </w:pPr>
            <w:r>
              <w:rPr>
                <w:sz w:val="20"/>
              </w:rPr>
              <w:t xml:space="preserve">7. Создание условий для повышения эффективности деятельности государственных учреждений Нижегородской области по предоставлению государственных услуг.</w:t>
            </w:r>
          </w:p>
          <w:p>
            <w:pPr>
              <w:pStyle w:val="0"/>
              <w:jc w:val="both"/>
            </w:pPr>
            <w:r>
              <w:rPr>
                <w:sz w:val="20"/>
              </w:rPr>
              <w:t xml:space="preserve">8. Создание условий для повышения качества управления бюджетным процессом на местном уровне.</w:t>
            </w:r>
          </w:p>
          <w:p>
            <w:pPr>
              <w:pStyle w:val="0"/>
              <w:jc w:val="both"/>
            </w:pPr>
            <w:r>
              <w:rPr>
                <w:sz w:val="20"/>
              </w:rPr>
              <w:t xml:space="preserve">9. Развитие государственной информационной системы управления общественными финансами министерства финансов Нижегородской области.</w:t>
            </w:r>
          </w:p>
          <w:p>
            <w:pPr>
              <w:pStyle w:val="0"/>
              <w:jc w:val="both"/>
            </w:pPr>
            <w:r>
              <w:rPr>
                <w:sz w:val="20"/>
              </w:rPr>
              <w:t xml:space="preserve">10. Обеспечение деятельности министерства финансов Нижегородской области.</w:t>
            </w:r>
          </w:p>
          <w:p>
            <w:pPr>
              <w:pStyle w:val="0"/>
              <w:jc w:val="both"/>
            </w:pPr>
            <w:r>
              <w:rPr>
                <w:sz w:val="20"/>
              </w:rPr>
              <w:t xml:space="preserve">11. Повышение охвата и качества финансового образования и информированности населения в области финансового образования, обеспечение необходимыми методическими ресурсами образовательного сообщества с учетом развития современных финансовых технологий.</w:t>
            </w:r>
          </w:p>
          <w:p>
            <w:pPr>
              <w:pStyle w:val="0"/>
              <w:jc w:val="both"/>
            </w:pPr>
            <w:r>
              <w:rPr>
                <w:sz w:val="20"/>
              </w:rPr>
              <w:t xml:space="preserve">12. Проведение мероприятий по повышению уровня финансовой, инвестиционной, цифровой грамотности, киберграмотности и формированию финансовой культуры, информированию населения о маркетплейсе, включая субъекты малого и среднего предпринимательства, а также о противодействии финансовому, телефонному и кибермошенничеству.</w:t>
            </w:r>
          </w:p>
          <w:p>
            <w:pPr>
              <w:pStyle w:val="0"/>
              <w:jc w:val="both"/>
            </w:pPr>
            <w:r>
              <w:rPr>
                <w:sz w:val="20"/>
              </w:rPr>
              <w:t xml:space="preserve">13. Разработка механизмов взаимодействия государства и общества, обеспечивающих повышение финансовой грамотности населения, формирования финансовой культуры и информированности в указанной области, в том числе в части защиты прав потребителей финансовых услуг и социально ответственного поведения участников финансового рынка.</w:t>
            </w:r>
          </w:p>
          <w:p>
            <w:pPr>
              <w:pStyle w:val="0"/>
              <w:jc w:val="both"/>
            </w:pPr>
            <w:r>
              <w:rPr>
                <w:sz w:val="20"/>
              </w:rPr>
              <w:t xml:space="preserve">14. Использование различных каналов коммуникаций по актуальным вопросам финансовой грамотности и финансовой культуры в целях формирования и закрепления навыков осознанного финансового поведения граждан</w:t>
            </w:r>
          </w:p>
        </w:tc>
        <w:tc>
          <w:tcPr>
            <w:tcW w:w="3175" w:type="dxa"/>
          </w:tcPr>
          <w:p>
            <w:pPr>
              <w:pStyle w:val="0"/>
              <w:jc w:val="both"/>
            </w:pPr>
            <w:r>
              <w:rPr>
                <w:sz w:val="20"/>
              </w:rPr>
              <w:t xml:space="preserve">- увеличение доходов консолидированного бюджета Нижегородской области на душу населения;</w:t>
            </w:r>
          </w:p>
          <w:p>
            <w:pPr>
              <w:pStyle w:val="0"/>
              <w:jc w:val="both"/>
            </w:pPr>
            <w:r>
              <w:rPr>
                <w:sz w:val="20"/>
              </w:rPr>
              <w:t xml:space="preserve">- отношение объема государственного долга (без учета бюджетных кредитов, предоставленных из федерального бюджета на финансовое обеспечение реализации инфраструктурных проектов) к общему объему доходов бюджета без учета утвержденного объема безвозмездных поступлений;</w:t>
            </w:r>
          </w:p>
          <w:p>
            <w:pPr>
              <w:pStyle w:val="0"/>
              <w:jc w:val="both"/>
            </w:pPr>
            <w:r>
              <w:rPr>
                <w:sz w:val="20"/>
              </w:rPr>
              <w:t xml:space="preserve">- увеличение доли расходов, формируемых в рамках государственных программ, в общем объеме расходов областного бюджета Нижегородской области;</w:t>
            </w:r>
          </w:p>
          <w:p>
            <w:pPr>
              <w:pStyle w:val="0"/>
              <w:jc w:val="both"/>
            </w:pPr>
            <w:r>
              <w:rPr>
                <w:sz w:val="20"/>
              </w:rPr>
              <w:t xml:space="preserve">- формирование областного бюджета на очередной финансовый год и плановый период осуществлено с учетом требований бюджетного законодательства, годовая отчетность об исполнении областного бюджета за отчетный финансовый год сформирована и предоставлена в сроки, установленные Министерством финансов Российской Федерации;</w:t>
            </w:r>
          </w:p>
          <w:p>
            <w:pPr>
              <w:pStyle w:val="0"/>
              <w:jc w:val="both"/>
            </w:pPr>
            <w:r>
              <w:rPr>
                <w:sz w:val="20"/>
              </w:rPr>
              <w:t xml:space="preserve">- соответствие реализуемых мер по информационной безопасности требованиям действующего законодательства в сфере защиты информации;</w:t>
            </w:r>
          </w:p>
          <w:p>
            <w:pPr>
              <w:pStyle w:val="0"/>
              <w:jc w:val="both"/>
            </w:pPr>
            <w:r>
              <w:rPr>
                <w:sz w:val="20"/>
              </w:rPr>
              <w:t xml:space="preserve">- организация работы Координационного совета по повышению финансовой грамотности и формированию финансовой культуры населения Нижегородской области;</w:t>
            </w:r>
          </w:p>
          <w:p>
            <w:pPr>
              <w:pStyle w:val="0"/>
              <w:jc w:val="both"/>
            </w:pPr>
            <w:r>
              <w:rPr>
                <w:sz w:val="20"/>
              </w:rPr>
              <w:t xml:space="preserve">- сопровождение единого информационного ресурса в целях размещения материалов по повышению финансовой грамотности и формированию финансовой культуры населения</w:t>
            </w:r>
          </w:p>
        </w:tc>
        <w:tc>
          <w:tcPr>
            <w:tcW w:w="1814" w:type="dxa"/>
          </w:tcPr>
          <w:p>
            <w:pPr>
              <w:pStyle w:val="0"/>
              <w:jc w:val="both"/>
            </w:pPr>
            <w:r>
              <w:rPr>
                <w:sz w:val="20"/>
              </w:rPr>
              <w:t xml:space="preserve">-</w:t>
            </w:r>
          </w:p>
        </w:tc>
      </w:tr>
      <w:tr>
        <w:tc>
          <w:tcPr>
            <w:tcW w:w="567" w:type="dxa"/>
          </w:tcPr>
          <w:p>
            <w:pPr>
              <w:pStyle w:val="0"/>
              <w:jc w:val="both"/>
            </w:pPr>
            <w:r>
              <w:rPr>
                <w:sz w:val="20"/>
              </w:rPr>
              <w:t xml:space="preserve">7</w:t>
            </w:r>
          </w:p>
        </w:tc>
        <w:tc>
          <w:tcPr>
            <w:tcW w:w="2324" w:type="dxa"/>
          </w:tcPr>
          <w:p>
            <w:pPr>
              <w:pStyle w:val="0"/>
              <w:jc w:val="both"/>
            </w:pPr>
            <w:r>
              <w:rPr>
                <w:sz w:val="20"/>
              </w:rPr>
              <w:t xml:space="preserve">Государственная </w:t>
            </w:r>
            <w:hyperlink w:history="0" r:id="rId37" w:tooltip="Постановление Правительства Нижегородской области от 29.03.2019 N 167 (ред. от 26.12.2023) &quot;Об утверждении государственной программы Нижегородской области &quot;Предупреждение (профилактика) коррупции на территории Нижегородской области&quot; {КонсультантПлюс}">
              <w:r>
                <w:rPr>
                  <w:sz w:val="20"/>
                  <w:color w:val="0000ff"/>
                </w:rPr>
                <w:t xml:space="preserve">программа</w:t>
              </w:r>
            </w:hyperlink>
            <w:r>
              <w:rPr>
                <w:sz w:val="20"/>
              </w:rPr>
              <w:t xml:space="preserve"> "Предупреждение (профилактика) коррупции на территории Нижегородской области", утвержденная постановлением Правительства Нижегородской области от 29 марта 2019 г. N 167</w:t>
            </w:r>
          </w:p>
        </w:tc>
        <w:tc>
          <w:tcPr>
            <w:tcW w:w="2324" w:type="dxa"/>
          </w:tcPr>
          <w:p>
            <w:pPr>
              <w:pStyle w:val="0"/>
              <w:jc w:val="both"/>
            </w:pPr>
            <w:r>
              <w:rPr>
                <w:sz w:val="20"/>
              </w:rPr>
              <w:t xml:space="preserve">Формирование в обществе нетерпимого отношения к проявлениям коррупции</w:t>
            </w:r>
          </w:p>
        </w:tc>
        <w:tc>
          <w:tcPr>
            <w:tcW w:w="1984" w:type="dxa"/>
          </w:tcPr>
          <w:p>
            <w:pPr>
              <w:pStyle w:val="0"/>
              <w:jc w:val="both"/>
            </w:pPr>
            <w:r>
              <w:rPr>
                <w:sz w:val="20"/>
              </w:rPr>
              <w:t xml:space="preserve">-</w:t>
            </w:r>
          </w:p>
        </w:tc>
        <w:tc>
          <w:tcPr>
            <w:tcW w:w="3458" w:type="dxa"/>
          </w:tcPr>
          <w:p>
            <w:pPr>
              <w:pStyle w:val="0"/>
              <w:jc w:val="both"/>
            </w:pPr>
            <w:r>
              <w:rPr>
                <w:sz w:val="20"/>
              </w:rPr>
              <w:t xml:space="preserve">1. 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w:t>
            </w:r>
          </w:p>
          <w:p>
            <w:pPr>
              <w:pStyle w:val="0"/>
              <w:jc w:val="both"/>
            </w:pPr>
            <w:r>
              <w:rPr>
                <w:sz w:val="20"/>
              </w:rPr>
              <w:t xml:space="preserve">2. Совершенствование мер по предупреждению (профилактике) коррупции в сфере закупок товаров, работ, услуг для обеспечения государственных или муниципальных нужд.</w:t>
            </w:r>
          </w:p>
          <w:p>
            <w:pPr>
              <w:pStyle w:val="0"/>
              <w:jc w:val="both"/>
            </w:pPr>
            <w:r>
              <w:rPr>
                <w:sz w:val="20"/>
              </w:rPr>
              <w:t xml:space="preserve">3. Повышение эффективности просветительских, образовательных и иных мероприятий, направленных на формирование антикоррупционного поведения государственных и муниципальных служащих, популяризацию в обществе антикоррупционных стандартов и развитие общественного правосознания.</w:t>
            </w:r>
          </w:p>
          <w:p>
            <w:pPr>
              <w:pStyle w:val="0"/>
              <w:jc w:val="both"/>
            </w:pPr>
            <w:r>
              <w:rPr>
                <w:sz w:val="20"/>
              </w:rPr>
              <w:t xml:space="preserve">4. Совершенствование мер по предупреждению коррупции в сфере бизнеса, в том числе по защите субъектов предпринимательской деятельности от злоупотреблений служебным положением со стороны должностных лиц.</w:t>
            </w:r>
          </w:p>
          <w:p>
            <w:pPr>
              <w:pStyle w:val="0"/>
              <w:jc w:val="both"/>
            </w:pPr>
            <w:r>
              <w:rPr>
                <w:sz w:val="20"/>
              </w:rPr>
              <w:t xml:space="preserve">5. Систематизация и актуализация нормативно-правовой базы по вопросам предупреждения (профилактики) коррупции, устранение пробелов и противоречий в правовом регулировании в области предупреждения (профилактики) коррупции.</w:t>
            </w:r>
          </w:p>
          <w:p>
            <w:pPr>
              <w:pStyle w:val="0"/>
              <w:jc w:val="both"/>
            </w:pPr>
            <w:r>
              <w:rPr>
                <w:sz w:val="20"/>
              </w:rPr>
              <w:t xml:space="preserve">6. Повышение прозрачности деятельности органов государственной власти и иных государственных органов Нижегородской области, органов местного самоуправления муниципальных образований Нижегородской области, укрепление их связей с гражданским обществом, стимулирование антикоррупционной активности общественности, а также совершенствование их деятельности в целях противодействия коррупции</w:t>
            </w:r>
          </w:p>
        </w:tc>
        <w:tc>
          <w:tcPr>
            <w:tcW w:w="3175" w:type="dxa"/>
          </w:tcPr>
          <w:p>
            <w:pPr>
              <w:pStyle w:val="0"/>
              <w:jc w:val="both"/>
            </w:pPr>
            <w:r>
              <w:rPr>
                <w:sz w:val="20"/>
              </w:rPr>
              <w:t xml:space="preserve">- доля проектов нормативных правовых актов Губернатора и Правительства Нижегородской области, в которых выявлены коррупциогенные факторы по результатам антикоррупционной экспертизы, от общего количества проектов нормативных правовых актов Губернатора и Правительства Нижегородской области;</w:t>
            </w:r>
          </w:p>
          <w:p>
            <w:pPr>
              <w:pStyle w:val="0"/>
              <w:jc w:val="both"/>
            </w:pPr>
            <w:r>
              <w:rPr>
                <w:sz w:val="20"/>
              </w:rPr>
              <w:t xml:space="preserve">- количество установленных Федеральной антимонопольной службой, УФАС по Нижегородской области и вступивших в силу нарушений уполномоченным учреждением законодательства о контрактной системе в сфере закупок при размещении извещений о проведении закупок;</w:t>
            </w:r>
          </w:p>
          <w:p>
            <w:pPr>
              <w:pStyle w:val="0"/>
              <w:jc w:val="both"/>
            </w:pPr>
            <w:r>
              <w:rPr>
                <w:sz w:val="20"/>
              </w:rPr>
              <w:t xml:space="preserve">- отношение количества государственных гражданских служащих Нижегородской области, в должностные обязанности которых входит участие в противодействии коррупции, принявших участие в мероприятиях по профессиональному развитию в области противодействия коррупции, к общему количеству государственных гражданских служащих Нижегородской области, муниципальных служащих, в должностные обязанности которых входит участие в противодействии коррупции;</w:t>
            </w:r>
          </w:p>
          <w:p>
            <w:pPr>
              <w:pStyle w:val="0"/>
              <w:jc w:val="both"/>
            </w:pPr>
            <w:r>
              <w:rPr>
                <w:sz w:val="20"/>
              </w:rPr>
              <w:t xml:space="preserve">- отношение количества муниципальных служащих Нижегородской области, в должностные обязанности которых входит участие в противодействии коррупции, принявших участие в мероприятиях по профессиональному развитию в области противодействия коррупции, к общему количеству муниципальных служащих, в должностные обязанности которых входит участие в противодействии коррупции;</w:t>
            </w:r>
          </w:p>
          <w:p>
            <w:pPr>
              <w:pStyle w:val="0"/>
              <w:jc w:val="both"/>
            </w:pPr>
            <w:r>
              <w:rPr>
                <w:sz w:val="20"/>
              </w:rPr>
              <w:t xml:space="preserve">- отношение количества государственных гражданских служащих Нижегородской области, впервые поступивших на государственную гражданскую службу Нижегородской области, принявших участие в мероприятиях по профессиональному развитию в области противодействия коррупции, к общему количеству государственных гражданских служащих Нижегородской области, впервые поступивших на государственную гражданскую службу Нижегородской области;</w:t>
            </w:r>
          </w:p>
          <w:p>
            <w:pPr>
              <w:pStyle w:val="0"/>
              <w:jc w:val="both"/>
            </w:pPr>
            <w:r>
              <w:rPr>
                <w:sz w:val="20"/>
              </w:rPr>
              <w:t xml:space="preserve">- отношение количества муниципальных служащих, впервые поступивших на муниципальную службу, принявших участие в мероприятиях по профессиональному развитию в области противодействия коррупции, к общему количеству муниципальных служащих Нижегородской области, впервые муниципальную службу;</w:t>
            </w:r>
          </w:p>
          <w:p>
            <w:pPr>
              <w:pStyle w:val="0"/>
              <w:jc w:val="both"/>
            </w:pPr>
            <w:r>
              <w:rPr>
                <w:sz w:val="20"/>
              </w:rPr>
              <w:t xml:space="preserve">- отношение количества государственных гражданских служащих Нижегородской области, в должностные обязанности которых входит участие в проведении закупок товаров, работ, услуг для обеспечения государственных нужд, принявших участие в мероприятиях по профессиональному развитию в области противодействия коррупции, к общему количеству государственных гражданских служащих Нижегородской области, в должностные обязанности которых входит участие в проведении закупок товаров, работ, услуг для обеспечения государственных нужд;</w:t>
            </w:r>
          </w:p>
          <w:p>
            <w:pPr>
              <w:pStyle w:val="0"/>
              <w:jc w:val="both"/>
            </w:pPr>
            <w:r>
              <w:rPr>
                <w:sz w:val="20"/>
              </w:rPr>
              <w:t xml:space="preserve">- отношение количества муниципальных служащих Нижегородской области, в должностные обязанности которых входит участие в проведении закупок товаров, работ, услуг для обеспечения муниципальных нужд, принявших участие в мероприятиях по профессиональному развитию в области противодействия коррупции, к общему количеству муниципальных служащих Нижегородской области, в должностные обязанности которых входит участие в проведении закупок товаров, работ, услуг для обеспечения муниципальных нужд;</w:t>
            </w:r>
          </w:p>
          <w:p>
            <w:pPr>
              <w:pStyle w:val="0"/>
              <w:jc w:val="both"/>
            </w:pPr>
            <w:r>
              <w:rPr>
                <w:sz w:val="20"/>
              </w:rPr>
              <w:t xml:space="preserve">- уровень положительного отношения граждан Нижегородской области к работе органов власти (всех уровней) по противодействию коррупции (по результатам социологических исследований);</w:t>
            </w:r>
          </w:p>
          <w:p>
            <w:pPr>
              <w:pStyle w:val="0"/>
              <w:jc w:val="both"/>
            </w:pPr>
            <w:r>
              <w:rPr>
                <w:sz w:val="20"/>
              </w:rPr>
              <w:t xml:space="preserve">- оценка представителями бизнес-сообщества регионального законодательства по противодействию коррупции как эффективного (по результатам социологических исследований);</w:t>
            </w:r>
          </w:p>
          <w:p>
            <w:pPr>
              <w:pStyle w:val="0"/>
              <w:jc w:val="both"/>
            </w:pPr>
            <w:r>
              <w:rPr>
                <w:sz w:val="20"/>
              </w:rPr>
              <w:t xml:space="preserve">- количество субъектов предпринимательской деятельности, представителям которых доведена информация о необходимости внедрения мер по предупреждению коррупции;</w:t>
            </w:r>
          </w:p>
          <w:p>
            <w:pPr>
              <w:pStyle w:val="0"/>
              <w:jc w:val="both"/>
            </w:pPr>
            <w:r>
              <w:rPr>
                <w:sz w:val="20"/>
              </w:rPr>
              <w:t xml:space="preserve">- количество проведенных мероприятий с предпринимательским сообществом по вопросам устранения проблем в ведении предпринимательской деятельности;</w:t>
            </w:r>
          </w:p>
          <w:p>
            <w:pPr>
              <w:pStyle w:val="0"/>
              <w:jc w:val="both"/>
            </w:pPr>
            <w:r>
              <w:rPr>
                <w:sz w:val="20"/>
              </w:rPr>
              <w:t xml:space="preserve">- отношение количества сведений о близких родственниках, а также их аффилированности коммерческим организациям, в отношении которых проведен анализ, к общему количеству представленных сведений о близких родственниках, а также их аффилированности коммерческим организациям;</w:t>
            </w:r>
          </w:p>
          <w:p>
            <w:pPr>
              <w:pStyle w:val="0"/>
              <w:jc w:val="both"/>
            </w:pPr>
            <w:r>
              <w:rPr>
                <w:sz w:val="20"/>
              </w:rPr>
              <w:t xml:space="preserve">- количество просветительских мероприятий, направленных на создание в обществе атмосферы нетерпимости к коррупционным проявлениям, в том числе на повышение эффективности антикоррупционного просвещения, проводимых органами государственной власти и органами местного самоуправления Нижегородской области</w:t>
            </w:r>
          </w:p>
        </w:tc>
        <w:tc>
          <w:tcPr>
            <w:tcW w:w="1814" w:type="dxa"/>
          </w:tcPr>
          <w:p>
            <w:pPr>
              <w:pStyle w:val="0"/>
              <w:jc w:val="both"/>
            </w:pPr>
            <w:r>
              <w:rPr>
                <w:sz w:val="20"/>
              </w:rPr>
              <w:t xml:space="preserve">-</w:t>
            </w:r>
          </w:p>
        </w:tc>
      </w:tr>
      <w:tr>
        <w:tc>
          <w:tcPr>
            <w:tcW w:w="567" w:type="dxa"/>
          </w:tcPr>
          <w:p>
            <w:pPr>
              <w:pStyle w:val="0"/>
              <w:jc w:val="both"/>
            </w:pPr>
            <w:r>
              <w:rPr>
                <w:sz w:val="20"/>
              </w:rPr>
              <w:t xml:space="preserve">8</w:t>
            </w:r>
          </w:p>
        </w:tc>
        <w:tc>
          <w:tcPr>
            <w:tcW w:w="2324" w:type="dxa"/>
          </w:tcPr>
          <w:p>
            <w:pPr>
              <w:pStyle w:val="0"/>
              <w:jc w:val="both"/>
            </w:pPr>
            <w:r>
              <w:rPr>
                <w:sz w:val="20"/>
              </w:rPr>
              <w:t xml:space="preserve">Государственная </w:t>
            </w:r>
            <w:hyperlink w:history="0" r:id="rId38" w:tooltip="Постановление Правительства Нижегородской области от 30.04.2014 N 298 (ред. от 22.07.2024) &quot;Об утверждении государственной программы Нижегородской области &quot;Социальная поддержка граждан Нижегородской области&quot; {КонсультантПлюс}">
              <w:r>
                <w:rPr>
                  <w:sz w:val="20"/>
                  <w:color w:val="0000ff"/>
                </w:rPr>
                <w:t xml:space="preserve">программа</w:t>
              </w:r>
            </w:hyperlink>
            <w:r>
              <w:rPr>
                <w:sz w:val="20"/>
              </w:rPr>
              <w:t xml:space="preserve"> "Социальная поддержка граждан Нижегородской области", утвержденная постановлением Правительства Нижегородской области от 30 апреля 2014 г. N 298</w:t>
            </w:r>
          </w:p>
        </w:tc>
        <w:tc>
          <w:tcPr>
            <w:tcW w:w="2324" w:type="dxa"/>
          </w:tcPr>
          <w:p>
            <w:pPr>
              <w:pStyle w:val="0"/>
              <w:jc w:val="both"/>
            </w:pPr>
            <w:r>
              <w:rPr>
                <w:sz w:val="20"/>
              </w:rPr>
              <w:t xml:space="preserve">1. Формирование безбарьерной среды в Нижегородской области посредством повышения доли доступных для инвалидов и других маломобильных групп населения приоритетных объектов.</w:t>
            </w:r>
          </w:p>
          <w:p>
            <w:pPr>
              <w:pStyle w:val="0"/>
              <w:jc w:val="both"/>
            </w:pPr>
            <w:r>
              <w:rPr>
                <w:sz w:val="20"/>
              </w:rPr>
              <w:t xml:space="preserve">2. Повышение качества жизни инвалидов посредством обеспечения нуждающихся качественными реабилитационными услугами.</w:t>
            </w:r>
          </w:p>
          <w:p>
            <w:pPr>
              <w:pStyle w:val="0"/>
              <w:jc w:val="both"/>
            </w:pPr>
            <w:r>
              <w:rPr>
                <w:sz w:val="20"/>
              </w:rPr>
              <w:t xml:space="preserve">3. Повышение уровня социального обеспечения граждан - получателей мер социальной поддержки, государственных социальных гарантий, направленных на рост их благосостояния, исходя из принципов адресности, справедливости и нуждаемости.</w:t>
            </w:r>
          </w:p>
          <w:p>
            <w:pPr>
              <w:pStyle w:val="0"/>
              <w:jc w:val="both"/>
            </w:pPr>
            <w:r>
              <w:rPr>
                <w:sz w:val="20"/>
              </w:rPr>
              <w:t xml:space="preserve">4. Повышение доступности социального обслуживания населения.</w:t>
            </w:r>
          </w:p>
          <w:p>
            <w:pPr>
              <w:pStyle w:val="0"/>
              <w:jc w:val="both"/>
            </w:pPr>
            <w:r>
              <w:rPr>
                <w:sz w:val="20"/>
              </w:rPr>
              <w:t xml:space="preserve">5. Временное социально-бытовое обустройство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Нижегородской области.</w:t>
            </w:r>
          </w:p>
          <w:p>
            <w:pPr>
              <w:pStyle w:val="0"/>
              <w:jc w:val="both"/>
            </w:pPr>
            <w:r>
              <w:rPr>
                <w:sz w:val="20"/>
              </w:rPr>
              <w:t xml:space="preserve">6. Создание на территории Нижегородской области условий, способствующих развитию потенциала некоммерческих организаций в достижении приоритетных задач в социальной сфере.</w:t>
            </w:r>
          </w:p>
          <w:p>
            <w:pPr>
              <w:pStyle w:val="0"/>
              <w:jc w:val="both"/>
            </w:pPr>
            <w:r>
              <w:rPr>
                <w:sz w:val="20"/>
              </w:rPr>
              <w:t xml:space="preserve">7. Повышение качества жизни граждан Нижегородской области</w:t>
            </w:r>
          </w:p>
        </w:tc>
        <w:tc>
          <w:tcPr>
            <w:tcW w:w="1984" w:type="dxa"/>
          </w:tcPr>
          <w:p>
            <w:pPr>
              <w:pStyle w:val="0"/>
              <w:jc w:val="both"/>
            </w:pPr>
            <w:r>
              <w:rPr>
                <w:sz w:val="20"/>
              </w:rPr>
              <w:t xml:space="preserve">1. "Формирование доступной для инвалидов среды жизнедеятельности в Нижегородской области".</w:t>
            </w:r>
          </w:p>
          <w:p>
            <w:pPr>
              <w:pStyle w:val="0"/>
              <w:jc w:val="both"/>
            </w:pPr>
            <w:r>
              <w:rPr>
                <w:sz w:val="20"/>
              </w:rPr>
              <w:t xml:space="preserve">2. "Модернизация и развитие социального обслуживания населения".</w:t>
            </w:r>
          </w:p>
          <w:p>
            <w:pPr>
              <w:pStyle w:val="0"/>
              <w:jc w:val="both"/>
            </w:pPr>
            <w:r>
              <w:rPr>
                <w:sz w:val="20"/>
              </w:rPr>
              <w:t xml:space="preserve">3. "Старшее поколение".</w:t>
            </w:r>
          </w:p>
          <w:p>
            <w:pPr>
              <w:pStyle w:val="0"/>
              <w:jc w:val="both"/>
            </w:pPr>
            <w:r>
              <w:rPr>
                <w:sz w:val="20"/>
              </w:rPr>
              <w:t xml:space="preserve">4. "Развитие мер социальной поддержки отдельных категорий граждан в Нижегородской области".</w:t>
            </w:r>
          </w:p>
          <w:p>
            <w:pPr>
              <w:pStyle w:val="0"/>
              <w:jc w:val="both"/>
            </w:pPr>
            <w:r>
              <w:rPr>
                <w:sz w:val="20"/>
              </w:rPr>
              <w:t xml:space="preserve">5. "Укрепление института семьи в Нижегородской области".</w:t>
            </w:r>
          </w:p>
          <w:p>
            <w:pPr>
              <w:pStyle w:val="0"/>
              <w:jc w:val="both"/>
            </w:pPr>
            <w:r>
              <w:rPr>
                <w:sz w:val="20"/>
              </w:rPr>
              <w:t xml:space="preserve">6. "Поддержка социально ориентированных некоммерческих организаций в Нижегородской области".</w:t>
            </w:r>
          </w:p>
          <w:p>
            <w:pPr>
              <w:pStyle w:val="0"/>
              <w:jc w:val="both"/>
            </w:pPr>
            <w:r>
              <w:rPr>
                <w:sz w:val="20"/>
              </w:rPr>
              <w:t xml:space="preserve">7. "Развитие системы комплексной реабилитации и абилитации инвалидов, в том числе детей-инвалидов, в Нижегородской области".</w:t>
            </w:r>
          </w:p>
          <w:p>
            <w:pPr>
              <w:pStyle w:val="0"/>
              <w:jc w:val="both"/>
            </w:pPr>
            <w:r>
              <w:rPr>
                <w:sz w:val="20"/>
              </w:rPr>
              <w:t xml:space="preserve">8. "Укрепление материально-технической базы учреждений, подведомственных министерству социальной политики Нижегородской области".</w:t>
            </w:r>
          </w:p>
          <w:p>
            <w:pPr>
              <w:pStyle w:val="0"/>
              <w:jc w:val="both"/>
            </w:pPr>
            <w:r>
              <w:rPr>
                <w:sz w:val="20"/>
              </w:rPr>
              <w:t xml:space="preserve">9. "Обеспечение реализации государственной программы".</w:t>
            </w:r>
          </w:p>
          <w:p>
            <w:pPr>
              <w:pStyle w:val="0"/>
              <w:jc w:val="both"/>
            </w:pPr>
            <w:r>
              <w:rPr>
                <w:sz w:val="20"/>
              </w:rPr>
              <w:t xml:space="preserve">10. "Поддержка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Нижегородской области"</w:t>
            </w:r>
          </w:p>
        </w:tc>
        <w:tc>
          <w:tcPr>
            <w:tcW w:w="3458" w:type="dxa"/>
          </w:tcPr>
          <w:p>
            <w:pPr>
              <w:pStyle w:val="0"/>
              <w:jc w:val="both"/>
            </w:pPr>
            <w:r>
              <w:rPr>
                <w:sz w:val="20"/>
              </w:rPr>
              <w:t xml:space="preserve">1. Обеспечение доступности для инвалидов приоритетных объектов и услуг в различных сферах жизнедеятельности инвалидов и других маломобильных групп населения в Нижегородской области.</w:t>
            </w:r>
          </w:p>
          <w:p>
            <w:pPr>
              <w:pStyle w:val="0"/>
              <w:jc w:val="both"/>
            </w:pPr>
            <w:r>
              <w:rPr>
                <w:sz w:val="20"/>
              </w:rPr>
              <w:t xml:space="preserve">2. Выполнение обязательств Правительства Нижегородской области по выплате компенсаций расходов поставщикам социальных услуг, включенным в реестр поставщиков социальных услуг Нижегородской области, но не участвующим в выполнении государственного задания (заказа).</w:t>
            </w:r>
          </w:p>
          <w:p>
            <w:pPr>
              <w:pStyle w:val="0"/>
              <w:jc w:val="both"/>
            </w:pPr>
            <w:r>
              <w:rPr>
                <w:sz w:val="20"/>
              </w:rPr>
              <w:t xml:space="preserve">3. Увеличение мощностей домов интернатов для граждан пожилого возраста и инвалидов в целях сокращения очередности на помещение в стационарные организации социального обслуживания и расселения получателей услуг из зданий, признанных ветхими.</w:t>
            </w:r>
          </w:p>
          <w:p>
            <w:pPr>
              <w:pStyle w:val="0"/>
              <w:jc w:val="both"/>
            </w:pPr>
            <w:r>
              <w:rPr>
                <w:sz w:val="20"/>
              </w:rPr>
              <w:t xml:space="preserve">4. Обеспечение доступности, повышение эффективности и качества предоставления населению Нижегородской области услуг в сфере социального обслуживания.</w:t>
            </w:r>
          </w:p>
          <w:p>
            <w:pPr>
              <w:pStyle w:val="0"/>
              <w:jc w:val="both"/>
            </w:pPr>
            <w:r>
              <w:rPr>
                <w:sz w:val="20"/>
              </w:rPr>
              <w:t xml:space="preserve">5. Подготовка и переподготовка сотрудников государственных учреждений социальной защиты населения.</w:t>
            </w:r>
          </w:p>
          <w:p>
            <w:pPr>
              <w:pStyle w:val="0"/>
              <w:jc w:val="both"/>
            </w:pPr>
            <w:r>
              <w:rPr>
                <w:sz w:val="20"/>
              </w:rPr>
              <w:t xml:space="preserve">6. Формирование условий для развития системы комплексной реабилитации и абилитации людей с расстройствами аутистического спектра.</w:t>
            </w:r>
          </w:p>
          <w:p>
            <w:pPr>
              <w:pStyle w:val="0"/>
              <w:jc w:val="both"/>
            </w:pPr>
            <w:r>
              <w:rPr>
                <w:sz w:val="20"/>
              </w:rPr>
              <w:t xml:space="preserve">7. Увеличение мощностей домов интернатов для граждан пожилого возраста и инвалидов в целях сокращения очередности на помещение в стационарные организации социального обслуживания и расселения получателей услуг из зданий, признанных ветхими.</w:t>
            </w:r>
          </w:p>
          <w:p>
            <w:pPr>
              <w:pStyle w:val="0"/>
              <w:jc w:val="both"/>
            </w:pPr>
            <w:r>
              <w:rPr>
                <w:sz w:val="20"/>
              </w:rPr>
              <w:t xml:space="preserve">8. Создание и внедрение системы долговременного ухода за гражданами пожилого возраста и инвалидами, как составной части мероприятий, направленных на развитие и поддержание функциональных способностей граждан старшего поколения, включающей сбалансированное социальное обслуживание и медицинскую помощь на дому, в полустационарной и стационарной форме с привлечением патронажной службы и сиделок, а также поддержку семейного ухода.</w:t>
            </w:r>
          </w:p>
          <w:p>
            <w:pPr>
              <w:pStyle w:val="0"/>
              <w:jc w:val="both"/>
            </w:pPr>
            <w:r>
              <w:rPr>
                <w:sz w:val="20"/>
              </w:rPr>
              <w:t xml:space="preserve">9. Социальная поддержка ветеранов Великой Отечественной войны.</w:t>
            </w:r>
          </w:p>
          <w:p>
            <w:pPr>
              <w:pStyle w:val="0"/>
              <w:jc w:val="both"/>
            </w:pPr>
            <w:r>
              <w:rPr>
                <w:sz w:val="20"/>
              </w:rPr>
              <w:t xml:space="preserve">10. Укрепление социального статуса и социальной защищенности пожилых людей.</w:t>
            </w:r>
          </w:p>
          <w:p>
            <w:pPr>
              <w:pStyle w:val="0"/>
              <w:jc w:val="both"/>
            </w:pPr>
            <w:r>
              <w:rPr>
                <w:sz w:val="20"/>
              </w:rPr>
              <w:t xml:space="preserve">11. Развитие и модернизация учреждений социального обслуживания граждан пожилого возраста.</w:t>
            </w:r>
          </w:p>
          <w:p>
            <w:pPr>
              <w:pStyle w:val="0"/>
              <w:jc w:val="both"/>
            </w:pPr>
            <w:r>
              <w:rPr>
                <w:sz w:val="20"/>
              </w:rPr>
              <w:t xml:space="preserve">12. Реализация мероприятий по предоставлению единовременного денежного вознаграждения, цифровой печати именных надписей в дипломах, изготовлению знаков, дипломов, папок для вручения гражданам, удостоенных почетного звания "Заслуженный ветеран Нижегородской области", изготовлению бланков удостоверений в связи с учреждением звания "Ветеран труда Нижегородской области".</w:t>
            </w:r>
          </w:p>
          <w:p>
            <w:pPr>
              <w:pStyle w:val="0"/>
              <w:jc w:val="both"/>
            </w:pPr>
            <w:r>
              <w:rPr>
                <w:sz w:val="20"/>
              </w:rPr>
              <w:t xml:space="preserve">13. Реализация мер социальной поддержки отдельным категориям граждан Нижегородской области.</w:t>
            </w:r>
          </w:p>
          <w:p>
            <w:pPr>
              <w:pStyle w:val="0"/>
              <w:jc w:val="both"/>
            </w:pPr>
            <w:r>
              <w:rPr>
                <w:sz w:val="20"/>
              </w:rPr>
              <w:t xml:space="preserve">14. Предоставление государственной социальной помощи на основании социального контракта отдельным категориям граждан.</w:t>
            </w:r>
          </w:p>
          <w:p>
            <w:pPr>
              <w:pStyle w:val="0"/>
              <w:jc w:val="both"/>
            </w:pPr>
            <w:r>
              <w:rPr>
                <w:sz w:val="20"/>
              </w:rPr>
              <w:t xml:space="preserve">15. Проведение мероприятий, направленных на пропаганду семейного образа жизни.</w:t>
            </w:r>
          </w:p>
          <w:p>
            <w:pPr>
              <w:pStyle w:val="0"/>
              <w:jc w:val="both"/>
            </w:pPr>
            <w:r>
              <w:rPr>
                <w:sz w:val="20"/>
              </w:rPr>
              <w:t xml:space="preserve">16. Организация мероприятий по перевозке несовершеннолетних, самовольно ушедших из семей, детских домов, школ-интернатов, специальных учебно-воспитательных и иных детских учреждений.</w:t>
            </w:r>
          </w:p>
          <w:p>
            <w:pPr>
              <w:pStyle w:val="0"/>
              <w:jc w:val="both"/>
            </w:pPr>
            <w:r>
              <w:rPr>
                <w:sz w:val="20"/>
              </w:rPr>
              <w:t xml:space="preserve">17. Развитие конкурсных механизмов ресурсной поддержки некоммерческих организаций.</w:t>
            </w:r>
          </w:p>
          <w:p>
            <w:pPr>
              <w:pStyle w:val="0"/>
              <w:jc w:val="both"/>
            </w:pPr>
            <w:r>
              <w:rPr>
                <w:sz w:val="20"/>
              </w:rPr>
              <w:t xml:space="preserve">18. Повышение уровня обеспеченности инвалидов, в том числе детей-инвалидов реабилитационными и абилитационными мероприятиями, ранней помощью, а также уровня профессионального развития и занятости, включая содействие занятости инвалидов, в том числе детей-инвалидов в Нижегородской области.</w:t>
            </w:r>
          </w:p>
          <w:p>
            <w:pPr>
              <w:pStyle w:val="0"/>
              <w:jc w:val="both"/>
            </w:pPr>
            <w:r>
              <w:rPr>
                <w:sz w:val="20"/>
              </w:rPr>
              <w:t xml:space="preserve">19. Модернизация материально-технической базы учреждений, подведомственных министерству социальной политики Нижегородской области.</w:t>
            </w:r>
          </w:p>
          <w:p>
            <w:pPr>
              <w:pStyle w:val="0"/>
              <w:jc w:val="both"/>
            </w:pPr>
            <w:r>
              <w:rPr>
                <w:sz w:val="20"/>
              </w:rPr>
              <w:t xml:space="preserve">20. Обеспечение эффективного исполнения государственных функций в процессе реализации государственной программы.</w:t>
            </w:r>
          </w:p>
          <w:p>
            <w:pPr>
              <w:pStyle w:val="0"/>
              <w:jc w:val="both"/>
            </w:pPr>
            <w:r>
              <w:rPr>
                <w:sz w:val="20"/>
              </w:rPr>
              <w:t xml:space="preserve">21. Проведение мероприятий по обеспечению реализации государственной программы.</w:t>
            </w:r>
          </w:p>
          <w:p>
            <w:pPr>
              <w:pStyle w:val="0"/>
              <w:jc w:val="both"/>
            </w:pPr>
            <w:r>
              <w:rPr>
                <w:sz w:val="20"/>
              </w:rPr>
              <w:t xml:space="preserve">22. Популяризация социально-предпринимательского потенциала Нижегородской области, поддержка организаций социальной сферы Нижегородской области (включая государственные учреждения, социально ориентированные некоммерческие организации и субъекты социального предпринимательства).</w:t>
            </w:r>
          </w:p>
          <w:p>
            <w:pPr>
              <w:pStyle w:val="0"/>
              <w:jc w:val="both"/>
            </w:pPr>
            <w:r>
              <w:rPr>
                <w:sz w:val="20"/>
              </w:rPr>
              <w:t xml:space="preserve">23. Финансовое обеспечение временного социально-бытового обустройства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Нижегородской области</w:t>
            </w:r>
          </w:p>
        </w:tc>
        <w:tc>
          <w:tcPr>
            <w:tcW w:w="3175" w:type="dxa"/>
          </w:tcPr>
          <w:p>
            <w:pPr>
              <w:pStyle w:val="0"/>
              <w:jc w:val="both"/>
            </w:pPr>
            <w:r>
              <w:rPr>
                <w:sz w:val="20"/>
              </w:rPr>
              <w:t xml:space="preserve">- 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w:t>
            </w:r>
          </w:p>
          <w:p>
            <w:pPr>
              <w:pStyle w:val="0"/>
              <w:jc w:val="both"/>
            </w:pPr>
            <w:r>
              <w:rPr>
                <w:sz w:val="20"/>
              </w:rPr>
              <w:t xml:space="preserve">- доля студентов из числа инвалидов и лиц с ограниченными возможностями здоровья, обучавшихся по образовательным программам среднего профессионального образования, выбывших по причине академической неуспеваемости;</w:t>
            </w:r>
          </w:p>
          <w:p>
            <w:pPr>
              <w:pStyle w:val="0"/>
              <w:jc w:val="both"/>
            </w:pPr>
            <w:r>
              <w:rPr>
                <w:sz w:val="20"/>
              </w:rPr>
              <w:t xml:space="preserve">- темп роста или снижения численности инвалидов и лиц с ограниченными возможностями здоровья, принятых на обучение по образовательным программам среднего профессионального образования (по отношению к значению показателя предыдущего года);</w:t>
            </w:r>
          </w:p>
          <w:p>
            <w:pPr>
              <w:pStyle w:val="0"/>
              <w:jc w:val="both"/>
            </w:pPr>
            <w:r>
              <w:rPr>
                <w:sz w:val="20"/>
              </w:rPr>
              <w:t xml:space="preserve">- доля инвалидов, обеспеченных техническими средствами реабилитации, включенными в региональный перечень технических средств реабилитации, предоставляемых инвалидам, в общей численности инвалидов, в отношении которых принято решение об обеспечении техническими средствами реабилитации в текущем году;</w:t>
            </w:r>
          </w:p>
          <w:p>
            <w:pPr>
              <w:pStyle w:val="0"/>
              <w:jc w:val="both"/>
            </w:pPr>
            <w:r>
              <w:rPr>
                <w:sz w:val="20"/>
              </w:rPr>
              <w:t xml:space="preserve">- доля инвалидов, обеспеченных мероприятиями в сфере реабилитации и абилитации инвалидов, в том числе детей-инвалидов, от количества обратившихся в текущем году;</w:t>
            </w:r>
          </w:p>
          <w:p>
            <w:pPr>
              <w:pStyle w:val="0"/>
              <w:jc w:val="both"/>
            </w:pPr>
            <w:r>
              <w:rPr>
                <w:sz w:val="20"/>
              </w:rPr>
              <w:t xml:space="preserve">- доля граждан, получивших меры социальной поддержки, в общем числе граждан, имеющих право на меры социальной поддержки и обратившихся за назначением мер социальной поддержки;</w:t>
            </w:r>
          </w:p>
          <w:p>
            <w:pPr>
              <w:pStyle w:val="0"/>
              <w:jc w:val="both"/>
            </w:pPr>
            <w:r>
              <w:rPr>
                <w:sz w:val="20"/>
              </w:rPr>
              <w:t xml:space="preserve">- доля граждан, охваченных государственной социальной помощью на основании социального контракта, в общей численности малоимущих граждан;</w:t>
            </w:r>
          </w:p>
          <w:p>
            <w:pPr>
              <w:pStyle w:val="0"/>
              <w:jc w:val="both"/>
            </w:pPr>
            <w:r>
              <w:rPr>
                <w:sz w:val="20"/>
              </w:rPr>
              <w:t xml:space="preserve">-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превысил величину прожиточного минимума, установленную в субъекте Российской Федерации, по окончании срока действия социального контракта в общей численности граждан, охваченных государственной социальной помощью на основании социального контракта;</w:t>
            </w:r>
          </w:p>
          <w:p>
            <w:pPr>
              <w:pStyle w:val="0"/>
              <w:jc w:val="both"/>
            </w:pPr>
            <w:r>
              <w:rPr>
                <w:sz w:val="20"/>
              </w:rPr>
              <w:t xml:space="preserve">- доля граждан, охваченных государственной социальной помощью на основании социального контракта, среднедушевой доход которых (среднедушевой доход семьи которых) увеличился по окончании срока действия социального контракта в сравнении со среднедушевым доходом этих граждан (семьи) до заключения социального контракта, в общей численности граждан, охваченных государственной социальной помощью на основании социального контракта;</w:t>
            </w:r>
          </w:p>
          <w:p>
            <w:pPr>
              <w:pStyle w:val="0"/>
              <w:jc w:val="both"/>
            </w:pPr>
            <w:r>
              <w:rPr>
                <w:sz w:val="20"/>
              </w:rPr>
              <w:t xml:space="preserve">- удовлетворенность граждан качеством и доступностью социальных услуг;</w:t>
            </w:r>
          </w:p>
          <w:p>
            <w:pPr>
              <w:pStyle w:val="0"/>
              <w:jc w:val="both"/>
            </w:pPr>
            <w:r>
              <w:rPr>
                <w:sz w:val="20"/>
              </w:rPr>
              <w:t xml:space="preserve">- удельный вес негосударственных организаций социального обслуживания в общем количестве организаций социального обслуживания всех форм собственности в Нижегородской области;</w:t>
            </w:r>
          </w:p>
          <w:p>
            <w:pPr>
              <w:pStyle w:val="0"/>
              <w:jc w:val="both"/>
            </w:pPr>
            <w:r>
              <w:rPr>
                <w:sz w:val="20"/>
              </w:rPr>
              <w:t xml:space="preserve">- удельный вес зданий стационарных учреждений социального обслуживания граждан пожилого возраста, инвалидов (взрослых и детей) и лиц без определенного места жительства и занятий, требующих реконструкции, зданий, находящихся в аварийном состоянии, и ветхих зданий в общем количестве зданий стационарных учреждений социального обслуживания граждан пожилого возраста, инвалидов (взрослых и детей) и лиц без определенного места жительства и занятий;</w:t>
            </w:r>
          </w:p>
          <w:p>
            <w:pPr>
              <w:pStyle w:val="0"/>
              <w:jc w:val="both"/>
            </w:pPr>
            <w:r>
              <w:rPr>
                <w:sz w:val="20"/>
              </w:rPr>
              <w:t xml:space="preserve">- доля граждан, получивших социальные услуги в учреждениях социального обслуживания населения, от общего количества граждан, нуждающихся в социальном обслуживании;</w:t>
            </w:r>
          </w:p>
          <w:p>
            <w:pPr>
              <w:pStyle w:val="0"/>
              <w:jc w:val="both"/>
            </w:pPr>
            <w:r>
              <w:rPr>
                <w:sz w:val="20"/>
              </w:rPr>
              <w:t xml:space="preserve">- доля граждан, получивших социальные услуги в учреждениях социального обслуживания населения, в общем числе граждан, обратившихся за получением социальных услуг в учреждения социального обслуживания населения;</w:t>
            </w:r>
          </w:p>
          <w:p>
            <w:pPr>
              <w:pStyle w:val="0"/>
              <w:jc w:val="both"/>
            </w:pPr>
            <w:r>
              <w:rPr>
                <w:sz w:val="20"/>
              </w:rPr>
              <w:t xml:space="preserve">- доля граждан старше трудоспособного возраста и инвалидов, получающих услуги в рамках системы долговременного ухода, от общего числа граждан старше трудоспособного возраста и инвалидов, нуждающихся в долговременном уходе;</w:t>
            </w:r>
          </w:p>
          <w:p>
            <w:pPr>
              <w:pStyle w:val="0"/>
              <w:jc w:val="both"/>
            </w:pPr>
            <w:r>
              <w:rPr>
                <w:sz w:val="20"/>
              </w:rPr>
              <w:t xml:space="preserve">- доля граждан старше трудоспособного возраста и инвалидов, получивших социальные услуги в организациях социального обслуживания, от общего числа граждан старше трудоспособного возраста и инвалидов;</w:t>
            </w:r>
          </w:p>
          <w:p>
            <w:pPr>
              <w:pStyle w:val="0"/>
              <w:jc w:val="both"/>
            </w:pPr>
            <w:r>
              <w:rPr>
                <w:sz w:val="20"/>
              </w:rPr>
              <w:t xml:space="preserve">- доля подведомственных учреждений, имеющих предписания и представления контрольно-надзорных органов, от общего количества учреждений, в отношении которых осуществлялись мероприятия по обновлению материально-технической базы в текущем году;</w:t>
            </w:r>
          </w:p>
          <w:p>
            <w:pPr>
              <w:pStyle w:val="0"/>
              <w:jc w:val="both"/>
            </w:pPr>
            <w:r>
              <w:rPr>
                <w:sz w:val="20"/>
              </w:rPr>
              <w:t xml:space="preserve">- организация, сопровождение и информационное обеспечение проведения публичных, общественно значимых, социально-культурных, культурно-массовых, спортивных мероприятий и иных мероприятий в целях развития социальной сферы Нижегородской области (форумы, круглые столы, мастер-классы, семинары и др.);</w:t>
            </w:r>
          </w:p>
          <w:p>
            <w:pPr>
              <w:pStyle w:val="0"/>
              <w:jc w:val="both"/>
            </w:pPr>
            <w:r>
              <w:rPr>
                <w:sz w:val="20"/>
              </w:rPr>
              <w:t xml:space="preserve">- доля временно обустроенных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Нижегородской области;</w:t>
            </w:r>
          </w:p>
          <w:p>
            <w:pPr>
              <w:pStyle w:val="0"/>
              <w:jc w:val="both"/>
            </w:pPr>
            <w:r>
              <w:rPr>
                <w:sz w:val="20"/>
              </w:rPr>
              <w:t xml:space="preserve">- количество социально ориентированных некоммерческих организаций, принявших участие в конкурсном отборе на получение грантов в форме субсидии на реализацию общественно полезных (социальных) проектов (программ);</w:t>
            </w:r>
          </w:p>
          <w:p>
            <w:pPr>
              <w:pStyle w:val="0"/>
              <w:jc w:val="both"/>
            </w:pPr>
            <w:r>
              <w:rPr>
                <w:sz w:val="20"/>
              </w:rPr>
              <w:t xml:space="preserve">- количество социально ориентированных некоммерческих организаций, получивших финансовую поддержку;</w:t>
            </w:r>
          </w:p>
          <w:p>
            <w:pPr>
              <w:pStyle w:val="0"/>
              <w:jc w:val="both"/>
            </w:pPr>
            <w:r>
              <w:rPr>
                <w:sz w:val="20"/>
              </w:rPr>
              <w:t xml:space="preserve">- количество областных мероприятий, направленных на повышение качества жизни граждан Нижегородской области;</w:t>
            </w:r>
          </w:p>
          <w:p>
            <w:pPr>
              <w:pStyle w:val="0"/>
              <w:jc w:val="both"/>
            </w:pPr>
            <w:r>
              <w:rPr>
                <w:sz w:val="20"/>
              </w:rPr>
              <w:t xml:space="preserve">- количество перевезенных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1814" w:type="dxa"/>
          </w:tcPr>
          <w:p>
            <w:pPr>
              <w:pStyle w:val="0"/>
              <w:jc w:val="both"/>
            </w:pPr>
            <w:r>
              <w:rPr>
                <w:sz w:val="20"/>
              </w:rPr>
              <w:t xml:space="preserve">Национальная цель "Сохранение населения, здоровье и благополучие людей"/Государственная программа Российской Федерации "Социальная поддержка граждан";</w:t>
            </w:r>
          </w:p>
          <w:p>
            <w:pPr>
              <w:pStyle w:val="0"/>
              <w:jc w:val="both"/>
            </w:pPr>
            <w:r>
              <w:rPr>
                <w:sz w:val="20"/>
              </w:rPr>
              <w:t xml:space="preserve">Государственная программа Российской Федерации "Доступная среда"</w:t>
            </w:r>
          </w:p>
        </w:tc>
      </w:tr>
      <w:tr>
        <w:tc>
          <w:tcPr>
            <w:tcW w:w="567" w:type="dxa"/>
          </w:tcPr>
          <w:p>
            <w:pPr>
              <w:pStyle w:val="0"/>
              <w:jc w:val="both"/>
            </w:pPr>
            <w:r>
              <w:rPr>
                <w:sz w:val="20"/>
              </w:rPr>
              <w:t xml:space="preserve">9</w:t>
            </w:r>
          </w:p>
        </w:tc>
        <w:tc>
          <w:tcPr>
            <w:tcW w:w="2324" w:type="dxa"/>
          </w:tcPr>
          <w:p>
            <w:pPr>
              <w:pStyle w:val="0"/>
              <w:jc w:val="both"/>
            </w:pPr>
            <w:r>
              <w:rPr>
                <w:sz w:val="20"/>
              </w:rPr>
              <w:t xml:space="preserve">Государственная </w:t>
            </w:r>
            <w:hyperlink w:history="0" r:id="rId39" w:tooltip="Постановление Правительства Нижегородской области от 28.04.2014 N 287 (ред. от 29.12.2023) &quot;Об утверждении государственной программы Нижегородской области &quot;Энергоэффективность и развитие энергетики Нижегородской области&quot; ------------ Недействующая редакция {КонсультантПлюс}">
              <w:r>
                <w:rPr>
                  <w:sz w:val="20"/>
                  <w:color w:val="0000ff"/>
                </w:rPr>
                <w:t xml:space="preserve">программа</w:t>
              </w:r>
            </w:hyperlink>
            <w:r>
              <w:rPr>
                <w:sz w:val="20"/>
              </w:rPr>
              <w:t xml:space="preserve"> "Энергоэффективность и развитие энергетики Нижегородской области", утвержденная постановлением Правительства Нижегородской области от 28 апреля 2014 г. N 287</w:t>
            </w:r>
          </w:p>
        </w:tc>
        <w:tc>
          <w:tcPr>
            <w:tcW w:w="2324" w:type="dxa"/>
          </w:tcPr>
          <w:p>
            <w:pPr>
              <w:pStyle w:val="0"/>
              <w:jc w:val="both"/>
            </w:pPr>
            <w:r>
              <w:rPr>
                <w:sz w:val="20"/>
              </w:rPr>
              <w:t xml:space="preserve">Надежное обеспечение Нижегородской области топливно-энергетическими ресурсами, повышение эффективности их использования, снижение антропогенного воздействия топливно-энергетического комплекса и уровня негативного воздействия выбросов от автомобильного транспорта на окружающую среду, повышение энергетической эффективности экономики, уровня благосостояния и качества жизни населения Нижегородской области</w:t>
            </w:r>
          </w:p>
        </w:tc>
        <w:tc>
          <w:tcPr>
            <w:tcW w:w="1984" w:type="dxa"/>
          </w:tcPr>
          <w:p>
            <w:pPr>
              <w:pStyle w:val="0"/>
              <w:jc w:val="both"/>
            </w:pPr>
            <w:r>
              <w:rPr>
                <w:sz w:val="20"/>
              </w:rPr>
              <w:t xml:space="preserve">1. "Энергосбережение и повышение энергетической эффективности".</w:t>
            </w:r>
          </w:p>
          <w:p>
            <w:pPr>
              <w:pStyle w:val="0"/>
              <w:jc w:val="both"/>
            </w:pPr>
            <w:r>
              <w:rPr>
                <w:sz w:val="20"/>
              </w:rPr>
              <w:t xml:space="preserve">2 "Развитие и модернизация электроэнергетики".</w:t>
            </w:r>
          </w:p>
          <w:p>
            <w:pPr>
              <w:pStyle w:val="0"/>
              <w:jc w:val="both"/>
            </w:pPr>
            <w:r>
              <w:rPr>
                <w:sz w:val="20"/>
              </w:rPr>
              <w:t xml:space="preserve">3. "Расширение и реконструкция систем газоснабжения Нижегородской области".</w:t>
            </w:r>
          </w:p>
          <w:p>
            <w:pPr>
              <w:pStyle w:val="0"/>
              <w:jc w:val="both"/>
            </w:pPr>
            <w:r>
              <w:rPr>
                <w:sz w:val="20"/>
              </w:rPr>
              <w:t xml:space="preserve">4. "Развитие рынка газомоторного топлива".</w:t>
            </w:r>
          </w:p>
          <w:p>
            <w:pPr>
              <w:pStyle w:val="0"/>
              <w:jc w:val="both"/>
            </w:pPr>
            <w:r>
              <w:rPr>
                <w:sz w:val="20"/>
              </w:rPr>
              <w:t xml:space="preserve">5. "Развитие зарядной инфраструктуры для зарядки электрического автомобильного транспорта".</w:t>
            </w:r>
          </w:p>
          <w:p>
            <w:pPr>
              <w:pStyle w:val="0"/>
              <w:jc w:val="both"/>
            </w:pPr>
            <w:r>
              <w:rPr>
                <w:sz w:val="20"/>
              </w:rPr>
              <w:t xml:space="preserve">6. "Энергетическая безопасность в сфере использования топливных ресурсов"</w:t>
            </w:r>
          </w:p>
        </w:tc>
        <w:tc>
          <w:tcPr>
            <w:tcW w:w="3458" w:type="dxa"/>
          </w:tcPr>
          <w:p>
            <w:pPr>
              <w:pStyle w:val="0"/>
              <w:jc w:val="both"/>
            </w:pPr>
            <w:r>
              <w:rPr>
                <w:sz w:val="20"/>
              </w:rPr>
              <w:t xml:space="preserve">1. Популяризация энергосбережения и повышения энергетической эффективности.</w:t>
            </w:r>
          </w:p>
          <w:p>
            <w:pPr>
              <w:pStyle w:val="0"/>
              <w:jc w:val="both"/>
            </w:pPr>
            <w:r>
              <w:rPr>
                <w:sz w:val="20"/>
              </w:rPr>
              <w:t xml:space="preserve">2. Модернизация электроэнергетики и перевод ее на новый технологический уровень.</w:t>
            </w:r>
          </w:p>
          <w:p>
            <w:pPr>
              <w:pStyle w:val="0"/>
              <w:jc w:val="both"/>
            </w:pPr>
            <w:r>
              <w:rPr>
                <w:sz w:val="20"/>
              </w:rPr>
              <w:t xml:space="preserve">3. Удовлетворение заявок администраций муниципальных округов и городских округов Нижегородской области и газораспределительных организаций.</w:t>
            </w:r>
          </w:p>
          <w:p>
            <w:pPr>
              <w:pStyle w:val="0"/>
              <w:jc w:val="both"/>
            </w:pPr>
            <w:r>
              <w:rPr>
                <w:sz w:val="20"/>
              </w:rPr>
              <w:t xml:space="preserve">4. Развитие инженерной инфраструктуры как основы повышения качества жизни населения Нижегородской области.</w:t>
            </w:r>
          </w:p>
          <w:p>
            <w:pPr>
              <w:pStyle w:val="0"/>
              <w:jc w:val="both"/>
            </w:pPr>
            <w:r>
              <w:rPr>
                <w:sz w:val="20"/>
              </w:rPr>
              <w:t xml:space="preserve">5. Стимулирование инвестиционной деятельности, направленной на развитие рынка газомоторного топлива.</w:t>
            </w:r>
          </w:p>
          <w:p>
            <w:pPr>
              <w:pStyle w:val="0"/>
              <w:jc w:val="both"/>
            </w:pPr>
            <w:r>
              <w:rPr>
                <w:sz w:val="20"/>
              </w:rPr>
              <w:t xml:space="preserve">6. Создание условий для приоритетного использования компримированного природного газа в качестве моторного топлива.</w:t>
            </w:r>
          </w:p>
          <w:p>
            <w:pPr>
              <w:pStyle w:val="0"/>
              <w:jc w:val="both"/>
            </w:pPr>
            <w:r>
              <w:rPr>
                <w:sz w:val="20"/>
              </w:rPr>
              <w:t xml:space="preserve">7. Создание условий для развития электрозарядной инфраструктуры.</w:t>
            </w:r>
          </w:p>
          <w:p>
            <w:pPr>
              <w:pStyle w:val="0"/>
              <w:jc w:val="both"/>
            </w:pPr>
            <w:r>
              <w:rPr>
                <w:sz w:val="20"/>
              </w:rPr>
              <w:t xml:space="preserve">8. Осуществление контроля качества топлива, завозимого для объектов ЖКХ и бюджетной сферы Нижегородской области, отвечающего техническим регламентам, стандартам, обязательным нормам и правилам.</w:t>
            </w:r>
          </w:p>
          <w:p>
            <w:pPr>
              <w:pStyle w:val="0"/>
              <w:jc w:val="both"/>
            </w:pPr>
            <w:r>
              <w:rPr>
                <w:sz w:val="20"/>
              </w:rPr>
              <w:t xml:space="preserve">9. Повышение уровня технического состояния резервных топливных хозяйств и оборудования, работающего на резервных видах топлива, ТЭЦ, предприятий и организаций, включенных в графики перевода потребителей природного газа на резервные виды топлива при похолоданиях и авариях на магистральных газопроводах</w:t>
            </w:r>
          </w:p>
        </w:tc>
        <w:tc>
          <w:tcPr>
            <w:tcW w:w="3175" w:type="dxa"/>
          </w:tcPr>
          <w:p>
            <w:pPr>
              <w:pStyle w:val="0"/>
              <w:jc w:val="both"/>
            </w:pPr>
            <w:r>
              <w:rPr>
                <w:sz w:val="20"/>
              </w:rPr>
              <w:t xml:space="preserve">- объем потребления метана на транспорте;</w:t>
            </w:r>
          </w:p>
          <w:p>
            <w:pPr>
              <w:pStyle w:val="0"/>
              <w:jc w:val="both"/>
            </w:pPr>
            <w:r>
              <w:rPr>
                <w:sz w:val="20"/>
              </w:rPr>
              <w:t xml:space="preserve">- количество Всероссийских конкурсов, фестивалей на тему энергосбережения, проведенных на территории Нижегородской области;</w:t>
            </w:r>
          </w:p>
          <w:p>
            <w:pPr>
              <w:pStyle w:val="0"/>
              <w:jc w:val="both"/>
            </w:pPr>
            <w:r>
              <w:rPr>
                <w:sz w:val="20"/>
              </w:rPr>
              <w:t xml:space="preserve">- объем инвестиций в развитие электросетевой инфраструктуры;</w:t>
            </w:r>
          </w:p>
          <w:p>
            <w:pPr>
              <w:pStyle w:val="0"/>
              <w:jc w:val="both"/>
            </w:pPr>
            <w:r>
              <w:rPr>
                <w:sz w:val="20"/>
              </w:rPr>
              <w:t xml:space="preserve">- количество газифицированных жилых домов с возмещением процентной ставки рефинансирования;</w:t>
            </w:r>
          </w:p>
          <w:p>
            <w:pPr>
              <w:pStyle w:val="0"/>
              <w:jc w:val="both"/>
            </w:pPr>
            <w:r>
              <w:rPr>
                <w:sz w:val="20"/>
              </w:rPr>
              <w:t xml:space="preserve">- предоставление субсидии на реализацию мероприятий в рамках догазификации газораспределительным организациям;</w:t>
            </w:r>
          </w:p>
          <w:p>
            <w:pPr>
              <w:pStyle w:val="0"/>
              <w:jc w:val="both"/>
            </w:pPr>
            <w:r>
              <w:rPr>
                <w:sz w:val="20"/>
              </w:rPr>
              <w:t xml:space="preserve">- протяженность газовых сетей, за счет специальных надбавок;</w:t>
            </w:r>
          </w:p>
          <w:p>
            <w:pPr>
              <w:pStyle w:val="0"/>
              <w:jc w:val="both"/>
            </w:pPr>
            <w:r>
              <w:rPr>
                <w:sz w:val="20"/>
              </w:rPr>
              <w:t xml:space="preserve">- количество мероприятий по подключению объектов газоснабжения;</w:t>
            </w:r>
          </w:p>
          <w:p>
            <w:pPr>
              <w:pStyle w:val="0"/>
              <w:jc w:val="both"/>
            </w:pPr>
            <w:r>
              <w:rPr>
                <w:sz w:val="20"/>
              </w:rPr>
              <w:t xml:space="preserve">- протяженность газовых сетей;</w:t>
            </w:r>
          </w:p>
          <w:p>
            <w:pPr>
              <w:pStyle w:val="0"/>
              <w:jc w:val="both"/>
            </w:pPr>
            <w:r>
              <w:rPr>
                <w:sz w:val="20"/>
              </w:rPr>
              <w:t xml:space="preserve">- количество объектов заправки транспортных средств компримированным природным газом, введенных в эксплуатацию;</w:t>
            </w:r>
          </w:p>
          <w:p>
            <w:pPr>
              <w:pStyle w:val="0"/>
              <w:jc w:val="both"/>
            </w:pPr>
            <w:r>
              <w:rPr>
                <w:sz w:val="20"/>
              </w:rPr>
              <w:t xml:space="preserve">- количество условных транспортных средств, переоборудованных на использование природного газа (метана) в качестве моторного топлива;</w:t>
            </w:r>
          </w:p>
          <w:p>
            <w:pPr>
              <w:pStyle w:val="0"/>
              <w:jc w:val="both"/>
            </w:pPr>
            <w:r>
              <w:rPr>
                <w:sz w:val="20"/>
              </w:rPr>
              <w:t xml:space="preserve">- количество быстрых зарядных станций, созданных с помощью государственной поддержки;</w:t>
            </w:r>
          </w:p>
          <w:p>
            <w:pPr>
              <w:pStyle w:val="0"/>
              <w:jc w:val="both"/>
            </w:pPr>
            <w:r>
              <w:rPr>
                <w:sz w:val="20"/>
              </w:rPr>
              <w:t xml:space="preserve">- количество проверок качества топлива, проведенных с отбором проб для лабораторных испытаний;</w:t>
            </w:r>
          </w:p>
          <w:p>
            <w:pPr>
              <w:pStyle w:val="0"/>
              <w:jc w:val="both"/>
            </w:pPr>
            <w:r>
              <w:rPr>
                <w:sz w:val="20"/>
              </w:rPr>
              <w:t xml:space="preserve">- количество обследованных РТХ предприятий и организаций, включенных в график перевода потребителей природного газа на резервные виды топлива при похолоданиях и авариях на магистральных газопроводах</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"Развитие энергетики"</w:t>
            </w:r>
          </w:p>
        </w:tc>
      </w:tr>
      <w:tr>
        <w:tc>
          <w:tcPr>
            <w:tcW w:w="567" w:type="dxa"/>
          </w:tcPr>
          <w:p>
            <w:pPr>
              <w:pStyle w:val="0"/>
              <w:jc w:val="both"/>
            </w:pPr>
            <w:r>
              <w:rPr>
                <w:sz w:val="20"/>
              </w:rPr>
              <w:t xml:space="preserve">10</w:t>
            </w:r>
          </w:p>
        </w:tc>
        <w:tc>
          <w:tcPr>
            <w:tcW w:w="2324" w:type="dxa"/>
          </w:tcPr>
          <w:p>
            <w:pPr>
              <w:pStyle w:val="0"/>
              <w:jc w:val="both"/>
            </w:pPr>
            <w:r>
              <w:rPr>
                <w:sz w:val="20"/>
              </w:rPr>
              <w:t xml:space="preserve">Государственная </w:t>
            </w:r>
            <w:hyperlink w:history="0" r:id="rId40" w:tooltip="Постановление Правительства Нижегородской области от 30.04.2014 N 305 (ред. от 12.04.2024) &quot;Об утверждении государственной программы Нижегородской области &quot;Обеспечение населения Нижегородской области качественными услугами в сфере жилищно-коммунального хозяйства&quot; {КонсультантПлюс}">
              <w:r>
                <w:rPr>
                  <w:sz w:val="20"/>
                  <w:color w:val="0000ff"/>
                </w:rPr>
                <w:t xml:space="preserve">программа</w:t>
              </w:r>
            </w:hyperlink>
            <w:r>
              <w:rPr>
                <w:sz w:val="20"/>
              </w:rPr>
              <w:t xml:space="preserve"> "Обеспечение населения Нижегородской области качественными услугами в сфере жилищно-коммунального хозяйства", утвержденная постановлением Правительства Нижегородской области от 30 апреля 2014 г. N 305</w:t>
            </w:r>
          </w:p>
        </w:tc>
        <w:tc>
          <w:tcPr>
            <w:tcW w:w="2324" w:type="dxa"/>
          </w:tcPr>
          <w:p>
            <w:pPr>
              <w:pStyle w:val="0"/>
              <w:jc w:val="both"/>
            </w:pPr>
            <w:r>
              <w:rPr>
                <w:sz w:val="20"/>
              </w:rPr>
              <w:t xml:space="preserve">Создание комфортной среды проживания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tc>
        <w:tc>
          <w:tcPr>
            <w:tcW w:w="1984" w:type="dxa"/>
          </w:tcPr>
          <w:p>
            <w:pPr>
              <w:pStyle w:val="0"/>
              <w:jc w:val="both"/>
            </w:pPr>
            <w:r>
              <w:rPr>
                <w:sz w:val="20"/>
              </w:rPr>
              <w:t xml:space="preserve">1. "Оздоровление Волги".</w:t>
            </w:r>
          </w:p>
          <w:p>
            <w:pPr>
              <w:pStyle w:val="0"/>
              <w:jc w:val="both"/>
            </w:pPr>
            <w:r>
              <w:rPr>
                <w:sz w:val="20"/>
              </w:rPr>
              <w:t xml:space="preserve">2. "Чистая вода".</w:t>
            </w:r>
          </w:p>
          <w:p>
            <w:pPr>
              <w:pStyle w:val="0"/>
              <w:jc w:val="both"/>
            </w:pPr>
            <w:r>
              <w:rPr>
                <w:sz w:val="20"/>
              </w:rPr>
              <w:t xml:space="preserve">3. "Реализация инфраструктурных проектов, источником финансового обеспечения которых являются бюджетные кредиты, предоставляемые из федерального бюджета на финансовое обеспечение реализации инфраструктурных проектов в 2024 году".</w:t>
            </w:r>
          </w:p>
          <w:p>
            <w:pPr>
              <w:pStyle w:val="0"/>
              <w:jc w:val="both"/>
            </w:pPr>
            <w:r>
              <w:rPr>
                <w:sz w:val="20"/>
              </w:rPr>
              <w:t xml:space="preserve">4. "Развитие и обеспечение деятельности коммунального хозяйства".</w:t>
            </w:r>
          </w:p>
          <w:p>
            <w:pPr>
              <w:pStyle w:val="0"/>
              <w:jc w:val="both"/>
            </w:pPr>
            <w:r>
              <w:rPr>
                <w:sz w:val="20"/>
              </w:rPr>
              <w:t xml:space="preserve">5. "Проведение работ и (или) оказание услуг по капитальному ремонту общего имущества в многоквартирных домах, расположенных на территории Нижегородской области".</w:t>
            </w:r>
          </w:p>
          <w:p>
            <w:pPr>
              <w:pStyle w:val="0"/>
              <w:jc w:val="both"/>
            </w:pPr>
            <w:r>
              <w:rPr>
                <w:sz w:val="20"/>
              </w:rPr>
              <w:t xml:space="preserve">6. "Обеспечение реализации государственной программы".</w:t>
            </w:r>
          </w:p>
          <w:p>
            <w:pPr>
              <w:pStyle w:val="0"/>
              <w:jc w:val="both"/>
            </w:pPr>
            <w:r>
              <w:rPr>
                <w:sz w:val="20"/>
              </w:rPr>
              <w:t xml:space="preserve">7. Отдельные мероприятия, направленные на ликвидацию последствий чрезвычайных ситуаций</w:t>
            </w:r>
          </w:p>
        </w:tc>
        <w:tc>
          <w:tcPr>
            <w:tcW w:w="3458" w:type="dxa"/>
          </w:tcPr>
          <w:p>
            <w:pPr>
              <w:pStyle w:val="0"/>
              <w:jc w:val="both"/>
            </w:pPr>
            <w:r>
              <w:rPr>
                <w:sz w:val="20"/>
              </w:rPr>
              <w:t xml:space="preserve">1. Сокращение доли загрязненных сточных вод, отводимых в реку Волга.</w:t>
            </w:r>
          </w:p>
          <w:p>
            <w:pPr>
              <w:pStyle w:val="0"/>
              <w:jc w:val="both"/>
            </w:pPr>
            <w:r>
              <w:rPr>
                <w:sz w:val="20"/>
              </w:rPr>
              <w:t xml:space="preserve">2. Повышение качества питьевой воды посредством строительства, реконструкции (модернизации) систем водоснабжения.</w:t>
            </w:r>
          </w:p>
          <w:p>
            <w:pPr>
              <w:pStyle w:val="0"/>
              <w:jc w:val="both"/>
            </w:pPr>
            <w:r>
              <w:rPr>
                <w:sz w:val="20"/>
              </w:rPr>
              <w:t xml:space="preserve">3. Снятие инфраструктурных ограничений с целью повышения качества жизни населения Нижегородской области.</w:t>
            </w:r>
          </w:p>
          <w:p>
            <w:pPr>
              <w:pStyle w:val="0"/>
              <w:jc w:val="both"/>
            </w:pPr>
            <w:r>
              <w:rPr>
                <w:sz w:val="20"/>
              </w:rPr>
              <w:t xml:space="preserve">4. Развитие инженерной инфраструктуры как основы повышения качества жизни населения Нижегородской области.</w:t>
            </w:r>
          </w:p>
          <w:p>
            <w:pPr>
              <w:pStyle w:val="0"/>
              <w:jc w:val="both"/>
            </w:pPr>
            <w:r>
              <w:rPr>
                <w:sz w:val="20"/>
              </w:rPr>
              <w:t xml:space="preserve">5. Сокращение задолженности ресурсоснабжающих организаций, в том числе по заключенным мировым соглашениям и соглашениям о реструктуризации.</w:t>
            </w:r>
          </w:p>
          <w:p>
            <w:pPr>
              <w:pStyle w:val="0"/>
              <w:jc w:val="both"/>
            </w:pPr>
            <w:r>
              <w:rPr>
                <w:sz w:val="20"/>
              </w:rPr>
              <w:t xml:space="preserve">6. Обеспечение реализации концессионных соглашений, заключенных муниципальными образованиями Нижегородской области.</w:t>
            </w:r>
          </w:p>
          <w:p>
            <w:pPr>
              <w:pStyle w:val="0"/>
              <w:jc w:val="both"/>
            </w:pPr>
            <w:r>
              <w:rPr>
                <w:sz w:val="20"/>
              </w:rPr>
              <w:t xml:space="preserve">7. Повышение энергетической эффективности объектов коммунального хозяйства Нижегородской области.</w:t>
            </w:r>
          </w:p>
          <w:p>
            <w:pPr>
              <w:pStyle w:val="0"/>
              <w:jc w:val="both"/>
            </w:pPr>
            <w:r>
              <w:rPr>
                <w:sz w:val="20"/>
              </w:rPr>
              <w:t xml:space="preserve">8. Формирование позитивного имиджа работников в сфере жилищно-коммунального хозяйства и закрепление квалифицированных рабочих и специалистов в отрасли; совершенствование профориентационной работы среди молодежи и взрослого населения.</w:t>
            </w:r>
          </w:p>
          <w:p>
            <w:pPr>
              <w:pStyle w:val="0"/>
              <w:jc w:val="both"/>
            </w:pPr>
            <w:r>
              <w:rPr>
                <w:sz w:val="20"/>
              </w:rPr>
              <w:t xml:space="preserve">9. Оказание содействия собственникам помещений в многоквартирных домах в проведении капитального ремонта, замены, модернизации лифтов, ремонта лифтовых шахт, машинных и блочных помещений в многоквартирных домах, расположенных на территории Нижегородской области.</w:t>
            </w:r>
          </w:p>
          <w:p>
            <w:pPr>
              <w:pStyle w:val="0"/>
              <w:jc w:val="both"/>
            </w:pPr>
            <w:r>
              <w:rPr>
                <w:sz w:val="20"/>
              </w:rPr>
              <w:t xml:space="preserve">10. Капитальный ремонт многоквартирных домов, расположенных на территории Нижегородской области.</w:t>
            </w:r>
          </w:p>
          <w:p>
            <w:pPr>
              <w:pStyle w:val="0"/>
              <w:jc w:val="both"/>
            </w:pPr>
            <w:r>
              <w:rPr>
                <w:sz w:val="20"/>
              </w:rPr>
              <w:t xml:space="preserve">11. Обеспечение проведения капитального ремонта общего имущества в многоквартирных домах, расположенных на территории Нижегородской области (Субсидия в виде взноса в некоммерческую организацию "Фонд капитального ремонта многоквартирных домов, расположенных на территории Нижегородской области").</w:t>
            </w:r>
          </w:p>
          <w:p>
            <w:pPr>
              <w:pStyle w:val="0"/>
              <w:jc w:val="both"/>
            </w:pPr>
            <w:r>
              <w:rPr>
                <w:sz w:val="20"/>
              </w:rPr>
              <w:t xml:space="preserve">12. Перевод многоквартирных домов на закрытую систему горячего водоснабжения.</w:t>
            </w:r>
          </w:p>
          <w:p>
            <w:pPr>
              <w:pStyle w:val="0"/>
              <w:jc w:val="both"/>
            </w:pPr>
            <w:r>
              <w:rPr>
                <w:sz w:val="20"/>
              </w:rPr>
              <w:t xml:space="preserve">13. Обеспечение эффективного исполнения государственных функций в процессе реализации государственной программы.</w:t>
            </w:r>
          </w:p>
          <w:p>
            <w:pPr>
              <w:pStyle w:val="0"/>
              <w:jc w:val="both"/>
            </w:pPr>
            <w:r>
              <w:rPr>
                <w:sz w:val="20"/>
              </w:rPr>
              <w:t xml:space="preserve">14. Обеспечение деятельности государственных учреждений.</w:t>
            </w:r>
          </w:p>
        </w:tc>
        <w:tc>
          <w:tcPr>
            <w:tcW w:w="3175" w:type="dxa"/>
          </w:tcPr>
          <w:p>
            <w:pPr>
              <w:pStyle w:val="0"/>
              <w:jc w:val="both"/>
            </w:pPr>
            <w:r>
              <w:rPr>
                <w:sz w:val="20"/>
              </w:rPr>
              <w:t xml:space="preserve">- прирост мощности очистных сооружений, обеспечивающих нормативную очистку сточных вод, нарастающим итогом;</w:t>
            </w:r>
          </w:p>
          <w:p>
            <w:pPr>
              <w:pStyle w:val="0"/>
              <w:jc w:val="both"/>
            </w:pPr>
            <w:r>
              <w:rPr>
                <w:sz w:val="20"/>
              </w:rPr>
              <w:t xml:space="preserve">- доля населения Нижегородской области, обеспеченного качественной питьевой водой из систем централизованного водоснабжения;</w:t>
            </w:r>
          </w:p>
          <w:p>
            <w:pPr>
              <w:pStyle w:val="0"/>
              <w:jc w:val="both"/>
            </w:pPr>
            <w:r>
              <w:rPr>
                <w:sz w:val="20"/>
              </w:rPr>
              <w:t xml:space="preserve">- доля городского населения Нижегородской области, обеспеченного качественной питьевой водой из систем централизованного водоснабжения;</w:t>
            </w:r>
          </w:p>
          <w:p>
            <w:pPr>
              <w:pStyle w:val="0"/>
              <w:jc w:val="both"/>
            </w:pPr>
            <w:r>
              <w:rPr>
                <w:sz w:val="20"/>
              </w:rPr>
              <w:t xml:space="preserve">- количество построенных и реконструированных (модернизированных) объектов питьевого водоснабжения и водоподготовки, предусмотренных региональными программами;</w:t>
            </w:r>
          </w:p>
          <w:p>
            <w:pPr>
              <w:pStyle w:val="0"/>
              <w:jc w:val="both"/>
            </w:pPr>
            <w:r>
              <w:rPr>
                <w:sz w:val="20"/>
              </w:rPr>
              <w:t xml:space="preserve">- увеличение мощности водопроводной станции "Малиновая гряда" в результате реконструкции;</w:t>
            </w:r>
          </w:p>
          <w:p>
            <w:pPr>
              <w:pStyle w:val="0"/>
              <w:jc w:val="both"/>
            </w:pPr>
            <w:r>
              <w:rPr>
                <w:sz w:val="20"/>
              </w:rPr>
              <w:t xml:space="preserve">- количество построенных объектов водоснабжения;</w:t>
            </w:r>
          </w:p>
          <w:p>
            <w:pPr>
              <w:pStyle w:val="0"/>
              <w:jc w:val="both"/>
            </w:pPr>
            <w:r>
              <w:rPr>
                <w:sz w:val="20"/>
              </w:rPr>
              <w:t xml:space="preserve">- количество построенных объектов водоотведения;</w:t>
            </w:r>
          </w:p>
          <w:p>
            <w:pPr>
              <w:pStyle w:val="0"/>
              <w:jc w:val="both"/>
            </w:pPr>
            <w:r>
              <w:rPr>
                <w:sz w:val="20"/>
              </w:rPr>
              <w:t xml:space="preserve">- количество реконструированных объектов водоотведения;</w:t>
            </w:r>
          </w:p>
          <w:p>
            <w:pPr>
              <w:pStyle w:val="0"/>
              <w:jc w:val="both"/>
            </w:pPr>
            <w:r>
              <w:rPr>
                <w:sz w:val="20"/>
              </w:rPr>
              <w:t xml:space="preserve">- количество построенных объектов теплоснабжения;</w:t>
            </w:r>
          </w:p>
          <w:p>
            <w:pPr>
              <w:pStyle w:val="0"/>
              <w:jc w:val="both"/>
            </w:pPr>
            <w:r>
              <w:rPr>
                <w:sz w:val="20"/>
              </w:rPr>
              <w:t xml:space="preserve">- протяженность газораспределительных сетей;</w:t>
            </w:r>
          </w:p>
          <w:p>
            <w:pPr>
              <w:pStyle w:val="0"/>
              <w:jc w:val="both"/>
            </w:pPr>
            <w:r>
              <w:rPr>
                <w:sz w:val="20"/>
              </w:rPr>
              <w:t xml:space="preserve">- погашение задолженности ресурсоснабжающей организации, в том числе по судебным актам, утверждающим заключенные мировые соглашения, и (или) соглашениям о реструктуризации;</w:t>
            </w:r>
          </w:p>
          <w:p>
            <w:pPr>
              <w:pStyle w:val="0"/>
              <w:jc w:val="both"/>
            </w:pPr>
            <w:r>
              <w:rPr>
                <w:sz w:val="20"/>
              </w:rPr>
              <w:t xml:space="preserve">- погашение (оплата) ссудной задолженности ресурсоснабжающих организаций в кредитных организациях и (или) процентных расходов, комиссий по кредитным договорам;</w:t>
            </w:r>
          </w:p>
          <w:p>
            <w:pPr>
              <w:pStyle w:val="0"/>
              <w:jc w:val="both"/>
            </w:pPr>
            <w:r>
              <w:rPr>
                <w:sz w:val="20"/>
              </w:rPr>
              <w:t xml:space="preserve">- исполнение обязательств муниципального образования перед концессионером по перечислению платы концедента в соответствии с концессионным соглашением;</w:t>
            </w:r>
          </w:p>
          <w:p>
            <w:pPr>
              <w:pStyle w:val="0"/>
              <w:jc w:val="both"/>
            </w:pPr>
            <w:r>
              <w:rPr>
                <w:sz w:val="20"/>
              </w:rPr>
              <w:t xml:space="preserve">- реализация в сфере жилищно-коммунального хозяйства инвестиционных проектов в области энергосбережения и повышения энергетической эффективности;</w:t>
            </w:r>
          </w:p>
          <w:p>
            <w:pPr>
              <w:pStyle w:val="0"/>
              <w:jc w:val="both"/>
            </w:pPr>
            <w:r>
              <w:rPr>
                <w:sz w:val="20"/>
              </w:rPr>
              <w:t xml:space="preserve">- количество проведенных смотров-конкурсов профессионального мастерства на звание "Лучший по профессии" среди работников жилищно-коммунального хозяйства;</w:t>
            </w:r>
          </w:p>
          <w:p>
            <w:pPr>
              <w:pStyle w:val="0"/>
              <w:jc w:val="both"/>
            </w:pPr>
            <w:r>
              <w:rPr>
                <w:sz w:val="20"/>
              </w:rPr>
              <w:t xml:space="preserve">- количество замененных лифтов в многоквартирных домах;</w:t>
            </w:r>
          </w:p>
          <w:p>
            <w:pPr>
              <w:pStyle w:val="0"/>
              <w:jc w:val="both"/>
            </w:pPr>
            <w:r>
              <w:rPr>
                <w:sz w:val="20"/>
              </w:rPr>
              <w:t xml:space="preserve">- количество многоквартирных домов, в отношении которых выполнены работы и (или) оказаны услуги по капитальному ремонту общего имущества;</w:t>
            </w:r>
          </w:p>
          <w:p>
            <w:pPr>
              <w:pStyle w:val="0"/>
              <w:jc w:val="both"/>
            </w:pPr>
            <w:r>
              <w:rPr>
                <w:sz w:val="20"/>
              </w:rPr>
              <w:t xml:space="preserve">- количество многоквартирных домов, в отношении которых выполнены работы и (или) оказаны услуги по ремонту;</w:t>
            </w:r>
          </w:p>
          <w:p>
            <w:pPr>
              <w:pStyle w:val="0"/>
              <w:jc w:val="both"/>
            </w:pPr>
            <w:r>
              <w:rPr>
                <w:sz w:val="20"/>
              </w:rPr>
              <w:t xml:space="preserve">- отсутствие задолженности на административно-хозяйственную деятельность некоммерческой организации "Фонд капитального ремонта многоквартирных домов, расположенных на территории Нижегородской области";</w:t>
            </w:r>
          </w:p>
          <w:p>
            <w:pPr>
              <w:pStyle w:val="0"/>
              <w:jc w:val="both"/>
            </w:pPr>
            <w:r>
              <w:rPr>
                <w:sz w:val="20"/>
              </w:rPr>
              <w:t xml:space="preserve">- количество многоквартирных домов, в которых установлены индивидуальные тепловые пункты;</w:t>
            </w:r>
          </w:p>
          <w:p>
            <w:pPr>
              <w:pStyle w:val="0"/>
              <w:jc w:val="both"/>
            </w:pPr>
            <w:r>
              <w:rPr>
                <w:sz w:val="20"/>
              </w:rPr>
              <w:t xml:space="preserve">- осуществление текущей деятельности государственного органа;</w:t>
            </w:r>
          </w:p>
          <w:p>
            <w:pPr>
              <w:pStyle w:val="0"/>
              <w:jc w:val="both"/>
            </w:pPr>
            <w:r>
              <w:rPr>
                <w:sz w:val="20"/>
              </w:rPr>
              <w:t xml:space="preserve">- осуществление деятельности государственных учреждений.</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"Обеспечение доступным и комфортным жильем и коммунальными услугами граждан Российской Федерации"</w:t>
            </w:r>
          </w:p>
        </w:tc>
      </w:tr>
      <w:tr>
        <w:tc>
          <w:tcPr>
            <w:tcW w:w="567" w:type="dxa"/>
          </w:tcPr>
          <w:p>
            <w:pPr>
              <w:pStyle w:val="0"/>
              <w:jc w:val="both"/>
            </w:pPr>
            <w:r>
              <w:rPr>
                <w:sz w:val="20"/>
              </w:rPr>
              <w:t xml:space="preserve">11</w:t>
            </w:r>
          </w:p>
        </w:tc>
        <w:tc>
          <w:tcPr>
            <w:tcW w:w="2324" w:type="dxa"/>
          </w:tcPr>
          <w:p>
            <w:pPr>
              <w:pStyle w:val="0"/>
              <w:jc w:val="both"/>
            </w:pPr>
            <w:r>
              <w:rPr>
                <w:sz w:val="20"/>
              </w:rPr>
              <w:t xml:space="preserve">Государственная </w:t>
            </w:r>
            <w:hyperlink w:history="0" r:id="rId41" w:tooltip="Постановление Правительства Нижегородской области от 01.09.2017 N 651 (ред. от 19.08.2024) &quot;Об утверждении государственной программы Нижегородской области &quot;Формирование современной городской среды на территории Нижегородской области&quot; (вместе с &quot;Порядком предоставления и распределения из областного бюджета субсидии на поддержку государственных программ субъектов Российской Федерации и муниципальных программ формирования современной городской среды за счет средств федерального бюджета и за счет средств област ------------ Недействующая редакция {КонсультантПлюс}">
              <w:r>
                <w:rPr>
                  <w:sz w:val="20"/>
                  <w:color w:val="0000ff"/>
                </w:rPr>
                <w:t xml:space="preserve">программа</w:t>
              </w:r>
            </w:hyperlink>
            <w:r>
              <w:rPr>
                <w:sz w:val="20"/>
              </w:rPr>
              <w:t xml:space="preserve"> "Формирование современной городской среды на территории Нижегородской области", утвержденная постановлением Правительства Нижегородской области от 1 сентября 2017 г. N 651</w:t>
            </w:r>
          </w:p>
        </w:tc>
        <w:tc>
          <w:tcPr>
            <w:tcW w:w="2324" w:type="dxa"/>
          </w:tcPr>
          <w:p>
            <w:pPr>
              <w:pStyle w:val="0"/>
              <w:jc w:val="both"/>
            </w:pPr>
            <w:r>
              <w:rPr>
                <w:sz w:val="20"/>
              </w:rPr>
              <w:t xml:space="preserve">Создание комфортной среды проживания и жизнедеятельности для человека, которая обеспечивает высокое качество жизни в целом</w:t>
            </w:r>
          </w:p>
        </w:tc>
        <w:tc>
          <w:tcPr>
            <w:tcW w:w="1984" w:type="dxa"/>
          </w:tcPr>
          <w:p>
            <w:pPr>
              <w:pStyle w:val="0"/>
              <w:jc w:val="both"/>
            </w:pPr>
            <w:r>
              <w:rPr>
                <w:sz w:val="20"/>
              </w:rPr>
              <w:t xml:space="preserve">1. "Формирование комфортной городской среды на территории Нижегородской области".</w:t>
            </w:r>
          </w:p>
          <w:p>
            <w:pPr>
              <w:pStyle w:val="0"/>
              <w:jc w:val="both"/>
            </w:pPr>
            <w:r>
              <w:rPr>
                <w:sz w:val="20"/>
              </w:rPr>
              <w:t xml:space="preserve">2. "Содействие развитию паломническо-туристического кластера "Арзамас - Дивеево - Саров".</w:t>
            </w:r>
          </w:p>
          <w:p>
            <w:pPr>
              <w:pStyle w:val="0"/>
              <w:jc w:val="both"/>
            </w:pPr>
            <w:r>
              <w:rPr>
                <w:sz w:val="20"/>
              </w:rPr>
              <w:t xml:space="preserve">3. "Увековечение памяти погибших при защите Отечества на 2019 - 2024 годы".</w:t>
            </w:r>
          </w:p>
          <w:p>
            <w:pPr>
              <w:pStyle w:val="0"/>
              <w:jc w:val="both"/>
            </w:pPr>
            <w:r>
              <w:rPr>
                <w:sz w:val="20"/>
              </w:rPr>
              <w:t xml:space="preserve">4. "Содействие развитию благоустройства на территории Нижегородской области"</w:t>
            </w:r>
          </w:p>
        </w:tc>
        <w:tc>
          <w:tcPr>
            <w:tcW w:w="3458" w:type="dxa"/>
          </w:tcPr>
          <w:p>
            <w:pPr>
              <w:pStyle w:val="0"/>
              <w:jc w:val="both"/>
            </w:pPr>
            <w:r>
              <w:rPr>
                <w:sz w:val="20"/>
              </w:rPr>
              <w:t xml:space="preserve">1. Создание условий для системного повышения качества и комфорта городской среды на территории Нижегородской области на основе проведения благоустройства территорий в границах муниципальных образований Нижегородской области.</w:t>
            </w:r>
          </w:p>
          <w:p>
            <w:pPr>
              <w:pStyle w:val="0"/>
              <w:jc w:val="both"/>
            </w:pPr>
            <w:r>
              <w:rPr>
                <w:sz w:val="20"/>
              </w:rPr>
              <w:t xml:space="preserve">2. Создание условий для системного повышения качества и комфорта городской среды на территории Нижегородской области на основе проведения благоустройства территорий в границах муниципальных образований Нижегородской области.</w:t>
            </w:r>
          </w:p>
          <w:p>
            <w:pPr>
              <w:pStyle w:val="0"/>
              <w:jc w:val="both"/>
            </w:pPr>
            <w:r>
              <w:rPr>
                <w:sz w:val="20"/>
              </w:rPr>
              <w:t xml:space="preserve">3. Создание условий для системного повышения качества и комфорта городской среды на территории г. Арзамас, с. Дивеево, г. Саров.</w:t>
            </w:r>
          </w:p>
          <w:p>
            <w:pPr>
              <w:pStyle w:val="0"/>
              <w:jc w:val="both"/>
            </w:pPr>
            <w:r>
              <w:rPr>
                <w:sz w:val="20"/>
              </w:rPr>
              <w:t xml:space="preserve">4. Восстановление (ремонт, реставрация, благоустройство) воинских захоронений на территории Нижегородской области.</w:t>
            </w:r>
          </w:p>
          <w:p>
            <w:pPr>
              <w:pStyle w:val="0"/>
              <w:jc w:val="both"/>
            </w:pPr>
            <w:r>
              <w:rPr>
                <w:sz w:val="20"/>
              </w:rPr>
              <w:t xml:space="preserve">5. Создание условий для системного повышения качества и комфорта городской среды на территории Нижегородской области на основе проведения благоустройства территорий в границах муниципальных образований Нижегородской области</w:t>
            </w:r>
          </w:p>
        </w:tc>
        <w:tc>
          <w:tcPr>
            <w:tcW w:w="3175" w:type="dxa"/>
          </w:tcPr>
          <w:p>
            <w:pPr>
              <w:pStyle w:val="0"/>
              <w:jc w:val="both"/>
            </w:pPr>
            <w:r>
              <w:rPr>
                <w:sz w:val="20"/>
              </w:rPr>
              <w:t xml:space="preserve">- количество городов с благоприятной городской средой;</w:t>
            </w:r>
          </w:p>
          <w:p>
            <w:pPr>
              <w:pStyle w:val="0"/>
              <w:jc w:val="both"/>
            </w:pPr>
            <w:r>
              <w:rPr>
                <w:sz w:val="20"/>
              </w:rPr>
              <w:t xml:space="preserve">- индекс качества городской среды;</w:t>
            </w:r>
          </w:p>
          <w:p>
            <w:pPr>
              <w:pStyle w:val="0"/>
              <w:jc w:val="both"/>
            </w:pPr>
            <w:r>
              <w:rPr>
                <w:sz w:val="20"/>
              </w:rPr>
              <w:t xml:space="preserve">- качество городской среды;</w:t>
            </w:r>
          </w:p>
          <w:p>
            <w:pPr>
              <w:pStyle w:val="0"/>
              <w:jc w:val="both"/>
            </w:pPr>
            <w:r>
              <w:rPr>
                <w:sz w:val="20"/>
              </w:rPr>
              <w:t xml:space="preserve">- количество благоустроенных общественных территорий нарастающим итогом;</w:t>
            </w:r>
          </w:p>
          <w:p>
            <w:pPr>
              <w:pStyle w:val="0"/>
              <w:jc w:val="both"/>
            </w:pPr>
            <w:r>
              <w:rPr>
                <w:sz w:val="20"/>
              </w:rPr>
              <w:t xml:space="preserve">- 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не менее ед. нарастающим итогом;</w:t>
            </w:r>
          </w:p>
          <w:p>
            <w:pPr>
              <w:pStyle w:val="0"/>
              <w:jc w:val="both"/>
            </w:pPr>
            <w:r>
              <w:rPr>
                <w:sz w:val="20"/>
              </w:rPr>
              <w:t xml:space="preserve">- количество муниципальных и городских округов Нижегородской области, на территории которых проведено благоустройство дворовых территорий и общественных территорий;</w:t>
            </w:r>
          </w:p>
          <w:p>
            <w:pPr>
              <w:pStyle w:val="0"/>
              <w:jc w:val="both"/>
            </w:pPr>
            <w:r>
              <w:rPr>
                <w:sz w:val="20"/>
              </w:rPr>
              <w:t xml:space="preserve">- количество обустроенных общественных пространств;</w:t>
            </w:r>
          </w:p>
          <w:p>
            <w:pPr>
              <w:pStyle w:val="0"/>
              <w:jc w:val="both"/>
            </w:pPr>
            <w:r>
              <w:rPr>
                <w:sz w:val="20"/>
              </w:rPr>
              <w:t xml:space="preserve">- количество выполненных мероприятий в рамках подготовки к празднованию 225-летия Пушкина А.С.;</w:t>
            </w:r>
          </w:p>
          <w:p>
            <w:pPr>
              <w:pStyle w:val="0"/>
              <w:jc w:val="both"/>
            </w:pPr>
            <w:r>
              <w:rPr>
                <w:sz w:val="20"/>
              </w:rPr>
              <w:t xml:space="preserve">- количество победителей смотра-конкурса на звание "Лучшее муниципальное образование Нижегородской области в сфере благоустройства и дорожной деятельности";</w:t>
            </w:r>
          </w:p>
          <w:p>
            <w:pPr>
              <w:pStyle w:val="0"/>
              <w:jc w:val="both"/>
            </w:pPr>
            <w:r>
              <w:rPr>
                <w:sz w:val="20"/>
              </w:rPr>
              <w:t xml:space="preserve">- количество разработанных и переданных в органы местного самоуправления дизайн-проектов территорий, подлежащих благоустройству АНО "Институт развития городской среды";</w:t>
            </w:r>
          </w:p>
          <w:p>
            <w:pPr>
              <w:pStyle w:val="0"/>
              <w:jc w:val="both"/>
            </w:pPr>
            <w:r>
              <w:rPr>
                <w:sz w:val="20"/>
              </w:rPr>
              <w:t xml:space="preserve">- количество муниципальных образований Нижегородской области, на территории которых выполнены работы по содержанию объектов благоустройства;</w:t>
            </w:r>
          </w:p>
          <w:p>
            <w:pPr>
              <w:pStyle w:val="0"/>
              <w:jc w:val="both"/>
            </w:pPr>
            <w:r>
              <w:rPr>
                <w:sz w:val="20"/>
              </w:rPr>
              <w:t xml:space="preserve">- количество благоустроенных общественных территорий в рамках мероприятий по содействию развитию паломническо-туристического кластера "Арзамас - Дивеево - Саров";</w:t>
            </w:r>
          </w:p>
          <w:p>
            <w:pPr>
              <w:pStyle w:val="0"/>
              <w:jc w:val="both"/>
            </w:pPr>
            <w:r>
              <w:rPr>
                <w:sz w:val="20"/>
              </w:rPr>
              <w:t xml:space="preserve">- количество восстановленных (ремонт, реставрация, благоустройство) воинских захоронений</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"Обеспечение доступным и комфортным жильем и коммунальными услугами граждан Российской Федерации"</w:t>
            </w:r>
          </w:p>
        </w:tc>
      </w:tr>
      <w:tr>
        <w:tc>
          <w:tcPr>
            <w:tcW w:w="567" w:type="dxa"/>
          </w:tcPr>
          <w:p>
            <w:pPr>
              <w:pStyle w:val="0"/>
              <w:jc w:val="both"/>
            </w:pPr>
            <w:r>
              <w:rPr>
                <w:sz w:val="20"/>
              </w:rPr>
              <w:t xml:space="preserve">12</w:t>
            </w:r>
          </w:p>
        </w:tc>
        <w:tc>
          <w:tcPr>
            <w:tcW w:w="2324" w:type="dxa"/>
          </w:tcPr>
          <w:p>
            <w:pPr>
              <w:pStyle w:val="0"/>
              <w:jc w:val="both"/>
            </w:pPr>
            <w:r>
              <w:rPr>
                <w:sz w:val="20"/>
              </w:rPr>
              <w:t xml:space="preserve">Государственная </w:t>
            </w:r>
            <w:hyperlink w:history="0" r:id="rId42" w:tooltip="Постановление Правительства Нижегородской области от 28.04.2014 N 284 (ред. от 09.02.2024) &quot;Об утверждении государственной программы Нижегородской области &quot;Управление государственным имуществом Нижегородской области&quot; ------------ Недействующая редакция {КонсультантПлюс}">
              <w:r>
                <w:rPr>
                  <w:sz w:val="20"/>
                  <w:color w:val="0000ff"/>
                </w:rPr>
                <w:t xml:space="preserve">программа</w:t>
              </w:r>
            </w:hyperlink>
            <w:r>
              <w:rPr>
                <w:sz w:val="20"/>
              </w:rPr>
              <w:t xml:space="preserve"> "Управление государственным имуществом Нижегородской области", утвержденная постановлением Правительства Нижегородской области от 28 апреля 2014 г. N 284</w:t>
            </w:r>
          </w:p>
        </w:tc>
        <w:tc>
          <w:tcPr>
            <w:tcW w:w="2324" w:type="dxa"/>
          </w:tcPr>
          <w:p>
            <w:pPr>
              <w:pStyle w:val="0"/>
              <w:jc w:val="both"/>
            </w:pPr>
            <w:r>
              <w:rPr>
                <w:sz w:val="20"/>
              </w:rPr>
              <w:t xml:space="preserve">Повышение эффективности управления государственным имуществом Нижегородской области на основе современных принципов и методов управления собственностью, качественное развитие процесса оптимизации состава собственности и увеличение доли имущественных и земельных ресурсов в неналоговых доходах областного бюджета</w:t>
            </w:r>
          </w:p>
        </w:tc>
        <w:tc>
          <w:tcPr>
            <w:tcW w:w="1984" w:type="dxa"/>
          </w:tcPr>
          <w:p>
            <w:pPr>
              <w:pStyle w:val="0"/>
              <w:jc w:val="both"/>
            </w:pPr>
            <w:r>
              <w:rPr>
                <w:sz w:val="20"/>
              </w:rPr>
              <w:t xml:space="preserve">1. "Управление государственным имуществом Нижегородской области".</w:t>
            </w:r>
          </w:p>
          <w:p>
            <w:pPr>
              <w:pStyle w:val="0"/>
              <w:jc w:val="both"/>
            </w:pPr>
            <w:r>
              <w:rPr>
                <w:sz w:val="20"/>
              </w:rPr>
              <w:t xml:space="preserve">2. "Выполнение комплексных кадастровых работ и проведение государственной кадастровой оценки".</w:t>
            </w:r>
          </w:p>
          <w:p>
            <w:pPr>
              <w:pStyle w:val="0"/>
              <w:jc w:val="both"/>
            </w:pPr>
            <w:r>
              <w:rPr>
                <w:sz w:val="20"/>
              </w:rPr>
              <w:t xml:space="preserve">3. "Подготовка проектов, реализуемых с использованием государственного имущества Нижегородской области"</w:t>
            </w:r>
          </w:p>
        </w:tc>
        <w:tc>
          <w:tcPr>
            <w:tcW w:w="3458" w:type="dxa"/>
          </w:tcPr>
          <w:p>
            <w:pPr>
              <w:pStyle w:val="0"/>
              <w:jc w:val="both"/>
            </w:pPr>
            <w:r>
              <w:rPr>
                <w:sz w:val="20"/>
              </w:rPr>
              <w:t xml:space="preserve">1. Приобретение недвижимого имущества и земельных участков в государственную собственность Нижегородской области.</w:t>
            </w:r>
          </w:p>
          <w:p>
            <w:pPr>
              <w:pStyle w:val="0"/>
              <w:jc w:val="both"/>
            </w:pPr>
            <w:r>
              <w:rPr>
                <w:sz w:val="20"/>
              </w:rPr>
              <w:t xml:space="preserve">2. Приобретение движимого имущества (акций) в государственную собственность Нижегородской области.</w:t>
            </w:r>
          </w:p>
          <w:p>
            <w:pPr>
              <w:pStyle w:val="0"/>
              <w:jc w:val="both"/>
            </w:pPr>
            <w:r>
              <w:rPr>
                <w:sz w:val="20"/>
              </w:rPr>
              <w:t xml:space="preserve">3. Повышение эффективности от управления государственным имуществом Нижегородской области.</w:t>
            </w:r>
          </w:p>
          <w:p>
            <w:pPr>
              <w:pStyle w:val="0"/>
              <w:jc w:val="both"/>
            </w:pPr>
            <w:r>
              <w:rPr>
                <w:sz w:val="20"/>
              </w:rPr>
              <w:t xml:space="preserve">4. Проведение комплексных кадастровых работ.</w:t>
            </w:r>
          </w:p>
          <w:p>
            <w:pPr>
              <w:pStyle w:val="0"/>
              <w:jc w:val="both"/>
            </w:pPr>
            <w:r>
              <w:rPr>
                <w:sz w:val="20"/>
              </w:rPr>
              <w:t xml:space="preserve">5. Определение кадастровой стоимости объектов недвижимости.</w:t>
            </w:r>
          </w:p>
          <w:p>
            <w:pPr>
              <w:pStyle w:val="0"/>
              <w:jc w:val="both"/>
            </w:pPr>
            <w:r>
              <w:rPr>
                <w:sz w:val="20"/>
              </w:rPr>
              <w:t xml:space="preserve">6. Развитие туристического и инвестиционного потенциала региона, посредством реализации инфраструктурного проекта по реконструкции и эксплуатации объектов инженерной инфраструктуры на территории ул. Черниговская г. Нижний Новгород.</w:t>
            </w:r>
          </w:p>
          <w:p>
            <w:pPr>
              <w:pStyle w:val="0"/>
              <w:jc w:val="both"/>
            </w:pPr>
            <w:r>
              <w:rPr>
                <w:sz w:val="20"/>
              </w:rPr>
              <w:t xml:space="preserve">7. Эффективное управление и использование государственного имущества Нижегородской области посредством поддержки юридических лиц, 100 доли (акций) которых принадлежат Нижегородской области.</w:t>
            </w:r>
          </w:p>
          <w:p>
            <w:pPr>
              <w:pStyle w:val="0"/>
              <w:jc w:val="both"/>
            </w:pPr>
            <w:r>
              <w:rPr>
                <w:sz w:val="20"/>
              </w:rPr>
              <w:t xml:space="preserve">8. Эффективное управление и использование государственного имущества Нижегородской области посредством поддержки государственных предприятий.</w:t>
            </w:r>
          </w:p>
          <w:p>
            <w:pPr>
              <w:pStyle w:val="0"/>
              <w:jc w:val="both"/>
            </w:pPr>
            <w:r>
              <w:rPr>
                <w:sz w:val="20"/>
              </w:rPr>
              <w:t xml:space="preserve">9. Эффективное управление и использование государственного имущества Нижегородской области посредством восстановления государственными предприятиями неиспользуемых объектов недвижимого имущества.</w:t>
            </w:r>
          </w:p>
          <w:p>
            <w:pPr>
              <w:pStyle w:val="0"/>
              <w:jc w:val="both"/>
            </w:pPr>
            <w:r>
              <w:rPr>
                <w:sz w:val="20"/>
              </w:rPr>
              <w:t xml:space="preserve">10. Эффективное управление и использование государственного имущества Нижегородской области посредством проведения мероприятий на объектах недвижимого имущества, расположенных на территории Нижегородской области, не соответствующих их фактическому состоянию.</w:t>
            </w:r>
          </w:p>
          <w:p>
            <w:pPr>
              <w:pStyle w:val="0"/>
              <w:jc w:val="both"/>
            </w:pPr>
            <w:r>
              <w:rPr>
                <w:sz w:val="20"/>
              </w:rPr>
              <w:t xml:space="preserve">11. Развитие исторической среды в Нижегородской области</w:t>
            </w:r>
          </w:p>
        </w:tc>
        <w:tc>
          <w:tcPr>
            <w:tcW w:w="3175" w:type="dxa"/>
          </w:tcPr>
          <w:p>
            <w:pPr>
              <w:pStyle w:val="0"/>
              <w:jc w:val="both"/>
            </w:pPr>
            <w:r>
              <w:rPr>
                <w:sz w:val="20"/>
              </w:rPr>
              <w:t xml:space="preserve">- доля безубыточных унитарных предприятий и организаций, находящихся в государственной собственности Нижегородской области, от общего количества предприятий и организаций, ведущих хозяйственную деятельность, находящихся в государственной собственности Нижегородской области, по окончании реализации Программы;</w:t>
            </w:r>
          </w:p>
          <w:p>
            <w:pPr>
              <w:pStyle w:val="0"/>
              <w:jc w:val="both"/>
            </w:pPr>
            <w:r>
              <w:rPr>
                <w:sz w:val="20"/>
              </w:rPr>
              <w:t xml:space="preserve">- доля объектов недвижимого имущества, на которое зарегистрировано право государственной собственности Нижегородской области, к общему количеству объектов недвижимого имущества, учтенных в реестре имущества государственной собственности Нижегородской области;</w:t>
            </w:r>
          </w:p>
          <w:p>
            <w:pPr>
              <w:pStyle w:val="0"/>
              <w:jc w:val="both"/>
            </w:pPr>
            <w:r>
              <w:rPr>
                <w:sz w:val="20"/>
              </w:rPr>
              <w:t xml:space="preserve">- количество объектов недвижимости, расположенных на территориях кадастровых кварталов, в отношении которых проведены комплексные кадастровые работы, и количество подготовленных проектов межевания территорий, расположенных в границах кадастровых кварталов, в отношении которых проведены комплексные кадастровые работы;</w:t>
            </w:r>
          </w:p>
          <w:p>
            <w:pPr>
              <w:pStyle w:val="0"/>
              <w:jc w:val="both"/>
            </w:pPr>
            <w:r>
              <w:rPr>
                <w:sz w:val="20"/>
              </w:rPr>
              <w:t xml:space="preserve">- количество объектов недвижимости (ОКС (здания, сооружения, помещения, объекты незавершенного строительства)), для которых определена кадастровая стоимость на основании </w:t>
            </w:r>
            <w:hyperlink w:history="0" r:id="rId43" w:tooltip="Федеральный закон от 03.07.2016 N 237-ФЗ (ред. от 19.12.2022) &quot;О государственной кадастровой оценке&quot; (с изм. и доп., вступ. в силу с 11.01.2023) ------------ Недействующая редакция {КонсультантПлюс}">
              <w:r>
                <w:rPr>
                  <w:sz w:val="20"/>
                  <w:color w:val="0000ff"/>
                </w:rPr>
                <w:t xml:space="preserve">статей 14</w:t>
              </w:r>
            </w:hyperlink>
            <w:r>
              <w:rPr>
                <w:sz w:val="20"/>
              </w:rPr>
              <w:t xml:space="preserve"> и </w:t>
            </w:r>
            <w:hyperlink w:history="0" r:id="rId44" w:tooltip="Федеральный закон от 03.07.2016 N 237-ФЗ (ред. от 19.12.2022) &quot;О государственной кадастровой оценке&quot; (с изм. и доп., вступ. в силу с 11.01.2023) ------------ Недействующая редакция {КонсультантПлюс}">
              <w:r>
                <w:rPr>
                  <w:sz w:val="20"/>
                  <w:color w:val="0000ff"/>
                </w:rPr>
                <w:t xml:space="preserve">16</w:t>
              </w:r>
            </w:hyperlink>
            <w:r>
              <w:rPr>
                <w:sz w:val="20"/>
              </w:rPr>
              <w:t xml:space="preserve"> Федерального закона "О государственной кадастровой оценке" (нарастающим итогом);</w:t>
            </w:r>
          </w:p>
          <w:p>
            <w:pPr>
              <w:pStyle w:val="0"/>
              <w:jc w:val="both"/>
            </w:pPr>
            <w:r>
              <w:rPr>
                <w:sz w:val="20"/>
              </w:rPr>
              <w:t xml:space="preserve">- количество объектов недвижимости (земельные участки), для которых определена кадастровая стоимость на основании </w:t>
            </w:r>
            <w:hyperlink w:history="0" r:id="rId45" w:tooltip="Федеральный закон от 03.07.2016 N 237-ФЗ (ред. от 19.12.2022) &quot;О государственной кадастровой оценке&quot; (с изм. и доп., вступ. в силу с 11.01.2023) ------------ Недействующая редакция {КонсультантПлюс}">
              <w:r>
                <w:rPr>
                  <w:sz w:val="20"/>
                  <w:color w:val="0000ff"/>
                </w:rPr>
                <w:t xml:space="preserve">статей 14</w:t>
              </w:r>
            </w:hyperlink>
            <w:r>
              <w:rPr>
                <w:sz w:val="20"/>
              </w:rPr>
              <w:t xml:space="preserve"> и </w:t>
            </w:r>
            <w:hyperlink w:history="0" r:id="rId46" w:tooltip="Федеральный закон от 03.07.2016 N 237-ФЗ (ред. от 19.12.2022) &quot;О государственной кадастровой оценке&quot; (с изм. и доп., вступ. в силу с 11.01.2023) ------------ Недействующая редакция {КонсультантПлюс}">
              <w:r>
                <w:rPr>
                  <w:sz w:val="20"/>
                  <w:color w:val="0000ff"/>
                </w:rPr>
                <w:t xml:space="preserve">16</w:t>
              </w:r>
            </w:hyperlink>
            <w:r>
              <w:rPr>
                <w:sz w:val="20"/>
              </w:rPr>
              <w:t xml:space="preserve"> Федерального закона "О государственной кадастровой оценке" (нарастающим итогом);</w:t>
            </w:r>
          </w:p>
          <w:p>
            <w:pPr>
              <w:pStyle w:val="0"/>
              <w:jc w:val="both"/>
            </w:pPr>
            <w:r>
              <w:rPr>
                <w:sz w:val="20"/>
              </w:rPr>
              <w:t xml:space="preserve">- величина прямых финансовых поступлений в областной бюджет от управления государственным имуществом Нижегородской области, администрируемых Министерством;</w:t>
            </w:r>
          </w:p>
          <w:p>
            <w:pPr>
              <w:pStyle w:val="0"/>
              <w:jc w:val="both"/>
            </w:pPr>
            <w:r>
              <w:rPr>
                <w:sz w:val="20"/>
              </w:rPr>
              <w:t xml:space="preserve">- количество мероприятий, проведенных в рамках сохранения и развития исторической среды</w:t>
            </w:r>
          </w:p>
        </w:tc>
        <w:tc>
          <w:tcPr>
            <w:tcW w:w="1814" w:type="dxa"/>
          </w:tcPr>
          <w:p>
            <w:pPr>
              <w:pStyle w:val="0"/>
              <w:jc w:val="both"/>
            </w:pPr>
            <w:r>
              <w:rPr>
                <w:sz w:val="20"/>
              </w:rPr>
              <w:t xml:space="preserve">-</w:t>
            </w:r>
          </w:p>
        </w:tc>
      </w:tr>
      <w:tr>
        <w:tc>
          <w:tcPr>
            <w:tcW w:w="567" w:type="dxa"/>
          </w:tcPr>
          <w:p>
            <w:pPr>
              <w:pStyle w:val="0"/>
              <w:jc w:val="both"/>
            </w:pPr>
            <w:r>
              <w:rPr>
                <w:sz w:val="20"/>
              </w:rPr>
              <w:t xml:space="preserve">13</w:t>
            </w:r>
          </w:p>
        </w:tc>
        <w:tc>
          <w:tcPr>
            <w:tcW w:w="2324" w:type="dxa"/>
          </w:tcPr>
          <w:p>
            <w:pPr>
              <w:pStyle w:val="0"/>
              <w:jc w:val="both"/>
            </w:pPr>
            <w:r>
              <w:rPr>
                <w:sz w:val="20"/>
              </w:rPr>
              <w:t xml:space="preserve">Государственная </w:t>
            </w:r>
            <w:hyperlink w:history="0" r:id="rId47" w:tooltip="Постановление Правительства Нижегородской области от 30.04.2014 N 302 (ред. от 14.08.2024) &quot;Об утверждении государственной программы Нижегородской области &quot;Государственная поддержка граждан по обеспечению жильем на территории Нижегородской области&quot; (вместе &quot;Порядком предоставления и распределения субсидий бюджетам муниципальных округов и городских округов Нижегородской области на осуществление социальных выплат молодым семьям на приобретение жилья или строительство индивидуального жилого дома&quot;, &quot;Порядком пр {КонсультантПлюс}">
              <w:r>
                <w:rPr>
                  <w:sz w:val="20"/>
                  <w:color w:val="0000ff"/>
                </w:rPr>
                <w:t xml:space="preserve">программа</w:t>
              </w:r>
            </w:hyperlink>
            <w:r>
              <w:rPr>
                <w:sz w:val="20"/>
              </w:rPr>
              <w:t xml:space="preserve"> "Государственная поддержка граждан по обеспечению жильем на территории Нижегородской области", утвержденная постановлением Правительства Нижегородской области от 30 апреля 2014 г. N 302</w:t>
            </w:r>
          </w:p>
        </w:tc>
        <w:tc>
          <w:tcPr>
            <w:tcW w:w="2324" w:type="dxa"/>
          </w:tcPr>
          <w:p>
            <w:pPr>
              <w:pStyle w:val="0"/>
              <w:jc w:val="both"/>
            </w:pPr>
            <w:r>
              <w:rPr>
                <w:sz w:val="20"/>
              </w:rPr>
              <w:t xml:space="preserve">Улучшение жилищных условий граждан Нижегородской области</w:t>
            </w:r>
          </w:p>
        </w:tc>
        <w:tc>
          <w:tcPr>
            <w:tcW w:w="1984" w:type="dxa"/>
          </w:tcPr>
          <w:p>
            <w:pPr>
              <w:pStyle w:val="0"/>
              <w:jc w:val="both"/>
            </w:pPr>
            <w:r>
              <w:rPr>
                <w:sz w:val="20"/>
              </w:rPr>
              <w:t xml:space="preserve">1. "Реализация жилищных прав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2. "Обеспечение жильем молодых семей в Нижегородской области".</w:t>
            </w:r>
          </w:p>
          <w:p>
            <w:pPr>
              <w:pStyle w:val="0"/>
              <w:jc w:val="both"/>
            </w:pPr>
            <w:r>
              <w:rPr>
                <w:sz w:val="20"/>
              </w:rPr>
              <w:t xml:space="preserve">3. "Обеспечение жильем отдельных категорий граждан за счет средств федерального бюджета".</w:t>
            </w:r>
          </w:p>
          <w:p>
            <w:pPr>
              <w:pStyle w:val="0"/>
              <w:jc w:val="both"/>
            </w:pPr>
            <w:r>
              <w:rPr>
                <w:sz w:val="20"/>
              </w:rPr>
              <w:t xml:space="preserve">4. "Обеспечение жильем и предоставление социальных выплат отдельным категориям граждан, а также содержание жилищного фонда Нижегородской области"</w:t>
            </w:r>
          </w:p>
        </w:tc>
        <w:tc>
          <w:tcPr>
            <w:tcW w:w="3458" w:type="dxa"/>
          </w:tcPr>
          <w:p>
            <w:pPr>
              <w:pStyle w:val="0"/>
              <w:jc w:val="both"/>
            </w:pPr>
            <w:r>
              <w:rPr>
                <w:sz w:val="20"/>
              </w:rPr>
              <w:t xml:space="preserve">1.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специализированного жилого помещения.</w:t>
            </w:r>
          </w:p>
          <w:p>
            <w:pPr>
              <w:pStyle w:val="0"/>
              <w:jc w:val="both"/>
            </w:pPr>
            <w:r>
              <w:rPr>
                <w:sz w:val="20"/>
              </w:rPr>
              <w:t xml:space="preserve">2. Предоставление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p>
            <w:pPr>
              <w:pStyle w:val="0"/>
              <w:jc w:val="both"/>
            </w:pPr>
            <w:r>
              <w:rPr>
                <w:sz w:val="20"/>
              </w:rPr>
              <w:t xml:space="preserve">3. Ремонт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либо жилых помещений государственного жилищного фонда, право пользования которыми за ними сохранено в целях обеспечения надлежащего санитарного и технического состояния этих жилых помещений.</w:t>
            </w:r>
          </w:p>
          <w:p>
            <w:pPr>
              <w:pStyle w:val="0"/>
              <w:jc w:val="both"/>
            </w:pPr>
            <w:r>
              <w:rPr>
                <w:sz w:val="20"/>
              </w:rPr>
              <w:t xml:space="preserve">4. Обеспечение жильем молодых семей.</w:t>
            </w:r>
          </w:p>
          <w:p>
            <w:pPr>
              <w:pStyle w:val="0"/>
              <w:jc w:val="both"/>
            </w:pPr>
            <w:r>
              <w:rPr>
                <w:sz w:val="20"/>
              </w:rPr>
              <w:t xml:space="preserve">5. Предоставление государственной поддержки гражданам Нижегородской области, перед которыми государство имеет обязательства по обеспечению жилыми помещениями в соответствии с законодательством.</w:t>
            </w:r>
          </w:p>
          <w:p>
            <w:pPr>
              <w:pStyle w:val="0"/>
              <w:jc w:val="both"/>
            </w:pPr>
            <w:r>
              <w:rPr>
                <w:sz w:val="20"/>
              </w:rPr>
              <w:t xml:space="preserve">6. Предоставление государственной поддержки отдельным категориям граждан.</w:t>
            </w:r>
          </w:p>
          <w:p>
            <w:pPr>
              <w:pStyle w:val="0"/>
              <w:jc w:val="both"/>
            </w:pPr>
            <w:r>
              <w:rPr>
                <w:sz w:val="20"/>
              </w:rPr>
              <w:t xml:space="preserve">7. Обеспечение доступности жилья и содержание жилищного фонда Нижегородской области</w:t>
            </w:r>
          </w:p>
        </w:tc>
        <w:tc>
          <w:tcPr>
            <w:tcW w:w="3175" w:type="dxa"/>
          </w:tcPr>
          <w:p>
            <w:pPr>
              <w:pStyle w:val="0"/>
              <w:jc w:val="both"/>
            </w:pPr>
            <w:r>
              <w:rPr>
                <w:sz w:val="20"/>
              </w:rPr>
              <w:t xml:space="preserve">- количество семей отдельных категорий граждан Российской Федерации, обеспеченных жильем;</w:t>
            </w:r>
          </w:p>
          <w:p>
            <w:pPr>
              <w:pStyle w:val="0"/>
              <w:jc w:val="both"/>
            </w:pPr>
            <w:r>
              <w:rPr>
                <w:sz w:val="20"/>
              </w:rPr>
              <w:t xml:space="preserve">- количество семей, улучшивших жилищные условия;</w:t>
            </w:r>
          </w:p>
          <w:p>
            <w:pPr>
              <w:pStyle w:val="0"/>
              <w:jc w:val="both"/>
            </w:pPr>
            <w:r>
              <w:rPr>
                <w:sz w:val="20"/>
              </w:rPr>
              <w:t xml:space="preserve">- количество граждан, улучшивших жилищные условия</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"Обеспечение доступным и комфортным жильем и коммунальными услугами граждан Российской Федерации"</w:t>
            </w:r>
          </w:p>
        </w:tc>
      </w:tr>
      <w:tr>
        <w:tc>
          <w:tcPr>
            <w:tcW w:w="567" w:type="dxa"/>
          </w:tcPr>
          <w:p>
            <w:pPr>
              <w:pStyle w:val="0"/>
              <w:jc w:val="both"/>
            </w:pPr>
            <w:r>
              <w:rPr>
                <w:sz w:val="20"/>
              </w:rPr>
              <w:t xml:space="preserve">14</w:t>
            </w:r>
          </w:p>
        </w:tc>
        <w:tc>
          <w:tcPr>
            <w:tcW w:w="2324" w:type="dxa"/>
          </w:tcPr>
          <w:p>
            <w:pPr>
              <w:pStyle w:val="0"/>
              <w:jc w:val="both"/>
            </w:pPr>
            <w:r>
              <w:rPr>
                <w:sz w:val="20"/>
              </w:rPr>
              <w:t xml:space="preserve">Государственная </w:t>
            </w:r>
            <w:hyperlink w:history="0" r:id="rId48" w:tooltip="Постановление Правительства Нижегородской области от 28.04.2014 N 280 (ред. от 21.02.2024) &quot;Об утверждении государственной программы Нижегородской области &quot;Развитие агропромышленного комплекса Нижегородской области&quot; {КонсультантПлюс}">
              <w:r>
                <w:rPr>
                  <w:sz w:val="20"/>
                  <w:color w:val="0000ff"/>
                </w:rPr>
                <w:t xml:space="preserve">программа</w:t>
              </w:r>
            </w:hyperlink>
            <w:r>
              <w:rPr>
                <w:sz w:val="20"/>
              </w:rPr>
              <w:t xml:space="preserve"> "Развитие агропромышленного комплекса Нижегородской области", утвержденная постановлением Правительства Нижегородской области от 28 апреля 2014 г. N 280</w:t>
            </w:r>
          </w:p>
        </w:tc>
        <w:tc>
          <w:tcPr>
            <w:tcW w:w="2324" w:type="dxa"/>
          </w:tcPr>
          <w:p>
            <w:pPr>
              <w:pStyle w:val="0"/>
              <w:jc w:val="both"/>
            </w:pPr>
            <w:r>
              <w:rPr>
                <w:sz w:val="20"/>
              </w:rPr>
              <w:t xml:space="preserve">1. Достижение значения индекса производства продукции сельского хозяйства (в сопоставимых ценах) в 2030 году в объеме 120,9 процента от уровня 2020 года.</w:t>
            </w:r>
          </w:p>
          <w:p>
            <w:pPr>
              <w:pStyle w:val="0"/>
              <w:jc w:val="both"/>
            </w:pPr>
            <w:r>
              <w:rPr>
                <w:sz w:val="20"/>
              </w:rPr>
              <w:t xml:space="preserve">2. Достижение объема экспорта продукции агропромышленного комплекса (в сопоставимых ценах) в размере 0,1843 млрд долларов США к концу 2024 года.</w:t>
            </w:r>
          </w:p>
          <w:p>
            <w:pPr>
              <w:pStyle w:val="0"/>
              <w:jc w:val="both"/>
            </w:pPr>
            <w:r>
              <w:rPr>
                <w:sz w:val="20"/>
              </w:rPr>
              <w:t xml:space="preserve">3. Достижение значения индекса производства пищевых продуктов (в сопоставимых ценах) в 2030 году в объеме 111,9 процента от уровня 2020 года.</w:t>
            </w:r>
          </w:p>
          <w:p>
            <w:pPr>
              <w:pStyle w:val="0"/>
              <w:jc w:val="both"/>
            </w:pPr>
            <w:r>
              <w:rPr>
                <w:sz w:val="20"/>
              </w:rPr>
              <w:t xml:space="preserve">4. Достижение уровня среднемесячной начисленной заработной платы работников сельского хозяйства (без субъектов малого предпринимательства) в 2030 году - 52333 рублей.</w:t>
            </w:r>
          </w:p>
          <w:p>
            <w:pPr>
              <w:pStyle w:val="0"/>
              <w:jc w:val="both"/>
            </w:pPr>
            <w:r>
              <w:rPr>
                <w:sz w:val="20"/>
              </w:rPr>
              <w:t xml:space="preserve">5. Обеспечение эпизоотического благополучия и развития государственной ветеринарной службы Нижегородской области.</w:t>
            </w:r>
          </w:p>
          <w:p>
            <w:pPr>
              <w:pStyle w:val="0"/>
              <w:jc w:val="both"/>
            </w:pPr>
            <w:r>
              <w:rPr>
                <w:sz w:val="20"/>
              </w:rPr>
              <w:t xml:space="preserve">6. Достижение значения доли сельского населения в общей численности населения Нижегородской области 20,13 процента.</w:t>
            </w:r>
          </w:p>
          <w:p>
            <w:pPr>
              <w:pStyle w:val="0"/>
              <w:jc w:val="both"/>
            </w:pPr>
            <w:r>
              <w:rPr>
                <w:sz w:val="20"/>
              </w:rPr>
              <w:t xml:space="preserve">7. Обеспечение условий для комплексного развития сельских территорий Нижегородской области.</w:t>
            </w:r>
          </w:p>
          <w:p>
            <w:pPr>
              <w:pStyle w:val="0"/>
              <w:jc w:val="both"/>
            </w:pPr>
            <w:r>
              <w:rPr>
                <w:sz w:val="20"/>
              </w:rPr>
              <w:t xml:space="preserve">8. Обеспечение сохранения и эффективного вовлечения в оборот земель сельскохозяйственного назначения не менее 50 тыс. га к концу 2030 года</w:t>
            </w:r>
          </w:p>
        </w:tc>
        <w:tc>
          <w:tcPr>
            <w:tcW w:w="1984" w:type="dxa"/>
          </w:tcPr>
          <w:p>
            <w:pPr>
              <w:pStyle w:val="0"/>
              <w:jc w:val="both"/>
            </w:pPr>
            <w:r>
              <w:rPr>
                <w:sz w:val="20"/>
              </w:rPr>
              <w:t xml:space="preserve">1. "Развитие сельского хозяйства, пищевой и перерабатывающей промышленности Нижегородской области".</w:t>
            </w:r>
          </w:p>
          <w:p>
            <w:pPr>
              <w:pStyle w:val="0"/>
              <w:jc w:val="both"/>
            </w:pPr>
            <w:r>
              <w:rPr>
                <w:sz w:val="20"/>
              </w:rPr>
              <w:t xml:space="preserve">2. "Эпизоотическое благополучие и развитие государственной ветеринарной службы Нижегородской области".</w:t>
            </w:r>
          </w:p>
          <w:p>
            <w:pPr>
              <w:pStyle w:val="0"/>
              <w:jc w:val="both"/>
            </w:pPr>
            <w:r>
              <w:rPr>
                <w:sz w:val="20"/>
              </w:rPr>
              <w:t xml:space="preserve">3 "Комплексное развитие сельских территорий Нижегородской области".</w:t>
            </w:r>
          </w:p>
          <w:p>
            <w:pPr>
              <w:pStyle w:val="0"/>
              <w:jc w:val="both"/>
            </w:pPr>
            <w:r>
              <w:rPr>
                <w:sz w:val="20"/>
              </w:rPr>
              <w:t xml:space="preserve">4. "Обеспечение реализации государственной программы "Развитие агропромышленного комплекса Нижегородской области"</w:t>
            </w:r>
          </w:p>
        </w:tc>
        <w:tc>
          <w:tcPr>
            <w:tcW w:w="3458" w:type="dxa"/>
          </w:tcPr>
          <w:p>
            <w:pPr>
              <w:pStyle w:val="0"/>
              <w:jc w:val="both"/>
            </w:pPr>
            <w:r>
              <w:rPr>
                <w:sz w:val="20"/>
              </w:rPr>
              <w:t xml:space="preserve">1. Увеличение объемов производства продукции в 2030 году к уровню 2020 года по растениеводству на 1,7 процента, животноводству - на 10,9 процентов.</w:t>
            </w:r>
          </w:p>
          <w:p>
            <w:pPr>
              <w:pStyle w:val="0"/>
              <w:jc w:val="both"/>
            </w:pPr>
            <w:r>
              <w:rPr>
                <w:sz w:val="20"/>
              </w:rPr>
              <w:t xml:space="preserve">2. Обеспечение обновления тракторов в сельскохозяйственных организациях до уровня 3,9 процента, зерноуборочных комбайнов - 5,7 процента, кормоуборочных комбайнов - 5,3 процента к 2030 году (с учетом государственной поддержки).</w:t>
            </w:r>
          </w:p>
          <w:p>
            <w:pPr>
              <w:pStyle w:val="0"/>
              <w:jc w:val="both"/>
            </w:pPr>
            <w:r>
              <w:rPr>
                <w:sz w:val="20"/>
              </w:rPr>
              <w:t xml:space="preserve">3. Обеспечение доходности сельскохозяйственных товаропроизводителей на уровне не менее 9,6% ежегодно.</w:t>
            </w:r>
          </w:p>
          <w:p>
            <w:pPr>
              <w:pStyle w:val="0"/>
              <w:jc w:val="both"/>
            </w:pPr>
            <w:r>
              <w:rPr>
                <w:sz w:val="20"/>
              </w:rPr>
              <w:t xml:space="preserve">4. Создание условий для привлечения кредитных ресурсов в АПК.</w:t>
            </w:r>
          </w:p>
          <w:p>
            <w:pPr>
              <w:pStyle w:val="0"/>
              <w:jc w:val="both"/>
            </w:pPr>
            <w:r>
              <w:rPr>
                <w:sz w:val="20"/>
              </w:rPr>
              <w:t xml:space="preserve">5. Увеличение объемов производства продукции в 2025 году к уровню 2021 года в сельскохозяйственных организациях, крестьянских (фермерских) хозяйствах, включая индивидуальных предпринимателей, по картофелю на 13,8 процентов, овощам открытого и закрытого грунта на 10,1 процентов; увеличение объема реализации картофеля и овощей открытого грунта, произведенных в личных подсобных хозяйствах граждан, применяющих специальный налоговый режим "Налог на профессиональный доход", получающих средства государственной поддержки, не менее чем на 0 процентов в 2025 году к уровню 2023 года.</w:t>
            </w:r>
          </w:p>
          <w:p>
            <w:pPr>
              <w:pStyle w:val="0"/>
              <w:jc w:val="both"/>
            </w:pPr>
            <w:r>
              <w:rPr>
                <w:sz w:val="20"/>
              </w:rPr>
              <w:t xml:space="preserve">6. Создание условий для эффективного вовлечения в оборот земель сельхозназначения площадью не менее 50 тыс. га к концу 2030 года и реализации комплексных мелиоративных мероприятий.</w:t>
            </w:r>
          </w:p>
          <w:p>
            <w:pPr>
              <w:pStyle w:val="0"/>
              <w:jc w:val="both"/>
            </w:pPr>
            <w:r>
              <w:rPr>
                <w:sz w:val="20"/>
              </w:rPr>
              <w:t xml:space="preserve">7. Обеспечение ежегодного прироста объема производства сельскохозяйственной продукции, произведенной сельскохозяйственными товаропроизводителями, получившими государственную поддержку на развитие сельского туризма, к 2030 году на 3%.</w:t>
            </w:r>
          </w:p>
          <w:p>
            <w:pPr>
              <w:pStyle w:val="0"/>
              <w:jc w:val="both"/>
            </w:pPr>
            <w:r>
              <w:rPr>
                <w:sz w:val="20"/>
              </w:rPr>
              <w:t xml:space="preserve">8. Создание сквозной системы финансовой и нефинансовой поддержки на всех этапах жизненного цикла проекта по экспорту продукции АПК.</w:t>
            </w:r>
          </w:p>
          <w:p>
            <w:pPr>
              <w:pStyle w:val="0"/>
              <w:jc w:val="both"/>
            </w:pPr>
            <w:r>
              <w:rPr>
                <w:sz w:val="20"/>
              </w:rPr>
              <w:t xml:space="preserve">9. Создание комплексной системы акселерации, включающей в себя финансовые инструменты поддержки субъектов МСП, а также инфраструктуру для комфортной работы и развития МСП.</w:t>
            </w:r>
          </w:p>
          <w:p>
            <w:pPr>
              <w:pStyle w:val="0"/>
              <w:jc w:val="both"/>
            </w:pPr>
            <w:r>
              <w:rPr>
                <w:sz w:val="20"/>
              </w:rPr>
              <w:t xml:space="preserve">10. Создание условий для проведения модернизации машинно-тракторного парка и производственного оборудования сельскохозяйственными товаропроизводителями.</w:t>
            </w:r>
          </w:p>
          <w:p>
            <w:pPr>
              <w:pStyle w:val="0"/>
              <w:jc w:val="both"/>
            </w:pPr>
            <w:r>
              <w:rPr>
                <w:sz w:val="20"/>
              </w:rPr>
              <w:t xml:space="preserve">11. Привлечение молодых специалистов и работников в сельскохозяйственные организации и крестьянские (фермерские) хозяйства.</w:t>
            </w:r>
          </w:p>
          <w:p>
            <w:pPr>
              <w:pStyle w:val="0"/>
              <w:jc w:val="both"/>
            </w:pPr>
            <w:r>
              <w:rPr>
                <w:sz w:val="20"/>
              </w:rPr>
              <w:t xml:space="preserve">12. Защита территории Нижегородской области от заноса и распространения вируса африканской чумы свиней.</w:t>
            </w:r>
          </w:p>
          <w:p>
            <w:pPr>
              <w:pStyle w:val="0"/>
              <w:jc w:val="both"/>
            </w:pPr>
            <w:r>
              <w:rPr>
                <w:sz w:val="20"/>
              </w:rPr>
              <w:t xml:space="preserve">13. Создание условий для повышения конкурентоспособности сельскохозяйственной продукции на основе инновационного развития агропромышленного комплекса Нижегородской области.</w:t>
            </w:r>
          </w:p>
          <w:p>
            <w:pPr>
              <w:pStyle w:val="0"/>
              <w:jc w:val="both"/>
            </w:pPr>
            <w:r>
              <w:rPr>
                <w:sz w:val="20"/>
              </w:rPr>
              <w:t xml:space="preserve">14. Развитие государственной ветеринарной лабораторной деятельности на территории Нижегородской области.</w:t>
            </w:r>
          </w:p>
          <w:p>
            <w:pPr>
              <w:pStyle w:val="0"/>
              <w:jc w:val="both"/>
            </w:pPr>
            <w:r>
              <w:rPr>
                <w:sz w:val="20"/>
              </w:rPr>
              <w:t xml:space="preserve">15. Защита населения и животных от заразных болезней, организация мероприятий при осуществлении деятельности по обращению с животными без владельцев и обеспечение развития государственной ветеринарной службы Нижегородской области.</w:t>
            </w:r>
          </w:p>
          <w:p>
            <w:pPr>
              <w:pStyle w:val="0"/>
              <w:jc w:val="both"/>
            </w:pPr>
            <w:r>
              <w:rPr>
                <w:sz w:val="20"/>
              </w:rPr>
              <w:t xml:space="preserve">16. К 2031 году созданы возможности для улучшения жилищных условий 0,021 тысяч семей, проживающих на сельских территориях (агломерациях).</w:t>
            </w:r>
          </w:p>
          <w:p>
            <w:pPr>
              <w:pStyle w:val="0"/>
              <w:jc w:val="both"/>
            </w:pPr>
            <w:r>
              <w:rPr>
                <w:sz w:val="20"/>
              </w:rPr>
              <w:t xml:space="preserve">17. К 2031 году созданы условия для привлечения 800 специалистов к работе на сельских территориях у сельскохозяйственных товаропроизводителей и организаций, осуществляющих переработку сельскохозяйственной продукции на сельских территориях.</w:t>
            </w:r>
          </w:p>
          <w:p>
            <w:pPr>
              <w:pStyle w:val="0"/>
              <w:jc w:val="both"/>
            </w:pPr>
            <w:r>
              <w:rPr>
                <w:sz w:val="20"/>
              </w:rPr>
              <w:t xml:space="preserve">18. К 2031 году обеспечено качественное улучшение и развитие социальной и инженерной инфраструктуры 28,2 процентов граждан, проживающих на сельских территориях (агломерациях).</w:t>
            </w:r>
          </w:p>
          <w:p>
            <w:pPr>
              <w:pStyle w:val="0"/>
              <w:jc w:val="both"/>
            </w:pPr>
            <w:r>
              <w:rPr>
                <w:sz w:val="20"/>
              </w:rPr>
              <w:t xml:space="preserve">19. К 2031 году повышена комфортность среды проживания граждан в 10 процентов сельских населенных пунктов от общего числа сельских населенных пунктов.</w:t>
            </w:r>
          </w:p>
          <w:p>
            <w:pPr>
              <w:pStyle w:val="0"/>
              <w:jc w:val="both"/>
            </w:pPr>
            <w:r>
              <w:rPr>
                <w:sz w:val="20"/>
              </w:rPr>
              <w:t xml:space="preserve">20. К 2031 году повышена транспортная доступность к объектам, расположенным на сельских территориях, по дорогам, обеспечивающим транспортные связи с сельскими населенными пунктами и (или) проходящим по их территории.</w:t>
            </w:r>
          </w:p>
          <w:p>
            <w:pPr>
              <w:pStyle w:val="0"/>
              <w:jc w:val="both"/>
            </w:pPr>
            <w:r>
              <w:rPr>
                <w:sz w:val="20"/>
              </w:rPr>
              <w:t xml:space="preserve">21. Оказание государственных услуг (работ) в сфере развития агропромышленного комплекса.</w:t>
            </w:r>
          </w:p>
          <w:p>
            <w:pPr>
              <w:pStyle w:val="0"/>
              <w:jc w:val="both"/>
            </w:pPr>
            <w:r>
              <w:rPr>
                <w:sz w:val="20"/>
              </w:rPr>
              <w:t xml:space="preserve">22. Обеспечение текущей деятельности государственного органа</w:t>
            </w:r>
          </w:p>
        </w:tc>
        <w:tc>
          <w:tcPr>
            <w:tcW w:w="3175" w:type="dxa"/>
          </w:tcPr>
          <w:p>
            <w:pPr>
              <w:pStyle w:val="0"/>
              <w:jc w:val="both"/>
            </w:pPr>
            <w:r>
              <w:rPr>
                <w:sz w:val="20"/>
              </w:rPr>
              <w:t xml:space="preserve">- индекс производства сельскохозяйственной продукции (в сопоставимых ценах) год к году;</w:t>
            </w:r>
          </w:p>
          <w:p>
            <w:pPr>
              <w:pStyle w:val="0"/>
              <w:jc w:val="both"/>
            </w:pPr>
            <w:r>
              <w:rPr>
                <w:sz w:val="20"/>
              </w:rPr>
              <w:t xml:space="preserve">- индекс производства продукции сельского хозяйства (в сопоставимых ценах) к уровню 2020 года;</w:t>
            </w:r>
          </w:p>
          <w:p>
            <w:pPr>
              <w:pStyle w:val="0"/>
              <w:jc w:val="both"/>
            </w:pPr>
            <w:r>
              <w:rPr>
                <w:sz w:val="20"/>
              </w:rPr>
              <w:t xml:space="preserve">- индекс производства продукции растениеводства (в сопоставимых ценах) к уровню 2020 года;</w:t>
            </w:r>
          </w:p>
          <w:p>
            <w:pPr>
              <w:pStyle w:val="0"/>
              <w:jc w:val="both"/>
            </w:pPr>
            <w:r>
              <w:rPr>
                <w:sz w:val="20"/>
              </w:rPr>
              <w:t xml:space="preserve">- индекс производства продукции животноводства (в сопоставимых ценах) к уровню 2020 года;</w:t>
            </w:r>
          </w:p>
          <w:p>
            <w:pPr>
              <w:pStyle w:val="0"/>
              <w:jc w:val="both"/>
            </w:pPr>
            <w:r>
              <w:rPr>
                <w:sz w:val="20"/>
              </w:rPr>
              <w:t xml:space="preserve">- количество занятых в сфере сельского туризма в результате реализации проектов развития сельского туризма за счет государственной поддержки (нарастающим итогом);</w:t>
            </w:r>
          </w:p>
          <w:p>
            <w:pPr>
              <w:pStyle w:val="0"/>
              <w:jc w:val="both"/>
            </w:pPr>
            <w:r>
              <w:rPr>
                <w:sz w:val="20"/>
              </w:rPr>
              <w:t xml:space="preserve">- количество туристов, посетивших объекты сельского туризма сельскохозяйственных товаропроизводителей, получивших государственную поддержку (нарастающим итогом);</w:t>
            </w:r>
          </w:p>
          <w:p>
            <w:pPr>
              <w:pStyle w:val="0"/>
              <w:jc w:val="both"/>
            </w:pPr>
            <w:r>
              <w:rPr>
                <w:sz w:val="20"/>
              </w:rPr>
              <w:t xml:space="preserve">- прирост объема производства сельскохозяйственной продукции, обеспеченный сельскохозяйственными товаропроизводителями, получившими государственную поддержку на развитие сельского туризма;</w:t>
            </w:r>
          </w:p>
          <w:p>
            <w:pPr>
              <w:pStyle w:val="0"/>
              <w:jc w:val="both"/>
            </w:pPr>
            <w:r>
              <w:rPr>
                <w:sz w:val="20"/>
              </w:rPr>
              <w:t xml:space="preserve">- количество экскурсантов, посетивших объекты сельского туризма сельскохозяйственных товаропроизводителей,</w:t>
            </w:r>
          </w:p>
          <w:p>
            <w:pPr>
              <w:pStyle w:val="0"/>
              <w:jc w:val="both"/>
            </w:pPr>
            <w:r>
              <w:rPr>
                <w:sz w:val="20"/>
              </w:rPr>
              <w:t xml:space="preserve">получивших государственную поддержку;</w:t>
            </w:r>
          </w:p>
          <w:p>
            <w:pPr>
              <w:pStyle w:val="0"/>
              <w:jc w:val="both"/>
            </w:pPr>
            <w:r>
              <w:rPr>
                <w:sz w:val="20"/>
              </w:rPr>
              <w:t xml:space="preserve">- прирост объема реализации картофеля, произведенного в личных подсобных хозяйствах граждан, применяющих специальный налоговый режим "Налог на профессиональный доход", получивших государственную поддержку;</w:t>
            </w:r>
          </w:p>
          <w:p>
            <w:pPr>
              <w:pStyle w:val="0"/>
              <w:jc w:val="both"/>
            </w:pPr>
            <w:r>
              <w:rPr>
                <w:sz w:val="20"/>
              </w:rPr>
              <w:t xml:space="preserve">- прирост объема реализации овощей открытого грунта, произведенных в личных подсобных хозяйствах граждан, применяющих специальный налоговый режим "Налог на профессиональный доход", получивших государственную поддержку;</w:t>
            </w:r>
          </w:p>
          <w:p>
            <w:pPr>
              <w:pStyle w:val="0"/>
              <w:jc w:val="both"/>
            </w:pPr>
            <w:r>
              <w:rPr>
                <w:sz w:val="20"/>
              </w:rPr>
              <w:t xml:space="preserve">- рентабельность сельскохозяйственных организаций (с учетом субсидий);</w:t>
            </w:r>
          </w:p>
          <w:p>
            <w:pPr>
              <w:pStyle w:val="0"/>
              <w:jc w:val="both"/>
            </w:pPr>
            <w:r>
              <w:rPr>
                <w:sz w:val="20"/>
              </w:rPr>
              <w:t xml:space="preserve">- удельный вес затрат на приобретение энергоресурсов в структуре затрат на основное производство продукции сельского хозяйства;</w:t>
            </w:r>
          </w:p>
          <w:p>
            <w:pPr>
              <w:pStyle w:val="0"/>
              <w:jc w:val="both"/>
            </w:pPr>
            <w:r>
              <w:rPr>
                <w:sz w:val="20"/>
              </w:rPr>
              <w:t xml:space="preserve">- коэффициент обновления тракторов в сельскохозяйственных организациях (с учетом государственной поддержки);</w:t>
            </w:r>
          </w:p>
          <w:p>
            <w:pPr>
              <w:pStyle w:val="0"/>
              <w:jc w:val="both"/>
            </w:pPr>
            <w:r>
              <w:rPr>
                <w:sz w:val="20"/>
              </w:rPr>
              <w:t xml:space="preserve">- коэффициент обновления зерноуборочных комбайнов в сельскохозяйственных организациях (с учетом государственной поддержки);</w:t>
            </w:r>
          </w:p>
          <w:p>
            <w:pPr>
              <w:pStyle w:val="0"/>
              <w:jc w:val="both"/>
            </w:pPr>
            <w:r>
              <w:rPr>
                <w:sz w:val="20"/>
              </w:rPr>
              <w:t xml:space="preserve">- коэффициент обновления кормоуборочных комбайнов в сельскохозяйственных организациях (с учетом государственной поддержки);</w:t>
            </w:r>
          </w:p>
          <w:p>
            <w:pPr>
              <w:pStyle w:val="0"/>
              <w:jc w:val="both"/>
            </w:pPr>
            <w:r>
              <w:rPr>
                <w:sz w:val="20"/>
              </w:rPr>
              <w:t xml:space="preserve">- численность занятых в сфере малого и среднего предпринимательства, включая индивидуальных предпринимателей, млн человек;</w:t>
            </w:r>
          </w:p>
          <w:p>
            <w:pPr>
              <w:pStyle w:val="0"/>
              <w:jc w:val="both"/>
            </w:pPr>
            <w:r>
              <w:rPr>
                <w:sz w:val="20"/>
              </w:rPr>
              <w:t xml:space="preserve">- прирост объема сельскохозяйственной продукции, реализованной в отчетном году сельскохозяйственными и потребительскими кооперативами, получившими грантовую поддержку;</w:t>
            </w:r>
          </w:p>
          <w:p>
            <w:pPr>
              <w:pStyle w:val="0"/>
              <w:jc w:val="both"/>
            </w:pPr>
            <w:r>
              <w:rPr>
                <w:sz w:val="20"/>
              </w:rPr>
              <w:t xml:space="preserve">- прирост объема сельскохозяйственной продукции, произведенной в отчетном году грантополучателями, реализующими проекты развития семейных ферм и "Агропрогресс";</w:t>
            </w:r>
          </w:p>
          <w:p>
            <w:pPr>
              <w:pStyle w:val="0"/>
              <w:jc w:val="both"/>
            </w:pPr>
            <w:r>
              <w:rPr>
                <w:sz w:val="20"/>
              </w:rPr>
              <w:t xml:space="preserve">- прирост объема производства картофеля в сельскохозяйственных организациях, крестьянских (фермерских) хозяйствах, включая индивидуальных предпринимателей, к уровню 2021 года;</w:t>
            </w:r>
          </w:p>
          <w:p>
            <w:pPr>
              <w:pStyle w:val="0"/>
              <w:jc w:val="both"/>
            </w:pPr>
            <w:r>
              <w:rPr>
                <w:sz w:val="20"/>
              </w:rPr>
              <w:t xml:space="preserve">- прирост объема производства овощей открытого грунта и продукции овощеводства защищенного грунта собственного производства, выращенной с применением технологии досвечивания, в сельскохозяйственных организациях, крестьянских (фермерских) хозяйствах, включая индивидуальных предпринимателей, к уровню 2021 года;</w:t>
            </w:r>
          </w:p>
          <w:p>
            <w:pPr>
              <w:pStyle w:val="0"/>
              <w:jc w:val="both"/>
            </w:pPr>
            <w:r>
              <w:rPr>
                <w:sz w:val="20"/>
              </w:rPr>
              <w:t xml:space="preserve">- объем экспорта продукции агропромышленного комплекса (в сопоставимых ценах);</w:t>
            </w:r>
          </w:p>
          <w:p>
            <w:pPr>
              <w:pStyle w:val="0"/>
              <w:jc w:val="both"/>
            </w:pPr>
            <w:r>
              <w:rPr>
                <w:sz w:val="20"/>
              </w:rPr>
              <w:t xml:space="preserve">- индекс производства пищевых продуктов (в сопоставимых ценах) к уровню 2020 года;</w:t>
            </w:r>
          </w:p>
          <w:p>
            <w:pPr>
              <w:pStyle w:val="0"/>
              <w:jc w:val="both"/>
            </w:pPr>
            <w:r>
              <w:rPr>
                <w:sz w:val="20"/>
              </w:rPr>
              <w:t xml:space="preserve">- среднемесячная начисленная заработная плата работников сельского хозяйства (без субъектов малого предпринимательства);</w:t>
            </w:r>
          </w:p>
          <w:p>
            <w:pPr>
              <w:pStyle w:val="0"/>
              <w:jc w:val="both"/>
            </w:pPr>
            <w:r>
              <w:rPr>
                <w:sz w:val="20"/>
              </w:rPr>
              <w:t xml:space="preserve">- отсутствие вспышек особо опасных болезней животных, против которых предусмотрено проведение профилактических прививок и лечебно-профилактических обработок;</w:t>
            </w:r>
          </w:p>
          <w:p>
            <w:pPr>
              <w:pStyle w:val="0"/>
              <w:jc w:val="both"/>
            </w:pPr>
            <w:r>
              <w:rPr>
                <w:sz w:val="20"/>
              </w:rPr>
              <w:t xml:space="preserve">- доля сельского населения в общей численности населения Нижегородской области;</w:t>
            </w:r>
          </w:p>
          <w:p>
            <w:pPr>
              <w:pStyle w:val="0"/>
              <w:jc w:val="both"/>
            </w:pPr>
            <w:r>
              <w:rPr>
                <w:sz w:val="20"/>
              </w:rPr>
              <w:t xml:space="preserve">- количество сельских населенных пунктов, транспортная доступность которых улучшена;</w:t>
            </w:r>
          </w:p>
          <w:p>
            <w:pPr>
              <w:pStyle w:val="0"/>
              <w:jc w:val="both"/>
            </w:pPr>
            <w:r>
              <w:rPr>
                <w:sz w:val="20"/>
              </w:rPr>
              <w:t xml:space="preserve">- численность специалистов, прошедших обучение либо привлеченных на работу на сельских территориях в результате оказания государственной поддержки;</w:t>
            </w:r>
          </w:p>
          <w:p>
            <w:pPr>
              <w:pStyle w:val="0"/>
              <w:jc w:val="both"/>
            </w:pPr>
            <w:r>
              <w:rPr>
                <w:sz w:val="20"/>
              </w:rPr>
              <w:t xml:space="preserve">- соотношение среднемесячных располагаемых ресурсов сельского и городского домохозяйств;</w:t>
            </w:r>
          </w:p>
          <w:p>
            <w:pPr>
              <w:pStyle w:val="0"/>
              <w:jc w:val="both"/>
            </w:pPr>
            <w:r>
              <w:rPr>
                <w:sz w:val="20"/>
              </w:rPr>
              <w:t xml:space="preserve">- доля общей площади благоустроенных жилых помещений в сельских населенных пунктах;</w:t>
            </w:r>
          </w:p>
          <w:p>
            <w:pPr>
              <w:pStyle w:val="0"/>
              <w:jc w:val="both"/>
            </w:pPr>
            <w:r>
              <w:rPr>
                <w:sz w:val="20"/>
              </w:rPr>
              <w:t xml:space="preserve">- доля сельского населения, проживающего на сельских территориях, на которых реализованы проекты комплексного развития сельских территорий (агломераций), (ежегодно);</w:t>
            </w:r>
          </w:p>
          <w:p>
            <w:pPr>
              <w:pStyle w:val="0"/>
              <w:jc w:val="both"/>
            </w:pPr>
            <w:r>
              <w:rPr>
                <w:sz w:val="20"/>
              </w:rPr>
              <w:t xml:space="preserve">- доля сельских населенных пунктов, в которых реализованы проекты по благоустройству общественных пространств на сельских территориях от общего числа сельских населенных пунктов;</w:t>
            </w:r>
          </w:p>
          <w:p>
            <w:pPr>
              <w:pStyle w:val="0"/>
              <w:jc w:val="both"/>
            </w:pPr>
            <w:r>
              <w:rPr>
                <w:sz w:val="20"/>
              </w:rPr>
              <w:t xml:space="preserve">- доля сельского населения, комфортность проживания которого повысилась в результате реализации проектов по благоустройству общественных пространств на сельских территориях;</w:t>
            </w:r>
          </w:p>
          <w:p>
            <w:pPr>
              <w:pStyle w:val="0"/>
              <w:jc w:val="both"/>
            </w:pPr>
            <w:r>
              <w:rPr>
                <w:sz w:val="20"/>
              </w:rPr>
              <w:t xml:space="preserve">- количество семей, для которых предоставлены возможности улучшения жилищных условий на сельских территориях (агломерациях);</w:t>
            </w:r>
          </w:p>
          <w:p>
            <w:pPr>
              <w:pStyle w:val="0"/>
              <w:jc w:val="both"/>
            </w:pPr>
            <w:r>
              <w:rPr>
                <w:sz w:val="20"/>
              </w:rPr>
              <w:t xml:space="preserve">- уровень занятости сельского населения, процентов;</w:t>
            </w:r>
          </w:p>
          <w:p>
            <w:pPr>
              <w:pStyle w:val="0"/>
              <w:jc w:val="both"/>
            </w:pPr>
            <w:r>
              <w:rPr>
                <w:sz w:val="20"/>
              </w:rPr>
              <w:t xml:space="preserve">- доля специалистов, оставшихся работать на сельских территориях, из общей численности специалистов, прошедших обучение либо привлеченных на практику на сельских территориях в результате оказания государственной поддержки;</w:t>
            </w:r>
          </w:p>
          <w:p>
            <w:pPr>
              <w:pStyle w:val="0"/>
              <w:jc w:val="both"/>
            </w:pPr>
            <w:r>
              <w:rPr>
                <w:sz w:val="20"/>
              </w:rPr>
              <w:t xml:space="preserve">- обеспечен государственный кадастровый учет 100% объема земельных участков, в отношении которых проведены кадастровые работы;</w:t>
            </w:r>
          </w:p>
          <w:p>
            <w:pPr>
              <w:pStyle w:val="0"/>
              <w:jc w:val="both"/>
            </w:pPr>
            <w:r>
              <w:rPr>
                <w:sz w:val="20"/>
              </w:rPr>
              <w:t xml:space="preserve">- обеспечена подготовка 100% объема проектов межевания земельных участков, выделяемых в счет невостребованных земельных долей;</w:t>
            </w:r>
          </w:p>
          <w:p>
            <w:pPr>
              <w:pStyle w:val="0"/>
              <w:jc w:val="both"/>
            </w:pPr>
            <w:r>
              <w:rPr>
                <w:sz w:val="20"/>
              </w:rPr>
              <w:t xml:space="preserve">- площадь вовлеченных в оборот земель сельскохозяйственного назначения, нарастающим итогом;</w:t>
            </w:r>
          </w:p>
          <w:p>
            <w:pPr>
              <w:pStyle w:val="0"/>
              <w:jc w:val="both"/>
            </w:pPr>
            <w:r>
              <w:rPr>
                <w:sz w:val="20"/>
              </w:rPr>
              <w:t xml:space="preserve">- площадь земель сохраненных в сельскохозяйственном обороте за счет проведения мелиоративных мероприятий</w:t>
            </w:r>
          </w:p>
        </w:tc>
        <w:tc>
          <w:tcPr>
            <w:tcW w:w="1814" w:type="dxa"/>
          </w:tcPr>
          <w:p>
            <w:pPr>
              <w:pStyle w:val="0"/>
              <w:jc w:val="both"/>
            </w:pPr>
            <w:r>
              <w:rPr>
                <w:sz w:val="20"/>
              </w:rPr>
              <w:t xml:space="preserve">Национальная цель "Достойный, эффективный труд и успешное предпринимательство"/Государственная программа развития сельского хозяйства и регулирования рынков сельскохозяйственной продукции, сырья и продовольствия;</w:t>
            </w:r>
          </w:p>
          <w:p>
            <w:pPr>
              <w:pStyle w:val="0"/>
              <w:jc w:val="both"/>
            </w:pPr>
            <w:r>
              <w:rPr>
                <w:sz w:val="20"/>
              </w:rPr>
              <w:t xml:space="preserve">Государственная программа Российской Федерации "Комплексное развитие сельских территорий";</w:t>
            </w:r>
          </w:p>
          <w:p>
            <w:pPr>
              <w:pStyle w:val="0"/>
              <w:jc w:val="both"/>
            </w:pPr>
            <w:r>
              <w:rPr>
                <w:sz w:val="20"/>
              </w:rPr>
              <w:t xml:space="preserve">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w:t>
            </w:r>
          </w:p>
        </w:tc>
      </w:tr>
      <w:tr>
        <w:tc>
          <w:tcPr>
            <w:tcW w:w="567" w:type="dxa"/>
          </w:tcPr>
          <w:p>
            <w:pPr>
              <w:pStyle w:val="0"/>
              <w:jc w:val="both"/>
            </w:pPr>
            <w:r>
              <w:rPr>
                <w:sz w:val="20"/>
              </w:rPr>
              <w:t xml:space="preserve">15</w:t>
            </w:r>
          </w:p>
        </w:tc>
        <w:tc>
          <w:tcPr>
            <w:tcW w:w="2324" w:type="dxa"/>
          </w:tcPr>
          <w:p>
            <w:pPr>
              <w:pStyle w:val="0"/>
              <w:jc w:val="both"/>
            </w:pPr>
            <w:r>
              <w:rPr>
                <w:sz w:val="20"/>
              </w:rPr>
              <w:t xml:space="preserve">Государственная </w:t>
            </w:r>
            <w:hyperlink w:history="0" r:id="rId49" w:tooltip="Постановление Правительства Нижегородской области от 28.04.2014 N 285 (ред. от 12.01.2024) &quot;Об утверждении государственной программы Нижегородской области &quot;Развитие физической культуры и спорта Нижегородской области&quot; ------------ Недействующая редакция {КонсультантПлюс}">
              <w:r>
                <w:rPr>
                  <w:sz w:val="20"/>
                  <w:color w:val="0000ff"/>
                </w:rPr>
                <w:t xml:space="preserve">программа</w:t>
              </w:r>
            </w:hyperlink>
            <w:r>
              <w:rPr>
                <w:sz w:val="20"/>
              </w:rPr>
              <w:t xml:space="preserve"> "Развитие физической культуры и спорта Нижегородской области", утвержденная постановлением Правительства Нижегородской области от 28 апреля 2014 г. N 285</w:t>
            </w:r>
          </w:p>
        </w:tc>
        <w:tc>
          <w:tcPr>
            <w:tcW w:w="2324" w:type="dxa"/>
          </w:tcPr>
          <w:p>
            <w:pPr>
              <w:pStyle w:val="0"/>
              <w:jc w:val="both"/>
            </w:pPr>
            <w:r>
              <w:rPr>
                <w:sz w:val="20"/>
              </w:rPr>
              <w:t xml:space="preserve">1. Увеличение доли граждан, систематически занимающихся физической культурой и спортом, до 70% к 2030 году.</w:t>
            </w:r>
          </w:p>
          <w:p>
            <w:pPr>
              <w:pStyle w:val="0"/>
              <w:jc w:val="both"/>
            </w:pPr>
            <w:r>
              <w:rPr>
                <w:sz w:val="20"/>
              </w:rPr>
              <w:t xml:space="preserve">2. Повышение конкурентоспособности нижегородских спортсменов на международной арене.</w:t>
            </w:r>
          </w:p>
          <w:p>
            <w:pPr>
              <w:pStyle w:val="0"/>
              <w:jc w:val="both"/>
            </w:pPr>
            <w:r>
              <w:rPr>
                <w:sz w:val="20"/>
              </w:rPr>
              <w:t xml:space="preserve">3. Создание условий подготовки спортивного резерва для спортивных сборных команд Нижегородской области и Российской Федерации</w:t>
            </w:r>
          </w:p>
        </w:tc>
        <w:tc>
          <w:tcPr>
            <w:tcW w:w="1984" w:type="dxa"/>
          </w:tcPr>
          <w:p>
            <w:pPr>
              <w:pStyle w:val="0"/>
              <w:jc w:val="both"/>
            </w:pPr>
            <w:r>
              <w:rPr>
                <w:sz w:val="20"/>
              </w:rPr>
              <w:t xml:space="preserve">1. "Мероприятия в рамках государственной программы "Развитие физической культуры и спорта Нижегородской области".</w:t>
            </w:r>
          </w:p>
          <w:p>
            <w:pPr>
              <w:pStyle w:val="0"/>
              <w:jc w:val="both"/>
            </w:pPr>
            <w:r>
              <w:rPr>
                <w:sz w:val="20"/>
              </w:rPr>
              <w:t xml:space="preserve">2. "Обеспечение реализации государственной подпрограммы"</w:t>
            </w:r>
          </w:p>
        </w:tc>
        <w:tc>
          <w:tcPr>
            <w:tcW w:w="3458" w:type="dxa"/>
          </w:tcPr>
          <w:p>
            <w:pPr>
              <w:pStyle w:val="0"/>
              <w:jc w:val="both"/>
            </w:pPr>
            <w:r>
              <w:rPr>
                <w:sz w:val="20"/>
              </w:rPr>
              <w:t xml:space="preserve">1. Закупка и монтаж оборудования для создания "умных" спортивных площадок.</w:t>
            </w:r>
          </w:p>
          <w:p>
            <w:pPr>
              <w:pStyle w:val="0"/>
              <w:jc w:val="both"/>
            </w:pPr>
            <w:r>
              <w:rPr>
                <w:sz w:val="20"/>
              </w:rPr>
              <w:t xml:space="preserve">2. Строительство спортивных объектов в рамках концессионных соглашений.</w:t>
            </w:r>
          </w:p>
          <w:p>
            <w:pPr>
              <w:pStyle w:val="0"/>
              <w:jc w:val="both"/>
            </w:pPr>
            <w:r>
              <w:rPr>
                <w:sz w:val="20"/>
              </w:rPr>
              <w:t xml:space="preserve">3. Создание для всех категорий и групп населения условия для занятий физической культурой и спортом.</w:t>
            </w:r>
          </w:p>
          <w:p>
            <w:pPr>
              <w:pStyle w:val="0"/>
              <w:jc w:val="both"/>
            </w:pPr>
            <w:r>
              <w:rPr>
                <w:sz w:val="20"/>
              </w:rPr>
              <w:t xml:space="preserve">4. Укрепление и развитие материально-технической базы государственных и муниципальных учреждений физической культуры и спорта.</w:t>
            </w:r>
          </w:p>
          <w:p>
            <w:pPr>
              <w:pStyle w:val="0"/>
              <w:jc w:val="both"/>
            </w:pPr>
            <w:r>
              <w:rPr>
                <w:sz w:val="20"/>
              </w:rPr>
              <w:t xml:space="preserve">5. Оказание содействия развитию командных игровых и игровых видов спорта.</w:t>
            </w:r>
          </w:p>
          <w:p>
            <w:pPr>
              <w:pStyle w:val="0"/>
              <w:jc w:val="both"/>
            </w:pPr>
            <w:r>
              <w:rPr>
                <w:sz w:val="20"/>
              </w:rPr>
              <w:t xml:space="preserve">6. Обеспечение выполнения государственного задания учреждениями, учредителем которых является министерство спорта Нижегородской области.</w:t>
            </w:r>
          </w:p>
          <w:p>
            <w:pPr>
              <w:pStyle w:val="0"/>
              <w:jc w:val="both"/>
            </w:pPr>
            <w:r>
              <w:rPr>
                <w:sz w:val="20"/>
              </w:rPr>
              <w:t xml:space="preserve">7. Обеспечение проведения физкультурно-спортивных мероприятий, включенных в Календарный план официальных физкультурных мероприятий и спортивных мероприятий, проводимых на территории Нижегородской области.</w:t>
            </w:r>
          </w:p>
          <w:p>
            <w:pPr>
              <w:pStyle w:val="0"/>
              <w:jc w:val="both"/>
            </w:pPr>
            <w:r>
              <w:rPr>
                <w:sz w:val="20"/>
              </w:rPr>
              <w:t xml:space="preserve">8. Обеспечение проведения мероприятий Всероссийского физкультурно-спортивного комплекса "Готов к труду и обороне" (ГТО).</w:t>
            </w:r>
          </w:p>
          <w:p>
            <w:pPr>
              <w:pStyle w:val="0"/>
              <w:jc w:val="both"/>
            </w:pPr>
            <w:r>
              <w:rPr>
                <w:sz w:val="20"/>
              </w:rPr>
              <w:t xml:space="preserve">9. Обеспечение проведения областных, всероссийских и международных соревнований и мероприятий.</w:t>
            </w:r>
          </w:p>
          <w:p>
            <w:pPr>
              <w:pStyle w:val="0"/>
              <w:jc w:val="both"/>
            </w:pPr>
            <w:r>
              <w:rPr>
                <w:sz w:val="20"/>
              </w:rPr>
              <w:t xml:space="preserve">10. Обеспечение участия спортсменов в учебно-тренировочных сборах и официальных соревнованиях.</w:t>
            </w:r>
          </w:p>
          <w:p>
            <w:pPr>
              <w:pStyle w:val="0"/>
              <w:jc w:val="both"/>
            </w:pPr>
            <w:r>
              <w:rPr>
                <w:sz w:val="20"/>
              </w:rPr>
              <w:t xml:space="preserve">11. Дополнительное материальное обеспечение ведущих спортсменов Нижегородской области и их тренеров.</w:t>
            </w:r>
          </w:p>
          <w:p>
            <w:pPr>
              <w:pStyle w:val="0"/>
              <w:jc w:val="both"/>
            </w:pPr>
            <w:r>
              <w:rPr>
                <w:sz w:val="20"/>
              </w:rPr>
              <w:t xml:space="preserve">12. Обеспечение эффективного исполнения государственных функций в процессе реализации государственной программы</w:t>
            </w:r>
          </w:p>
        </w:tc>
        <w:tc>
          <w:tcPr>
            <w:tcW w:w="3175" w:type="dxa"/>
          </w:tcPr>
          <w:p>
            <w:pPr>
              <w:pStyle w:val="0"/>
              <w:jc w:val="both"/>
            </w:pPr>
            <w:r>
              <w:rPr>
                <w:sz w:val="20"/>
              </w:rPr>
              <w:t xml:space="preserve">- доля граждан, систематически занимающихся физической культурой и спортом;</w:t>
            </w:r>
          </w:p>
          <w:p>
            <w:pPr>
              <w:pStyle w:val="0"/>
              <w:jc w:val="both"/>
            </w:pPr>
            <w:r>
              <w:rPr>
                <w:sz w:val="20"/>
              </w:rPr>
              <w:t xml:space="preserve">- уровень обеспеченности граждан спортивными сооружениями исходя из единовременной пропускной способности объектов спорта;</w:t>
            </w:r>
          </w:p>
          <w:p>
            <w:pPr>
              <w:pStyle w:val="0"/>
              <w:jc w:val="both"/>
            </w:pPr>
            <w:r>
              <w:rPr>
                <w:sz w:val="20"/>
              </w:rPr>
              <w:t xml:space="preserve">- доля сельского населения, систематически занимающегося физической культурой и спортом;</w:t>
            </w:r>
          </w:p>
          <w:p>
            <w:pPr>
              <w:pStyle w:val="0"/>
              <w:jc w:val="both"/>
            </w:pPr>
            <w:r>
              <w:rPr>
                <w:sz w:val="20"/>
              </w:rPr>
              <w:t xml:space="preserve">- доля граждан в возрасте 3 - 29 лет, систематически занимающихся физической культурой и спортом, в общей численности граждан данной категории;</w:t>
            </w:r>
          </w:p>
          <w:p>
            <w:pPr>
              <w:pStyle w:val="0"/>
              <w:jc w:val="both"/>
            </w:pPr>
            <w:r>
              <w:rPr>
                <w:sz w:val="20"/>
              </w:rPr>
              <w:t xml:space="preserve">- доля граждан в возрасте от 30 до 54 лет включительно (женщины) и до 59 лет включительно (мужчины), систематически занимающихся физической культурой и спортом, в общей численности граждан данной категории;</w:t>
            </w:r>
          </w:p>
          <w:p>
            <w:pPr>
              <w:pStyle w:val="0"/>
              <w:jc w:val="both"/>
            </w:pPr>
            <w:r>
              <w:rPr>
                <w:sz w:val="20"/>
              </w:rPr>
              <w:t xml:space="preserve">- доля граждан в возрасте от 55 лет (женщины) и от 60 лет (мужчины) до 79 лет включительно, систематически занимающихся физической культурой и спортом, в общей численности граждан данной категории;</w:t>
            </w:r>
          </w:p>
          <w:p>
            <w:pPr>
              <w:pStyle w:val="0"/>
              <w:jc w:val="both"/>
            </w:pPr>
            <w:r>
              <w:rPr>
                <w:sz w:val="20"/>
              </w:rPr>
              <w:t xml:space="preserve">- доля граждан трудоспособного возраста, систематически занимающихся физической культурой и спортом;</w:t>
            </w:r>
          </w:p>
          <w:p>
            <w:pPr>
              <w:pStyle w:val="0"/>
              <w:jc w:val="both"/>
            </w:pPr>
            <w:r>
              <w:rPr>
                <w:sz w:val="20"/>
              </w:rPr>
              <w:t xml:space="preserve">- количество спортивных объектов, модернизированных в рамках концепции наследия ЧМ 2018 года;</w:t>
            </w:r>
          </w:p>
          <w:p>
            <w:pPr>
              <w:pStyle w:val="0"/>
              <w:jc w:val="both"/>
            </w:pPr>
            <w:r>
              <w:rPr>
                <w:sz w:val="20"/>
              </w:rPr>
              <w:t xml:space="preserve">-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не имеющего противопоказаний для занятий физической культурой и спортом;</w:t>
            </w:r>
          </w:p>
          <w:p>
            <w:pPr>
              <w:pStyle w:val="0"/>
              <w:jc w:val="both"/>
            </w:pPr>
            <w:r>
              <w:rPr>
                <w:sz w:val="20"/>
              </w:rPr>
              <w:t xml:space="preserve">- число завоеванных медалей на международных соревнованиях по Олимпийским, Паралимпийским и Сурдлимпийским видам спорта;</w:t>
            </w:r>
          </w:p>
          <w:p>
            <w:pPr>
              <w:pStyle w:val="0"/>
              <w:jc w:val="both"/>
            </w:pPr>
            <w:r>
              <w:rPr>
                <w:sz w:val="20"/>
              </w:rPr>
              <w:t xml:space="preserve">- число завоеванных медалей на Всероссийских соревнованиях, в том числе лицами с ограниченными возможностями здоровья и инвалидами;</w:t>
            </w:r>
          </w:p>
          <w:p>
            <w:pPr>
              <w:pStyle w:val="0"/>
              <w:jc w:val="both"/>
            </w:pPr>
            <w:r>
              <w:rPr>
                <w:sz w:val="20"/>
              </w:rPr>
              <w:t xml:space="preserve">- число официальных всероссийских и международных спортивных соревнований, проведенных на территории Нижегородской области, включенных в Единый календарный план Министерства спорта России;</w:t>
            </w:r>
          </w:p>
          <w:p>
            <w:pPr>
              <w:pStyle w:val="0"/>
              <w:jc w:val="both"/>
            </w:pPr>
            <w:r>
              <w:rPr>
                <w:sz w:val="20"/>
              </w:rPr>
              <w:t xml:space="preserve">- число нижегородских спортсменов, входящих в основные и резервные составы сборных команд страны по Олимпийским, Паралимпийским и Сурдлимпийским видам спорта;</w:t>
            </w:r>
          </w:p>
          <w:p>
            <w:pPr>
              <w:pStyle w:val="0"/>
              <w:jc w:val="both"/>
            </w:pPr>
            <w:r>
              <w:rPr>
                <w:sz w:val="20"/>
              </w:rPr>
              <w:t xml:space="preserve">- количество спортсменов, имеющих спортивные разряды и звания от 1 спортивного до ЗМС;</w:t>
            </w:r>
          </w:p>
          <w:p>
            <w:pPr>
              <w:pStyle w:val="0"/>
              <w:jc w:val="both"/>
            </w:pPr>
            <w:r>
              <w:rPr>
                <w:sz w:val="20"/>
              </w:rPr>
              <w:t xml:space="preserve">- число тренеров, тренеров-преподавателей и инструкторов-методистов, которым присвоены квалификационные категории;</w:t>
            </w:r>
          </w:p>
          <w:p>
            <w:pPr>
              <w:pStyle w:val="0"/>
              <w:jc w:val="both"/>
            </w:pPr>
            <w:r>
              <w:rPr>
                <w:sz w:val="20"/>
              </w:rPr>
              <w:t xml:space="preserve">- число участия в официальных всероссийских (Высшей лиги и Суперлиги) и международных соревнованиях по командным игровым и игровым видам спорта;</w:t>
            </w:r>
          </w:p>
          <w:p>
            <w:pPr>
              <w:pStyle w:val="0"/>
              <w:jc w:val="both"/>
            </w:pPr>
            <w:r>
              <w:rPr>
                <w:sz w:val="20"/>
              </w:rPr>
              <w:t xml:space="preserve">- количество игр, проведенных в профессиональных соревнованиях (спортивных соревнованиях), в которых приняли участие команды Клуба;</w:t>
            </w:r>
          </w:p>
          <w:p>
            <w:pPr>
              <w:pStyle w:val="0"/>
              <w:jc w:val="both"/>
            </w:pPr>
            <w:r>
              <w:rPr>
                <w:sz w:val="20"/>
              </w:rPr>
              <w:t xml:space="preserve">- участие в официальных всероссийских соревнованиях и (или) Чемпионатах и первенствах России;</w:t>
            </w:r>
          </w:p>
          <w:p>
            <w:pPr>
              <w:pStyle w:val="0"/>
              <w:jc w:val="both"/>
            </w:pPr>
            <w:r>
              <w:rPr>
                <w:sz w:val="20"/>
              </w:rPr>
              <w:t xml:space="preserve">- обеспечение выполнения государственного задания учреждениями, учредителем которых является министерство спорта Нижегородской области</w:t>
            </w:r>
          </w:p>
        </w:tc>
        <w:tc>
          <w:tcPr>
            <w:tcW w:w="1814" w:type="dxa"/>
          </w:tcPr>
          <w:p>
            <w:pPr>
              <w:pStyle w:val="0"/>
              <w:jc w:val="both"/>
            </w:pPr>
            <w:r>
              <w:rPr>
                <w:sz w:val="20"/>
              </w:rPr>
              <w:t xml:space="preserve">Национальная цель "Сохранение населения, здоровье и благополучие людей"/Государственная программа Российской Федерации "Развитие физической культуры и спорта"</w:t>
            </w:r>
          </w:p>
        </w:tc>
      </w:tr>
      <w:tr>
        <w:tc>
          <w:tcPr>
            <w:tcW w:w="567" w:type="dxa"/>
          </w:tcPr>
          <w:p>
            <w:pPr>
              <w:pStyle w:val="0"/>
              <w:jc w:val="both"/>
            </w:pPr>
            <w:r>
              <w:rPr>
                <w:sz w:val="20"/>
              </w:rPr>
              <w:t xml:space="preserve">16</w:t>
            </w:r>
          </w:p>
        </w:tc>
        <w:tc>
          <w:tcPr>
            <w:tcW w:w="2324" w:type="dxa"/>
          </w:tcPr>
          <w:p>
            <w:pPr>
              <w:pStyle w:val="0"/>
              <w:jc w:val="both"/>
            </w:pPr>
            <w:r>
              <w:rPr>
                <w:sz w:val="20"/>
              </w:rPr>
              <w:t xml:space="preserve">Государственная </w:t>
            </w:r>
            <w:hyperlink w:history="0" r:id="rId50" w:tooltip="Постановление Правительства Нижегородской области от 28.04.2014 N 288 (ред. от 26.12.2023) &quot;Об утверждении государственной программы Нижегородской области &quot;Развитие лесного хозяйства Нижегородской области&quot; {КонсультантПлюс}">
              <w:r>
                <w:rPr>
                  <w:sz w:val="20"/>
                  <w:color w:val="0000ff"/>
                </w:rPr>
                <w:t xml:space="preserve">программа</w:t>
              </w:r>
            </w:hyperlink>
            <w:r>
              <w:rPr>
                <w:sz w:val="20"/>
              </w:rPr>
              <w:t xml:space="preserve"> "Развитие лесного хозяйства Нижегородской области", утвержденная постановлением Правительства Нижегородской области от 28 апреля 2014 г. N 288</w:t>
            </w:r>
          </w:p>
        </w:tc>
        <w:tc>
          <w:tcPr>
            <w:tcW w:w="2324" w:type="dxa"/>
          </w:tcPr>
          <w:p>
            <w:pPr>
              <w:pStyle w:val="0"/>
              <w:jc w:val="both"/>
            </w:pPr>
            <w:r>
              <w:rPr>
                <w:sz w:val="20"/>
              </w:rPr>
              <w:t xml:space="preserve">1. Обеспечение воспроизводства лесов на уровне не менее 100% к объему вырубленных и погибших лесов.</w:t>
            </w:r>
          </w:p>
          <w:p>
            <w:pPr>
              <w:pStyle w:val="0"/>
              <w:jc w:val="both"/>
            </w:pPr>
            <w:r>
              <w:rPr>
                <w:sz w:val="20"/>
              </w:rPr>
              <w:t xml:space="preserve">2. Повышение эффективности ведения лесного хозяйства, охраны, защиты, использования и воспроизводства лесов, а также обеспечение комфортной и безопасной среды для жителей</w:t>
            </w:r>
          </w:p>
        </w:tc>
        <w:tc>
          <w:tcPr>
            <w:tcW w:w="1984" w:type="dxa"/>
          </w:tcPr>
          <w:p>
            <w:pPr>
              <w:pStyle w:val="0"/>
              <w:jc w:val="both"/>
            </w:pPr>
            <w:r>
              <w:rPr>
                <w:sz w:val="20"/>
              </w:rPr>
              <w:t xml:space="preserve">1. "Обеспечение использования, охраны, защиты и воспроизводства лесов".</w:t>
            </w:r>
          </w:p>
          <w:p>
            <w:pPr>
              <w:pStyle w:val="0"/>
              <w:jc w:val="both"/>
            </w:pPr>
            <w:r>
              <w:rPr>
                <w:sz w:val="20"/>
              </w:rPr>
              <w:t xml:space="preserve">2. "Развитие профессионального образования в сфере лесного хозяйства".</w:t>
            </w:r>
          </w:p>
          <w:p>
            <w:pPr>
              <w:pStyle w:val="0"/>
              <w:jc w:val="both"/>
            </w:pPr>
            <w:r>
              <w:rPr>
                <w:sz w:val="20"/>
              </w:rPr>
              <w:t xml:space="preserve">3. "Обеспечение реализации государственной программы"</w:t>
            </w:r>
          </w:p>
        </w:tc>
        <w:tc>
          <w:tcPr>
            <w:tcW w:w="3458" w:type="dxa"/>
          </w:tcPr>
          <w:p>
            <w:pPr>
              <w:pStyle w:val="0"/>
              <w:jc w:val="both"/>
            </w:pPr>
            <w:r>
              <w:rPr>
                <w:sz w:val="20"/>
              </w:rPr>
              <w:t xml:space="preserve">1. Сокращение потерь лесного хозяйства от лесных пожаров.</w:t>
            </w:r>
          </w:p>
          <w:p>
            <w:pPr>
              <w:pStyle w:val="0"/>
              <w:jc w:val="both"/>
            </w:pPr>
            <w:r>
              <w:rPr>
                <w:sz w:val="20"/>
              </w:rPr>
              <w:t xml:space="preserve">2. Обеспечение эффективности осуществления защиты и воспроизводства лесов, повышения продуктивности, качества лесов и использования лесных ресурсов.</w:t>
            </w:r>
          </w:p>
          <w:p>
            <w:pPr>
              <w:pStyle w:val="0"/>
              <w:jc w:val="both"/>
            </w:pPr>
            <w:r>
              <w:rPr>
                <w:sz w:val="20"/>
              </w:rPr>
              <w:t xml:space="preserve">3. Сохранение лесов, в том числе на основе их воспроизводства на всех участках, вырубленных и погибших лесных насаждений.</w:t>
            </w:r>
          </w:p>
          <w:p>
            <w:pPr>
              <w:pStyle w:val="0"/>
              <w:jc w:val="both"/>
            </w:pPr>
            <w:r>
              <w:rPr>
                <w:sz w:val="20"/>
              </w:rPr>
              <w:t xml:space="preserve">4. Обеспечение материально-технического оснащения в целях эффективного сохранения лесов от пожаров и лесовосстановления лесов Нижегородской области.</w:t>
            </w:r>
          </w:p>
          <w:p>
            <w:pPr>
              <w:pStyle w:val="0"/>
              <w:jc w:val="both"/>
            </w:pPr>
            <w:r>
              <w:rPr>
                <w:sz w:val="20"/>
              </w:rPr>
              <w:t xml:space="preserve">5. Повышение эффективности охраны лесов от пожаров.</w:t>
            </w:r>
          </w:p>
          <w:p>
            <w:pPr>
              <w:pStyle w:val="0"/>
              <w:jc w:val="both"/>
            </w:pPr>
            <w:r>
              <w:rPr>
                <w:sz w:val="20"/>
              </w:rPr>
              <w:t xml:space="preserve">6. Формирование и реализация современной модели подготовки кадров, обеспечивающей повышение качества профессионального образования в соответствии с приоритетными направлениями развития лесного хозяйства Нижегородской области, потребностями общества, гражданина.</w:t>
            </w:r>
          </w:p>
          <w:p>
            <w:pPr>
              <w:pStyle w:val="0"/>
              <w:jc w:val="both"/>
            </w:pPr>
            <w:r>
              <w:rPr>
                <w:sz w:val="20"/>
              </w:rPr>
              <w:t xml:space="preserve">7. Обеспечение выполнения мероприятий и достижения ожидаемых результатов Госпрограммы</w:t>
            </w:r>
          </w:p>
        </w:tc>
        <w:tc>
          <w:tcPr>
            <w:tcW w:w="3175" w:type="dxa"/>
          </w:tcPr>
          <w:p>
            <w:pPr>
              <w:pStyle w:val="0"/>
              <w:jc w:val="both"/>
            </w:pPr>
            <w:r>
              <w:rPr>
                <w:sz w:val="20"/>
              </w:rPr>
              <w:t xml:space="preserve">- отношение площади лесовосстановления и лесоразведения к площади вырубленных и погибших лесных насаждений;</w:t>
            </w:r>
          </w:p>
          <w:p>
            <w:pPr>
              <w:pStyle w:val="0"/>
              <w:jc w:val="both"/>
            </w:pPr>
            <w:r>
              <w:rPr>
                <w:sz w:val="20"/>
              </w:rPr>
              <w:t xml:space="preserve">- площадь лесовосстановления и лесоразведения;</w:t>
            </w:r>
          </w:p>
          <w:p>
            <w:pPr>
              <w:pStyle w:val="0"/>
              <w:jc w:val="both"/>
            </w:pPr>
            <w:r>
              <w:rPr>
                <w:sz w:val="20"/>
              </w:rPr>
              <w:t xml:space="preserve">- количество выращенного посадочного материала лесных растений;</w:t>
            </w:r>
          </w:p>
          <w:p>
            <w:pPr>
              <w:pStyle w:val="0"/>
              <w:jc w:val="both"/>
            </w:pPr>
            <w:r>
              <w:rPr>
                <w:sz w:val="20"/>
              </w:rPr>
              <w:t xml:space="preserve">- запас семян лесных растений для лесовосстановления и лесоразведения;</w:t>
            </w:r>
          </w:p>
          <w:p>
            <w:pPr>
              <w:pStyle w:val="0"/>
              <w:jc w:val="both"/>
            </w:pPr>
            <w:r>
              <w:rPr>
                <w:sz w:val="20"/>
              </w:rPr>
              <w:t xml:space="preserve">- ущерб от лесных пожаров по годам;</w:t>
            </w:r>
          </w:p>
          <w:p>
            <w:pPr>
              <w:pStyle w:val="0"/>
              <w:jc w:val="both"/>
            </w:pPr>
            <w:r>
              <w:rPr>
                <w:sz w:val="20"/>
              </w:rPr>
              <w:t xml:space="preserve">- площадь погибших лесных насаждений;</w:t>
            </w:r>
          </w:p>
          <w:p>
            <w:pPr>
              <w:pStyle w:val="0"/>
              <w:jc w:val="both"/>
            </w:pPr>
            <w:r>
              <w:rPr>
                <w:sz w:val="20"/>
              </w:rPr>
              <w:t xml:space="preserve">- площадь лесных пожаров на землях лесного фонда;</w:t>
            </w:r>
          </w:p>
          <w:p>
            <w:pPr>
              <w:pStyle w:val="0"/>
              <w:jc w:val="both"/>
            </w:pPr>
            <w:r>
              <w:rPr>
                <w:sz w:val="20"/>
              </w:rPr>
              <w:t xml:space="preserve">- доля площади земель лесного фонда, переданных в пользование, в общей площади земель фонда;</w:t>
            </w:r>
          </w:p>
          <w:p>
            <w:pPr>
              <w:pStyle w:val="0"/>
              <w:jc w:val="both"/>
            </w:pPr>
            <w:r>
              <w:rPr>
                <w:sz w:val="20"/>
              </w:rPr>
              <w:t xml:space="preserve">- доля лесных пожаров, ликвидированных в течение первых суток с момента обнаружения, в общем количестве лесных пожаров;</w:t>
            </w:r>
          </w:p>
          <w:p>
            <w:pPr>
              <w:pStyle w:val="0"/>
              <w:jc w:val="both"/>
            </w:pPr>
            <w:r>
              <w:rPr>
                <w:sz w:val="20"/>
              </w:rPr>
              <w:t xml:space="preserve">- отношение фактического объема заготовки древесины к установленному допустимому объему изъятия древесины;</w:t>
            </w:r>
          </w:p>
          <w:p>
            <w:pPr>
              <w:pStyle w:val="0"/>
              <w:jc w:val="both"/>
            </w:pPr>
            <w:r>
              <w:rPr>
                <w:sz w:val="20"/>
              </w:rPr>
              <w:t xml:space="preserve">- объем платежей в бюджетную систему Российской Федерации от использования лесов, расположенных на землях лесного фонда;</w:t>
            </w:r>
          </w:p>
          <w:p>
            <w:pPr>
              <w:pStyle w:val="0"/>
              <w:jc w:val="both"/>
            </w:pPr>
            <w:r>
              <w:rPr>
                <w:sz w:val="20"/>
              </w:rPr>
              <w:t xml:space="preserve">- лесистость территории Российской Федерации;</w:t>
            </w:r>
          </w:p>
          <w:p>
            <w:pPr>
              <w:pStyle w:val="0"/>
              <w:jc w:val="both"/>
            </w:pPr>
            <w:r>
              <w:rPr>
                <w:sz w:val="20"/>
              </w:rPr>
              <w:t xml:space="preserve">- доля посадочного материала с закрытой корневой системой в общем количестве посадочного материала;</w:t>
            </w:r>
          </w:p>
          <w:p>
            <w:pPr>
              <w:pStyle w:val="0"/>
              <w:jc w:val="both"/>
            </w:pPr>
            <w:r>
              <w:rPr>
                <w:sz w:val="20"/>
              </w:rPr>
              <w:t xml:space="preserve">- выращивание посадочного материала с закрытой корневой системой;</w:t>
            </w:r>
          </w:p>
          <w:p>
            <w:pPr>
              <w:pStyle w:val="0"/>
              <w:jc w:val="both"/>
            </w:pPr>
            <w:r>
              <w:rPr>
                <w:sz w:val="20"/>
              </w:rPr>
              <w:t xml:space="preserve">- доля обнаруженных лесных пожаров, к средней площади обнаружения за предыдущий 5-летний период;</w:t>
            </w:r>
          </w:p>
          <w:p>
            <w:pPr>
              <w:pStyle w:val="0"/>
              <w:jc w:val="both"/>
            </w:pPr>
            <w:r>
              <w:rPr>
                <w:sz w:val="20"/>
              </w:rPr>
              <w:t xml:space="preserve">- сохранность контингента обучающихся</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"Развитие лесного хозяйства"</w:t>
            </w:r>
          </w:p>
        </w:tc>
      </w:tr>
      <w:tr>
        <w:tc>
          <w:tcPr>
            <w:tcW w:w="567" w:type="dxa"/>
          </w:tcPr>
          <w:p>
            <w:pPr>
              <w:pStyle w:val="0"/>
              <w:jc w:val="both"/>
            </w:pPr>
            <w:r>
              <w:rPr>
                <w:sz w:val="20"/>
              </w:rPr>
              <w:t xml:space="preserve">17</w:t>
            </w:r>
          </w:p>
        </w:tc>
        <w:tc>
          <w:tcPr>
            <w:tcW w:w="2324" w:type="dxa"/>
          </w:tcPr>
          <w:p>
            <w:pPr>
              <w:pStyle w:val="0"/>
              <w:jc w:val="both"/>
            </w:pPr>
            <w:r>
              <w:rPr>
                <w:sz w:val="20"/>
              </w:rPr>
              <w:t xml:space="preserve">Государственная </w:t>
            </w:r>
            <w:hyperlink w:history="0" r:id="rId51" w:tooltip="Постановление Правительства Нижегородской области от 22.05.2015 N 320 (ред. от 28.12.2023) &quot;Об утверждении государственной программы Нижегородской области &quot;Комплексные меры противодействия злоупотреблению наркотиками и их незаконному обороту на территории Нижегородской области&quot; {КонсультантПлюс}">
              <w:r>
                <w:rPr>
                  <w:sz w:val="20"/>
                  <w:color w:val="0000ff"/>
                </w:rPr>
                <w:t xml:space="preserve">программа</w:t>
              </w:r>
            </w:hyperlink>
            <w:r>
              <w:rPr>
                <w:sz w:val="20"/>
              </w:rPr>
              <w:t xml:space="preserve"> "Комплексные меры противодействия злоупотреблению наркотиками и их незаконному обороту на территории Нижегородской области", утвержденная постановлением Правительства Нижегородской области от 22 мая 2015 г. N 320</w:t>
            </w:r>
          </w:p>
        </w:tc>
        <w:tc>
          <w:tcPr>
            <w:tcW w:w="2324" w:type="dxa"/>
          </w:tcPr>
          <w:p>
            <w:pPr>
              <w:pStyle w:val="0"/>
              <w:jc w:val="both"/>
            </w:pPr>
            <w:r>
              <w:rPr>
                <w:sz w:val="20"/>
              </w:rPr>
              <w:t xml:space="preserve">Сокращение числа лиц, потребляющих наркотические средства и психотропные вещества в немедицинских целях</w:t>
            </w:r>
          </w:p>
        </w:tc>
        <w:tc>
          <w:tcPr>
            <w:tcW w:w="1984" w:type="dxa"/>
          </w:tcPr>
          <w:p>
            <w:pPr>
              <w:pStyle w:val="0"/>
              <w:jc w:val="both"/>
            </w:pPr>
            <w:r>
              <w:rPr>
                <w:sz w:val="20"/>
              </w:rPr>
              <w:t xml:space="preserve">"Комплексные меры противодействия злоупотреблению наркотиками и их незаконному обороту на территории Нижегородской области"</w:t>
            </w:r>
          </w:p>
        </w:tc>
        <w:tc>
          <w:tcPr>
            <w:tcW w:w="3458" w:type="dxa"/>
          </w:tcPr>
          <w:p>
            <w:pPr>
              <w:pStyle w:val="0"/>
              <w:jc w:val="both"/>
            </w:pPr>
            <w:r>
              <w:rPr>
                <w:sz w:val="20"/>
              </w:rPr>
              <w:t xml:space="preserve">1. Совершенствование антинаркотической деятельности и государственного контроля за оборотом наркотиков.</w:t>
            </w:r>
          </w:p>
          <w:p>
            <w:pPr>
              <w:pStyle w:val="0"/>
              <w:jc w:val="both"/>
            </w:pPr>
            <w:r>
              <w:rPr>
                <w:sz w:val="20"/>
              </w:rPr>
              <w:t xml:space="preserve">2. Профилактика и раннее выявление незаконного потребления наркотиков</w:t>
            </w:r>
          </w:p>
        </w:tc>
        <w:tc>
          <w:tcPr>
            <w:tcW w:w="3175" w:type="dxa"/>
          </w:tcPr>
          <w:p>
            <w:pPr>
              <w:pStyle w:val="0"/>
              <w:jc w:val="both"/>
            </w:pPr>
            <w:r>
              <w:rPr>
                <w:sz w:val="20"/>
              </w:rPr>
              <w:t xml:space="preserve">- число больных, прошедших лечение и реабилитацию, находящихся в ремиссии свыше 2 лет, на 100 больных среднегодового контингента (интегрированный показатель);</w:t>
            </w:r>
          </w:p>
          <w:p>
            <w:pPr>
              <w:pStyle w:val="0"/>
              <w:jc w:val="both"/>
            </w:pPr>
            <w:r>
              <w:rPr>
                <w:sz w:val="20"/>
              </w:rPr>
              <w:t xml:space="preserve">- число больных, прошедших лечение и реабилитацию, находящихся в ремиссии от 1 года до 2 лет, на 100 больных среднегодового контингента;</w:t>
            </w:r>
          </w:p>
          <w:p>
            <w:pPr>
              <w:pStyle w:val="0"/>
              <w:jc w:val="both"/>
            </w:pPr>
            <w:r>
              <w:rPr>
                <w:sz w:val="20"/>
              </w:rPr>
              <w:t xml:space="preserve">- потенциальная аудитория контента антинаркотической пропаганды в СМИ;</w:t>
            </w:r>
          </w:p>
          <w:p>
            <w:pPr>
              <w:pStyle w:val="0"/>
              <w:jc w:val="both"/>
            </w:pPr>
            <w:r>
              <w:rPr>
                <w:sz w:val="20"/>
              </w:rPr>
              <w:t xml:space="preserve">- количество населения в возрасте от 14 до 60 лет, участвующего в социологическом исследовании отношения населения Нижегородской области к проблеме наркомании</w:t>
            </w:r>
          </w:p>
        </w:tc>
        <w:tc>
          <w:tcPr>
            <w:tcW w:w="1814" w:type="dxa"/>
          </w:tcPr>
          <w:p>
            <w:pPr>
              <w:pStyle w:val="0"/>
              <w:jc w:val="both"/>
            </w:pPr>
            <w:r>
              <w:rPr>
                <w:sz w:val="20"/>
              </w:rPr>
              <w:t xml:space="preserve">-</w:t>
            </w:r>
          </w:p>
        </w:tc>
      </w:tr>
      <w:tr>
        <w:tblPrEx>
          <w:tblBorders>
            <w:insideH w:val="nil"/>
          </w:tblBorders>
        </w:tblPrEx>
        <w:tc>
          <w:tcPr>
            <w:tcW w:w="567" w:type="dxa"/>
            <w:tcBorders>
              <w:bottom w:val="nil"/>
            </w:tcBorders>
          </w:tcPr>
          <w:p>
            <w:pPr>
              <w:pStyle w:val="0"/>
              <w:jc w:val="both"/>
            </w:pPr>
            <w:r>
              <w:rPr>
                <w:sz w:val="20"/>
              </w:rPr>
              <w:t xml:space="preserve">18</w:t>
            </w:r>
          </w:p>
        </w:tc>
        <w:tc>
          <w:tcPr>
            <w:tcW w:w="2324" w:type="dxa"/>
            <w:tcBorders>
              <w:bottom w:val="nil"/>
            </w:tcBorders>
          </w:tcPr>
          <w:p>
            <w:pPr>
              <w:pStyle w:val="0"/>
              <w:jc w:val="both"/>
            </w:pPr>
            <w:r>
              <w:rPr>
                <w:sz w:val="20"/>
              </w:rPr>
              <w:t xml:space="preserve">Государственная </w:t>
            </w:r>
            <w:hyperlink w:history="0" r:id="rId52" w:tooltip="Постановление Правительства Нижегородской области от 29.04.2014 N 289 (ред. от 12.04.2024) &quot;Об утверждении государственной программы Нижегородской области &quot;Сохранение, популяризация и государственная охрана объектов культурного наследия в Нижегородской области&quot; {КонсультантПлюс}">
              <w:r>
                <w:rPr>
                  <w:sz w:val="20"/>
                  <w:color w:val="0000ff"/>
                </w:rPr>
                <w:t xml:space="preserve">программа</w:t>
              </w:r>
            </w:hyperlink>
            <w:r>
              <w:rPr>
                <w:sz w:val="20"/>
              </w:rPr>
              <w:t xml:space="preserve"> "Сохранение, популяризация и государственная охрана объектов культурного наследия в Нижегородской области", утвержденная постановлением Правительства Нижегородской области 29 апреля 2014 г. N 289</w:t>
            </w:r>
          </w:p>
        </w:tc>
        <w:tc>
          <w:tcPr>
            <w:tcW w:w="2324" w:type="dxa"/>
            <w:tcBorders>
              <w:bottom w:val="nil"/>
            </w:tcBorders>
          </w:tcPr>
          <w:p>
            <w:pPr>
              <w:pStyle w:val="0"/>
              <w:jc w:val="both"/>
            </w:pPr>
            <w:r>
              <w:rPr>
                <w:sz w:val="20"/>
              </w:rPr>
              <w:t xml:space="preserve">Создание духовно богатой, благоприятной и комфортной среды жизнедеятельности населения посредством охраны объектов культурного наследия</w:t>
            </w:r>
          </w:p>
        </w:tc>
        <w:tc>
          <w:tcPr>
            <w:tcW w:w="1984" w:type="dxa"/>
            <w:tcBorders>
              <w:bottom w:val="nil"/>
            </w:tcBorders>
          </w:tcPr>
          <w:p>
            <w:pPr>
              <w:pStyle w:val="0"/>
              <w:jc w:val="both"/>
            </w:pPr>
            <w:r>
              <w:rPr>
                <w:sz w:val="20"/>
              </w:rPr>
              <w:t xml:space="preserve">1. "Мероприятия в рамках государственной программы "Сохранение, популяризация и государственная охрана объектов культурного наследия в Нижегородской области".</w:t>
            </w:r>
          </w:p>
          <w:p>
            <w:pPr>
              <w:pStyle w:val="0"/>
              <w:jc w:val="both"/>
            </w:pPr>
            <w:r>
              <w:rPr>
                <w:sz w:val="20"/>
              </w:rPr>
              <w:t xml:space="preserve">2. "Обеспечение реализации государственной программы"</w:t>
            </w:r>
          </w:p>
        </w:tc>
        <w:tc>
          <w:tcPr>
            <w:tcW w:w="3458" w:type="dxa"/>
            <w:tcBorders>
              <w:bottom w:val="nil"/>
            </w:tcBorders>
          </w:tcPr>
          <w:p>
            <w:pPr>
              <w:pStyle w:val="0"/>
              <w:jc w:val="both"/>
            </w:pPr>
            <w:r>
              <w:rPr>
                <w:sz w:val="20"/>
              </w:rPr>
              <w:t xml:space="preserve">1. Оказание государственной поддержки муниципальным образованиям, юридическим лицам, индивидуальным предпринимателям, а также физическим лицам - производителям товаров, работ, услуг, осуществляющим работы по сохранению объектов культурного наследия.</w:t>
            </w:r>
          </w:p>
          <w:p>
            <w:pPr>
              <w:pStyle w:val="0"/>
              <w:jc w:val="both"/>
            </w:pPr>
            <w:r>
              <w:rPr>
                <w:sz w:val="20"/>
              </w:rPr>
              <w:t xml:space="preserve">2. Реализация мероприятий по государственной охране, реставрации, популяризации объектов культурного наследия.</w:t>
            </w:r>
          </w:p>
          <w:p>
            <w:pPr>
              <w:pStyle w:val="0"/>
              <w:jc w:val="both"/>
            </w:pPr>
            <w:r>
              <w:rPr>
                <w:sz w:val="20"/>
              </w:rPr>
              <w:t xml:space="preserve">3. Обеспечение выполнения функций и задач, возложенных на управление государственной охраны объектов культурного наследия Нижегородской области.</w:t>
            </w:r>
          </w:p>
          <w:p>
            <w:pPr>
              <w:pStyle w:val="0"/>
              <w:jc w:val="both"/>
            </w:pPr>
            <w:r>
              <w:rPr>
                <w:sz w:val="20"/>
              </w:rPr>
              <w:t xml:space="preserve">4. Обеспечение выполнения функций и задач, возложенных на ГАУ НО "НПЦ"</w:t>
            </w:r>
          </w:p>
        </w:tc>
        <w:tc>
          <w:tcPr>
            <w:tcW w:w="3175" w:type="dxa"/>
            <w:tcBorders>
              <w:bottom w:val="nil"/>
            </w:tcBorders>
          </w:tcPr>
          <w:p>
            <w:pPr>
              <w:pStyle w:val="0"/>
              <w:jc w:val="both"/>
            </w:pPr>
            <w:r>
              <w:rPr>
                <w:sz w:val="20"/>
              </w:rPr>
              <w:t xml:space="preserve">- доля объектов культурного наследия, в отношении которых установлены границы территории объекта культурного наследия, к общему количеству объектов культурного наследия, расположенных на территории Нижегородской области;</w:t>
            </w:r>
          </w:p>
          <w:p>
            <w:pPr>
              <w:pStyle w:val="0"/>
              <w:jc w:val="both"/>
            </w:pPr>
            <w:r>
              <w:rPr>
                <w:sz w:val="20"/>
              </w:rPr>
              <w:t xml:space="preserve">- доля объектов культурного наследия, в отношении которых установлены границы зон охраны, к общему количеству объектов культурного наследия, расположенных на территории Нижегородской области;</w:t>
            </w:r>
          </w:p>
          <w:p>
            <w:pPr>
              <w:pStyle w:val="0"/>
              <w:jc w:val="both"/>
            </w:pPr>
            <w:r>
              <w:rPr>
                <w:sz w:val="20"/>
              </w:rPr>
              <w:t xml:space="preserve">- доля объектов культурного наследия, в отношении которых выполнены работы по их сохранению, к общему количеству объектов культурного наследия, находящихся в государственной собственности Нижегородской области и нуждающихся в работах по их сохранению;</w:t>
            </w:r>
          </w:p>
          <w:p>
            <w:pPr>
              <w:pStyle w:val="0"/>
              <w:jc w:val="both"/>
            </w:pPr>
            <w:r>
              <w:rPr>
                <w:sz w:val="20"/>
              </w:rPr>
              <w:t xml:space="preserve">- доля предоставленных государственных услуг относительно общего количества принятых обращений за год;</w:t>
            </w:r>
          </w:p>
          <w:p>
            <w:pPr>
              <w:pStyle w:val="0"/>
              <w:jc w:val="both"/>
            </w:pPr>
            <w:r>
              <w:rPr>
                <w:sz w:val="20"/>
              </w:rPr>
              <w:t xml:space="preserve">- количество мероприятий по сохранению объектов культурного наследия Нижегородской области, проведенных с участием государственной поддержки (нарастающим итогом)</w:t>
            </w:r>
          </w:p>
        </w:tc>
        <w:tc>
          <w:tcPr>
            <w:tcW w:w="1814" w:type="dxa"/>
            <w:tcBorders>
              <w:bottom w:val="nil"/>
            </w:tcBorders>
          </w:tcPr>
          <w:p>
            <w:pPr>
              <w:pStyle w:val="0"/>
              <w:jc w:val="both"/>
            </w:pPr>
            <w:r>
              <w:rPr>
                <w:sz w:val="20"/>
              </w:rPr>
              <w:t xml:space="preserve">-</w:t>
            </w:r>
          </w:p>
        </w:tc>
      </w:tr>
      <w:tr>
        <w:tblPrEx>
          <w:tblBorders>
            <w:insideH w:val="nil"/>
          </w:tblBorders>
        </w:tblPrEx>
        <w:tc>
          <w:tcPr>
            <w:gridSpan w:val="7"/>
            <w:tcW w:w="15646" w:type="dxa"/>
            <w:tcBorders>
              <w:top w:val="nil"/>
            </w:tcBorders>
          </w:tcPr>
          <w:p>
            <w:pPr>
              <w:pStyle w:val="0"/>
              <w:jc w:val="both"/>
            </w:pPr>
            <w:r>
              <w:rPr>
                <w:sz w:val="20"/>
              </w:rPr>
              <w:t xml:space="preserve">(в ред. </w:t>
            </w:r>
            <w:hyperlink w:history="0" r:id="rId53" w:tooltip="Постановление Правительства Нижегородской области от 24.01.2025 N 28 &quot;О внесении изменений в прогноз социально-экономического развития Нижегородской области на среднесрочный период (на 2025 год и на плановый период 2026 и 2027 годов), одобренный постановлением Правительства Нижегородской области от 23 октября 2024 г. N 639&quot; {КонсультантПлюс}">
              <w:r>
                <w:rPr>
                  <w:sz w:val="20"/>
                  <w:color w:val="0000ff"/>
                </w:rPr>
                <w:t xml:space="preserve">постановления</w:t>
              </w:r>
            </w:hyperlink>
            <w:r>
              <w:rPr>
                <w:sz w:val="20"/>
              </w:rPr>
              <w:t xml:space="preserve"> Правительства Нижегородской области от 24.01.2025 N 28)</w:t>
            </w:r>
          </w:p>
        </w:tc>
      </w:tr>
      <w:tr>
        <w:tc>
          <w:tcPr>
            <w:tcW w:w="567" w:type="dxa"/>
          </w:tcPr>
          <w:p>
            <w:pPr>
              <w:pStyle w:val="0"/>
              <w:jc w:val="both"/>
            </w:pPr>
            <w:r>
              <w:rPr>
                <w:sz w:val="20"/>
              </w:rPr>
              <w:t xml:space="preserve">19</w:t>
            </w:r>
          </w:p>
        </w:tc>
        <w:tc>
          <w:tcPr>
            <w:tcW w:w="2324" w:type="dxa"/>
          </w:tcPr>
          <w:p>
            <w:pPr>
              <w:pStyle w:val="0"/>
              <w:jc w:val="both"/>
            </w:pPr>
            <w:r>
              <w:rPr>
                <w:sz w:val="20"/>
              </w:rPr>
              <w:t xml:space="preserve">Государственная </w:t>
            </w:r>
            <w:hyperlink w:history="0" r:id="rId54" w:tooltip="Постановление Правительства Нижегородской области от 30.04.2014 N 304 (ред. от 28.12.2023) &quot;Об утверждении государственной программы Нижегородской области &quot;Защита населения и территорий от чрезвычайных ситуаций, обеспечение пожарной безопасности и безопасности людей на водных объектах Нижегородской области&quot; (с изм. и доп., вступающими в силу с 01.01.2024) {КонсультантПлюс}">
              <w:r>
                <w:rPr>
                  <w:sz w:val="20"/>
                  <w:color w:val="0000ff"/>
                </w:rPr>
                <w:t xml:space="preserve">программа</w:t>
              </w:r>
            </w:hyperlink>
            <w:r>
              <w:rPr>
                <w:sz w:val="20"/>
              </w:rPr>
              <w:t xml:space="preserve"> "Защита населения и территорий от чрезвычайных ситуаций, обеспечение пожарной безопасности и безопасности людей на водных объектах Нижегородской области", утвержденная постановлением Правительства Нижегородской области от 30 апреля 2014 г. N 304</w:t>
            </w:r>
          </w:p>
        </w:tc>
        <w:tc>
          <w:tcPr>
            <w:tcW w:w="2324" w:type="dxa"/>
          </w:tcPr>
          <w:p>
            <w:pPr>
              <w:pStyle w:val="0"/>
              <w:jc w:val="both"/>
            </w:pPr>
            <w:r>
              <w:rPr>
                <w:sz w:val="20"/>
              </w:rPr>
              <w:t xml:space="preserve">1. Повышение безопасности населения от опасностей,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снижение числа погибших при чрезвычайных ситуациях и происшествиях.</w:t>
            </w:r>
          </w:p>
          <w:p>
            <w:pPr>
              <w:pStyle w:val="0"/>
              <w:jc w:val="both"/>
            </w:pPr>
            <w:r>
              <w:rPr>
                <w:sz w:val="20"/>
              </w:rPr>
              <w:t xml:space="preserve">2. Повышение уровня пожарной безопасности населения и территории Нижегородской области, снижение риска пожаров до социально приемлемого уровня, включая сокращение числа погибших и получивших травмы в результате пожаров людей.</w:t>
            </w:r>
          </w:p>
          <w:p>
            <w:pPr>
              <w:pStyle w:val="0"/>
              <w:jc w:val="both"/>
            </w:pPr>
            <w:r>
              <w:rPr>
                <w:sz w:val="20"/>
              </w:rPr>
              <w:t xml:space="preserve">3. Обеспечение эффективной подготовки населения области к действиям по защите от чрезвычайных ситуаций мирного и военного времени.</w:t>
            </w:r>
          </w:p>
          <w:p>
            <w:pPr>
              <w:pStyle w:val="0"/>
              <w:jc w:val="both"/>
            </w:pPr>
            <w:r>
              <w:rPr>
                <w:sz w:val="20"/>
              </w:rPr>
              <w:t xml:space="preserve">4. Повышение общего уровня общественной безопасности, правопорядка и безопасности среды обитания на территории Нижегородской области.</w:t>
            </w:r>
          </w:p>
          <w:p>
            <w:pPr>
              <w:pStyle w:val="0"/>
              <w:jc w:val="both"/>
            </w:pPr>
            <w:r>
              <w:rPr>
                <w:sz w:val="20"/>
              </w:rPr>
              <w:t xml:space="preserve">5. Обеспечение эффективной деятельности и управления в системе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tc>
        <w:tc>
          <w:tcPr>
            <w:tcW w:w="1984" w:type="dxa"/>
          </w:tcPr>
          <w:p>
            <w:pPr>
              <w:pStyle w:val="0"/>
              <w:jc w:val="both"/>
            </w:pPr>
            <w:r>
              <w:rPr>
                <w:sz w:val="20"/>
              </w:rPr>
              <w:t xml:space="preserve">1. "Защита населения от чрезвычайных ситуаций".</w:t>
            </w:r>
          </w:p>
          <w:p>
            <w:pPr>
              <w:pStyle w:val="0"/>
              <w:jc w:val="both"/>
            </w:pPr>
            <w:r>
              <w:rPr>
                <w:sz w:val="20"/>
              </w:rPr>
              <w:t xml:space="preserve">2. "Обеспечение пожарной безопасности".</w:t>
            </w:r>
          </w:p>
          <w:p>
            <w:pPr>
              <w:pStyle w:val="0"/>
              <w:jc w:val="both"/>
            </w:pPr>
            <w:r>
              <w:rPr>
                <w:sz w:val="20"/>
              </w:rPr>
              <w:t xml:space="preserve">3. "Подготовка населения в области гражданской обороны, защиты населения и территорий от чрезвычайных ситуаций на территории Нижегородской области".</w:t>
            </w:r>
          </w:p>
          <w:p>
            <w:pPr>
              <w:pStyle w:val="0"/>
              <w:jc w:val="both"/>
            </w:pPr>
            <w:r>
              <w:rPr>
                <w:sz w:val="20"/>
              </w:rPr>
              <w:t xml:space="preserve">4. "Построение и развитие аппаратно-программного комплекса "Безопасный город".</w:t>
            </w:r>
          </w:p>
          <w:p>
            <w:pPr>
              <w:pStyle w:val="0"/>
              <w:jc w:val="both"/>
            </w:pPr>
            <w:r>
              <w:rPr>
                <w:sz w:val="20"/>
              </w:rPr>
              <w:t xml:space="preserve">5. "Обеспечение реализации государственной программы"</w:t>
            </w:r>
          </w:p>
        </w:tc>
        <w:tc>
          <w:tcPr>
            <w:tcW w:w="3458" w:type="dxa"/>
          </w:tcPr>
          <w:p>
            <w:pPr>
              <w:pStyle w:val="0"/>
              <w:jc w:val="both"/>
            </w:pPr>
            <w:r>
              <w:rPr>
                <w:sz w:val="20"/>
              </w:rPr>
              <w:t xml:space="preserve">1. Осуществление замены средств индивидуальной защиты для установленной категории населения Нижегородской области.</w:t>
            </w:r>
          </w:p>
          <w:p>
            <w:pPr>
              <w:pStyle w:val="0"/>
              <w:jc w:val="both"/>
            </w:pPr>
            <w:r>
              <w:rPr>
                <w:sz w:val="20"/>
              </w:rPr>
              <w:t xml:space="preserve">2. Получение информации об опасных и неблагоприятных метеорологических и гидрологических явлениях в Нижегородской области.</w:t>
            </w:r>
          </w:p>
          <w:p>
            <w:pPr>
              <w:pStyle w:val="0"/>
              <w:jc w:val="both"/>
            </w:pPr>
            <w:r>
              <w:rPr>
                <w:sz w:val="20"/>
              </w:rPr>
              <w:t xml:space="preserve">3. Поддержание необходимого количества финансовых средств в целевом финансовом резерве для предупреждения и ликвидации чрезвычайных ситуаций и последствий стихийных бедствий.</w:t>
            </w:r>
          </w:p>
          <w:p>
            <w:pPr>
              <w:pStyle w:val="0"/>
              <w:jc w:val="both"/>
            </w:pPr>
            <w:r>
              <w:rPr>
                <w:sz w:val="20"/>
              </w:rPr>
              <w:t xml:space="preserve">4. Обеспечение текущей деятельности подразделений государственного казенного учреждения (Аварийно-спасательная служба).</w:t>
            </w:r>
          </w:p>
          <w:p>
            <w:pPr>
              <w:pStyle w:val="0"/>
              <w:jc w:val="both"/>
            </w:pPr>
            <w:r>
              <w:rPr>
                <w:sz w:val="20"/>
              </w:rPr>
              <w:t xml:space="preserve">5. Создание резерва материальных ресурсов для ликвидации чрезвычайных ситуаций природного и техногенного характера.</w:t>
            </w:r>
          </w:p>
          <w:p>
            <w:pPr>
              <w:pStyle w:val="0"/>
              <w:jc w:val="both"/>
            </w:pPr>
            <w:r>
              <w:rPr>
                <w:sz w:val="20"/>
              </w:rPr>
              <w:t xml:space="preserve">6. Строительство и реконструкция многофункциональных пожарных депо в населенных пунктах Нижегородской области.</w:t>
            </w:r>
          </w:p>
          <w:p>
            <w:pPr>
              <w:pStyle w:val="0"/>
              <w:jc w:val="both"/>
            </w:pPr>
            <w:r>
              <w:rPr>
                <w:sz w:val="20"/>
              </w:rPr>
              <w:t xml:space="preserve">7. Обеспечение деятельности подразделений государственного казенного учреждения (Противопожарная служба).</w:t>
            </w:r>
          </w:p>
          <w:p>
            <w:pPr>
              <w:pStyle w:val="0"/>
              <w:jc w:val="both"/>
            </w:pPr>
            <w:r>
              <w:rPr>
                <w:sz w:val="20"/>
              </w:rPr>
              <w:t xml:space="preserve">8. Предоставление дополнительной меры социальной поддержки отдельных категорий граждан в виде обеспечения автономными пожарными извещателями.</w:t>
            </w:r>
          </w:p>
          <w:p>
            <w:pPr>
              <w:pStyle w:val="0"/>
              <w:jc w:val="both"/>
            </w:pPr>
            <w:r>
              <w:rPr>
                <w:sz w:val="20"/>
              </w:rPr>
              <w:t xml:space="preserve">9. Внедрение новых образцов пожарной техники для обеспечения противопожарной защиты населенных пунктов Нижегородской области.</w:t>
            </w:r>
          </w:p>
          <w:p>
            <w:pPr>
              <w:pStyle w:val="0"/>
              <w:jc w:val="both"/>
            </w:pPr>
            <w:r>
              <w:rPr>
                <w:sz w:val="20"/>
              </w:rPr>
              <w:t xml:space="preserve">10. Строительство, реконструкция, проектно-изыскательские работы и разработка проектно-сметной документации объектов капитального строительства учебных центров.</w:t>
            </w:r>
          </w:p>
          <w:p>
            <w:pPr>
              <w:pStyle w:val="0"/>
              <w:jc w:val="both"/>
            </w:pPr>
            <w:r>
              <w:rPr>
                <w:sz w:val="20"/>
              </w:rPr>
              <w:t xml:space="preserve">11. Выполнение государственного задания государственными бюджетными учреждениями по подготовке населения в области гражданской обороны, защиты населения и территорий от чрезвычайных ситуаций на территории Нижегородской области.</w:t>
            </w:r>
          </w:p>
          <w:p>
            <w:pPr>
              <w:pStyle w:val="0"/>
              <w:jc w:val="both"/>
            </w:pPr>
            <w:r>
              <w:rPr>
                <w:sz w:val="20"/>
              </w:rPr>
              <w:t xml:space="preserve">12. Приобретение оборудования и проведение работ по реконструкции региональной автоматизированной системы централизованного оповещения населения Нижегородской области.</w:t>
            </w:r>
          </w:p>
          <w:p>
            <w:pPr>
              <w:pStyle w:val="0"/>
              <w:jc w:val="both"/>
            </w:pPr>
            <w:r>
              <w:rPr>
                <w:sz w:val="20"/>
              </w:rPr>
              <w:t xml:space="preserve">13. Осуществление финансирования расходов государственного казенного учреждения.</w:t>
            </w:r>
          </w:p>
          <w:p>
            <w:pPr>
              <w:pStyle w:val="0"/>
              <w:jc w:val="both"/>
            </w:pPr>
            <w:r>
              <w:rPr>
                <w:sz w:val="20"/>
              </w:rPr>
              <w:t xml:space="preserve">14. Осуществление финансирования расходов органа исполнительной власти Нижегородской области</w:t>
            </w:r>
          </w:p>
        </w:tc>
        <w:tc>
          <w:tcPr>
            <w:tcW w:w="3175" w:type="dxa"/>
          </w:tcPr>
          <w:p>
            <w:pPr>
              <w:pStyle w:val="0"/>
              <w:jc w:val="both"/>
            </w:pPr>
            <w:r>
              <w:rPr>
                <w:sz w:val="20"/>
              </w:rPr>
              <w:t xml:space="preserve">- доля замененных средств индивидуальной защиты для установленной категории населения Нижегородской области;</w:t>
            </w:r>
          </w:p>
          <w:p>
            <w:pPr>
              <w:pStyle w:val="0"/>
              <w:jc w:val="both"/>
            </w:pPr>
            <w:r>
              <w:rPr>
                <w:sz w:val="20"/>
              </w:rPr>
              <w:t xml:space="preserve">- заблаговременность прогноза неблагоприятных гидрометеорологических явлений;</w:t>
            </w:r>
          </w:p>
          <w:p>
            <w:pPr>
              <w:pStyle w:val="0"/>
              <w:jc w:val="both"/>
            </w:pPr>
            <w:r>
              <w:rPr>
                <w:sz w:val="20"/>
              </w:rPr>
              <w:t xml:space="preserve">- объем финансовых средств в целевом финансовом резерве для предупреждения и ликвидации чрезвычайных ситуаций и последствий стихийных бедствий от объема 2022 года;</w:t>
            </w:r>
          </w:p>
          <w:p>
            <w:pPr>
              <w:pStyle w:val="0"/>
              <w:jc w:val="both"/>
            </w:pPr>
            <w:r>
              <w:rPr>
                <w:sz w:val="20"/>
              </w:rPr>
              <w:t xml:space="preserve">- количество выездов на чрезвычайные ситуации и происшествия от уровня</w:t>
            </w:r>
          </w:p>
          <w:p>
            <w:pPr>
              <w:pStyle w:val="0"/>
              <w:jc w:val="both"/>
            </w:pPr>
            <w:r>
              <w:rPr>
                <w:sz w:val="20"/>
              </w:rPr>
              <w:t xml:space="preserve">2013 года;</w:t>
            </w:r>
          </w:p>
          <w:p>
            <w:pPr>
              <w:pStyle w:val="0"/>
              <w:jc w:val="both"/>
            </w:pPr>
            <w:r>
              <w:rPr>
                <w:sz w:val="20"/>
              </w:rPr>
              <w:t xml:space="preserve">- доля людей, спасенных при чрезвычайных ситуациях и происшествиях, от количества людей, оказавшихся в зоне бедствия;</w:t>
            </w:r>
          </w:p>
          <w:p>
            <w:pPr>
              <w:pStyle w:val="0"/>
              <w:jc w:val="both"/>
            </w:pPr>
            <w:r>
              <w:rPr>
                <w:sz w:val="20"/>
              </w:rPr>
              <w:t xml:space="preserve">- создание резервов материальных ресурсов для ликвидации чрезвычайных ситуаций от планируемых объемов;</w:t>
            </w:r>
          </w:p>
          <w:p>
            <w:pPr>
              <w:pStyle w:val="0"/>
              <w:jc w:val="both"/>
            </w:pPr>
            <w:r>
              <w:rPr>
                <w:sz w:val="20"/>
              </w:rPr>
              <w:t xml:space="preserve">- количество выездов на пожары;</w:t>
            </w:r>
          </w:p>
          <w:p>
            <w:pPr>
              <w:pStyle w:val="0"/>
              <w:jc w:val="both"/>
            </w:pPr>
            <w:r>
              <w:rPr>
                <w:sz w:val="20"/>
              </w:rPr>
              <w:t xml:space="preserve">- сокращение количества лиц, погибших на пожарах (по отношению к аналогичному показателю предшествующего периода);</w:t>
            </w:r>
          </w:p>
          <w:p>
            <w:pPr>
              <w:pStyle w:val="0"/>
              <w:jc w:val="both"/>
            </w:pPr>
            <w:r>
              <w:rPr>
                <w:sz w:val="20"/>
              </w:rPr>
              <w:t xml:space="preserve">- среднее время (нормативное) прибытия первых пожарных подразделений в городе;</w:t>
            </w:r>
          </w:p>
          <w:p>
            <w:pPr>
              <w:pStyle w:val="0"/>
              <w:jc w:val="both"/>
            </w:pPr>
            <w:r>
              <w:rPr>
                <w:sz w:val="20"/>
              </w:rPr>
              <w:t xml:space="preserve">- среднее время (нормативное) прибытия первых пожарных подразделений в сельской местности;</w:t>
            </w:r>
          </w:p>
          <w:p>
            <w:pPr>
              <w:pStyle w:val="0"/>
              <w:jc w:val="both"/>
            </w:pPr>
            <w:r>
              <w:rPr>
                <w:sz w:val="20"/>
              </w:rPr>
              <w:t xml:space="preserve">- средняя обеспеченность противопожарной службы пожарной техникой от штатной нормы;</w:t>
            </w:r>
          </w:p>
          <w:p>
            <w:pPr>
              <w:pStyle w:val="0"/>
              <w:jc w:val="both"/>
            </w:pPr>
            <w:r>
              <w:rPr>
                <w:sz w:val="20"/>
              </w:rPr>
              <w:t xml:space="preserve">- обеспеченность установленных категорий граждан автономными пожарными извещателями;</w:t>
            </w:r>
          </w:p>
          <w:p>
            <w:pPr>
              <w:pStyle w:val="0"/>
              <w:jc w:val="both"/>
            </w:pPr>
            <w:r>
              <w:rPr>
                <w:sz w:val="20"/>
              </w:rPr>
              <w:t xml:space="preserve">- обновление парка автомобилей противопожарной службы Нижегородской области (замена в связи с истечением сроков эксплуатации);</w:t>
            </w:r>
          </w:p>
          <w:p>
            <w:pPr>
              <w:pStyle w:val="0"/>
              <w:jc w:val="both"/>
            </w:pPr>
            <w:r>
              <w:rPr>
                <w:sz w:val="20"/>
              </w:rPr>
              <w:t xml:space="preserve">- доля руководящего состава и должностных лиц, прошедших (к соответствующему году) обучение по вопросам гражданской обороны, защиты от чрезвычайных ситуаций и террористических акций;</w:t>
            </w:r>
          </w:p>
          <w:p>
            <w:pPr>
              <w:pStyle w:val="0"/>
              <w:jc w:val="both"/>
            </w:pPr>
            <w:r>
              <w:rPr>
                <w:sz w:val="20"/>
              </w:rPr>
              <w:t xml:space="preserve">- доля сотрудников пожарно-спасательных формирований, прошедших обучение по вопросам организации и ведения спасательных работ при ликвидации последствий различных чрезвычайных ситуаций;</w:t>
            </w:r>
          </w:p>
          <w:p>
            <w:pPr>
              <w:pStyle w:val="0"/>
              <w:jc w:val="both"/>
            </w:pPr>
            <w:r>
              <w:rPr>
                <w:sz w:val="20"/>
              </w:rPr>
              <w:t xml:space="preserve">- доля площади территории населенных пунктов муниципального образования, охваченной современными техническими средствами оповещения;</w:t>
            </w:r>
          </w:p>
          <w:p>
            <w:pPr>
              <w:pStyle w:val="0"/>
              <w:jc w:val="both"/>
            </w:pPr>
            <w:r>
              <w:rPr>
                <w:sz w:val="20"/>
              </w:rPr>
              <w:t xml:space="preserve">- количество информационных систем, интегрированных в АПК "Безопасный город";</w:t>
            </w:r>
          </w:p>
          <w:p>
            <w:pPr>
              <w:pStyle w:val="0"/>
              <w:jc w:val="both"/>
            </w:pPr>
            <w:r>
              <w:rPr>
                <w:sz w:val="20"/>
              </w:rPr>
              <w:t xml:space="preserve">- выполнение в максимальном объеме задач, мероприятий и показателей, предусмотренных государственной программой</w:t>
            </w:r>
          </w:p>
        </w:tc>
        <w:tc>
          <w:tcPr>
            <w:tcW w:w="1814" w:type="dxa"/>
          </w:tcPr>
          <w:p>
            <w:pPr>
              <w:pStyle w:val="0"/>
              <w:jc w:val="both"/>
            </w:pPr>
            <w:r>
              <w:rPr>
                <w:sz w:val="20"/>
              </w:rPr>
              <w:t xml:space="preserve">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p>
        </w:tc>
      </w:tr>
      <w:tr>
        <w:tc>
          <w:tcPr>
            <w:tcW w:w="567" w:type="dxa"/>
          </w:tcPr>
          <w:p>
            <w:pPr>
              <w:pStyle w:val="0"/>
              <w:jc w:val="both"/>
            </w:pPr>
            <w:r>
              <w:rPr>
                <w:sz w:val="20"/>
              </w:rPr>
              <w:t xml:space="preserve">20</w:t>
            </w:r>
          </w:p>
        </w:tc>
        <w:tc>
          <w:tcPr>
            <w:tcW w:w="2324" w:type="dxa"/>
          </w:tcPr>
          <w:p>
            <w:pPr>
              <w:pStyle w:val="0"/>
              <w:jc w:val="both"/>
            </w:pPr>
            <w:r>
              <w:rPr>
                <w:sz w:val="20"/>
              </w:rPr>
              <w:t xml:space="preserve">Государственная </w:t>
            </w:r>
            <w:hyperlink w:history="0" r:id="rId55" w:tooltip="Постановление Правительства Нижегородской области от 31.12.2014 N 981 (ред. от 25.12.2023) &quot;Об утверждении государственной программы Нижегородской области &quot;Обеспечение общественного порядка и противодействие преступности в Нижегородской области&quot; {КонсультантПлюс}">
              <w:r>
                <w:rPr>
                  <w:sz w:val="20"/>
                  <w:color w:val="0000ff"/>
                </w:rPr>
                <w:t xml:space="preserve">программа</w:t>
              </w:r>
            </w:hyperlink>
            <w:r>
              <w:rPr>
                <w:sz w:val="20"/>
              </w:rPr>
              <w:t xml:space="preserve"> "Обеспечение общественного порядка и противодействие преступности в Нижегородской области", утвержденная постановлением Правительства Нижегородской области от 31 декабря 2014 г. N 981</w:t>
            </w:r>
          </w:p>
        </w:tc>
        <w:tc>
          <w:tcPr>
            <w:tcW w:w="2324" w:type="dxa"/>
          </w:tcPr>
          <w:p>
            <w:pPr>
              <w:pStyle w:val="0"/>
              <w:jc w:val="both"/>
            </w:pPr>
            <w:r>
              <w:rPr>
                <w:sz w:val="20"/>
              </w:rPr>
              <w:t xml:space="preserve">Создание эффективной системы общественной безопасности и правопорядка на территории Нижегородской области</w:t>
            </w:r>
          </w:p>
        </w:tc>
        <w:tc>
          <w:tcPr>
            <w:tcW w:w="1984" w:type="dxa"/>
          </w:tcPr>
          <w:p>
            <w:pPr>
              <w:pStyle w:val="0"/>
              <w:jc w:val="both"/>
            </w:pPr>
            <w:r>
              <w:rPr>
                <w:sz w:val="20"/>
              </w:rPr>
              <w:t xml:space="preserve">"Обеспечение общественного порядка и противодействие преступности в Нижегородской области"</w:t>
            </w:r>
          </w:p>
        </w:tc>
        <w:tc>
          <w:tcPr>
            <w:tcW w:w="3458" w:type="dxa"/>
          </w:tcPr>
          <w:p>
            <w:pPr>
              <w:pStyle w:val="0"/>
              <w:jc w:val="both"/>
            </w:pPr>
            <w:r>
              <w:rPr>
                <w:sz w:val="20"/>
              </w:rPr>
              <w:t xml:space="preserve">1. Совершенствование системы обеспечения оптимального применения комплекса организационных, социально-политических, информационно-пропагандистских мер по предупреждению распространения в обществе идей экстремизма и терроризма, координация разработки методической базы в области профилактики экстремизма и терроризма, развития в социальной практике норм толерантного сознания и поведения.</w:t>
            </w:r>
          </w:p>
          <w:p>
            <w:pPr>
              <w:pStyle w:val="0"/>
              <w:jc w:val="both"/>
            </w:pPr>
            <w:r>
              <w:rPr>
                <w:sz w:val="20"/>
              </w:rPr>
              <w:t xml:space="preserve">2. Организация, подготовка и размещение в СМИ материалов антиэкстремистской и антитеррористической направленности.</w:t>
            </w:r>
          </w:p>
          <w:p>
            <w:pPr>
              <w:pStyle w:val="0"/>
              <w:jc w:val="both"/>
            </w:pPr>
            <w:r>
              <w:rPr>
                <w:sz w:val="20"/>
              </w:rPr>
              <w:t xml:space="preserve">3. Приобретение товарно-материальных ценностей в интересах правоохранительных органов и образовательных учреждений правоохранительной направленности.</w:t>
            </w:r>
          </w:p>
          <w:p>
            <w:pPr>
              <w:pStyle w:val="0"/>
              <w:jc w:val="both"/>
            </w:pPr>
            <w:r>
              <w:rPr>
                <w:sz w:val="20"/>
              </w:rPr>
              <w:t xml:space="preserve">4. Предоставление ежемесячной денежной выплаты отдельным категориям сотрудников территориальных органов федеральных органов исполнительной власти в целях усиления охраны общественного порядка и обеспечения общественной безопасности на территории Нижегородской области.</w:t>
            </w:r>
          </w:p>
          <w:p>
            <w:pPr>
              <w:pStyle w:val="0"/>
              <w:jc w:val="both"/>
            </w:pPr>
            <w:r>
              <w:rPr>
                <w:sz w:val="20"/>
              </w:rPr>
              <w:t xml:space="preserve">5. Выплата вознаграждения гражданам за добровольную сдачу незаконно хранящегося огнестрельного оружия, боеприпасов, взрывчатых веществ и взрывных устройств.</w:t>
            </w:r>
          </w:p>
          <w:p>
            <w:pPr>
              <w:pStyle w:val="0"/>
              <w:jc w:val="both"/>
            </w:pPr>
            <w:r>
              <w:rPr>
                <w:sz w:val="20"/>
              </w:rPr>
              <w:t xml:space="preserve">6. Выплата денежного вознаграждения гражданам за информирование полиции о лицах, управляющих транспортными средствами в состоянии опьянения.</w:t>
            </w:r>
          </w:p>
          <w:p>
            <w:pPr>
              <w:pStyle w:val="0"/>
              <w:jc w:val="both"/>
            </w:pPr>
            <w:r>
              <w:rPr>
                <w:sz w:val="20"/>
              </w:rPr>
              <w:t xml:space="preserve">7. Социальная адаптация лиц, освободившихся из мест лишения свободы на базе государственных бюджетных учреждений социального обслуживания Нижегородской области.</w:t>
            </w:r>
          </w:p>
          <w:p>
            <w:pPr>
              <w:pStyle w:val="0"/>
              <w:jc w:val="both"/>
            </w:pPr>
            <w:r>
              <w:rPr>
                <w:sz w:val="20"/>
              </w:rPr>
              <w:t xml:space="preserve">8. Содействие в трудоустройстве, профориентации и обучении освободившимся из мест лишения свободы.</w:t>
            </w:r>
          </w:p>
          <w:p>
            <w:pPr>
              <w:pStyle w:val="0"/>
              <w:jc w:val="both"/>
            </w:pPr>
            <w:r>
              <w:rPr>
                <w:sz w:val="20"/>
              </w:rPr>
              <w:t xml:space="preserve">9. Оказание материальной, социальной, юридической, психологической и медицинской помощи лицам, освободившимся из мест лишения свободы</w:t>
            </w:r>
          </w:p>
        </w:tc>
        <w:tc>
          <w:tcPr>
            <w:tcW w:w="3175" w:type="dxa"/>
          </w:tcPr>
          <w:p>
            <w:pPr>
              <w:pStyle w:val="0"/>
              <w:jc w:val="both"/>
            </w:pPr>
            <w:r>
              <w:rPr>
                <w:sz w:val="20"/>
              </w:rPr>
              <w:t xml:space="preserve">- общий уровень преступности на 100 тыс. населения в регионе</w:t>
            </w:r>
          </w:p>
        </w:tc>
        <w:tc>
          <w:tcPr>
            <w:tcW w:w="1814" w:type="dxa"/>
          </w:tcPr>
          <w:p>
            <w:pPr>
              <w:pStyle w:val="0"/>
              <w:jc w:val="both"/>
            </w:pPr>
            <w:r>
              <w:rPr>
                <w:sz w:val="20"/>
              </w:rPr>
              <w:t xml:space="preserve">Государственная программа Российской Федерации "Обеспечение общественного порядка и противодействие преступности"</w:t>
            </w:r>
          </w:p>
        </w:tc>
      </w:tr>
      <w:tr>
        <w:tc>
          <w:tcPr>
            <w:tcW w:w="567" w:type="dxa"/>
          </w:tcPr>
          <w:p>
            <w:pPr>
              <w:pStyle w:val="0"/>
              <w:jc w:val="both"/>
            </w:pPr>
            <w:r>
              <w:rPr>
                <w:sz w:val="20"/>
              </w:rPr>
              <w:t xml:space="preserve">21</w:t>
            </w:r>
          </w:p>
        </w:tc>
        <w:tc>
          <w:tcPr>
            <w:tcW w:w="2324" w:type="dxa"/>
          </w:tcPr>
          <w:p>
            <w:pPr>
              <w:pStyle w:val="0"/>
              <w:jc w:val="both"/>
            </w:pPr>
            <w:r>
              <w:rPr>
                <w:sz w:val="20"/>
              </w:rPr>
              <w:t xml:space="preserve">Государственная </w:t>
            </w:r>
            <w:hyperlink w:history="0" r:id="rId56" w:tooltip="Постановление Правительства Нижегородской области от 30.04.2014 N 306 (ред. от 07.05.2024) &quot;Об утверждении государственной программы Нижегородской области &quot;Охрана окружающей среды Нижегородской области&quot; ------------ Недействующая редакция {КонсультантПлюс}">
              <w:r>
                <w:rPr>
                  <w:sz w:val="20"/>
                  <w:color w:val="0000ff"/>
                </w:rPr>
                <w:t xml:space="preserve">программа</w:t>
              </w:r>
            </w:hyperlink>
            <w:r>
              <w:rPr>
                <w:sz w:val="20"/>
              </w:rPr>
              <w:t xml:space="preserve"> "Охрана окружающей среды Нижегородской области", утвержденная постановлением Правительства Нижегородской области от 30 апреля 2014 г. N 306</w:t>
            </w:r>
          </w:p>
        </w:tc>
        <w:tc>
          <w:tcPr>
            <w:tcW w:w="2324" w:type="dxa"/>
          </w:tcPr>
          <w:p>
            <w:pPr>
              <w:pStyle w:val="0"/>
              <w:jc w:val="both"/>
            </w:pPr>
            <w:r>
              <w:rPr>
                <w:sz w:val="20"/>
              </w:rPr>
              <w:t xml:space="preserve">1. Комплексное решение проблемы развития и совершенствования системы регионального экологического мониторинга.</w:t>
            </w:r>
          </w:p>
          <w:p>
            <w:pPr>
              <w:pStyle w:val="0"/>
              <w:jc w:val="both"/>
            </w:pPr>
            <w:r>
              <w:rPr>
                <w:sz w:val="20"/>
              </w:rPr>
              <w:t xml:space="preserve">2. Восстановление водных объектов до состояния, обеспечивающего экологически благоприятные условия жизни населения, и обеспечение защищенности населения и объектов экономики от наводнений и иного негативного воздействия вод.</w:t>
            </w:r>
          </w:p>
          <w:p>
            <w:pPr>
              <w:pStyle w:val="0"/>
              <w:jc w:val="both"/>
            </w:pPr>
            <w:r>
              <w:rPr>
                <w:sz w:val="20"/>
              </w:rPr>
              <w:t xml:space="preserve">3. Предотвращение негативного воздействия отходов производства и потребления на здоровье человека и окружающую среду, а также вовлечение максимального количества отходов в хозяйственный оборот в качестве дополнительных источников сырья, материалов, иных изделий или продуктов. Предотвращение возникновения и распространения заболеваний сибирской язвой среди людей.</w:t>
            </w:r>
          </w:p>
          <w:p>
            <w:pPr>
              <w:pStyle w:val="0"/>
              <w:jc w:val="both"/>
            </w:pPr>
            <w:r>
              <w:rPr>
                <w:sz w:val="20"/>
              </w:rPr>
              <w:t xml:space="preserve">4. Сохранение и восстановление биологического разнообразия на территории Нижегородской области.</w:t>
            </w:r>
          </w:p>
          <w:p>
            <w:pPr>
              <w:pStyle w:val="0"/>
              <w:jc w:val="both"/>
            </w:pPr>
            <w:r>
              <w:rPr>
                <w:sz w:val="20"/>
              </w:rPr>
              <w:t xml:space="preserve">5. Формирование у населения всех возрастов и социальных групп активной жизненной позиции в деле практического участия в мероприятиях по формированию благоприятной окружающей среды</w:t>
            </w:r>
          </w:p>
        </w:tc>
        <w:tc>
          <w:tcPr>
            <w:tcW w:w="1984" w:type="dxa"/>
          </w:tcPr>
          <w:p>
            <w:pPr>
              <w:pStyle w:val="0"/>
              <w:jc w:val="both"/>
            </w:pPr>
            <w:r>
              <w:rPr>
                <w:sz w:val="20"/>
              </w:rPr>
              <w:t xml:space="preserve">1. "Обеспечение функционирования региональной системы экологического мониторинга".</w:t>
            </w:r>
          </w:p>
          <w:p>
            <w:pPr>
              <w:pStyle w:val="0"/>
              <w:jc w:val="both"/>
            </w:pPr>
            <w:r>
              <w:rPr>
                <w:sz w:val="20"/>
              </w:rPr>
              <w:t xml:space="preserve">2. "Развитие водохозяйственного комплекса Нижегородской области".</w:t>
            </w:r>
          </w:p>
          <w:p>
            <w:pPr>
              <w:pStyle w:val="0"/>
              <w:jc w:val="both"/>
            </w:pPr>
            <w:r>
              <w:rPr>
                <w:sz w:val="20"/>
              </w:rPr>
              <w:t xml:space="preserve">3. "Развитие системы обращения с отходами производства и потребления, обеспечение безопасности сибиреязвенных захоронений".</w:t>
            </w:r>
          </w:p>
          <w:p>
            <w:pPr>
              <w:pStyle w:val="0"/>
              <w:jc w:val="both"/>
            </w:pPr>
            <w:r>
              <w:rPr>
                <w:sz w:val="20"/>
              </w:rPr>
              <w:t xml:space="preserve">4. "Биологическое разнообразие".</w:t>
            </w:r>
          </w:p>
          <w:p>
            <w:pPr>
              <w:pStyle w:val="0"/>
              <w:jc w:val="both"/>
            </w:pPr>
            <w:r>
              <w:rPr>
                <w:sz w:val="20"/>
              </w:rPr>
              <w:t xml:space="preserve">5. "Формирование экологической культуры населения".</w:t>
            </w:r>
          </w:p>
          <w:p>
            <w:pPr>
              <w:pStyle w:val="0"/>
              <w:jc w:val="both"/>
            </w:pPr>
            <w:r>
              <w:rPr>
                <w:sz w:val="20"/>
              </w:rPr>
              <w:t xml:space="preserve">6. "Обеспечение реализации государственной программы"</w:t>
            </w:r>
          </w:p>
        </w:tc>
        <w:tc>
          <w:tcPr>
            <w:tcW w:w="3458" w:type="dxa"/>
          </w:tcPr>
          <w:p>
            <w:pPr>
              <w:pStyle w:val="0"/>
              <w:jc w:val="both"/>
            </w:pPr>
            <w:r>
              <w:rPr>
                <w:sz w:val="20"/>
              </w:rPr>
              <w:t xml:space="preserve">1. Модернизация технических ресурсов и повышение эффективности работы подведомственного учреждения.</w:t>
            </w:r>
          </w:p>
          <w:p>
            <w:pPr>
              <w:pStyle w:val="0"/>
              <w:jc w:val="both"/>
            </w:pPr>
            <w:r>
              <w:rPr>
                <w:sz w:val="20"/>
              </w:rPr>
              <w:t xml:space="preserve">2. Комплексное решение проблемы развития и совершенствования системы регионального экологического мониторинга.</w:t>
            </w:r>
          </w:p>
          <w:p>
            <w:pPr>
              <w:pStyle w:val="0"/>
              <w:jc w:val="both"/>
            </w:pPr>
            <w:r>
              <w:rPr>
                <w:sz w:val="20"/>
              </w:rPr>
              <w:t xml:space="preserve">3. Осуществление мер по охране водных объектов или их частей, находящихся в федеральной собственности и расположенных на территории Нижегородской области.</w:t>
            </w:r>
          </w:p>
          <w:p>
            <w:pPr>
              <w:pStyle w:val="0"/>
              <w:jc w:val="both"/>
            </w:pPr>
            <w:r>
              <w:rPr>
                <w:sz w:val="20"/>
              </w:rPr>
              <w:t xml:space="preserve">4. Ликвидация несанкционированных свалок в границах городов.</w:t>
            </w:r>
          </w:p>
          <w:p>
            <w:pPr>
              <w:pStyle w:val="0"/>
              <w:jc w:val="both"/>
            </w:pPr>
            <w:r>
              <w:rPr>
                <w:sz w:val="20"/>
              </w:rPr>
              <w:t xml:space="preserve">5. Ликвидация наиболее опасных объектов накопленного вреда окружающей среде.</w:t>
            </w:r>
          </w:p>
          <w:p>
            <w:pPr>
              <w:pStyle w:val="0"/>
              <w:jc w:val="both"/>
            </w:pPr>
            <w:r>
              <w:rPr>
                <w:sz w:val="20"/>
              </w:rPr>
              <w:t xml:space="preserve">6. Формирование комплексной системы обращения с твердыми коммунальными отходами, включая создание условий для утилизации запрещенных к захоронению отходов.</w:t>
            </w:r>
          </w:p>
          <w:p>
            <w:pPr>
              <w:pStyle w:val="0"/>
              <w:jc w:val="both"/>
            </w:pPr>
            <w:r>
              <w:rPr>
                <w:sz w:val="20"/>
              </w:rPr>
              <w:t xml:space="preserve">7. Обеспечено снижение экологической нагрузки на население за счет сокращения захоронения твердых коммунальных отходов, в том числе прошедших обработку (сортировку).</w:t>
            </w:r>
          </w:p>
          <w:p>
            <w:pPr>
              <w:pStyle w:val="0"/>
              <w:jc w:val="both"/>
            </w:pPr>
            <w:r>
              <w:rPr>
                <w:sz w:val="20"/>
              </w:rPr>
              <w:t xml:space="preserve">8. Ликвидация свалок и объектов размещения отходов в целях предотвращения негативного воздействия отходов производства и потребления на здоровье человека и окружающую среду.</w:t>
            </w:r>
          </w:p>
          <w:p>
            <w:pPr>
              <w:pStyle w:val="0"/>
              <w:jc w:val="both"/>
            </w:pPr>
            <w:r>
              <w:rPr>
                <w:sz w:val="20"/>
              </w:rPr>
              <w:t xml:space="preserve">9. Развитие системы обращения с отходами производства и потребления.</w:t>
            </w:r>
          </w:p>
          <w:p>
            <w:pPr>
              <w:pStyle w:val="0"/>
              <w:jc w:val="both"/>
            </w:pPr>
            <w:r>
              <w:rPr>
                <w:sz w:val="20"/>
              </w:rPr>
              <w:t xml:space="preserve">10. Обеспечение функционирования системы обращения с отходами производства и потребления и безопасности сибиреязвенных захоронений.</w:t>
            </w:r>
          </w:p>
          <w:p>
            <w:pPr>
              <w:pStyle w:val="0"/>
              <w:jc w:val="both"/>
            </w:pPr>
            <w:r>
              <w:rPr>
                <w:sz w:val="20"/>
              </w:rPr>
              <w:t xml:space="preserve">11. Развитие сети особо охраняемых природных территорий.</w:t>
            </w:r>
          </w:p>
          <w:p>
            <w:pPr>
              <w:pStyle w:val="0"/>
              <w:jc w:val="both"/>
            </w:pPr>
            <w:r>
              <w:rPr>
                <w:sz w:val="20"/>
              </w:rPr>
              <w:t xml:space="preserve">12. Обеспечение функционирования существующей сети особо охраняемых природных территорий регионального значения.</w:t>
            </w:r>
          </w:p>
          <w:p>
            <w:pPr>
              <w:pStyle w:val="0"/>
              <w:jc w:val="both"/>
            </w:pPr>
            <w:r>
              <w:rPr>
                <w:sz w:val="20"/>
              </w:rPr>
              <w:t xml:space="preserve">13. Формирование у населения всех возрастов и социальных групп активной жизненной позиции в деле практического участия в мероприятиях по формированию благоприятной окружающей среды.</w:t>
            </w:r>
          </w:p>
          <w:p>
            <w:pPr>
              <w:pStyle w:val="0"/>
              <w:jc w:val="both"/>
            </w:pPr>
            <w:r>
              <w:rPr>
                <w:sz w:val="20"/>
              </w:rPr>
              <w:t xml:space="preserve">14. Обеспечение эффективного управления государственными финансами в сфере охраны окружающей среды</w:t>
            </w:r>
          </w:p>
        </w:tc>
        <w:tc>
          <w:tcPr>
            <w:tcW w:w="3175" w:type="dxa"/>
          </w:tcPr>
          <w:p>
            <w:pPr>
              <w:pStyle w:val="0"/>
              <w:jc w:val="both"/>
            </w:pPr>
            <w:r>
              <w:rPr>
                <w:sz w:val="20"/>
              </w:rPr>
              <w:t xml:space="preserve">- доля городов Нижегородской области, в которых осуществляются регулярные наблюдения за состоянием и загрязнением атмосферного воздуха, в процентах от общего числа городов;</w:t>
            </w:r>
          </w:p>
          <w:p>
            <w:pPr>
              <w:pStyle w:val="0"/>
              <w:jc w:val="both"/>
            </w:pPr>
            <w:r>
              <w:rPr>
                <w:sz w:val="20"/>
              </w:rPr>
              <w:t xml:space="preserve">- доля муниципальных образований Нижегородской области, на территориях которых осуществляются регулярные наблюдения за состоянием и загрязнением поверхностных вод водных объектов, в процентах от общего количества муниципальных образований (муниципальных округов и городских округов);</w:t>
            </w:r>
          </w:p>
          <w:p>
            <w:pPr>
              <w:pStyle w:val="0"/>
              <w:jc w:val="both"/>
            </w:pPr>
            <w:r>
              <w:rPr>
                <w:sz w:val="20"/>
              </w:rPr>
              <w:t xml:space="preserve">- доля проверок в рамках контрольно-надзорной деятельности, проведенных дистанционно, в том числе с использованием чек-листов в электронном виде;</w:t>
            </w:r>
          </w:p>
          <w:p>
            <w:pPr>
              <w:pStyle w:val="0"/>
              <w:jc w:val="both"/>
            </w:pPr>
            <w:r>
              <w:rPr>
                <w:sz w:val="20"/>
              </w:rPr>
              <w:t xml:space="preserve">- количество городов Нижегородской области, в которых осуществляется регулярная оценка уровня загрязнения атмосферного воздуха;</w:t>
            </w:r>
          </w:p>
          <w:p>
            <w:pPr>
              <w:pStyle w:val="0"/>
              <w:jc w:val="both"/>
            </w:pPr>
            <w:r>
              <w:rPr>
                <w:sz w:val="20"/>
              </w:rPr>
              <w:t xml:space="preserve">- количество водных объектов Нижегородской области, на которых осуществляется регулярная оценка уровня загрязнения;</w:t>
            </w:r>
          </w:p>
          <w:p>
            <w:pPr>
              <w:pStyle w:val="0"/>
              <w:jc w:val="both"/>
            </w:pPr>
            <w:r>
              <w:rPr>
                <w:sz w:val="20"/>
              </w:rPr>
              <w:t xml:space="preserve">- формирование радиационно-гигиенического паспорта территории Нижегородской области;</w:t>
            </w:r>
          </w:p>
          <w:p>
            <w:pPr>
              <w:pStyle w:val="0"/>
              <w:jc w:val="both"/>
            </w:pPr>
            <w:r>
              <w:rPr>
                <w:sz w:val="20"/>
              </w:rPr>
              <w:t xml:space="preserve">- формирование обзора загрязнения окружающей среды на территории Нижегородской области;</w:t>
            </w:r>
          </w:p>
          <w:p>
            <w:pPr>
              <w:pStyle w:val="0"/>
              <w:jc w:val="both"/>
            </w:pPr>
            <w:r>
              <w:rPr>
                <w:sz w:val="20"/>
              </w:rPr>
              <w:t xml:space="preserve">- проведение государственной экологической экспертизы;</w:t>
            </w:r>
          </w:p>
          <w:p>
            <w:pPr>
              <w:pStyle w:val="0"/>
              <w:jc w:val="both"/>
            </w:pPr>
            <w:r>
              <w:rPr>
                <w:sz w:val="20"/>
              </w:rPr>
              <w:t xml:space="preserve">- проведение экспертизы запасов полезных ископаемых и подземных вод;</w:t>
            </w:r>
          </w:p>
          <w:p>
            <w:pPr>
              <w:pStyle w:val="0"/>
              <w:jc w:val="both"/>
            </w:pPr>
            <w:r>
              <w:rPr>
                <w:sz w:val="20"/>
              </w:rPr>
              <w:t xml:space="preserve">- приобретение основных средств;</w:t>
            </w:r>
          </w:p>
          <w:p>
            <w:pPr>
              <w:pStyle w:val="0"/>
              <w:jc w:val="both"/>
            </w:pPr>
            <w:r>
              <w:rPr>
                <w:sz w:val="20"/>
              </w:rPr>
              <w:t xml:space="preserve">- протяженность расчищенных участков русел рек и (или) площадь восстановленных водных объектов (нарастающий итог);</w:t>
            </w:r>
          </w:p>
          <w:p>
            <w:pPr>
              <w:pStyle w:val="0"/>
              <w:jc w:val="both"/>
            </w:pPr>
            <w:r>
              <w:rPr>
                <w:sz w:val="20"/>
              </w:rPr>
              <w:t xml:space="preserve">- количество зон затопления, подтопления, границы которых будут установлены (нарастающий итог);</w:t>
            </w:r>
          </w:p>
          <w:p>
            <w:pPr>
              <w:pStyle w:val="0"/>
              <w:jc w:val="both"/>
            </w:pPr>
            <w:r>
              <w:rPr>
                <w:sz w:val="20"/>
              </w:rPr>
              <w:t xml:space="preserve">- количество созданных (обустроенных) контейнерных площадок;</w:t>
            </w:r>
          </w:p>
          <w:p>
            <w:pPr>
              <w:pStyle w:val="0"/>
              <w:jc w:val="both"/>
            </w:pPr>
            <w:r>
              <w:rPr>
                <w:sz w:val="20"/>
              </w:rPr>
              <w:t xml:space="preserve">- количество приобретенных контейнеров и (или) бункеров;</w:t>
            </w:r>
          </w:p>
          <w:p>
            <w:pPr>
              <w:pStyle w:val="0"/>
              <w:jc w:val="both"/>
            </w:pPr>
            <w:r>
              <w:rPr>
                <w:sz w:val="20"/>
              </w:rPr>
              <w:t xml:space="preserve">- доля обеспечения субсидией на возмещение выпадающих доходов, связанных с предоставлением коммунальной услуги по обращению с твердыми коммунальными отходами региональным операторам по обращению с ТКО;</w:t>
            </w:r>
          </w:p>
          <w:p>
            <w:pPr>
              <w:pStyle w:val="0"/>
              <w:jc w:val="both"/>
            </w:pPr>
            <w:r>
              <w:rPr>
                <w:sz w:val="20"/>
              </w:rPr>
              <w:t xml:space="preserve">- доля утвержденных инвестиционных программ по отношению к поступившим инвестиционным программам;</w:t>
            </w:r>
          </w:p>
          <w:p>
            <w:pPr>
              <w:pStyle w:val="0"/>
              <w:jc w:val="both"/>
            </w:pPr>
            <w:r>
              <w:rPr>
                <w:sz w:val="20"/>
              </w:rPr>
              <w:t xml:space="preserve">- количество разработанной проектной документации на ликвидацию (рекультивацию) свалок отходов;</w:t>
            </w:r>
          </w:p>
          <w:p>
            <w:pPr>
              <w:pStyle w:val="0"/>
              <w:jc w:val="both"/>
            </w:pPr>
            <w:r>
              <w:rPr>
                <w:sz w:val="20"/>
              </w:rPr>
              <w:t xml:space="preserve">- количество ликвидированных свалок и объектов размещения отходов;</w:t>
            </w:r>
          </w:p>
          <w:p>
            <w:pPr>
              <w:pStyle w:val="0"/>
              <w:jc w:val="both"/>
            </w:pPr>
            <w:r>
              <w:rPr>
                <w:sz w:val="20"/>
              </w:rPr>
              <w:t xml:space="preserve">- количество разработанной проектно-сметной документации на ликвидацию свалок промышленных отходов;</w:t>
            </w:r>
          </w:p>
          <w:p>
            <w:pPr>
              <w:pStyle w:val="0"/>
              <w:jc w:val="both"/>
            </w:pPr>
            <w:r>
              <w:rPr>
                <w:sz w:val="20"/>
              </w:rPr>
              <w:t xml:space="preserve">- количество разработанной проектной документации на ликвидацию объектов накопленного вреда окружающей среде;</w:t>
            </w:r>
          </w:p>
          <w:p>
            <w:pPr>
              <w:pStyle w:val="0"/>
              <w:jc w:val="both"/>
            </w:pPr>
            <w:r>
              <w:rPr>
                <w:sz w:val="20"/>
              </w:rPr>
              <w:t xml:space="preserve">- количество приобретенной специализированной техники для переработки древесных отходов;</w:t>
            </w:r>
          </w:p>
          <w:p>
            <w:pPr>
              <w:pStyle w:val="0"/>
              <w:jc w:val="both"/>
            </w:pPr>
            <w:r>
              <w:rPr>
                <w:sz w:val="20"/>
              </w:rPr>
              <w:t xml:space="preserve">- количество сибиреязвенных скотомогильников, на которых проводятся меры по обеспечению их безопасности;</w:t>
            </w:r>
          </w:p>
          <w:p>
            <w:pPr>
              <w:pStyle w:val="0"/>
              <w:jc w:val="both"/>
            </w:pPr>
            <w:r>
              <w:rPr>
                <w:sz w:val="20"/>
              </w:rPr>
              <w:t xml:space="preserve">- доля объема обновленной информации базы данных регионального кадастра отходов;</w:t>
            </w:r>
          </w:p>
          <w:p>
            <w:pPr>
              <w:pStyle w:val="0"/>
              <w:jc w:val="both"/>
            </w:pPr>
            <w:r>
              <w:rPr>
                <w:sz w:val="20"/>
              </w:rPr>
              <w:t xml:space="preserve">- количество установленных санитарно-защитных зон сибиреязвенных захоронений;</w:t>
            </w:r>
          </w:p>
          <w:p>
            <w:pPr>
              <w:pStyle w:val="0"/>
              <w:jc w:val="both"/>
            </w:pPr>
            <w:r>
              <w:rPr>
                <w:sz w:val="20"/>
              </w:rPr>
              <w:t xml:space="preserve">- количество ликвидированных несанкционированных свалок в границах городов, нарастающим итогом;</w:t>
            </w:r>
          </w:p>
          <w:p>
            <w:pPr>
              <w:pStyle w:val="0"/>
              <w:jc w:val="both"/>
            </w:pPr>
            <w:r>
              <w:rPr>
                <w:sz w:val="20"/>
              </w:rPr>
              <w:t xml:space="preserve">- доля твердых коммунальных отходов, направленных на обработку (сортировку), в общей массе образованных твердых коммунальных отходов;</w:t>
            </w:r>
          </w:p>
          <w:p>
            <w:pPr>
              <w:pStyle w:val="0"/>
              <w:jc w:val="both"/>
            </w:pPr>
            <w:r>
              <w:rPr>
                <w:sz w:val="20"/>
              </w:rPr>
              <w:t xml:space="preserve">- 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w:t>
            </w:r>
          </w:p>
          <w:p>
            <w:pPr>
              <w:pStyle w:val="0"/>
              <w:jc w:val="both"/>
            </w:pPr>
            <w:r>
              <w:rPr>
                <w:sz w:val="20"/>
              </w:rPr>
              <w:t xml:space="preserve">- 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p>
            <w:pPr>
              <w:pStyle w:val="0"/>
              <w:jc w:val="both"/>
            </w:pPr>
            <w:r>
              <w:rPr>
                <w:sz w:val="20"/>
              </w:rPr>
              <w:t xml:space="preserve">- доля площади области, занятая особо охраняемыми природными территориями (далее - ООПТ);</w:t>
            </w:r>
          </w:p>
          <w:p>
            <w:pPr>
              <w:pStyle w:val="0"/>
              <w:jc w:val="both"/>
            </w:pPr>
            <w:r>
              <w:rPr>
                <w:sz w:val="20"/>
              </w:rPr>
              <w:t xml:space="preserve">- доля ООПТ, имеющих утвержденную в установленном порядке документацию;</w:t>
            </w:r>
          </w:p>
          <w:p>
            <w:pPr>
              <w:pStyle w:val="0"/>
              <w:jc w:val="both"/>
            </w:pPr>
            <w:r>
              <w:rPr>
                <w:sz w:val="20"/>
              </w:rPr>
              <w:t xml:space="preserve">- количество ООПТ регионального значения и их охранных зон, информация о которых внесена в Единый государственный реестр недвижимости в качестве территорий и зон с особыми условиями использования (нарастающим итогом с 2015 года);</w:t>
            </w:r>
          </w:p>
          <w:p>
            <w:pPr>
              <w:pStyle w:val="0"/>
              <w:jc w:val="both"/>
            </w:pPr>
            <w:r>
              <w:rPr>
                <w:sz w:val="20"/>
              </w:rPr>
              <w:t xml:space="preserve">- проведение мониторинга популяций видов живых организмов, занесенных в Красную книгу Нижегородской области;</w:t>
            </w:r>
          </w:p>
          <w:p>
            <w:pPr>
              <w:pStyle w:val="0"/>
              <w:jc w:val="both"/>
            </w:pPr>
            <w:r>
              <w:rPr>
                <w:sz w:val="20"/>
              </w:rPr>
              <w:t xml:space="preserve">- доля населения области, активно участвующего в мероприятиях по формированию благоприятной окружающей среды</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"Охрана окружающей среды";</w:t>
            </w:r>
          </w:p>
          <w:p>
            <w:pPr>
              <w:pStyle w:val="0"/>
              <w:jc w:val="both"/>
            </w:pPr>
            <w:r>
              <w:rPr>
                <w:sz w:val="20"/>
              </w:rPr>
              <w:t xml:space="preserve">Государственная программа Российской Федерации "Воспроизводство и использование природных ресурсов"</w:t>
            </w:r>
          </w:p>
        </w:tc>
      </w:tr>
      <w:tr>
        <w:tc>
          <w:tcPr>
            <w:tcW w:w="567" w:type="dxa"/>
          </w:tcPr>
          <w:p>
            <w:pPr>
              <w:pStyle w:val="0"/>
              <w:jc w:val="both"/>
            </w:pPr>
            <w:r>
              <w:rPr>
                <w:sz w:val="20"/>
              </w:rPr>
              <w:t xml:space="preserve">22</w:t>
            </w:r>
          </w:p>
        </w:tc>
        <w:tc>
          <w:tcPr>
            <w:tcW w:w="2324" w:type="dxa"/>
          </w:tcPr>
          <w:p>
            <w:pPr>
              <w:pStyle w:val="0"/>
              <w:jc w:val="both"/>
            </w:pPr>
            <w:r>
              <w:rPr>
                <w:sz w:val="20"/>
              </w:rPr>
              <w:t xml:space="preserve">Государственная </w:t>
            </w:r>
            <w:hyperlink w:history="0" r:id="rId57" w:tooltip="Постановление Правительства Нижегородской области от 13.07.2017 N 516 (ред. от 29.12.2023) &quot;Об утверждении государственной программы Нижегородской области &quot;Охрана животного мира Нижегородской области&quot; {КонсультантПлюс}">
              <w:r>
                <w:rPr>
                  <w:sz w:val="20"/>
                  <w:color w:val="0000ff"/>
                </w:rPr>
                <w:t xml:space="preserve">программа</w:t>
              </w:r>
            </w:hyperlink>
            <w:r>
              <w:rPr>
                <w:sz w:val="20"/>
              </w:rPr>
              <w:t xml:space="preserve"> "Охрана животного мира Нижегородской области", утвержденная постановлением Правительства Нижегородской области от 13 июля 2017 г. N 516</w:t>
            </w:r>
          </w:p>
        </w:tc>
        <w:tc>
          <w:tcPr>
            <w:tcW w:w="2324" w:type="dxa"/>
          </w:tcPr>
          <w:p>
            <w:pPr>
              <w:pStyle w:val="0"/>
              <w:jc w:val="both"/>
            </w:pPr>
            <w:r>
              <w:rPr>
                <w:sz w:val="20"/>
              </w:rPr>
              <w:t xml:space="preserve">Обеспечение сохранения, воспроизводства и рационального использования объектов животного мира и среды их обитания, эффективное функционирование системы государственного контроля и надзора в области охраны, воспроизводства и использования объектов животного мира, обеспечение охраны и рационального использования водных биологических ресурсов, создание условий для комплексного развития товарной аквакультуры (товарного рыбоводства) в Нижегородской области</w:t>
            </w:r>
          </w:p>
        </w:tc>
        <w:tc>
          <w:tcPr>
            <w:tcW w:w="1984" w:type="dxa"/>
          </w:tcPr>
          <w:p>
            <w:pPr>
              <w:pStyle w:val="0"/>
              <w:jc w:val="both"/>
            </w:pPr>
            <w:r>
              <w:rPr>
                <w:sz w:val="20"/>
              </w:rPr>
              <w:t xml:space="preserve">1. "Сохранение, воспроизводство и рациональное использование охотничьих ресурсов и объектов животного мира, не отнесенных к охотничьим ресурсам, а также сохранение водных биологических ресурсов".</w:t>
            </w:r>
          </w:p>
          <w:p>
            <w:pPr>
              <w:pStyle w:val="0"/>
              <w:jc w:val="both"/>
            </w:pPr>
            <w:r>
              <w:rPr>
                <w:sz w:val="20"/>
              </w:rPr>
              <w:t xml:space="preserve">2. "Развитие товарной аквакультуры (товарного рыбоводства) в Нижегородской области".</w:t>
            </w:r>
          </w:p>
          <w:p>
            <w:pPr>
              <w:pStyle w:val="0"/>
              <w:jc w:val="both"/>
            </w:pPr>
            <w:r>
              <w:rPr>
                <w:sz w:val="20"/>
              </w:rPr>
              <w:t xml:space="preserve">3. "Обеспечение реализации государственной программы"</w:t>
            </w:r>
          </w:p>
        </w:tc>
        <w:tc>
          <w:tcPr>
            <w:tcW w:w="3458" w:type="dxa"/>
          </w:tcPr>
          <w:p>
            <w:pPr>
              <w:pStyle w:val="0"/>
              <w:jc w:val="both"/>
            </w:pPr>
            <w:r>
              <w:rPr>
                <w:sz w:val="20"/>
              </w:rPr>
              <w:t xml:space="preserve">1. Обеспечение охраны и рационального использования объектов животного мира, не отнесенных к охотничьим ресурсам, осуществление государственного мониторинга и государственного кадастра объектов животного мира.</w:t>
            </w:r>
          </w:p>
          <w:p>
            <w:pPr>
              <w:pStyle w:val="0"/>
              <w:jc w:val="both"/>
            </w:pPr>
            <w:r>
              <w:rPr>
                <w:sz w:val="20"/>
              </w:rPr>
              <w:t xml:space="preserve">2. Восстановление нарушенного состояния водных биологических ресурсов и среды их обитания в результате стихийных бедствий и по иным причинам.</w:t>
            </w:r>
          </w:p>
          <w:p>
            <w:pPr>
              <w:pStyle w:val="0"/>
              <w:jc w:val="both"/>
            </w:pPr>
            <w:r>
              <w:rPr>
                <w:sz w:val="20"/>
              </w:rPr>
              <w:t xml:space="preserve">3. Обеспечение сохранения, воспроизводства и использования охотничьих ресурсов, эффективного функционирования системы государственного контроля и надзора в области охраны, воспроизводства и использования охотничьих ресурсов, охраны и рационального использования водных биологических ресурсов.</w:t>
            </w:r>
          </w:p>
          <w:p>
            <w:pPr>
              <w:pStyle w:val="0"/>
              <w:jc w:val="both"/>
            </w:pPr>
            <w:r>
              <w:rPr>
                <w:sz w:val="20"/>
              </w:rPr>
              <w:t xml:space="preserve">4. Создание условий для комплексного развития товарной аквакультуры (товарного рыбоводства) в Нижегородской области.</w:t>
            </w:r>
          </w:p>
          <w:p>
            <w:pPr>
              <w:pStyle w:val="0"/>
              <w:jc w:val="both"/>
            </w:pPr>
            <w:r>
              <w:rPr>
                <w:sz w:val="20"/>
              </w:rPr>
              <w:t xml:space="preserve">5. Создание условий по обеспечению рыбоводных хозяйств Нижегородской области квалифицированными сотрудниками в сфере товарного рыбоводства (товарной аквакультуры).</w:t>
            </w:r>
          </w:p>
          <w:p>
            <w:pPr>
              <w:pStyle w:val="0"/>
              <w:jc w:val="both"/>
            </w:pPr>
            <w:r>
              <w:rPr>
                <w:sz w:val="20"/>
              </w:rPr>
              <w:t xml:space="preserve">6. Обеспечение выполнения мероприятий и достижения ожидаемых результатов Госпрограммы</w:t>
            </w:r>
          </w:p>
        </w:tc>
        <w:tc>
          <w:tcPr>
            <w:tcW w:w="3175" w:type="dxa"/>
          </w:tcPr>
          <w:p>
            <w:pPr>
              <w:pStyle w:val="0"/>
              <w:jc w:val="both"/>
            </w:pPr>
            <w:r>
              <w:rPr>
                <w:sz w:val="20"/>
              </w:rPr>
              <w:t xml:space="preserve">- отношение количества видов объектов животного мира, занесенных в Красную книгу РФ и Красную книгу Нижегородской области к общему количеству видов объектов животного мира, обитающих на территории Нижегородской области, в отношении которых осуществляется ведение государственного мониторинга и государственного кадастра объектов животного мира;</w:t>
            </w:r>
          </w:p>
          <w:p>
            <w:pPr>
              <w:pStyle w:val="0"/>
              <w:jc w:val="both"/>
            </w:pPr>
            <w:r>
              <w:rPr>
                <w:sz w:val="20"/>
              </w:rPr>
              <w:t xml:space="preserve">- протяженность береговой полосы водных объектов рыбохозяйственного значения, на которых выполнены рыбохозяйственные мероприятия;</w:t>
            </w:r>
          </w:p>
          <w:p>
            <w:pPr>
              <w:pStyle w:val="0"/>
              <w:jc w:val="both"/>
            </w:pPr>
            <w:r>
              <w:rPr>
                <w:sz w:val="20"/>
              </w:rPr>
              <w:t xml:space="preserve">- увеличение численности важнейших видов охотничьих животных (лось);</w:t>
            </w:r>
          </w:p>
          <w:p>
            <w:pPr>
              <w:pStyle w:val="0"/>
              <w:jc w:val="both"/>
            </w:pPr>
            <w:r>
              <w:rPr>
                <w:sz w:val="20"/>
              </w:rPr>
              <w:t xml:space="preserve">- отношение фактической добычи охотничьих ресурсов к установленным лимитам добычи по отдельным видам охотничьих ресурсов (лось);</w:t>
            </w:r>
          </w:p>
          <w:p>
            <w:pPr>
              <w:pStyle w:val="0"/>
              <w:jc w:val="both"/>
            </w:pPr>
            <w:r>
              <w:rPr>
                <w:sz w:val="20"/>
              </w:rPr>
              <w:t xml:space="preserve">- доля привлеченных к ответственности лиц за нарушения законодательства в области охоты и сохранения охотничьих ресурсов к общему количеству возбужденных дел об административных правонарушениях в области охоты и сохранения охотничьих ресурсов;</w:t>
            </w:r>
          </w:p>
          <w:p>
            <w:pPr>
              <w:pStyle w:val="0"/>
              <w:jc w:val="both"/>
            </w:pPr>
            <w:r>
              <w:rPr>
                <w:sz w:val="20"/>
              </w:rPr>
              <w:t xml:space="preserve">- отношение количества видов охотничьих ресурсов, по которым ведется учет их численности в рамках государственного мониторинга охотничьих ресурсов и среды их обитания, к общему количеству видов охотничьих ресурсов, обитающих на территории Нижегородской области;</w:t>
            </w:r>
          </w:p>
          <w:p>
            <w:pPr>
              <w:pStyle w:val="0"/>
              <w:jc w:val="both"/>
            </w:pPr>
            <w:r>
              <w:rPr>
                <w:sz w:val="20"/>
              </w:rPr>
              <w:t xml:space="preserve">- количество государственных охотничьих инспекторов в муниципальном образовании, на территории которого находятся угодья;</w:t>
            </w:r>
          </w:p>
          <w:p>
            <w:pPr>
              <w:pStyle w:val="0"/>
              <w:jc w:val="both"/>
            </w:pPr>
            <w:r>
              <w:rPr>
                <w:sz w:val="20"/>
              </w:rPr>
              <w:t xml:space="preserve">- продуктивность охотничьих угодий в Нижегородской области (рублей/гектар);</w:t>
            </w:r>
          </w:p>
          <w:p>
            <w:pPr>
              <w:pStyle w:val="0"/>
              <w:jc w:val="both"/>
            </w:pPr>
            <w:r>
              <w:rPr>
                <w:sz w:val="20"/>
              </w:rPr>
              <w:t xml:space="preserve">- поставка автомобильного топлива для реализации рыбоохранных мероприятий в весенне-нерестовый период;</w:t>
            </w:r>
          </w:p>
          <w:p>
            <w:pPr>
              <w:pStyle w:val="0"/>
              <w:jc w:val="both"/>
            </w:pPr>
            <w:r>
              <w:rPr>
                <w:sz w:val="20"/>
              </w:rPr>
              <w:t xml:space="preserve">- объем производства продукции товарной аквакультуры (товарного рыбоводства) получателями субсидий на возмещение части затрат на один килограмм реализованной и (или) отгруженной на собственную переработку продукции товарной аквакультуры;</w:t>
            </w:r>
          </w:p>
          <w:p>
            <w:pPr>
              <w:pStyle w:val="0"/>
              <w:jc w:val="both"/>
            </w:pPr>
            <w:r>
              <w:rPr>
                <w:sz w:val="20"/>
              </w:rPr>
              <w:t xml:space="preserve">- разработка рыбоводно-биологических обоснований использования водного объекта для целей аквакультуры;</w:t>
            </w:r>
          </w:p>
          <w:p>
            <w:pPr>
              <w:pStyle w:val="0"/>
              <w:jc w:val="both"/>
            </w:pPr>
            <w:r>
              <w:rPr>
                <w:sz w:val="20"/>
              </w:rPr>
              <w:t xml:space="preserve">- доля специалистов, прошедших курсы по обеспечению отрасли квалифицированными кадрами</w:t>
            </w:r>
          </w:p>
        </w:tc>
        <w:tc>
          <w:tcPr>
            <w:tcW w:w="1814" w:type="dxa"/>
          </w:tcPr>
          <w:p>
            <w:pPr>
              <w:pStyle w:val="0"/>
              <w:jc w:val="both"/>
            </w:pPr>
            <w:r>
              <w:rPr>
                <w:sz w:val="20"/>
              </w:rPr>
              <w:t xml:space="preserve">-</w:t>
            </w:r>
          </w:p>
        </w:tc>
      </w:tr>
      <w:tr>
        <w:tc>
          <w:tcPr>
            <w:tcW w:w="567" w:type="dxa"/>
          </w:tcPr>
          <w:p>
            <w:pPr>
              <w:pStyle w:val="0"/>
              <w:jc w:val="both"/>
            </w:pPr>
            <w:r>
              <w:rPr>
                <w:sz w:val="20"/>
              </w:rPr>
              <w:t xml:space="preserve">23</w:t>
            </w:r>
          </w:p>
        </w:tc>
        <w:tc>
          <w:tcPr>
            <w:tcW w:w="2324" w:type="dxa"/>
          </w:tcPr>
          <w:p>
            <w:pPr>
              <w:pStyle w:val="0"/>
              <w:jc w:val="both"/>
            </w:pPr>
            <w:r>
              <w:rPr>
                <w:sz w:val="20"/>
              </w:rPr>
              <w:t xml:space="preserve">Государственная </w:t>
            </w:r>
            <w:hyperlink w:history="0" r:id="rId58" w:tooltip="Постановление Правительства Нижегородской области от 30.04.2014 N 303 (ред. от 31.12.2023) &quot;Об утверждении государственной программы &quot;Развитие транспортной системы Нижегородской области&quot; ------------ Недействующая редакция {КонсультантПлюс}">
              <w:r>
                <w:rPr>
                  <w:sz w:val="20"/>
                  <w:color w:val="0000ff"/>
                </w:rPr>
                <w:t xml:space="preserve">программа</w:t>
              </w:r>
            </w:hyperlink>
            <w:r>
              <w:rPr>
                <w:sz w:val="20"/>
              </w:rPr>
              <w:t xml:space="preserve"> "Развитие транспортной системы Нижегородской области", утвержденная постановлением Правительства Нижегородской области от 30 апреля 2014 г. N 303</w:t>
            </w:r>
          </w:p>
        </w:tc>
        <w:tc>
          <w:tcPr>
            <w:tcW w:w="2324" w:type="dxa"/>
          </w:tcPr>
          <w:p>
            <w:pPr>
              <w:pStyle w:val="0"/>
              <w:jc w:val="both"/>
            </w:pPr>
            <w:r>
              <w:rPr>
                <w:sz w:val="20"/>
              </w:rPr>
              <w:t xml:space="preserve">1. Совершенствование и развитие транспортной инфраструктуры в соответствии с потребностями населения и экономики Нижегородской области.</w:t>
            </w:r>
          </w:p>
          <w:p>
            <w:pPr>
              <w:pStyle w:val="0"/>
              <w:jc w:val="both"/>
            </w:pPr>
            <w:r>
              <w:rPr>
                <w:sz w:val="20"/>
              </w:rPr>
              <w:t xml:space="preserve">2. Обеспечение технического состояния и пропускной способности дорожной сети, поддержание на необходимом уровне и улучшение потребительских свойств автомобильных дорог Нижегородской области.</w:t>
            </w:r>
          </w:p>
          <w:p>
            <w:pPr>
              <w:pStyle w:val="0"/>
              <w:jc w:val="both"/>
            </w:pPr>
            <w:r>
              <w:rPr>
                <w:sz w:val="20"/>
              </w:rPr>
              <w:t xml:space="preserve">3. Повышение безопасности дорожного движения.</w:t>
            </w:r>
          </w:p>
          <w:p>
            <w:pPr>
              <w:pStyle w:val="0"/>
              <w:jc w:val="both"/>
            </w:pPr>
            <w:r>
              <w:rPr>
                <w:sz w:val="20"/>
              </w:rPr>
              <w:t xml:space="preserve">4. Повышение доступности и качества услуг транспортного комплекса для населения.</w:t>
            </w:r>
          </w:p>
          <w:p>
            <w:pPr>
              <w:pStyle w:val="0"/>
              <w:jc w:val="both"/>
            </w:pPr>
            <w:r>
              <w:rPr>
                <w:sz w:val="20"/>
              </w:rPr>
              <w:t xml:space="preserve">5. Повышение энергетической и экономической эффективности в транспортном комплексе Нижегородской области</w:t>
            </w:r>
          </w:p>
        </w:tc>
        <w:tc>
          <w:tcPr>
            <w:tcW w:w="1984" w:type="dxa"/>
          </w:tcPr>
          <w:p>
            <w:pPr>
              <w:pStyle w:val="0"/>
              <w:jc w:val="both"/>
            </w:pPr>
            <w:r>
              <w:rPr>
                <w:sz w:val="20"/>
              </w:rPr>
              <w:t xml:space="preserve">1. "Дорожное хозяйство".</w:t>
            </w:r>
          </w:p>
          <w:p>
            <w:pPr>
              <w:pStyle w:val="0"/>
              <w:jc w:val="both"/>
            </w:pPr>
            <w:r>
              <w:rPr>
                <w:sz w:val="20"/>
              </w:rPr>
              <w:t xml:space="preserve">2. "Развитие транспортного комплекса"</w:t>
            </w:r>
          </w:p>
        </w:tc>
        <w:tc>
          <w:tcPr>
            <w:tcW w:w="3458" w:type="dxa"/>
          </w:tcPr>
          <w:p>
            <w:pPr>
              <w:pStyle w:val="0"/>
              <w:jc w:val="both"/>
            </w:pPr>
            <w:r>
              <w:rPr>
                <w:sz w:val="20"/>
              </w:rPr>
              <w:t xml:space="preserve">1. Повышение качества дорожной сети, в том числе уличной сети, городских агломераций.</w:t>
            </w:r>
          </w:p>
          <w:p>
            <w:pPr>
              <w:pStyle w:val="0"/>
              <w:jc w:val="both"/>
            </w:pPr>
            <w:r>
              <w:rPr>
                <w:sz w:val="20"/>
              </w:rPr>
              <w:t xml:space="preserve">2. Приведение в нормативное состояние автомобильных дорог регионального или межмуниципального значения и искусственных сооружений.</w:t>
            </w:r>
          </w:p>
          <w:p>
            <w:pPr>
              <w:pStyle w:val="0"/>
              <w:jc w:val="both"/>
            </w:pPr>
            <w:r>
              <w:rPr>
                <w:sz w:val="20"/>
              </w:rPr>
              <w:t xml:space="preserve">3. Обеспечено увеличение доли отечественного оборудования (товаров, работ, услуг) в общем объеме закупок.</w:t>
            </w:r>
          </w:p>
          <w:p>
            <w:pPr>
              <w:pStyle w:val="0"/>
              <w:jc w:val="both"/>
            </w:pPr>
            <w:r>
              <w:rPr>
                <w:sz w:val="20"/>
              </w:rPr>
              <w:t xml:space="preserve">4. Обеспечение участков жилищного строительства транспортной инфраструктурой.</w:t>
            </w:r>
          </w:p>
          <w:p>
            <w:pPr>
              <w:pStyle w:val="0"/>
              <w:jc w:val="both"/>
            </w:pPr>
            <w:r>
              <w:rPr>
                <w:sz w:val="20"/>
              </w:rPr>
              <w:t xml:space="preserve">5. Совершенствование регуляторной политики и применения новых технологий в дорожной отрасли.</w:t>
            </w:r>
          </w:p>
          <w:p>
            <w:pPr>
              <w:pStyle w:val="0"/>
              <w:jc w:val="both"/>
            </w:pPr>
            <w:r>
              <w:rPr>
                <w:sz w:val="20"/>
              </w:rPr>
              <w:t xml:space="preserve">6. Обеспечение развития сельских территорий транспортной инфраструктурой.</w:t>
            </w:r>
          </w:p>
          <w:p>
            <w:pPr>
              <w:pStyle w:val="0"/>
              <w:jc w:val="both"/>
            </w:pPr>
            <w:r>
              <w:rPr>
                <w:sz w:val="20"/>
              </w:rPr>
              <w:t xml:space="preserve">7. Обеспечение развития сети автомобильных дорог общего пользования регионального (межмуниципального) и местного значения.</w:t>
            </w:r>
          </w:p>
          <w:p>
            <w:pPr>
              <w:pStyle w:val="0"/>
              <w:jc w:val="both"/>
            </w:pPr>
            <w:r>
              <w:rPr>
                <w:sz w:val="20"/>
              </w:rPr>
              <w:t xml:space="preserve">8. Обеспечение организационных, информационных, научно-методических условий для реализации Государственной программы.</w:t>
            </w:r>
          </w:p>
          <w:p>
            <w:pPr>
              <w:pStyle w:val="0"/>
              <w:jc w:val="both"/>
            </w:pPr>
            <w:r>
              <w:rPr>
                <w:sz w:val="20"/>
              </w:rPr>
              <w:t xml:space="preserve">9. Обеспечение транспортной безопасности и повышения безопасности дорожного движения автомобильных дорог.</w:t>
            </w:r>
          </w:p>
          <w:p>
            <w:pPr>
              <w:pStyle w:val="0"/>
              <w:jc w:val="both"/>
            </w:pPr>
            <w:r>
              <w:rPr>
                <w:sz w:val="20"/>
              </w:rPr>
              <w:t xml:space="preserve">10. Обеспечение комплексного развития городского электрического транспорта.</w:t>
            </w:r>
          </w:p>
          <w:p>
            <w:pPr>
              <w:pStyle w:val="0"/>
              <w:jc w:val="both"/>
            </w:pPr>
            <w:r>
              <w:rPr>
                <w:sz w:val="20"/>
              </w:rPr>
              <w:t xml:space="preserve">11. Повышена безопасность участников дорожного движения.</w:t>
            </w:r>
          </w:p>
          <w:p>
            <w:pPr>
              <w:pStyle w:val="0"/>
              <w:jc w:val="both"/>
            </w:pPr>
            <w:r>
              <w:rPr>
                <w:sz w:val="20"/>
              </w:rPr>
              <w:t xml:space="preserve">12. Совершенствование и развитие транспортной инфраструктуры в соответствии с потребностями населения и экономики Нижегородской области.</w:t>
            </w:r>
          </w:p>
          <w:p>
            <w:pPr>
              <w:pStyle w:val="0"/>
              <w:jc w:val="both"/>
            </w:pPr>
            <w:r>
              <w:rPr>
                <w:sz w:val="20"/>
              </w:rPr>
              <w:t xml:space="preserve">13. Обеспечение текущей деятельности участников государственной программы "Развитие транспортной системы Нижегородской области".</w:t>
            </w:r>
          </w:p>
          <w:p>
            <w:pPr>
              <w:pStyle w:val="0"/>
              <w:jc w:val="both"/>
            </w:pPr>
            <w:r>
              <w:rPr>
                <w:sz w:val="20"/>
              </w:rPr>
              <w:t xml:space="preserve">14. Повышение доступности и качества услуг транспортного комплекса для населения</w:t>
            </w:r>
          </w:p>
        </w:tc>
        <w:tc>
          <w:tcPr>
            <w:tcW w:w="3175" w:type="dxa"/>
          </w:tcPr>
          <w:p>
            <w:pPr>
              <w:pStyle w:val="0"/>
              <w:jc w:val="both"/>
            </w:pPr>
            <w:r>
              <w:rPr>
                <w:sz w:val="20"/>
              </w:rPr>
              <w:t xml:space="preserve">- протяженность приведенных в нормативное состояние искусственных сооружений на автомобильных дорогах регионального или межмуниципального и местного значения (накопленным итогом);</w:t>
            </w:r>
          </w:p>
          <w:p>
            <w:pPr>
              <w:pStyle w:val="0"/>
              <w:jc w:val="both"/>
            </w:pPr>
            <w:r>
              <w:rPr>
                <w:sz w:val="20"/>
              </w:rPr>
              <w:t xml:space="preserve">- осуществлено строительство и реконструкция автомобильных дорог регионального или межмуниципального, местного значения (накопленным итогом);</w:t>
            </w:r>
          </w:p>
          <w:p>
            <w:pPr>
              <w:pStyle w:val="0"/>
              <w:jc w:val="both"/>
            </w:pPr>
            <w:r>
              <w:rPr>
                <w:sz w:val="20"/>
              </w:rPr>
              <w:t xml:space="preserve">- протяженность приведенных в нормативное состояние автомобильных дорог регионального или межмуниципального и местного значения (накопленным итогом);</w:t>
            </w:r>
          </w:p>
          <w:p>
            <w:pPr>
              <w:pStyle w:val="0"/>
              <w:jc w:val="both"/>
            </w:pPr>
            <w:r>
              <w:rPr>
                <w:sz w:val="20"/>
              </w:rPr>
              <w:t xml:space="preserve">- протяженность приведенных в нормативное состояние искусственных сооружений на автомобильных дорогах регионального или межмуниципального и местного значения (накопленным итогом);</w:t>
            </w:r>
          </w:p>
          <w:p>
            <w:pPr>
              <w:pStyle w:val="0"/>
              <w:jc w:val="both"/>
            </w:pPr>
            <w:r>
              <w:rPr>
                <w:sz w:val="20"/>
              </w:rPr>
              <w:t xml:space="preserve">- осуществлено строительство и реконструкция автомобильных дорог регионального или межмуниципального, местного значения (накопленным итогом);</w:t>
            </w:r>
          </w:p>
          <w:p>
            <w:pPr>
              <w:pStyle w:val="0"/>
              <w:jc w:val="both"/>
            </w:pPr>
            <w:r>
              <w:rPr>
                <w:sz w:val="20"/>
              </w:rPr>
              <w:t xml:space="preserve">- осуществлено строительство и реконструкция искусственных сооружений на автомобильных дорогах регионального или межмуниципального, местного значения (накопленным итогом);</w:t>
            </w:r>
          </w:p>
          <w:p>
            <w:pPr>
              <w:pStyle w:val="0"/>
              <w:jc w:val="both"/>
            </w:pPr>
            <w:r>
              <w:rPr>
                <w:sz w:val="20"/>
              </w:rPr>
              <w:t xml:space="preserve">- доля дорожной сети городских агломераций, находящаяся в нормативном состоянии;</w:t>
            </w:r>
          </w:p>
          <w:p>
            <w:pPr>
              <w:pStyle w:val="0"/>
              <w:jc w:val="both"/>
            </w:pPr>
            <w:r>
              <w:rPr>
                <w:sz w:val="20"/>
              </w:rPr>
              <w:t xml:space="preserve">- доля автомобильных дорог регионального и межмуниципального значения, соответствующих нормативным требованиям;</w:t>
            </w:r>
          </w:p>
          <w:p>
            <w:pPr>
              <w:pStyle w:val="0"/>
              <w:jc w:val="both"/>
            </w:pPr>
            <w:r>
              <w:rPr>
                <w:sz w:val="20"/>
              </w:rPr>
              <w:t xml:space="preserve">- доля автомобильных дорог регионального значения, входящих в опорную сеть, соответствующих нормативным требованиям;</w:t>
            </w:r>
          </w:p>
          <w:p>
            <w:pPr>
              <w:pStyle w:val="0"/>
              <w:jc w:val="both"/>
            </w:pPr>
            <w:r>
              <w:rPr>
                <w:sz w:val="20"/>
              </w:rPr>
              <w:t xml:space="preserve">- доля отечественного оборудования (товаров, работ, услуг) в общем объеме закупок;</w:t>
            </w:r>
          </w:p>
          <w:p>
            <w:pPr>
              <w:pStyle w:val="0"/>
              <w:jc w:val="both"/>
            </w:pPr>
            <w:r>
              <w:rPr>
                <w:sz w:val="20"/>
              </w:rPr>
              <w:t xml:space="preserve">- доля дорожной сети городских агломераций, образованных городами с населением от 100 до 200 тысяч человек, находящаяся в нормативном состоянии;</w:t>
            </w:r>
          </w:p>
          <w:p>
            <w:pPr>
              <w:pStyle w:val="0"/>
              <w:jc w:val="both"/>
            </w:pPr>
            <w:r>
              <w:rPr>
                <w:sz w:val="20"/>
              </w:rPr>
              <w:t xml:space="preserve">- доля автомобильных дорог регионального значения, входящих в опорную сеть, рассчитанных на нормативную нагрузку не менее 11,5 тонн на ось;</w:t>
            </w:r>
          </w:p>
          <w:p>
            <w:pPr>
              <w:pStyle w:val="0"/>
              <w:jc w:val="both"/>
            </w:pPr>
            <w:r>
              <w:rPr>
                <w:sz w:val="20"/>
              </w:rPr>
              <w:t xml:space="preserve">- доля искусственных сооружений, расположенных на автомобильных дорогах общего пользования регионального значения, входящих в опорную сеть, рассчитанных на нагрузку не менее А11;</w:t>
            </w:r>
          </w:p>
          <w:p>
            <w:pPr>
              <w:pStyle w:val="0"/>
              <w:jc w:val="both"/>
            </w:pPr>
            <w:r>
              <w:rPr>
                <w:sz w:val="20"/>
              </w:rPr>
              <w:t xml:space="preserve">- повышение пропускной способности автомобильных дорог регионального и межмуниципального значения (увеличение количества полос движения до четырех) по отношению к 2023 году;</w:t>
            </w:r>
          </w:p>
          <w:p>
            <w:pPr>
              <w:pStyle w:val="0"/>
              <w:jc w:val="both"/>
            </w:pPr>
            <w:r>
              <w:rPr>
                <w:sz w:val="20"/>
              </w:rPr>
              <w:t xml:space="preserve">- количество объектов транспортной инфраструктуры, оснащенных инженерно-техническими системами обеспечения транспортной безопасности;</w:t>
            </w:r>
          </w:p>
          <w:p>
            <w:pPr>
              <w:pStyle w:val="0"/>
              <w:jc w:val="both"/>
            </w:pPr>
            <w:r>
              <w:rPr>
                <w:sz w:val="20"/>
              </w:rPr>
              <w:t xml:space="preserve">- количество погибших в дорожно-транспортных происшествиях, человек на 100 тысяч населения;</w:t>
            </w:r>
          </w:p>
          <w:p>
            <w:pPr>
              <w:pStyle w:val="0"/>
              <w:jc w:val="both"/>
            </w:pPr>
            <w:r>
              <w:rPr>
                <w:sz w:val="20"/>
              </w:rPr>
              <w:t xml:space="preserve">- количество погибших в дорожно-транспортных происшествиях на 10 тысяч транспортных средств;</w:t>
            </w:r>
          </w:p>
          <w:p>
            <w:pPr>
              <w:pStyle w:val="0"/>
              <w:jc w:val="both"/>
            </w:pPr>
            <w:r>
              <w:rPr>
                <w:sz w:val="20"/>
              </w:rPr>
              <w:t xml:space="preserve">- внедрены интеллектуальные транспортные системы, предусматривающие автоматизацию процессов управления дорожным движением в городских агломерациях, включающих города с населением свыше 300 тысяч человек;</w:t>
            </w:r>
          </w:p>
          <w:p>
            <w:pPr>
              <w:pStyle w:val="0"/>
              <w:jc w:val="both"/>
            </w:pPr>
            <w:r>
              <w:rPr>
                <w:sz w:val="20"/>
              </w:rPr>
              <w:t xml:space="preserve">- размещены автоматические пункты весогабаритного контроля транспортных средств на автомобильных дорогах регионального или межмуниципального, местного значения;</w:t>
            </w:r>
          </w:p>
          <w:p>
            <w:pPr>
              <w:pStyle w:val="0"/>
              <w:jc w:val="both"/>
            </w:pPr>
            <w:r>
              <w:rPr>
                <w:sz w:val="20"/>
              </w:rPr>
              <w:t xml:space="preserve">- установлены стационарные камеры фотовидеофиксации нарушений правил дорожного движения на автомобильных дорогах общего пользования федерального, регионального или межмуниципального, местного значения;</w:t>
            </w:r>
          </w:p>
          <w:p>
            <w:pPr>
              <w:pStyle w:val="0"/>
              <w:jc w:val="both"/>
            </w:pPr>
            <w:r>
              <w:rPr>
                <w:sz w:val="20"/>
              </w:rPr>
              <w:t xml:space="preserve">- доля объектов, на которых предусматривается использование новых и наилучших технологий, включенных в Реестр;</w:t>
            </w:r>
          </w:p>
          <w:p>
            <w:pPr>
              <w:pStyle w:val="0"/>
              <w:jc w:val="both"/>
            </w:pPr>
            <w:r>
              <w:rPr>
                <w:sz w:val="20"/>
              </w:rPr>
              <w:t xml:space="preserve">- доля контрактов жизненного цикла, предусматривающих выполнение работ по строительству, реконструкции, капитальному ремонту автомобильных дорог регионального (межмуниципального) значения;</w:t>
            </w:r>
          </w:p>
          <w:p>
            <w:pPr>
              <w:pStyle w:val="0"/>
              <w:jc w:val="both"/>
            </w:pPr>
            <w:r>
              <w:rPr>
                <w:sz w:val="20"/>
              </w:rPr>
              <w:t xml:space="preserve">- общая протяженность действующих линий метрополитена;</w:t>
            </w:r>
          </w:p>
          <w:p>
            <w:pPr>
              <w:pStyle w:val="0"/>
              <w:jc w:val="both"/>
            </w:pPr>
            <w:r>
              <w:rPr>
                <w:sz w:val="20"/>
              </w:rPr>
              <w:t xml:space="preserve">- количество вагоно-километров по перевозкам пассажирским транспортом пригородной пассажирской компании;</w:t>
            </w:r>
          </w:p>
          <w:p>
            <w:pPr>
              <w:pStyle w:val="0"/>
              <w:jc w:val="both"/>
            </w:pPr>
            <w:r>
              <w:rPr>
                <w:sz w:val="20"/>
              </w:rPr>
              <w:t xml:space="preserve">- бесперебойное функционирование объекта - канатная дорога;</w:t>
            </w:r>
          </w:p>
          <w:p>
            <w:pPr>
              <w:pStyle w:val="0"/>
              <w:jc w:val="both"/>
            </w:pPr>
            <w:r>
              <w:rPr>
                <w:sz w:val="20"/>
              </w:rPr>
              <w:t xml:space="preserve">- количество перевезенных отдельных льготных категорий граждан канатной дорогой;</w:t>
            </w:r>
          </w:p>
          <w:p>
            <w:pPr>
              <w:pStyle w:val="0"/>
              <w:jc w:val="both"/>
            </w:pPr>
            <w:r>
              <w:rPr>
                <w:sz w:val="20"/>
              </w:rPr>
              <w:t xml:space="preserve">- количество парных рейсов региональных воздушных перевозок;</w:t>
            </w:r>
          </w:p>
          <w:p>
            <w:pPr>
              <w:pStyle w:val="0"/>
              <w:jc w:val="both"/>
            </w:pPr>
            <w:r>
              <w:rPr>
                <w:sz w:val="20"/>
              </w:rPr>
              <w:t xml:space="preserve">- количество международных воздушных перевозок пассажиров;</w:t>
            </w:r>
          </w:p>
          <w:p>
            <w:pPr>
              <w:pStyle w:val="0"/>
              <w:jc w:val="both"/>
            </w:pPr>
            <w:r>
              <w:rPr>
                <w:sz w:val="20"/>
              </w:rPr>
              <w:t xml:space="preserve">- количество приобретенных судов на подводных крыльях;</w:t>
            </w:r>
          </w:p>
          <w:p>
            <w:pPr>
              <w:pStyle w:val="0"/>
              <w:jc w:val="both"/>
            </w:pPr>
            <w:r>
              <w:rPr>
                <w:sz w:val="20"/>
              </w:rPr>
              <w:t xml:space="preserve">- количество перевозок пассажиров скоростными судами на подводных крыльях;</w:t>
            </w:r>
          </w:p>
          <w:p>
            <w:pPr>
              <w:pStyle w:val="0"/>
              <w:jc w:val="both"/>
            </w:pPr>
            <w:r>
              <w:rPr>
                <w:sz w:val="20"/>
              </w:rPr>
              <w:t xml:space="preserve">- количество автобусов, приобретенных для предприятий пассажирского автотранспорта;</w:t>
            </w:r>
          </w:p>
          <w:p>
            <w:pPr>
              <w:pStyle w:val="0"/>
              <w:jc w:val="both"/>
            </w:pPr>
            <w:r>
              <w:rPr>
                <w:sz w:val="20"/>
              </w:rPr>
              <w:t xml:space="preserve">- количество пассажиров, бесплатно перевезенных автотранспортом и городским электрическим транспортом;</w:t>
            </w:r>
          </w:p>
          <w:p>
            <w:pPr>
              <w:pStyle w:val="0"/>
              <w:jc w:val="both"/>
            </w:pPr>
            <w:r>
              <w:rPr>
                <w:sz w:val="20"/>
              </w:rPr>
              <w:t xml:space="preserve">- количество автомобилей, приведенных в движение электрической тягой;</w:t>
            </w:r>
          </w:p>
          <w:p>
            <w:pPr>
              <w:pStyle w:val="0"/>
              <w:jc w:val="both"/>
            </w:pPr>
            <w:r>
              <w:rPr>
                <w:sz w:val="20"/>
              </w:rPr>
              <w:t xml:space="preserve">- количество перевезенных пассажиров через реку Оку в направлении г. Павлово - р.п. Тумботино;</w:t>
            </w:r>
          </w:p>
          <w:p>
            <w:pPr>
              <w:pStyle w:val="0"/>
              <w:jc w:val="both"/>
            </w:pPr>
            <w:r>
              <w:rPr>
                <w:sz w:val="20"/>
              </w:rPr>
              <w:t xml:space="preserve">- эксплуатация сооружения инженерной защиты Лысковской сельхознизины;</w:t>
            </w:r>
          </w:p>
          <w:p>
            <w:pPr>
              <w:pStyle w:val="0"/>
              <w:jc w:val="both"/>
            </w:pPr>
            <w:r>
              <w:rPr>
                <w:sz w:val="20"/>
              </w:rPr>
              <w:t xml:space="preserve">- осуществлено регулярных перевозок пассажиров и багажа автомобильным транспортом и городским наземным электрическим транспортом по регулируемым тарифам;</w:t>
            </w:r>
          </w:p>
          <w:p>
            <w:pPr>
              <w:pStyle w:val="0"/>
              <w:jc w:val="both"/>
            </w:pPr>
            <w:r>
              <w:rPr>
                <w:sz w:val="20"/>
              </w:rPr>
              <w:t xml:space="preserve">- обеспечено комплексное развитие городского электрического транспорта;</w:t>
            </w:r>
          </w:p>
          <w:p>
            <w:pPr>
              <w:pStyle w:val="0"/>
              <w:jc w:val="both"/>
            </w:pPr>
            <w:r>
              <w:rPr>
                <w:sz w:val="20"/>
              </w:rPr>
              <w:t xml:space="preserve">- приобретено автобусов, приводимых в движение электрической энергией от батареи, заряжаемой от внешнего источника (электробусов);</w:t>
            </w:r>
          </w:p>
          <w:p>
            <w:pPr>
              <w:pStyle w:val="0"/>
              <w:jc w:val="both"/>
            </w:pPr>
            <w:r>
              <w:rPr>
                <w:sz w:val="20"/>
              </w:rPr>
              <w:t xml:space="preserve">- приобретено объектов зарядной инфраструктуры;</w:t>
            </w:r>
          </w:p>
          <w:p>
            <w:pPr>
              <w:pStyle w:val="0"/>
              <w:jc w:val="both"/>
            </w:pPr>
            <w:r>
              <w:rPr>
                <w:sz w:val="20"/>
              </w:rPr>
              <w:t xml:space="preserve">- приобретено трамваев;</w:t>
            </w:r>
          </w:p>
          <w:p>
            <w:pPr>
              <w:pStyle w:val="0"/>
              <w:jc w:val="both"/>
            </w:pPr>
            <w:r>
              <w:rPr>
                <w:sz w:val="20"/>
              </w:rPr>
              <w:t xml:space="preserve">- построено трамвайных путей;</w:t>
            </w:r>
          </w:p>
          <w:p>
            <w:pPr>
              <w:pStyle w:val="0"/>
              <w:jc w:val="both"/>
            </w:pPr>
            <w:r>
              <w:rPr>
                <w:sz w:val="20"/>
              </w:rPr>
              <w:t xml:space="preserve">- реконструировано депо;</w:t>
            </w:r>
          </w:p>
          <w:p>
            <w:pPr>
              <w:pStyle w:val="0"/>
              <w:jc w:val="both"/>
            </w:pPr>
            <w:r>
              <w:rPr>
                <w:sz w:val="20"/>
              </w:rPr>
              <w:t xml:space="preserve">- реконструировано тяговых подстанций;</w:t>
            </w:r>
          </w:p>
          <w:p>
            <w:pPr>
              <w:pStyle w:val="0"/>
              <w:jc w:val="both"/>
            </w:pPr>
            <w:r>
              <w:rPr>
                <w:sz w:val="20"/>
              </w:rPr>
              <w:t xml:space="preserve">- количество пассажирских автотранспортных средств, использующих компримированный природный газ в качестве моторного топлива, нарастающим итогом</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"Развитие транспортной системы";</w:t>
            </w:r>
          </w:p>
          <w:p>
            <w:pPr>
              <w:pStyle w:val="0"/>
              <w:jc w:val="both"/>
            </w:pPr>
            <w:r>
              <w:rPr>
                <w:sz w:val="20"/>
              </w:rPr>
              <w:t xml:space="preserve">Государственная программа Российской Федерации "Обеспечение общественного порядка и противодействие преступности"</w:t>
            </w:r>
          </w:p>
        </w:tc>
      </w:tr>
      <w:tr>
        <w:tc>
          <w:tcPr>
            <w:tcW w:w="567" w:type="dxa"/>
          </w:tcPr>
          <w:p>
            <w:pPr>
              <w:pStyle w:val="0"/>
              <w:jc w:val="both"/>
            </w:pPr>
            <w:r>
              <w:rPr>
                <w:sz w:val="20"/>
              </w:rPr>
              <w:t xml:space="preserve">24</w:t>
            </w:r>
          </w:p>
        </w:tc>
        <w:tc>
          <w:tcPr>
            <w:tcW w:w="2324" w:type="dxa"/>
          </w:tcPr>
          <w:p>
            <w:pPr>
              <w:pStyle w:val="0"/>
              <w:jc w:val="both"/>
            </w:pPr>
            <w:r>
              <w:rPr>
                <w:sz w:val="20"/>
              </w:rPr>
              <w:t xml:space="preserve">Государственная </w:t>
            </w:r>
            <w:hyperlink w:history="0" r:id="rId59" w:tooltip="Постановление Правительства Нижегородской области от 30.04.2014 N 300 (ред. от 29.12.2023) &quot;Об утверждении государственной программы Нижегородской области &quot;Информационное общество Нижегородской области&quot; ------------ Недействующая редакция {КонсультантПлюс}">
              <w:r>
                <w:rPr>
                  <w:sz w:val="20"/>
                  <w:color w:val="0000ff"/>
                </w:rPr>
                <w:t xml:space="preserve">программа</w:t>
              </w:r>
            </w:hyperlink>
            <w:r>
              <w:rPr>
                <w:sz w:val="20"/>
              </w:rPr>
              <w:t xml:space="preserve"> "Информационное общество Нижегородской области", утвержденная постановлением Правительства Нижегородской области от 30 апреля 2014 г. N 300</w:t>
            </w:r>
          </w:p>
        </w:tc>
        <w:tc>
          <w:tcPr>
            <w:tcW w:w="2324" w:type="dxa"/>
          </w:tcPr>
          <w:p>
            <w:pPr>
              <w:pStyle w:val="0"/>
              <w:jc w:val="both"/>
            </w:pPr>
            <w:r>
              <w:rPr>
                <w:sz w:val="20"/>
              </w:rPr>
              <w:t xml:space="preserve">Цифровая трансформация в Нижегородской области</w:t>
            </w:r>
          </w:p>
        </w:tc>
        <w:tc>
          <w:tcPr>
            <w:tcW w:w="1984" w:type="dxa"/>
          </w:tcPr>
          <w:p>
            <w:pPr>
              <w:pStyle w:val="0"/>
              <w:jc w:val="both"/>
            </w:pPr>
            <w:r>
              <w:rPr>
                <w:sz w:val="20"/>
              </w:rPr>
              <w:t xml:space="preserve">1. "Цифровое развитие".</w:t>
            </w:r>
          </w:p>
          <w:p>
            <w:pPr>
              <w:pStyle w:val="0"/>
              <w:jc w:val="both"/>
            </w:pPr>
            <w:r>
              <w:rPr>
                <w:sz w:val="20"/>
              </w:rPr>
              <w:t xml:space="preserve">2. "Информационная инфраструктура, информационная безопасность и связь".</w:t>
            </w:r>
          </w:p>
          <w:p>
            <w:pPr>
              <w:pStyle w:val="0"/>
              <w:jc w:val="both"/>
            </w:pPr>
            <w:r>
              <w:rPr>
                <w:sz w:val="20"/>
              </w:rPr>
              <w:t xml:space="preserve">3. "Организация предоставления государственных и муниципальных услуг".</w:t>
            </w:r>
          </w:p>
          <w:p>
            <w:pPr>
              <w:pStyle w:val="0"/>
              <w:jc w:val="both"/>
            </w:pPr>
            <w:r>
              <w:rPr>
                <w:sz w:val="20"/>
              </w:rPr>
              <w:t xml:space="preserve">4. "Обеспечение реализации государственной программы"</w:t>
            </w:r>
          </w:p>
        </w:tc>
        <w:tc>
          <w:tcPr>
            <w:tcW w:w="3458" w:type="dxa"/>
          </w:tcPr>
          <w:p>
            <w:pPr>
              <w:pStyle w:val="0"/>
              <w:jc w:val="both"/>
            </w:pPr>
            <w:r>
              <w:rPr>
                <w:sz w:val="20"/>
              </w:rPr>
              <w:t xml:space="preserve">1. Создание необходимой телекоммуникационной инфраструктуры для обеспечения широкополосным доступом к сети Интернет социально значимых объектов, а также эффективного и безопасного использования ими онлайн сервисов.</w:t>
            </w:r>
          </w:p>
          <w:p>
            <w:pPr>
              <w:pStyle w:val="0"/>
              <w:jc w:val="both"/>
            </w:pPr>
            <w:r>
              <w:rPr>
                <w:sz w:val="20"/>
              </w:rPr>
              <w:t xml:space="preserve">2. Обеспечение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w:t>
            </w:r>
          </w:p>
          <w:p>
            <w:pPr>
              <w:pStyle w:val="0"/>
              <w:jc w:val="both"/>
            </w:pPr>
            <w:r>
              <w:rPr>
                <w:sz w:val="20"/>
              </w:rPr>
              <w:t xml:space="preserve">3. Цифровизация процессов предоставления государственных услуг и исполнения государственных функций государственными органами власти.</w:t>
            </w:r>
          </w:p>
          <w:p>
            <w:pPr>
              <w:pStyle w:val="0"/>
              <w:jc w:val="both"/>
            </w:pPr>
            <w:r>
              <w:rPr>
                <w:sz w:val="20"/>
              </w:rPr>
              <w:t xml:space="preserve">4. Стимулирование граждан к получению государственных и муниципальных услуг в электронном виде с использованием ЕПГУ.</w:t>
            </w:r>
          </w:p>
          <w:p>
            <w:pPr>
              <w:pStyle w:val="0"/>
              <w:jc w:val="both"/>
            </w:pPr>
            <w:r>
              <w:rPr>
                <w:sz w:val="20"/>
              </w:rPr>
              <w:t xml:space="preserve">5. Обеспечение перевода государственных и муниципальных услуг в цифровой формат.</w:t>
            </w:r>
          </w:p>
          <w:p>
            <w:pPr>
              <w:pStyle w:val="0"/>
              <w:jc w:val="both"/>
            </w:pPr>
            <w:r>
              <w:rPr>
                <w:sz w:val="20"/>
              </w:rPr>
              <w:t xml:space="preserve">6. Осуществление контроля посетителей и мониторинга загруженности спортивных учреждений Нижегородской области.</w:t>
            </w:r>
          </w:p>
          <w:p>
            <w:pPr>
              <w:pStyle w:val="0"/>
              <w:jc w:val="both"/>
            </w:pPr>
            <w:r>
              <w:rPr>
                <w:sz w:val="20"/>
              </w:rPr>
              <w:t xml:space="preserve">7. Сокращение сроков подготовки, согласования, подписания кадровых документов, а также исключение рисков при ведении кадрового документооборота, которые могут привести к нарушению трудового законодательства.</w:t>
            </w:r>
          </w:p>
          <w:p>
            <w:pPr>
              <w:pStyle w:val="0"/>
              <w:jc w:val="both"/>
            </w:pPr>
            <w:r>
              <w:rPr>
                <w:sz w:val="20"/>
              </w:rPr>
              <w:t xml:space="preserve">8. Реализация функций и полномочий органов исполнительной власти и Правительства Нижегородской области с использованием информационных ресурсов.</w:t>
            </w:r>
          </w:p>
          <w:p>
            <w:pPr>
              <w:pStyle w:val="0"/>
              <w:jc w:val="both"/>
            </w:pPr>
            <w:r>
              <w:rPr>
                <w:sz w:val="20"/>
              </w:rPr>
              <w:t xml:space="preserve">9. Обмен опытом по реализации проектов в сфере цифрового развития региона.</w:t>
            </w:r>
          </w:p>
          <w:p>
            <w:pPr>
              <w:pStyle w:val="0"/>
              <w:jc w:val="both"/>
            </w:pPr>
            <w:r>
              <w:rPr>
                <w:sz w:val="20"/>
              </w:rPr>
              <w:t xml:space="preserve">10. Обеспечение, модернизация, эксплуатация, развитие, поддержка центра обработки данных Нижегородской области, Центра управления регионом Нижегородской области.</w:t>
            </w:r>
          </w:p>
          <w:p>
            <w:pPr>
              <w:pStyle w:val="0"/>
              <w:jc w:val="both"/>
            </w:pPr>
            <w:r>
              <w:rPr>
                <w:sz w:val="20"/>
              </w:rPr>
              <w:t xml:space="preserve">11. Приведение информационных систем, информационно-коммуникационных структур в соответствие с требованиями по защите информации.</w:t>
            </w:r>
          </w:p>
          <w:p>
            <w:pPr>
              <w:pStyle w:val="0"/>
              <w:jc w:val="both"/>
            </w:pPr>
            <w:r>
              <w:rPr>
                <w:sz w:val="20"/>
              </w:rPr>
              <w:t xml:space="preserve">12. Организация видеонаблюдения и мониторинга ситуаций на территории и объектах муниципального образования Нижегородской области городского округа г. Дзержинск.</w:t>
            </w:r>
          </w:p>
          <w:p>
            <w:pPr>
              <w:pStyle w:val="0"/>
              <w:jc w:val="both"/>
            </w:pPr>
            <w:r>
              <w:rPr>
                <w:sz w:val="20"/>
              </w:rPr>
              <w:t xml:space="preserve">13. Поддержка и развитие ИТ-инфраструктуры и сетей связи.</w:t>
            </w:r>
          </w:p>
          <w:p>
            <w:pPr>
              <w:pStyle w:val="0"/>
              <w:jc w:val="both"/>
            </w:pPr>
            <w:r>
              <w:rPr>
                <w:sz w:val="20"/>
              </w:rPr>
              <w:t xml:space="preserve">14. Повышение количества и качества оказываемых государственных и муниципальных услуг посредством многофункциональных центров на территории Нижегородской области.</w:t>
            </w:r>
          </w:p>
          <w:p>
            <w:pPr>
              <w:pStyle w:val="0"/>
              <w:jc w:val="both"/>
            </w:pPr>
            <w:r>
              <w:rPr>
                <w:sz w:val="20"/>
              </w:rPr>
              <w:t xml:space="preserve">15. Осуществление текущей деятельности органа исполнительной власти Нижегородской области</w:t>
            </w:r>
          </w:p>
        </w:tc>
        <w:tc>
          <w:tcPr>
            <w:tcW w:w="3175" w:type="dxa"/>
          </w:tcPr>
          <w:p>
            <w:pPr>
              <w:pStyle w:val="0"/>
              <w:jc w:val="both"/>
            </w:pPr>
            <w:r>
              <w:rPr>
                <w:sz w:val="20"/>
              </w:rPr>
              <w:t xml:space="preserve">- доля социально значимых объектов, имеющих широкополосный доступ к информационно-телекоммуникационной сети "Интернет" в соответствии с утвержденными требованиями;</w:t>
            </w:r>
          </w:p>
          <w:p>
            <w:pPr>
              <w:pStyle w:val="0"/>
              <w:jc w:val="both"/>
            </w:pPr>
            <w:r>
              <w:rPr>
                <w:sz w:val="20"/>
              </w:rPr>
              <w:t xml:space="preserve">- доля государственных и муниципальных образовательных организаций, реализующих программы начального общего, основного общего и среднего общего образования, в помещениях которых обеспечена возможность беспроводного широкополосного доступа к информационно-телекоммуникационной сети "Интернет" по технологии Wi-Fi;</w:t>
            </w:r>
          </w:p>
          <w:p>
            <w:pPr>
              <w:pStyle w:val="0"/>
              <w:jc w:val="both"/>
            </w:pPr>
            <w:r>
              <w:rPr>
                <w:sz w:val="20"/>
              </w:rPr>
              <w:t xml:space="preserve">- уровень удовлетворенности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(ЕПГУ);</w:t>
            </w:r>
          </w:p>
          <w:p>
            <w:pPr>
              <w:pStyle w:val="0"/>
              <w:jc w:val="both"/>
            </w:pPr>
            <w:r>
              <w:rPr>
                <w:sz w:val="20"/>
              </w:rPr>
              <w:t xml:space="preserve">- доля массовых социально значимых государственных и муниципальных услуг в электронном виде, предоставляемых с использованием ЕПГУ, от общего количества таких услуг, предоставляемых в электронном виде;</w:t>
            </w:r>
          </w:p>
          <w:p>
            <w:pPr>
              <w:pStyle w:val="0"/>
              <w:jc w:val="both"/>
            </w:pPr>
            <w:r>
              <w:rPr>
                <w:sz w:val="20"/>
              </w:rPr>
              <w:t xml:space="preserve">- доля обращений за получением массовых социально значимых государственных и муниципальных услуг в электронном виде с использованием ЕПГУ, без необходимости личного посещения органов государственной власти, органов местного самоуправления и МФЦ, от общего количества таких услуг;</w:t>
            </w:r>
          </w:p>
          <w:p>
            <w:pPr>
              <w:pStyle w:val="0"/>
              <w:jc w:val="both"/>
            </w:pPr>
            <w:r>
              <w:rPr>
                <w:sz w:val="20"/>
              </w:rPr>
              <w:t xml:space="preserve">- количество видов сведений, предоставляемых в режиме онлайн органами государственной власти в рамках межведомственного взаимодействия при предоставлении государственных услуг и исполнения функций, в том числе коммерческих организаций в соответствии с законодательством;</w:t>
            </w:r>
          </w:p>
          <w:p>
            <w:pPr>
              <w:pStyle w:val="0"/>
              <w:jc w:val="both"/>
            </w:pPr>
            <w:r>
              <w:rPr>
                <w:sz w:val="20"/>
              </w:rPr>
              <w:t xml:space="preserve">- количество государственных услуг, предоставляемых органами государственной власти в реестровой модели и/или в проактивном режиме с предоставлением результата в электронном виде на ЕПГУ;</w:t>
            </w:r>
          </w:p>
          <w:p>
            <w:pPr>
              <w:pStyle w:val="0"/>
              <w:jc w:val="both"/>
            </w:pPr>
            <w:r>
              <w:rPr>
                <w:sz w:val="20"/>
              </w:rPr>
              <w:t xml:space="preserve">- доля расходов на закупки и/или аренду отечественного программного обеспечения и платформ от общих расходов на закупку или аренду программного обеспечения.</w:t>
            </w:r>
          </w:p>
          <w:p>
            <w:pPr>
              <w:pStyle w:val="0"/>
              <w:jc w:val="both"/>
            </w:pPr>
            <w:r>
              <w:rPr>
                <w:sz w:val="20"/>
              </w:rPr>
              <w:t xml:space="preserve">- количество реализованных на базе единой платформы сервисов обеспечения функций органов государственной власти и органов местного самоуправления, в том числе типовых функций;</w:t>
            </w:r>
          </w:p>
          <w:p>
            <w:pPr>
              <w:pStyle w:val="0"/>
              <w:jc w:val="both"/>
            </w:pPr>
            <w:r>
              <w:rPr>
                <w:sz w:val="20"/>
              </w:rPr>
              <w:t xml:space="preserve">- доля органов государственной власти, использующих государственные облачные сервисы и инфраструктуру;</w:t>
            </w:r>
          </w:p>
          <w:p>
            <w:pPr>
              <w:pStyle w:val="0"/>
              <w:jc w:val="both"/>
            </w:pPr>
            <w:r>
              <w:rPr>
                <w:sz w:val="20"/>
              </w:rPr>
              <w:t xml:space="preserve">- доля зарегистрированных пользователей ЕПГУ, использующих сервисы ЕПГУ в текущем году в целях получения государственных и муниципальных услуг в электронном виде, от общего числа зарегистрированных пользователей ЕПГУ;</w:t>
            </w:r>
          </w:p>
          <w:p>
            <w:pPr>
              <w:pStyle w:val="0"/>
              <w:jc w:val="both"/>
            </w:pPr>
            <w:r>
              <w:rPr>
                <w:sz w:val="20"/>
              </w:rPr>
              <w:t xml:space="preserve">- доля региональных МСЗУ, оказываемых в субъекте Российской Федерации в электронном виде посредством ВИС с применением ЦАР, от количества региональных МСЗУ, предоставляемых посредством ВИС в субъекте Российской Федерации;</w:t>
            </w:r>
          </w:p>
          <w:p>
            <w:pPr>
              <w:pStyle w:val="0"/>
              <w:jc w:val="both"/>
            </w:pPr>
            <w:r>
              <w:rPr>
                <w:sz w:val="20"/>
              </w:rPr>
              <w:t xml:space="preserve">- доля подключенных государственных и муниципальных учреждений отрасли спорта Нижегородской области к единому агрегатору спортивных учреждений Нижегородской области;</w:t>
            </w:r>
          </w:p>
          <w:p>
            <w:pPr>
              <w:pStyle w:val="0"/>
              <w:jc w:val="both"/>
            </w:pPr>
            <w:r>
              <w:rPr>
                <w:sz w:val="20"/>
              </w:rPr>
              <w:t xml:space="preserve">- доля органов исполнительной власти Нижегородской области, обеспеченных функционалом кадрового документооборота;</w:t>
            </w:r>
          </w:p>
          <w:p>
            <w:pPr>
              <w:pStyle w:val="0"/>
              <w:jc w:val="both"/>
            </w:pPr>
            <w:r>
              <w:rPr>
                <w:sz w:val="20"/>
              </w:rPr>
              <w:t xml:space="preserve">- количество информационных систем, информационно-коммуникационных структур ОИВ, ОМСУ, государственных и муниципальных учреждений Нижегородской области, приведенных в соответствие с требованиями по защите информации;</w:t>
            </w:r>
          </w:p>
          <w:p>
            <w:pPr>
              <w:pStyle w:val="0"/>
              <w:jc w:val="both"/>
            </w:pPr>
            <w:r>
              <w:rPr>
                <w:sz w:val="20"/>
              </w:rPr>
              <w:t xml:space="preserve">- доля бесперебойно функционирующего оборудования и программного обеспечения инфраструктуры обработки и хранения данных регионального центра обработки данных Нижегородской области;</w:t>
            </w:r>
          </w:p>
          <w:p>
            <w:pPr>
              <w:pStyle w:val="0"/>
              <w:jc w:val="both"/>
            </w:pPr>
            <w:r>
              <w:rPr>
                <w:sz w:val="20"/>
              </w:rPr>
              <w:t xml:space="preserve">- количество муниципальных образований Нижегородской области, в которых организовано видеонаблюдение и мониторинг ситуаций;</w:t>
            </w:r>
          </w:p>
          <w:p>
            <w:pPr>
              <w:pStyle w:val="0"/>
              <w:jc w:val="both"/>
            </w:pPr>
            <w:r>
              <w:rPr>
                <w:sz w:val="20"/>
              </w:rPr>
              <w:t xml:space="preserve">- количество предоставленных государственных и муниципальных услуг посредством многофункциональных центров на территории Нижегородской области;</w:t>
            </w:r>
          </w:p>
          <w:p>
            <w:pPr>
              <w:pStyle w:val="0"/>
              <w:jc w:val="both"/>
            </w:pPr>
            <w:r>
              <w:rPr>
                <w:sz w:val="20"/>
              </w:rPr>
              <w:t xml:space="preserve">- уровень удовлетворенности граждан качеством предоставления государственных и муниципальных услуг посредством многофункциональных центров на территории Нижегородской области</w:t>
            </w:r>
          </w:p>
        </w:tc>
        <w:tc>
          <w:tcPr>
            <w:tcW w:w="1814" w:type="dxa"/>
          </w:tcPr>
          <w:p>
            <w:pPr>
              <w:pStyle w:val="0"/>
              <w:jc w:val="both"/>
            </w:pPr>
            <w:r>
              <w:rPr>
                <w:sz w:val="20"/>
              </w:rPr>
              <w:t xml:space="preserve">Национальная цель "Цифровая трансформация"/Государственная программа Российской Федерации "Информационное общество"</w:t>
            </w:r>
          </w:p>
        </w:tc>
      </w:tr>
      <w:tr>
        <w:tc>
          <w:tcPr>
            <w:tcW w:w="567" w:type="dxa"/>
          </w:tcPr>
          <w:p>
            <w:pPr>
              <w:pStyle w:val="0"/>
              <w:jc w:val="both"/>
            </w:pPr>
            <w:r>
              <w:rPr>
                <w:sz w:val="20"/>
              </w:rPr>
              <w:t xml:space="preserve">25</w:t>
            </w:r>
          </w:p>
        </w:tc>
        <w:tc>
          <w:tcPr>
            <w:tcW w:w="2324" w:type="dxa"/>
          </w:tcPr>
          <w:p>
            <w:pPr>
              <w:pStyle w:val="0"/>
              <w:jc w:val="both"/>
            </w:pPr>
            <w:r>
              <w:rPr>
                <w:sz w:val="20"/>
              </w:rPr>
              <w:t xml:space="preserve">Государственная </w:t>
            </w:r>
            <w:hyperlink w:history="0" r:id="rId60" w:tooltip="Постановление Правительства Нижегородской области от 15.01.2019 N 7 (ред. от 12.12.2023) &quot;Об утверждении государственной программы Нижегородской области &quot;Информационная среда Нижегородской области&quot; ------------ Недействующая редакция {КонсультантПлюс}">
              <w:r>
                <w:rPr>
                  <w:sz w:val="20"/>
                  <w:color w:val="0000ff"/>
                </w:rPr>
                <w:t xml:space="preserve">программа</w:t>
              </w:r>
            </w:hyperlink>
            <w:r>
              <w:rPr>
                <w:sz w:val="20"/>
              </w:rPr>
              <w:t xml:space="preserve"> "Информационная среда Нижегородской области", утвержденная постановлением Правительства Нижегородской области от 15 января 2019 г. N 7</w:t>
            </w:r>
          </w:p>
        </w:tc>
        <w:tc>
          <w:tcPr>
            <w:tcW w:w="2324" w:type="dxa"/>
          </w:tcPr>
          <w:p>
            <w:pPr>
              <w:pStyle w:val="0"/>
              <w:jc w:val="both"/>
            </w:pPr>
            <w:r>
              <w:rPr>
                <w:sz w:val="20"/>
              </w:rPr>
              <w:t xml:space="preserve">1. Формирование и реализация единой государственной политики в сфере массовых коммуникаций и средств массовой информации, печати, издательской и полиграфической деятельности на территории Нижегородской области.</w:t>
            </w:r>
          </w:p>
          <w:p>
            <w:pPr>
              <w:pStyle w:val="0"/>
              <w:jc w:val="both"/>
            </w:pPr>
            <w:r>
              <w:rPr>
                <w:sz w:val="20"/>
              </w:rPr>
              <w:t xml:space="preserve">2. Обеспечение доступа населения Нижегородской области к социально значимой информации</w:t>
            </w:r>
          </w:p>
        </w:tc>
        <w:tc>
          <w:tcPr>
            <w:tcW w:w="1984" w:type="dxa"/>
          </w:tcPr>
          <w:p>
            <w:pPr>
              <w:pStyle w:val="0"/>
              <w:jc w:val="both"/>
            </w:pPr>
            <w:r>
              <w:rPr>
                <w:sz w:val="20"/>
              </w:rPr>
              <w:t xml:space="preserve">1. "Сохранение и развитие медиа пространства, соответствующего интересам и потребностям населения Нижегородской области".</w:t>
            </w:r>
          </w:p>
          <w:p>
            <w:pPr>
              <w:pStyle w:val="0"/>
              <w:jc w:val="both"/>
            </w:pPr>
            <w:r>
              <w:rPr>
                <w:sz w:val="20"/>
              </w:rPr>
              <w:t xml:space="preserve">2. "Обеспечение реализации государственной программы"</w:t>
            </w:r>
          </w:p>
        </w:tc>
        <w:tc>
          <w:tcPr>
            <w:tcW w:w="3458" w:type="dxa"/>
          </w:tcPr>
          <w:p>
            <w:pPr>
              <w:pStyle w:val="0"/>
              <w:jc w:val="both"/>
            </w:pPr>
            <w:r>
              <w:rPr>
                <w:sz w:val="20"/>
              </w:rPr>
              <w:t xml:space="preserve">1. Создание благоприятных условий для развития книгоиздания в Нижегородской области.</w:t>
            </w:r>
          </w:p>
          <w:p>
            <w:pPr>
              <w:pStyle w:val="0"/>
              <w:jc w:val="both"/>
            </w:pPr>
            <w:r>
              <w:rPr>
                <w:sz w:val="20"/>
              </w:rPr>
              <w:t xml:space="preserve">2. Оказание содействия в издании средств массовой информации, выпускаемых автономными некоммерческими организациями.</w:t>
            </w:r>
          </w:p>
          <w:p>
            <w:pPr>
              <w:pStyle w:val="0"/>
              <w:jc w:val="both"/>
            </w:pPr>
            <w:r>
              <w:rPr>
                <w:sz w:val="20"/>
              </w:rPr>
              <w:t xml:space="preserve">3. Сохранение информационного ресурса в муниципальных образованиях Нижегородской области.</w:t>
            </w:r>
          </w:p>
          <w:p>
            <w:pPr>
              <w:pStyle w:val="0"/>
              <w:jc w:val="both"/>
            </w:pPr>
            <w:r>
              <w:rPr>
                <w:sz w:val="20"/>
              </w:rPr>
              <w:t xml:space="preserve">4. Вовлечение жителей муниципальных образований в жизнь округа.</w:t>
            </w:r>
          </w:p>
          <w:p>
            <w:pPr>
              <w:pStyle w:val="0"/>
              <w:jc w:val="both"/>
            </w:pPr>
            <w:r>
              <w:rPr>
                <w:sz w:val="20"/>
              </w:rPr>
              <w:t xml:space="preserve">5. Сохранение и развитие информационного пространства, соответствующего интересам и потребностям населения Нижегородской области путем выпуска периодических печатных и сетевых изданий, телевизионных каналов и информационного агентства.</w:t>
            </w:r>
          </w:p>
          <w:p>
            <w:pPr>
              <w:pStyle w:val="0"/>
              <w:jc w:val="both"/>
            </w:pPr>
            <w:r>
              <w:rPr>
                <w:sz w:val="20"/>
              </w:rPr>
              <w:t xml:space="preserve">6. Консолидация профессионального сообщества средств массовых коммуникаций Нижегородской области и улучшение материально-технической базы редакций окружных средств массовой информации.</w:t>
            </w:r>
          </w:p>
          <w:p>
            <w:pPr>
              <w:pStyle w:val="0"/>
              <w:jc w:val="both"/>
            </w:pPr>
            <w:r>
              <w:rPr>
                <w:sz w:val="20"/>
              </w:rPr>
              <w:t xml:space="preserve">7. Обеспечение конституционного права граждан на получение информации.</w:t>
            </w:r>
          </w:p>
          <w:p>
            <w:pPr>
              <w:pStyle w:val="0"/>
              <w:jc w:val="both"/>
            </w:pPr>
            <w:r>
              <w:rPr>
                <w:sz w:val="20"/>
              </w:rPr>
              <w:t xml:space="preserve">8. Финансовое обеспечение деятельности органов исполнительной власти Нижегородской области.</w:t>
            </w:r>
          </w:p>
          <w:p>
            <w:pPr>
              <w:pStyle w:val="0"/>
              <w:jc w:val="both"/>
            </w:pPr>
            <w:r>
              <w:rPr>
                <w:sz w:val="20"/>
              </w:rPr>
              <w:t xml:space="preserve">9. Финансовое обеспечение деятельности подведомственных учреждений.</w:t>
            </w:r>
          </w:p>
        </w:tc>
        <w:tc>
          <w:tcPr>
            <w:tcW w:w="3175" w:type="dxa"/>
          </w:tcPr>
          <w:p>
            <w:pPr>
              <w:pStyle w:val="0"/>
              <w:jc w:val="both"/>
            </w:pPr>
            <w:r>
              <w:rPr>
                <w:sz w:val="20"/>
              </w:rPr>
              <w:t xml:space="preserve">- сохранение количества книг (наименований), издание которых поддержано за счет средств областного бюджета не менее 8 ед. ежегодно;</w:t>
            </w:r>
          </w:p>
          <w:p>
            <w:pPr>
              <w:pStyle w:val="0"/>
              <w:jc w:val="both"/>
            </w:pPr>
            <w:r>
              <w:rPr>
                <w:sz w:val="20"/>
              </w:rPr>
              <w:t xml:space="preserve">- изготовление и распространение средства массовой информации, освещающего проблемы и потребности инвалидов, семей, имеющих детей-инвалидов, многодетных семей, а также пенсионеров, ветеранов труда, ветеранов ВОВ, участников локальных конфликтов не менее 1 ед.;</w:t>
            </w:r>
          </w:p>
          <w:p>
            <w:pPr>
              <w:pStyle w:val="0"/>
              <w:jc w:val="both"/>
            </w:pPr>
            <w:r>
              <w:rPr>
                <w:sz w:val="20"/>
              </w:rPr>
              <w:t xml:space="preserve">- изготовление и распространение средства массовой информации, освещающего деятельность профессиональных союзов, действующих на территории Нижегородской области не менее 1 ед.;</w:t>
            </w:r>
          </w:p>
          <w:p>
            <w:pPr>
              <w:pStyle w:val="0"/>
              <w:jc w:val="both"/>
            </w:pPr>
            <w:r>
              <w:rPr>
                <w:sz w:val="20"/>
              </w:rPr>
              <w:t xml:space="preserve">- доля муниципальных образований Нижегородской области, на территории которых осуществляется выпуск печатного средства массовой информации, учрежденного органами местного самоуправления;</w:t>
            </w:r>
          </w:p>
          <w:p>
            <w:pPr>
              <w:pStyle w:val="0"/>
              <w:jc w:val="both"/>
            </w:pPr>
            <w:r>
              <w:rPr>
                <w:sz w:val="20"/>
              </w:rPr>
              <w:t xml:space="preserve">- наличие выпускаемых на территории каждого муниципального образования Нижегородской области (кроме г. Нижний Новгород) печатных средств массовой информации, учрежденных органами местного самоуправления не менее 1 ед.;</w:t>
            </w:r>
          </w:p>
          <w:p>
            <w:pPr>
              <w:pStyle w:val="0"/>
              <w:jc w:val="both"/>
            </w:pPr>
            <w:r>
              <w:rPr>
                <w:sz w:val="20"/>
              </w:rPr>
              <w:t xml:space="preserve">- разработка, производство и выпуск в эфир социально значимых проектов в области электронных СМИ;</w:t>
            </w:r>
          </w:p>
          <w:p>
            <w:pPr>
              <w:pStyle w:val="0"/>
              <w:jc w:val="both"/>
            </w:pPr>
            <w:r>
              <w:rPr>
                <w:sz w:val="20"/>
              </w:rPr>
              <w:t xml:space="preserve">- доля населения Нижегородской области, имеющего возможность принимать трансляцию телеканала "ННТВ" на территории Нижегородской области в разных средах вещания (аналог, кабель);</w:t>
            </w:r>
          </w:p>
          <w:p>
            <w:pPr>
              <w:pStyle w:val="0"/>
              <w:jc w:val="both"/>
            </w:pPr>
            <w:r>
              <w:rPr>
                <w:sz w:val="20"/>
              </w:rPr>
              <w:t xml:space="preserve">- количество абонентов Нижегородской области, имеющих возможность принимать трансляцию телеканала "Волга 24" посредством спутникового вещания;</w:t>
            </w:r>
          </w:p>
          <w:p>
            <w:pPr>
              <w:pStyle w:val="0"/>
              <w:jc w:val="both"/>
            </w:pPr>
            <w:r>
              <w:rPr>
                <w:sz w:val="20"/>
              </w:rPr>
              <w:t xml:space="preserve">- сохранение количества выпускаемых информационных агентств не менее 1 ед.;</w:t>
            </w:r>
          </w:p>
          <w:p>
            <w:pPr>
              <w:pStyle w:val="0"/>
              <w:jc w:val="both"/>
            </w:pPr>
            <w:r>
              <w:rPr>
                <w:sz w:val="20"/>
              </w:rPr>
              <w:t xml:space="preserve">- сохранение количества выпускаемых периодических печатных изданий не менее 7 ед. ежемесячно;</w:t>
            </w:r>
          </w:p>
          <w:p>
            <w:pPr>
              <w:pStyle w:val="0"/>
              <w:jc w:val="both"/>
            </w:pPr>
            <w:r>
              <w:rPr>
                <w:sz w:val="20"/>
              </w:rPr>
              <w:t xml:space="preserve">- сохранение количества выпускаемых сетевых изданий не менее 1 ед.;</w:t>
            </w:r>
          </w:p>
          <w:p>
            <w:pPr>
              <w:pStyle w:val="0"/>
              <w:jc w:val="both"/>
            </w:pPr>
            <w:r>
              <w:rPr>
                <w:sz w:val="20"/>
              </w:rPr>
              <w:t xml:space="preserve">- организация и проведение профессиональных творческих конкурсов для журналистов;</w:t>
            </w:r>
          </w:p>
          <w:p>
            <w:pPr>
              <w:pStyle w:val="0"/>
              <w:jc w:val="both"/>
            </w:pPr>
            <w:r>
              <w:rPr>
                <w:sz w:val="20"/>
              </w:rPr>
              <w:t xml:space="preserve">- организация, проведение мероприятий (обеспечение участия в мероприятиях) не менее 6 ед. ежегодно;</w:t>
            </w:r>
          </w:p>
          <w:p>
            <w:pPr>
              <w:pStyle w:val="0"/>
              <w:jc w:val="both"/>
            </w:pPr>
            <w:r>
              <w:rPr>
                <w:sz w:val="20"/>
              </w:rPr>
              <w:t xml:space="preserve">- количество окружных организаций средств массовой информации, которым оказана материально-техническая поддержка в связи с юбилейными и знаменательными датами;</w:t>
            </w:r>
          </w:p>
          <w:p>
            <w:pPr>
              <w:pStyle w:val="0"/>
              <w:jc w:val="both"/>
            </w:pPr>
            <w:r>
              <w:rPr>
                <w:sz w:val="20"/>
              </w:rPr>
              <w:t xml:space="preserve">- доля взрослого населения, имеющего потенциальную возможность получать информацию о деятельности органов государственной власти, а также по вопросам, имеющим большую социальную значимость;</w:t>
            </w:r>
          </w:p>
          <w:p>
            <w:pPr>
              <w:pStyle w:val="0"/>
              <w:jc w:val="both"/>
            </w:pPr>
            <w:r>
              <w:rPr>
                <w:sz w:val="20"/>
              </w:rPr>
              <w:t xml:space="preserve">- количество трансляций спортивных мероприятий и событий</w:t>
            </w:r>
          </w:p>
        </w:tc>
        <w:tc>
          <w:tcPr>
            <w:tcW w:w="1814" w:type="dxa"/>
          </w:tcPr>
          <w:p>
            <w:pPr>
              <w:pStyle w:val="0"/>
              <w:jc w:val="both"/>
            </w:pPr>
            <w:r>
              <w:rPr>
                <w:sz w:val="20"/>
              </w:rPr>
              <w:t xml:space="preserve">-</w:t>
            </w:r>
          </w:p>
        </w:tc>
      </w:tr>
      <w:tr>
        <w:tblPrEx>
          <w:tblBorders>
            <w:insideH w:val="nil"/>
          </w:tblBorders>
        </w:tblPrEx>
        <w:tc>
          <w:tcPr>
            <w:tcW w:w="567" w:type="dxa"/>
            <w:tcBorders>
              <w:bottom w:val="nil"/>
            </w:tcBorders>
          </w:tcPr>
          <w:p>
            <w:pPr>
              <w:pStyle w:val="0"/>
              <w:jc w:val="both"/>
            </w:pPr>
            <w:r>
              <w:rPr>
                <w:sz w:val="20"/>
              </w:rPr>
              <w:t xml:space="preserve">26</w:t>
            </w:r>
          </w:p>
        </w:tc>
        <w:tc>
          <w:tcPr>
            <w:tcW w:w="2324" w:type="dxa"/>
            <w:tcBorders>
              <w:bottom w:val="nil"/>
            </w:tcBorders>
          </w:tcPr>
          <w:p>
            <w:pPr>
              <w:pStyle w:val="0"/>
              <w:jc w:val="both"/>
            </w:pPr>
            <w:r>
              <w:rPr>
                <w:sz w:val="20"/>
              </w:rPr>
              <w:t xml:space="preserve">Государственная </w:t>
            </w:r>
            <w:hyperlink w:history="0" r:id="rId61" w:tooltip="Постановление Правительства Нижегородской области от 26.04.2013 N 274 (ред. от 31.12.2023) &quot;Об утверждении государственной программы Нижегородской области &quot;Развитие здравоохранения Нижегородской области&quot; (с изм. и доп., вступающими в силу с 01.01.2024) {КонсультантПлюс}">
              <w:r>
                <w:rPr>
                  <w:sz w:val="20"/>
                  <w:color w:val="0000ff"/>
                </w:rPr>
                <w:t xml:space="preserve">программа</w:t>
              </w:r>
            </w:hyperlink>
            <w:r>
              <w:rPr>
                <w:sz w:val="20"/>
              </w:rPr>
              <w:t xml:space="preserve"> "Развитие здравоохранения Нижегородской области", утвержденная постановлением Правительства Нижегородской области от 26 апреля 2013 г. N 274</w:t>
            </w:r>
          </w:p>
        </w:tc>
        <w:tc>
          <w:tcPr>
            <w:tcW w:w="2324" w:type="dxa"/>
            <w:tcBorders>
              <w:bottom w:val="nil"/>
            </w:tcBorders>
          </w:tcPr>
          <w:p>
            <w:pPr>
              <w:pStyle w:val="0"/>
              <w:jc w:val="both"/>
            </w:pPr>
            <w:r>
              <w:rPr>
                <w:sz w:val="20"/>
              </w:rPr>
              <w:t xml:space="preserve">1. Повышение ожидаемой продолжительности жизни.</w:t>
            </w:r>
          </w:p>
          <w:p>
            <w:pPr>
              <w:pStyle w:val="0"/>
              <w:jc w:val="both"/>
            </w:pPr>
            <w:r>
              <w:rPr>
                <w:sz w:val="20"/>
              </w:rPr>
              <w:t xml:space="preserve">2. Снижение смертности от всех причин.</w:t>
            </w:r>
          </w:p>
          <w:p>
            <w:pPr>
              <w:pStyle w:val="0"/>
              <w:jc w:val="both"/>
            </w:pPr>
            <w:r>
              <w:rPr>
                <w:sz w:val="20"/>
              </w:rPr>
              <w:t xml:space="preserve">3. Повышение удовлетворенности населения медицинской помощью</w:t>
            </w:r>
          </w:p>
        </w:tc>
        <w:tc>
          <w:tcPr>
            <w:tcW w:w="1984" w:type="dxa"/>
            <w:tcBorders>
              <w:bottom w:val="nil"/>
            </w:tcBorders>
          </w:tcPr>
          <w:p>
            <w:pPr>
              <w:pStyle w:val="0"/>
              <w:jc w:val="both"/>
            </w:pPr>
            <w:r>
              <w:rPr>
                <w:sz w:val="20"/>
              </w:rPr>
              <w:t xml:space="preserve">1. "Совершенствование оказания медицинской помощи, включая профилактику заболеваний и формирование здорового образа жизни".</w:t>
            </w:r>
          </w:p>
          <w:p>
            <w:pPr>
              <w:pStyle w:val="0"/>
              <w:jc w:val="both"/>
            </w:pPr>
            <w:r>
              <w:rPr>
                <w:sz w:val="20"/>
              </w:rPr>
              <w:t xml:space="preserve">2. "Развитие кадровых ресурсов в здравоохранении".</w:t>
            </w:r>
          </w:p>
          <w:p>
            <w:pPr>
              <w:pStyle w:val="0"/>
              <w:jc w:val="both"/>
            </w:pPr>
            <w:r>
              <w:rPr>
                <w:sz w:val="20"/>
              </w:rPr>
              <w:t xml:space="preserve">3. "Развитие медицинской реабилитации и санаторно-курортного лечения, в том числе детей".</w:t>
            </w:r>
          </w:p>
          <w:p>
            <w:pPr>
              <w:pStyle w:val="0"/>
              <w:jc w:val="both"/>
            </w:pPr>
            <w:r>
              <w:rPr>
                <w:sz w:val="20"/>
              </w:rPr>
              <w:t xml:space="preserve">4. "Развитие международных отношений в сфере охраны здоровья".</w:t>
            </w:r>
          </w:p>
          <w:p>
            <w:pPr>
              <w:pStyle w:val="0"/>
              <w:jc w:val="both"/>
            </w:pPr>
            <w:r>
              <w:rPr>
                <w:sz w:val="20"/>
              </w:rPr>
              <w:t xml:space="preserve">5. "Медико-санитарное обеспечение отдельных категорий граждан".</w:t>
            </w:r>
          </w:p>
          <w:p>
            <w:pPr>
              <w:pStyle w:val="0"/>
              <w:jc w:val="both"/>
            </w:pPr>
            <w:r>
              <w:rPr>
                <w:sz w:val="20"/>
              </w:rPr>
              <w:t xml:space="preserve">6. "Информационные технологии и управление развитием отрасли".</w:t>
            </w:r>
          </w:p>
          <w:p>
            <w:pPr>
              <w:pStyle w:val="0"/>
              <w:jc w:val="both"/>
            </w:pPr>
            <w:r>
              <w:rPr>
                <w:sz w:val="20"/>
              </w:rPr>
              <w:t xml:space="preserve">7. "Обеспечение реализации государственной программы"</w:t>
            </w:r>
          </w:p>
        </w:tc>
        <w:tc>
          <w:tcPr>
            <w:tcW w:w="3458" w:type="dxa"/>
            <w:tcBorders>
              <w:bottom w:val="nil"/>
            </w:tcBorders>
          </w:tcPr>
          <w:p>
            <w:pPr>
              <w:pStyle w:val="0"/>
              <w:jc w:val="both"/>
            </w:pPr>
            <w:r>
              <w:rPr>
                <w:sz w:val="20"/>
              </w:rPr>
              <w:t xml:space="preserve">1. Гражданам предоставлены возможности для оценки своего здоровья путем прохождения профилактического медицинского осмотра и (или) диспансеризации.</w:t>
            </w:r>
          </w:p>
          <w:p>
            <w:pPr>
              <w:pStyle w:val="0"/>
              <w:jc w:val="both"/>
            </w:pPr>
            <w:r>
              <w:rPr>
                <w:sz w:val="20"/>
              </w:rPr>
              <w:t xml:space="preserve">2. Увеличена доступность для граждан поликлиник и поликлинических подразделений, внедривших стандарты и правила "Новой модели организации оказания медицинской помощи".</w:t>
            </w:r>
          </w:p>
          <w:p>
            <w:pPr>
              <w:pStyle w:val="0"/>
              <w:jc w:val="both"/>
            </w:pPr>
            <w:r>
              <w:rPr>
                <w:sz w:val="20"/>
              </w:rPr>
              <w:t xml:space="preserve">3. Формирование системы защиты прав пациентов.</w:t>
            </w:r>
          </w:p>
          <w:p>
            <w:pPr>
              <w:pStyle w:val="0"/>
              <w:jc w:val="both"/>
            </w:pPr>
            <w:r>
              <w:rPr>
                <w:sz w:val="20"/>
              </w:rPr>
              <w:t xml:space="preserve">4. Гражданам, проживающим в населенных пунктах с численностью населения до 2000 человек, стала доступна первичная медико-санитарная помощь посредством охвата фельдшерскими пунктами (ФП, ГП РФ, ГП), фельдшерско-акушерскими пунктами (ФАП) и врачебными амбулаториями (ВА), а также медицинская помощь с использованием мобильных комплексов.</w:t>
            </w:r>
          </w:p>
          <w:p>
            <w:pPr>
              <w:pStyle w:val="0"/>
              <w:jc w:val="both"/>
            </w:pPr>
            <w:r>
              <w:rPr>
                <w:sz w:val="20"/>
              </w:rPr>
              <w:t xml:space="preserve">5. Развитие санитарной авиации.</w:t>
            </w:r>
          </w:p>
          <w:p>
            <w:pPr>
              <w:pStyle w:val="0"/>
              <w:jc w:val="both"/>
            </w:pPr>
            <w:r>
              <w:rPr>
                <w:sz w:val="20"/>
              </w:rPr>
              <w:t xml:space="preserve">6. Обеспечена доступность диагностики, профилактики и лечения сердечно-сосудистых заболеваний.</w:t>
            </w:r>
          </w:p>
          <w:p>
            <w:pPr>
              <w:pStyle w:val="0"/>
              <w:jc w:val="both"/>
            </w:pPr>
            <w:r>
              <w:rPr>
                <w:sz w:val="20"/>
              </w:rPr>
              <w:t xml:space="preserve">7. Обеспечена доступность профилактики, диагностики и лечения онкологических заболеваний.</w:t>
            </w:r>
          </w:p>
          <w:p>
            <w:pPr>
              <w:pStyle w:val="0"/>
              <w:jc w:val="both"/>
            </w:pPr>
            <w:r>
              <w:rPr>
                <w:sz w:val="20"/>
              </w:rPr>
              <w:t xml:space="preserve">8. Обеспечена доступность для детей детских поликлиник и детских поликлинических отделений с созданной современной инфраструктурой оказания медицинской помощи.</w:t>
            </w:r>
          </w:p>
          <w:p>
            <w:pPr>
              <w:pStyle w:val="0"/>
              <w:jc w:val="both"/>
            </w:pPr>
            <w:r>
              <w:rPr>
                <w:sz w:val="20"/>
              </w:rPr>
              <w:t xml:space="preserve">9. Повышено качество и доступность медицинской помощи детям и снижена детская смертность.</w:t>
            </w:r>
          </w:p>
          <w:p>
            <w:pPr>
              <w:pStyle w:val="0"/>
              <w:jc w:val="both"/>
            </w:pPr>
            <w:r>
              <w:rPr>
                <w:sz w:val="20"/>
              </w:rPr>
              <w:t xml:space="preserve">10. Обеспечено развитие профилактического направления в педиатрии и раннее взятие на диспансерный учет детей с впервые выявленными хроническими заболеваниями.</w:t>
            </w:r>
          </w:p>
          <w:p>
            <w:pPr>
              <w:pStyle w:val="0"/>
              <w:jc w:val="both"/>
            </w:pPr>
            <w:r>
              <w:rPr>
                <w:sz w:val="20"/>
              </w:rPr>
              <w:t xml:space="preserve">11. Организовано оказание медицинской помощи с приближением к месту жительства, месту обучения или работы исходя из потребностей всех групп населения с учетом трехуровневой системы оказания медицинской помощи.</w:t>
            </w:r>
          </w:p>
          <w:p>
            <w:pPr>
              <w:pStyle w:val="0"/>
              <w:jc w:val="both"/>
            </w:pPr>
            <w:r>
              <w:rPr>
                <w:sz w:val="20"/>
              </w:rPr>
              <w:t xml:space="preserve">12. Повышение качества и доступности медицинской помощи для лиц старше трудоспособного возраста.</w:t>
            </w:r>
          </w:p>
          <w:p>
            <w:pPr>
              <w:pStyle w:val="0"/>
              <w:jc w:val="both"/>
            </w:pPr>
            <w:r>
              <w:rPr>
                <w:sz w:val="20"/>
              </w:rPr>
              <w:t xml:space="preserve">13. Увеличена доля граждан, ведущих здоровый образ жизни.</w:t>
            </w:r>
          </w:p>
          <w:p>
            <w:pPr>
              <w:pStyle w:val="0"/>
              <w:jc w:val="both"/>
            </w:pPr>
            <w:r>
              <w:rPr>
                <w:sz w:val="20"/>
              </w:rPr>
              <w:t xml:space="preserve">14. Повышение качества и эффективности медицинской помощи, качества обслуживания и пациентоориентированности, а также доступности, включая обеспечение медицинской помощью население, проживающее в удаленной местности</w:t>
            </w:r>
          </w:p>
        </w:tc>
        <w:tc>
          <w:tcPr>
            <w:tcW w:w="3175" w:type="dxa"/>
            <w:tcBorders>
              <w:bottom w:val="nil"/>
            </w:tcBorders>
          </w:tcPr>
          <w:p>
            <w:pPr>
              <w:pStyle w:val="0"/>
              <w:jc w:val="both"/>
            </w:pPr>
            <w:r>
              <w:rPr>
                <w:sz w:val="20"/>
              </w:rPr>
              <w:t xml:space="preserve">- ожидаемая продолжительность жизни при рождении;</w:t>
            </w:r>
          </w:p>
          <w:p>
            <w:pPr>
              <w:pStyle w:val="0"/>
              <w:jc w:val="both"/>
            </w:pPr>
            <w:r>
              <w:rPr>
                <w:sz w:val="20"/>
              </w:rPr>
              <w:t xml:space="preserve">- количество посещений при выездах мобильных медицинских бригад, оснащенных мобильными медицинскими комплексами, тыс. посещений на 1 мобильную медицинскую бригаду, (тысяча посещений);</w:t>
            </w:r>
          </w:p>
          <w:p>
            <w:pPr>
              <w:pStyle w:val="0"/>
              <w:jc w:val="both"/>
            </w:pPr>
            <w:r>
              <w:rPr>
                <w:sz w:val="20"/>
              </w:rPr>
              <w:t xml:space="preserve">- доля населенных пунктов с числом жителей до 2000 человек, населению которых доступна первичная медико-санитарная помощь по месту их проживания, %;</w:t>
            </w:r>
          </w:p>
          <w:p>
            <w:pPr>
              <w:pStyle w:val="0"/>
              <w:jc w:val="both"/>
            </w:pPr>
            <w:r>
              <w:rPr>
                <w:sz w:val="20"/>
              </w:rPr>
              <w:t xml:space="preserve">- число посещений сельскими жителями ФП, ГП РФ, ГП, ФАПов и ВА, в расчете на 1 сельского жителя, (посещение);</w:t>
            </w:r>
          </w:p>
          <w:p>
            <w:pPr>
              <w:pStyle w:val="0"/>
              <w:jc w:val="both"/>
            </w:pPr>
            <w:r>
              <w:rPr>
                <w:sz w:val="20"/>
              </w:rPr>
              <w:t xml:space="preserve">- доля граждан, ежегодно проходящих профилактический медицинский осмотр и (или) диспансеризацию, от общего числа населения, %;</w:t>
            </w:r>
          </w:p>
          <w:p>
            <w:pPr>
              <w:pStyle w:val="0"/>
              <w:jc w:val="both"/>
            </w:pPr>
            <w:r>
              <w:rPr>
                <w:sz w:val="20"/>
              </w:rPr>
              <w:t xml:space="preserve">- доля граждан из числа прошедших профилактический медицинский осмотр и (или) диспансеризацию, получивших возможность доступа к данным о прохождении профилактического медицинского осмотра и (или) диспансеризации в Личном кабинете пациента "Мое здоровье" на Едином портале государственных услуг и функций в отчетном году, %;</w:t>
            </w:r>
          </w:p>
          <w:p>
            <w:pPr>
              <w:pStyle w:val="0"/>
              <w:jc w:val="both"/>
            </w:pPr>
            <w:r>
              <w:rPr>
                <w:sz w:val="20"/>
              </w:rPr>
              <w:t xml:space="preserve">- число выполненных посещений гражданами поликлиник и поликлинических подразделений, участвующих в создании и тиражировании "Новой модели организации оказания медицинской помощи", (посещение);</w:t>
            </w:r>
          </w:p>
          <w:p>
            <w:pPr>
              <w:pStyle w:val="0"/>
              <w:jc w:val="both"/>
            </w:pPr>
            <w:r>
              <w:rPr>
                <w:sz w:val="20"/>
              </w:rPr>
              <w:t xml:space="preserve">- доля поликлиник и поликлинических подразделений, участвующих в создании и тиражировании "Новой модели организации оказания медицинской помощи", от общего количества таких организаций, %;</w:t>
            </w:r>
          </w:p>
          <w:p>
            <w:pPr>
              <w:pStyle w:val="0"/>
              <w:jc w:val="both"/>
            </w:pPr>
            <w:r>
              <w:rPr>
                <w:sz w:val="20"/>
              </w:rPr>
              <w:t xml:space="preserve">- доля обоснованных жалоб пациентов, застрахованных в системе обязательного медицинского страхования, на оказание медицинской помощи в системе обязательного медицинского страхования, урегулированных в досудебном порядке (от общего числа обоснованных жалоб пациентов), не менее, %;</w:t>
            </w:r>
          </w:p>
          <w:p>
            <w:pPr>
              <w:pStyle w:val="0"/>
              <w:jc w:val="both"/>
            </w:pPr>
            <w:r>
              <w:rPr>
                <w:sz w:val="20"/>
              </w:rPr>
              <w:t xml:space="preserve">- доля лиц, госпитализированных по экстренным показаниям в течение первых суток от общего числа больных, к которым совершены вылеты, %;</w:t>
            </w:r>
          </w:p>
        </w:tc>
        <w:tc>
          <w:tcPr>
            <w:tcW w:w="1814" w:type="dxa"/>
            <w:tcBorders>
              <w:bottom w:val="nil"/>
            </w:tcBorders>
          </w:tcPr>
          <w:p>
            <w:pPr>
              <w:pStyle w:val="0"/>
              <w:jc w:val="both"/>
            </w:pPr>
            <w:r>
              <w:rPr>
                <w:sz w:val="20"/>
              </w:rPr>
              <w:t xml:space="preserve">Национальная цель "Сохранение населения, здоровье и благополучие людей"/Государственная программа Российской Федерации "Развитие здравоохранения"</w:t>
            </w:r>
          </w:p>
        </w:tc>
      </w:tr>
      <w:tr>
        <w:tblPrEx>
          <w:tblBorders>
            <w:insideH w:val="nil"/>
          </w:tblBorders>
        </w:tblPrEx>
        <w:tc>
          <w:tcPr>
            <w:tcW w:w="567" w:type="dxa"/>
            <w:tcBorders>
              <w:top w:val="nil"/>
              <w:bottom w:val="nil"/>
            </w:tcBorders>
          </w:tcPr>
          <w:p>
            <w:pPr>
              <w:pStyle w:val="0"/>
            </w:pPr>
            <w:r>
              <w:rPr>
                <w:sz w:val="20"/>
              </w:rPr>
            </w:r>
          </w:p>
        </w:tc>
        <w:tc>
          <w:tcPr>
            <w:tcW w:w="2324" w:type="dxa"/>
            <w:tcBorders>
              <w:top w:val="nil"/>
              <w:bottom w:val="nil"/>
            </w:tcBorders>
          </w:tcPr>
          <w:p>
            <w:pPr>
              <w:pStyle w:val="0"/>
            </w:pPr>
            <w:r>
              <w:rPr>
                <w:sz w:val="20"/>
              </w:rPr>
            </w:r>
          </w:p>
        </w:tc>
        <w:tc>
          <w:tcPr>
            <w:tcW w:w="2324" w:type="dxa"/>
            <w:tcBorders>
              <w:top w:val="nil"/>
              <w:bottom w:val="nil"/>
            </w:tcBorders>
          </w:tcPr>
          <w:p>
            <w:pPr>
              <w:pStyle w:val="0"/>
            </w:pPr>
            <w:r>
              <w:rPr>
                <w:sz w:val="20"/>
              </w:rPr>
            </w:r>
          </w:p>
        </w:tc>
        <w:tc>
          <w:tcPr>
            <w:tcW w:w="1984" w:type="dxa"/>
            <w:tcBorders>
              <w:top w:val="nil"/>
              <w:bottom w:val="nil"/>
            </w:tcBorders>
          </w:tcPr>
          <w:p>
            <w:pPr>
              <w:pStyle w:val="0"/>
            </w:pPr>
            <w:r>
              <w:rPr>
                <w:sz w:val="20"/>
              </w:rPr>
            </w:r>
          </w:p>
        </w:tc>
        <w:tc>
          <w:tcPr>
            <w:tcW w:w="3458" w:type="dxa"/>
            <w:tcBorders>
              <w:top w:val="nil"/>
              <w:bottom w:val="nil"/>
            </w:tcBorders>
          </w:tcPr>
          <w:p>
            <w:pPr>
              <w:pStyle w:val="0"/>
              <w:jc w:val="both"/>
            </w:pPr>
            <w:r>
              <w:rPr>
                <w:sz w:val="20"/>
              </w:rPr>
              <w:t xml:space="preserve">15. Сохранение и развитие материально-технической базы учреждений, обеспечивающих предоставление услуг в сфере здравоохранения.</w:t>
            </w:r>
          </w:p>
          <w:p>
            <w:pPr>
              <w:pStyle w:val="0"/>
              <w:jc w:val="both"/>
            </w:pPr>
            <w:r>
              <w:rPr>
                <w:sz w:val="20"/>
              </w:rPr>
              <w:t xml:space="preserve">16. Расширение вовлеченности населения в мониторинг состояния здоровья и поддержание здорового образа жизни.</w:t>
            </w:r>
          </w:p>
          <w:p>
            <w:pPr>
              <w:pStyle w:val="0"/>
              <w:jc w:val="both"/>
            </w:pPr>
            <w:r>
              <w:rPr>
                <w:sz w:val="20"/>
              </w:rPr>
              <w:t xml:space="preserve">17. Повышение эффективности административно-хозяйственной деятельности медицинских учреждений.</w:t>
            </w:r>
          </w:p>
          <w:p>
            <w:pPr>
              <w:pStyle w:val="0"/>
              <w:jc w:val="both"/>
            </w:pPr>
            <w:r>
              <w:rPr>
                <w:sz w:val="20"/>
              </w:rPr>
              <w:t xml:space="preserve">18. Совершенствование методов профилактики, выявления и диагностики социально значимых заболеваний, в том числе за счет внедрения эффективных программ по их профилактике, а также обеспечение качественной и эффективной диагностики и мониторинга лечения на современном методологическом уровне.</w:t>
            </w:r>
          </w:p>
          <w:p>
            <w:pPr>
              <w:pStyle w:val="0"/>
              <w:jc w:val="both"/>
            </w:pPr>
            <w:r>
              <w:rPr>
                <w:sz w:val="20"/>
              </w:rPr>
              <w:t xml:space="preserve">19. Обеспечение ускоренного развития индустрии здоровья на основе новых медицинских технологий.</w:t>
            </w:r>
          </w:p>
          <w:p>
            <w:pPr>
              <w:pStyle w:val="0"/>
              <w:jc w:val="both"/>
            </w:pPr>
            <w:r>
              <w:rPr>
                <w:sz w:val="20"/>
              </w:rPr>
              <w:t xml:space="preserve">20. Создание системы эффективного лекарственного обеспечения пациентов, в том числе при амбулаторном лечении.</w:t>
            </w:r>
          </w:p>
          <w:p>
            <w:pPr>
              <w:pStyle w:val="0"/>
              <w:jc w:val="both"/>
            </w:pPr>
            <w:r>
              <w:rPr>
                <w:sz w:val="20"/>
              </w:rPr>
              <w:t xml:space="preserve">21. Обеспеченность населения необходимым числом медицинских работников.</w:t>
            </w:r>
          </w:p>
          <w:p>
            <w:pPr>
              <w:pStyle w:val="0"/>
              <w:jc w:val="both"/>
            </w:pPr>
            <w:r>
              <w:rPr>
                <w:sz w:val="20"/>
              </w:rPr>
              <w:t xml:space="preserve">22. Увеличен объем экспорта медицинских услуг.</w:t>
            </w:r>
          </w:p>
          <w:p>
            <w:pPr>
              <w:pStyle w:val="0"/>
              <w:jc w:val="both"/>
            </w:pPr>
            <w:r>
              <w:rPr>
                <w:sz w:val="20"/>
              </w:rPr>
              <w:t xml:space="preserve">23. В результате цифровизации здравоохранения гражданам обеспечена доступность цифровых сервисов посредством внедрения электронного документооборота, в том числе телемедицинских технологий, электронной записи к врачу, электронных рецептов.</w:t>
            </w:r>
          </w:p>
          <w:p>
            <w:pPr>
              <w:pStyle w:val="0"/>
              <w:jc w:val="both"/>
            </w:pPr>
            <w:r>
              <w:rPr>
                <w:sz w:val="20"/>
              </w:rPr>
              <w:t xml:space="preserve">24. Обеспечение ускоренного развития индустрии здоровья на основе новых медицинских технологий.</w:t>
            </w:r>
          </w:p>
          <w:p>
            <w:pPr>
              <w:pStyle w:val="0"/>
              <w:jc w:val="both"/>
            </w:pPr>
            <w:r>
              <w:rPr>
                <w:sz w:val="20"/>
              </w:rPr>
              <w:t xml:space="preserve">25. Повышение эффективности административно-хозяйственной деятельности медицинских учреждений.</w:t>
            </w:r>
          </w:p>
        </w:tc>
        <w:tc>
          <w:tcPr>
            <w:tcW w:w="3175" w:type="dxa"/>
            <w:tcBorders>
              <w:top w:val="nil"/>
              <w:bottom w:val="nil"/>
            </w:tcBorders>
          </w:tcPr>
          <w:p>
            <w:pPr>
              <w:pStyle w:val="0"/>
              <w:jc w:val="both"/>
            </w:pPr>
            <w:r>
              <w:rPr>
                <w:sz w:val="20"/>
              </w:rPr>
              <w:t xml:space="preserve">- число лиц (пациентов), дополнительно эвакуированных с использованием санитарной авиации (ежегодно, человек);</w:t>
            </w:r>
          </w:p>
          <w:p>
            <w:pPr>
              <w:pStyle w:val="0"/>
              <w:jc w:val="both"/>
            </w:pPr>
            <w:r>
              <w:rPr>
                <w:sz w:val="20"/>
              </w:rPr>
              <w:t xml:space="preserve">- укомплектованность медицинских организаций, оказывающих медицинскую помощь детям (доля занятых физическими лицами должностей от общего количества должностей в медицинских организациях, оказывающих медицинскую помощь в амбулаторных условиях), нарастающим итогом: врачами педиатрами, %;</w:t>
            </w:r>
          </w:p>
          <w:p>
            <w:pPr>
              <w:pStyle w:val="0"/>
              <w:jc w:val="both"/>
            </w:pPr>
            <w:r>
              <w:rPr>
                <w:sz w:val="20"/>
              </w:rPr>
              <w:t xml:space="preserve">- количество (доля) детских поликлиник и детских поликлинических отделений с созданной современной инфраструктурой оказания медицинской помощи детям;</w:t>
            </w:r>
          </w:p>
          <w:p>
            <w:pPr>
              <w:pStyle w:val="0"/>
              <w:jc w:val="both"/>
            </w:pPr>
            <w:r>
              <w:rPr>
                <w:sz w:val="20"/>
              </w:rPr>
              <w:t xml:space="preserve">- число выполненных детьми посещений детских поликлиник и поликлинических подразделений, в которых созданы комфортные условия пребывания детей и дооснащенных медицинским оборудованием, от общего числа посещений детьми детских поликлиник и поликлинических подразделений, %;</w:t>
            </w:r>
          </w:p>
          <w:p>
            <w:pPr>
              <w:pStyle w:val="0"/>
              <w:jc w:val="both"/>
            </w:pPr>
            <w:r>
              <w:rPr>
                <w:sz w:val="20"/>
              </w:rPr>
              <w:t xml:space="preserve">- доля преждевременных родов (22 - 37 недель) в перинатальных центрах, %;</w:t>
            </w:r>
          </w:p>
          <w:p>
            <w:pPr>
              <w:pStyle w:val="0"/>
              <w:jc w:val="both"/>
            </w:pPr>
            <w:r>
              <w:rPr>
                <w:sz w:val="20"/>
              </w:rPr>
              <w:t xml:space="preserve">- доля взятых под диспансерное наблюдение детей в возрасте 0 - 17 лет с впервые в жизни установленным диагнозом болезни костно-мышечной системы и соединительной ткани, %;</w:t>
            </w:r>
          </w:p>
          <w:p>
            <w:pPr>
              <w:pStyle w:val="0"/>
              <w:jc w:val="both"/>
            </w:pPr>
            <w:r>
              <w:rPr>
                <w:sz w:val="20"/>
              </w:rPr>
              <w:t xml:space="preserve">- доля взятых под диспансерное наблюдение детей в возрасте 0 - 17 лет с впервые в жизни установленным диагнозом болезни системы кровообращения, %;</w:t>
            </w:r>
          </w:p>
          <w:p>
            <w:pPr>
              <w:pStyle w:val="0"/>
              <w:jc w:val="both"/>
            </w:pPr>
            <w:r>
              <w:rPr>
                <w:sz w:val="20"/>
              </w:rPr>
              <w:t xml:space="preserve">- доля взятых под диспансерное наблюдение детей в возрасте 0 - 17 лет с впервые в жизни установленным диагнозом болезни органов пищеварения, %;</w:t>
            </w:r>
          </w:p>
          <w:p>
            <w:pPr>
              <w:pStyle w:val="0"/>
              <w:jc w:val="both"/>
            </w:pPr>
            <w:r>
              <w:rPr>
                <w:sz w:val="20"/>
              </w:rPr>
              <w:t xml:space="preserve">- доля взятых под диспансерное наблюдение детей в возрасте 0 - 17 лет с впервые в жизни установленным диагнозом болезни глаза и его придаточного аппарата, %;</w:t>
            </w:r>
          </w:p>
          <w:p>
            <w:pPr>
              <w:pStyle w:val="0"/>
              <w:jc w:val="both"/>
            </w:pPr>
            <w:r>
              <w:rPr>
                <w:sz w:val="20"/>
              </w:rPr>
              <w:t xml:space="preserve">- доля взятых под диспансерное наблюдение детей в возрасте 0 - 17 лет с впервые в жизни установленным диагнозом болезни эндокринной системы, расстройств питания и нарушения обмена веществ, %;</w:t>
            </w:r>
          </w:p>
          <w:p>
            <w:pPr>
              <w:pStyle w:val="0"/>
              <w:jc w:val="both"/>
            </w:pPr>
            <w:r>
              <w:rPr>
                <w:sz w:val="20"/>
              </w:rPr>
              <w:t xml:space="preserve">- доля посещений детьми медицинских организаций с профилактическими целями, %;</w:t>
            </w:r>
          </w:p>
          <w:p>
            <w:pPr>
              <w:pStyle w:val="0"/>
              <w:jc w:val="both"/>
            </w:pPr>
            <w:r>
              <w:rPr>
                <w:sz w:val="20"/>
              </w:rPr>
              <w:t xml:space="preserve">- укомплектованность фельдшерских пунктов, фельдшерско-акушерских пунктов, врачебных амбулаторий медицинскими работниками, %;</w:t>
            </w:r>
          </w:p>
          <w:p>
            <w:pPr>
              <w:pStyle w:val="0"/>
              <w:jc w:val="both"/>
            </w:pPr>
            <w:r>
              <w:rPr>
                <w:sz w:val="20"/>
              </w:rPr>
              <w:t xml:space="preserve">- обеспеченность населения врачами, оказывающими первичную медико-санитарную помощь, чел. на 10 тыс. населения, условная единица;</w:t>
            </w:r>
          </w:p>
          <w:p>
            <w:pPr>
              <w:pStyle w:val="0"/>
              <w:jc w:val="both"/>
            </w:pPr>
            <w:r>
              <w:rPr>
                <w:sz w:val="20"/>
              </w:rPr>
              <w:t xml:space="preserve">- обеспеченность медицинскими работниками, оказывающими скорую медицинскую помощь, чел. на 10 тыс. населения, условная единица;</w:t>
            </w:r>
          </w:p>
          <w:p>
            <w:pPr>
              <w:pStyle w:val="0"/>
              <w:jc w:val="both"/>
            </w:pPr>
            <w:r>
              <w:rPr>
                <w:sz w:val="20"/>
              </w:rPr>
              <w:t xml:space="preserve">- обеспеченность населения врачами, оказывающими специализированную медицинскую помощь, чел. на 10 тыс. населения, условная единица;</w:t>
            </w:r>
          </w:p>
          <w:p>
            <w:pPr>
              <w:pStyle w:val="0"/>
              <w:jc w:val="both"/>
            </w:pPr>
            <w:r>
              <w:rPr>
                <w:sz w:val="20"/>
              </w:rPr>
              <w:t xml:space="preserve">- обеспеченность населения средними медицинскими работниками, работающими в государственных и муниципальных медицинских организациях, чел. на 10 тыс. населения, условная единица;</w:t>
            </w:r>
          </w:p>
          <w:p>
            <w:pPr>
              <w:pStyle w:val="0"/>
              <w:jc w:val="both"/>
            </w:pPr>
            <w:r>
              <w:rPr>
                <w:sz w:val="20"/>
              </w:rPr>
              <w:t xml:space="preserve">- обеспеченность населения врачами, работающими в государственных и муниципальных медицинских организациях, чел. на 10 тыс. населения, условная единица;</w:t>
            </w:r>
          </w:p>
          <w:p>
            <w:pPr>
              <w:pStyle w:val="0"/>
              <w:jc w:val="both"/>
            </w:pPr>
            <w:r>
              <w:rPr>
                <w:sz w:val="20"/>
              </w:rPr>
              <w:t xml:space="preserve">- 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 нарастающим итогом: врачами;</w:t>
            </w:r>
          </w:p>
          <w:p>
            <w:pPr>
              <w:pStyle w:val="0"/>
              <w:jc w:val="both"/>
            </w:pPr>
            <w:r>
              <w:rPr>
                <w:sz w:val="20"/>
              </w:rPr>
              <w:t xml:space="preserve">- укомплектованность медицинских организаций, оказывающих медицинскую помощь в амбулаторных условиях (доля занятых физическими лицами должностей от общего количества должностей в медицинских учреждениях, оказывающих медицинскую помощь в амбулаторных условиях), % нарастающим итогом: средними медицинскими работниками;</w:t>
            </w:r>
          </w:p>
        </w:tc>
        <w:tc>
          <w:tcPr>
            <w:tcW w:w="1814" w:type="dxa"/>
            <w:tcBorders>
              <w:top w:val="nil"/>
              <w:bottom w:val="nil"/>
            </w:tcBorders>
          </w:tcPr>
          <w:p>
            <w:pPr>
              <w:pStyle w:val="0"/>
            </w:pPr>
            <w:r>
              <w:rPr>
                <w:sz w:val="20"/>
              </w:rPr>
            </w:r>
          </w:p>
        </w:tc>
      </w:tr>
      <w:tr>
        <w:tblPrEx>
          <w:tblBorders>
            <w:insideH w:val="nil"/>
          </w:tblBorders>
        </w:tblPrEx>
        <w:tc>
          <w:tcPr>
            <w:tcW w:w="567" w:type="dxa"/>
            <w:tcBorders>
              <w:top w:val="nil"/>
              <w:bottom w:val="nil"/>
            </w:tcBorders>
          </w:tcPr>
          <w:p>
            <w:pPr>
              <w:pStyle w:val="0"/>
            </w:pPr>
            <w:r>
              <w:rPr>
                <w:sz w:val="20"/>
              </w:rPr>
            </w:r>
          </w:p>
        </w:tc>
        <w:tc>
          <w:tcPr>
            <w:tcW w:w="2324" w:type="dxa"/>
            <w:tcBorders>
              <w:top w:val="nil"/>
              <w:bottom w:val="nil"/>
            </w:tcBorders>
          </w:tcPr>
          <w:p>
            <w:pPr>
              <w:pStyle w:val="0"/>
            </w:pPr>
            <w:r>
              <w:rPr>
                <w:sz w:val="20"/>
              </w:rPr>
            </w:r>
          </w:p>
        </w:tc>
        <w:tc>
          <w:tcPr>
            <w:tcW w:w="2324" w:type="dxa"/>
            <w:tcBorders>
              <w:top w:val="nil"/>
              <w:bottom w:val="nil"/>
            </w:tcBorders>
          </w:tcPr>
          <w:p>
            <w:pPr>
              <w:pStyle w:val="0"/>
            </w:pPr>
            <w:r>
              <w:rPr>
                <w:sz w:val="20"/>
              </w:rPr>
            </w:r>
          </w:p>
        </w:tc>
        <w:tc>
          <w:tcPr>
            <w:tcW w:w="1984" w:type="dxa"/>
            <w:tcBorders>
              <w:top w:val="nil"/>
              <w:bottom w:val="nil"/>
            </w:tcBorders>
          </w:tcPr>
          <w:p>
            <w:pPr>
              <w:pStyle w:val="0"/>
            </w:pPr>
            <w:r>
              <w:rPr>
                <w:sz w:val="20"/>
              </w:rPr>
            </w:r>
          </w:p>
        </w:tc>
        <w:tc>
          <w:tcPr>
            <w:tcW w:w="3458" w:type="dxa"/>
            <w:tcBorders>
              <w:top w:val="nil"/>
              <w:bottom w:val="nil"/>
            </w:tcBorders>
          </w:tcPr>
          <w:p>
            <w:pPr>
              <w:pStyle w:val="0"/>
            </w:pPr>
            <w:r>
              <w:rPr>
                <w:sz w:val="20"/>
              </w:rPr>
            </w:r>
          </w:p>
        </w:tc>
        <w:tc>
          <w:tcPr>
            <w:tcW w:w="3175" w:type="dxa"/>
            <w:tcBorders>
              <w:top w:val="nil"/>
              <w:bottom w:val="nil"/>
            </w:tcBorders>
          </w:tcPr>
          <w:p>
            <w:pPr>
              <w:pStyle w:val="0"/>
              <w:jc w:val="both"/>
            </w:pPr>
            <w:r>
              <w:rPr>
                <w:sz w:val="20"/>
              </w:rPr>
              <w:t xml:space="preserve">- число специалистов, участвующих в системе непрерывного образования медицинских работников, в том числе с использованием дистанционных образовательных технологий, тыс. человек нарастающим итогом;</w:t>
            </w:r>
          </w:p>
          <w:p>
            <w:pPr>
              <w:pStyle w:val="0"/>
              <w:jc w:val="both"/>
            </w:pPr>
            <w:r>
              <w:rPr>
                <w:sz w:val="20"/>
              </w:rPr>
              <w:t xml:space="preserve">- доля государственных и муниципальных медицинских организаций Нижегородской области, обеспечивающих межведомственное электронное взаимодействие с учреждениями медико-социальной экспертизы посредством ЕГИСЗ;</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ГП РФ, ГП, подключенные к сети Интернет), подключенных к централизованной системе (подсистеме) "Телемедицинские консультации" ГИС Нижегородской области;</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ГП РФ, ГП, подключенные к сети Интернет), подключенных к централизованной системе (подсистеме) "Лабораторные исследования" ГИС Нижегородской области;</w:t>
            </w:r>
          </w:p>
          <w:p>
            <w:pPr>
              <w:pStyle w:val="0"/>
              <w:jc w:val="both"/>
            </w:pPr>
            <w:r>
              <w:rPr>
                <w:sz w:val="20"/>
              </w:rPr>
              <w:t xml:space="preserve">- доля клинико-диагностических лабораторий медицинских организаций государственной и муниципальной систем здравоохранения Нижегородской области, подключенных к централизованной системе (подсистеме) "Лабораторные исследования" ГИС Нижегородской области, %;</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участвующих в оказании медицинской помощи беременным женщинам, подключенных к централизованной системе (подсистеме) "Организация оказания медицинской помощи по профилям "Акушерство и гинекология" и "Неонатология" (мониторинг беременных)" ГИС Нижегородской области;</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ГП РФ, ГП, подключенные к сети Интернет), подключенных к централизованной системе (подсистеме) "Организация оказания профилактической медицинской помощи (диспансеризация, диспансерное наблюдение, профилактические осмотры)" ГИС Нижегородской области;</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участвующих в оказании медицинской помощи больным онкологическими заболеваниями, подключенных к централизованной системе (подсистеме) "Организация оказания медицинской помощи больным онкологическими заболеваниями" ГИС Нижегородской области;</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общего профиля и сердечно-сосудистых центров, участвующих в оказании медицинской помощи больным сердечно-сосудистыми заболеваниями, подключенных к централизованной системе (подсистеме) "Организация оказания медицинской помощи больным сердечно-сосудистыми заболеваниями" ГИС Нижегородской области;</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ГП РФ, ГП, подключенные к сети Интернет), подключенных к централизованной системе (подсистеме) "Интегрированная электронная медицинская карта" ГИС Нижегородской области;</w:t>
            </w:r>
          </w:p>
          <w:p>
            <w:pPr>
              <w:pStyle w:val="0"/>
              <w:jc w:val="both"/>
            </w:pPr>
            <w:r>
              <w:rPr>
                <w:sz w:val="20"/>
              </w:rPr>
              <w:t xml:space="preserve">- число граждан, воспользовавшихся услугами (сервисами) в Личном кабинете пациента "Мое здоровье" на Едином портале государственных услуг и функций;</w:t>
            </w:r>
          </w:p>
          <w:p>
            <w:pPr>
              <w:pStyle w:val="0"/>
              <w:jc w:val="both"/>
            </w:pPr>
            <w:r>
              <w:rPr>
                <w:sz w:val="20"/>
              </w:rPr>
              <w:t xml:space="preserve">- доля медицинских организаций государственной и муниципальной систем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ЕГИСЗ;</w:t>
            </w:r>
          </w:p>
          <w:p>
            <w:pPr>
              <w:pStyle w:val="0"/>
              <w:jc w:val="both"/>
            </w:pPr>
            <w:r>
              <w:rPr>
                <w:sz w:val="20"/>
              </w:rPr>
              <w:t xml:space="preserve">- доля записей на прием к врачу, совершенных гражданами дистанционно;</w:t>
            </w:r>
          </w:p>
          <w:p>
            <w:pPr>
              <w:pStyle w:val="0"/>
              <w:jc w:val="both"/>
            </w:pPr>
            <w:r>
              <w:rPr>
                <w:sz w:val="20"/>
              </w:rPr>
              <w:t xml:space="preserve">- доля граждан, являющихся пользователями ЕПГУ, которым доступны электронные медицинские документы в Личном кабинете пациента "Мое здоровье" по факту оказания медицинской помощи за период;</w:t>
            </w:r>
          </w:p>
          <w:p>
            <w:pPr>
              <w:pStyle w:val="0"/>
              <w:jc w:val="both"/>
            </w:pPr>
            <w:r>
              <w:rPr>
                <w:sz w:val="20"/>
              </w:rPr>
              <w:t xml:space="preserve">- доля случаев оказания медицинской помощи, по которым предоставлены электронные медицинские документы в подсистеме ЕГИСЗ за период;</w:t>
            </w:r>
          </w:p>
          <w:p>
            <w:pPr>
              <w:pStyle w:val="0"/>
              <w:jc w:val="both"/>
            </w:pPr>
            <w:r>
              <w:rPr>
                <w:sz w:val="20"/>
              </w:rPr>
              <w:t xml:space="preserve">- доля медицинских организаций государственной и муниципальной систем здравоохранения, подключенных к централизованным подсистемам государственных информационных систем в сфере здравоохранения субъектов Российской Федерации;</w:t>
            </w:r>
          </w:p>
          <w:p>
            <w:pPr>
              <w:pStyle w:val="0"/>
              <w:jc w:val="both"/>
            </w:pPr>
            <w:r>
              <w:rPr>
                <w:sz w:val="20"/>
              </w:rPr>
              <w:t xml:space="preserve">- доля медицинских организаций государственной и муниципальной систем здравоохранения Нижегородской области, обеспечивающих передачу в электронном виде медицинских свидетельств о рождении в ЕГР ЗАГС посредством ЕГИСЗ;</w:t>
            </w:r>
          </w:p>
        </w:tc>
        <w:tc>
          <w:tcPr>
            <w:tcW w:w="1814" w:type="dxa"/>
            <w:tcBorders>
              <w:top w:val="nil"/>
              <w:bottom w:val="nil"/>
            </w:tcBorders>
          </w:tcPr>
          <w:p>
            <w:pPr>
              <w:pStyle w:val="0"/>
            </w:pPr>
            <w:r>
              <w:rPr>
                <w:sz w:val="20"/>
              </w:rPr>
            </w:r>
          </w:p>
        </w:tc>
      </w:tr>
      <w:tr>
        <w:tblPrEx>
          <w:tblBorders>
            <w:insideH w:val="nil"/>
          </w:tblBorders>
        </w:tblPrEx>
        <w:tc>
          <w:tcPr>
            <w:tcW w:w="567" w:type="dxa"/>
            <w:tcBorders>
              <w:top w:val="nil"/>
              <w:bottom w:val="nil"/>
            </w:tcBorders>
          </w:tcPr>
          <w:p>
            <w:pPr>
              <w:pStyle w:val="0"/>
            </w:pPr>
            <w:r>
              <w:rPr>
                <w:sz w:val="20"/>
              </w:rPr>
            </w:r>
          </w:p>
        </w:tc>
        <w:tc>
          <w:tcPr>
            <w:tcW w:w="2324" w:type="dxa"/>
            <w:tcBorders>
              <w:top w:val="nil"/>
              <w:bottom w:val="nil"/>
            </w:tcBorders>
          </w:tcPr>
          <w:p>
            <w:pPr>
              <w:pStyle w:val="0"/>
            </w:pPr>
            <w:r>
              <w:rPr>
                <w:sz w:val="20"/>
              </w:rPr>
            </w:r>
          </w:p>
        </w:tc>
        <w:tc>
          <w:tcPr>
            <w:tcW w:w="2324" w:type="dxa"/>
            <w:tcBorders>
              <w:top w:val="nil"/>
              <w:bottom w:val="nil"/>
            </w:tcBorders>
          </w:tcPr>
          <w:p>
            <w:pPr>
              <w:pStyle w:val="0"/>
            </w:pPr>
            <w:r>
              <w:rPr>
                <w:sz w:val="20"/>
              </w:rPr>
            </w:r>
          </w:p>
        </w:tc>
        <w:tc>
          <w:tcPr>
            <w:tcW w:w="1984" w:type="dxa"/>
            <w:tcBorders>
              <w:top w:val="nil"/>
              <w:bottom w:val="nil"/>
            </w:tcBorders>
          </w:tcPr>
          <w:p>
            <w:pPr>
              <w:pStyle w:val="0"/>
            </w:pPr>
            <w:r>
              <w:rPr>
                <w:sz w:val="20"/>
              </w:rPr>
            </w:r>
          </w:p>
        </w:tc>
        <w:tc>
          <w:tcPr>
            <w:tcW w:w="3458" w:type="dxa"/>
            <w:tcBorders>
              <w:top w:val="nil"/>
              <w:bottom w:val="nil"/>
            </w:tcBorders>
          </w:tcPr>
          <w:p>
            <w:pPr>
              <w:pStyle w:val="0"/>
            </w:pPr>
            <w:r>
              <w:rPr>
                <w:sz w:val="20"/>
              </w:rPr>
            </w:r>
          </w:p>
        </w:tc>
        <w:tc>
          <w:tcPr>
            <w:tcW w:w="3175" w:type="dxa"/>
            <w:tcBorders>
              <w:top w:val="nil"/>
              <w:bottom w:val="nil"/>
            </w:tcBorders>
          </w:tcPr>
          <w:p>
            <w:pPr>
              <w:pStyle w:val="0"/>
              <w:jc w:val="both"/>
            </w:pPr>
            <w:r>
              <w:rPr>
                <w:sz w:val="20"/>
              </w:rPr>
              <w:t xml:space="preserve">- доля медицинских организаций государственной и муниципальной систем здравоохранения Нижегородской области, обеспечивающих передачу в электронном виде медицинских свидетельств о смерти в ЕГР ЗАГС посредством ЕГИСЗ;</w:t>
            </w:r>
          </w:p>
          <w:p>
            <w:pPr>
              <w:pStyle w:val="0"/>
              <w:jc w:val="both"/>
            </w:pPr>
            <w:r>
              <w:rPr>
                <w:sz w:val="20"/>
              </w:rPr>
              <w:t xml:space="preserve">- доля медицинских организаций государственной и муниципальной систем здравоохранения Нижегородской области, обеспечивающих межведомственное электронное взаимодействие с Фондом социального страхования в части обмена сведениями об электронном родовом сертификате для оплаты услуг по медицинской помощи, оказанной женщинам в период беременности, и медицинской помощи, оказанной женщинам и новорожденным в период родов и в послеродовой период, а также по проведению профилактических медицинских осмотров ребенка в течение первого года жизни;</w:t>
            </w:r>
          </w:p>
          <w:p>
            <w:pPr>
              <w:pStyle w:val="0"/>
              <w:jc w:val="both"/>
            </w:pPr>
            <w:r>
              <w:rPr>
                <w:sz w:val="20"/>
              </w:rPr>
              <w:t xml:space="preserve">- доля территориально-выделенных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ГП РФ, ГП, подключенные к сети Интернет), использующих электронный сервис идентификации граждан по полису ОМС и документам, удостоверяющим личность;</w:t>
            </w:r>
          </w:p>
          <w:p>
            <w:pPr>
              <w:pStyle w:val="0"/>
              <w:jc w:val="both"/>
            </w:pPr>
            <w:r>
              <w:rPr>
                <w:sz w:val="20"/>
              </w:rPr>
              <w:t xml:space="preserve">- доля медицинских организаций государственной и муниципальной систем здравоохранения Нижегородской области, обеспечивающих посредством ЕГИСЗ передачу сведений о прохождении медицинского освидетельствования на получение права ношения оружия и права заниматься частной детективной и охранной деятельностью с целью обеспечения межведомственного электронного взаимодействия с Росгвардией;</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ГП РФ, ГП, подключенные к сети Интернет), подключенных к защищенной сети передачи данных;</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обеспечивающих сервис записи на прием к врачу по направлению для получения первичной специализированной медико-санитарной помощи в ЛКП "Мое здоровье" на ЕПГУ;</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ГП РФ, ГП, подключенные к сети Интернет), обеспечивающих сервис записи на вакцинацию и информирование о фактически проведенных мероприятиях по вакцинопрофилактике в ЛКП "Мое здоровье" на ЕПГУ;</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обеспечивающих для граждан сервис прикрепления онлайн в личном кабинете пациента "Мое Здоровье" на Едином портале государственных услуг и функций;</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оказывающих медицинскую помощь в условиях стационара, передающих СЭМД "Эпикриз в стационаре выписной" и/или "Выписной эпикриз из родильного дома" РЭМД ЕГИСЗ;</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оказывающих первичную медико-санитарную помощь, в том числе специализированную, передающих СЭМД "Эпикриз по законченному случаю амбулаторный"/"Талон амбулаторного пациента" и/или "Протокол консультации" в РЭМД ЕГИСЗ;</w:t>
            </w:r>
          </w:p>
          <w:p>
            <w:pPr>
              <w:pStyle w:val="0"/>
              <w:jc w:val="both"/>
            </w:pPr>
            <w:r>
              <w:rPr>
                <w:sz w:val="20"/>
              </w:rPr>
              <w:t xml:space="preserve">- доля клинико-диагностических лабораторий медицинских организаций и клинико-диагностических лабораторий государственной и муниципальной систем здравоохранения Нижегородской области, обеспечивающих передачу СЭМД "Протокол лабораторного исследования";</w:t>
            </w:r>
          </w:p>
          <w:p>
            <w:pPr>
              <w:pStyle w:val="0"/>
              <w:jc w:val="both"/>
            </w:pPr>
            <w:r>
              <w:rPr>
                <w:sz w:val="20"/>
              </w:rPr>
              <w:t xml:space="preserve">- доля направлений на медико-социальную экспертизу, формируемых в медицинских организациях государственной и муниципальной систем здравоохранения Нижегородской области в форме электронных медицинских документов, зарегистрированных в РЭМД ЕГИСЗ;</w:t>
            </w:r>
          </w:p>
          <w:p>
            <w:pPr>
              <w:pStyle w:val="0"/>
              <w:jc w:val="both"/>
            </w:pPr>
            <w:r>
              <w:rPr>
                <w:sz w:val="20"/>
              </w:rPr>
              <w:t xml:space="preserve">- доля медицинских организаций государственной и муниципальной систем здравоохранения субъекта Российской Федерации, оказывающих медицинскую помощь в условиях стационара, обеспечивающих персонифицированный учет лекарственных средств;</w:t>
            </w:r>
          </w:p>
          <w:p>
            <w:pPr>
              <w:pStyle w:val="0"/>
              <w:jc w:val="both"/>
            </w:pPr>
            <w:r>
              <w:rPr>
                <w:sz w:val="20"/>
              </w:rPr>
              <w:t xml:space="preserve">- доля станций скорой медицинской помощи, обеспечивающих передачу СЭМД "Карта вызова скорой медицинской помощи" в РЭМД ЕГИСЗ;</w:t>
            </w:r>
          </w:p>
          <w:p>
            <w:pPr>
              <w:pStyle w:val="0"/>
              <w:jc w:val="both"/>
            </w:pPr>
            <w:r>
              <w:rPr>
                <w:sz w:val="20"/>
              </w:rPr>
              <w:t xml:space="preserve">- доля медицинских организаций государственной и муниципальной систем здравоохранения субъекта Российской Федерации, оказывающих первичную медико-санитарную помощь, обеспечивающих передачу в ЕГИСЗ и в федеральную государственную информационную систему "Единый портал государственных и муниципальных услуг (функций)" всех расписаний приема медицинских работников, в том числе с использованием витрин данных федеральной государственной информационной системы "Единая информационная платформа национальной системы управления данными";</w:t>
            </w:r>
          </w:p>
          <w:p>
            <w:pPr>
              <w:pStyle w:val="0"/>
              <w:jc w:val="both"/>
            </w:pPr>
            <w:r>
              <w:rPr>
                <w:sz w:val="20"/>
              </w:rPr>
              <w:t xml:space="preserve">- доля видов структурированных электронных медицинских документов, которые передаются на регистрацию в РЭМД ЕГИСЗ;</w:t>
            </w:r>
          </w:p>
          <w:p>
            <w:pPr>
              <w:pStyle w:val="0"/>
              <w:jc w:val="both"/>
            </w:pPr>
            <w:r>
              <w:rPr>
                <w:sz w:val="20"/>
              </w:rPr>
              <w:t xml:space="preserve">- доля медицинских свидетельств о смерти, формируемых в медицинских организациях государственной и муниципальной систем здравоохранения субъекта Российской Федерации в форме электронных медицинских документов, зарегистрированных в РЭМД ЕГИСЗ, %;</w:t>
            </w:r>
          </w:p>
          <w:p>
            <w:pPr>
              <w:pStyle w:val="0"/>
              <w:jc w:val="both"/>
            </w:pPr>
            <w:r>
              <w:rPr>
                <w:sz w:val="20"/>
              </w:rPr>
              <w:t xml:space="preserve">- доля медицинских свидетельств о рождении, формируемых в медицинских организациях государственной и муниципальной систем здравоохранения субъекта Российской Федерации в форме электронных медицинских документов, зарегистрированных в РЭМД ЕГИСЗ;</w:t>
            </w:r>
          </w:p>
          <w:p>
            <w:pPr>
              <w:pStyle w:val="0"/>
              <w:jc w:val="both"/>
            </w:pPr>
            <w:r>
              <w:rPr>
                <w:sz w:val="20"/>
              </w:rPr>
              <w:t xml:space="preserve">- доля успешных записей через сервис "Запись на прием к врачу" ЕПГУ от общего числа попыток записи (без учета "черновиков", ошибок ФЭР и ЕПГУ), %;</w:t>
            </w:r>
          </w:p>
          <w:p>
            <w:pPr>
              <w:pStyle w:val="0"/>
              <w:jc w:val="both"/>
            </w:pPr>
            <w:r>
              <w:rPr>
                <w:sz w:val="20"/>
              </w:rPr>
              <w:t xml:space="preserve">- доля СЭМД "Эпикриз в стационаре выписной" и/или СЭМД "Выписной эпикриз из родильного дома" в РЭМД ЕГИСЗ относительно количества случаев медицинской помощи, оказанной в условиях стационаров;</w:t>
            </w:r>
          </w:p>
          <w:p>
            <w:pPr>
              <w:pStyle w:val="0"/>
              <w:jc w:val="both"/>
            </w:pPr>
            <w:r>
              <w:rPr>
                <w:sz w:val="20"/>
              </w:rPr>
              <w:t xml:space="preserve">- доля СЭМД "Эпикриз по законченному случаю амбулаторный", СЭМД "Протокол консультации" в РЭМД ЕГИСЗ относительно количества случаев оказания первичной медико-санитарной медицинской помощи;</w:t>
            </w:r>
          </w:p>
          <w:p>
            <w:pPr>
              <w:pStyle w:val="0"/>
              <w:jc w:val="both"/>
            </w:pPr>
            <w:r>
              <w:rPr>
                <w:sz w:val="20"/>
              </w:rPr>
              <w:t xml:space="preserve">- доля врачей медицинских организаций государственной и муниципальной систем здравоохранения субъекта Российской Федерации, от которых зарегистрированы СЭМД в РЭМД ЕГИСЗ;</w:t>
            </w:r>
          </w:p>
          <w:p>
            <w:pPr>
              <w:pStyle w:val="0"/>
              <w:jc w:val="both"/>
            </w:pPr>
            <w:r>
              <w:rPr>
                <w:sz w:val="20"/>
              </w:rPr>
              <w:t xml:space="preserve">- доля территориально-выделенных структурных подразделений медицинских организаций государственной и муниципальной систем здравоохранения субъекта Российской Федерации с тяжелым диагностическим оборудованием, обеспечивающих передачу СЭМД "Протокол инструментальных исследований" в РЭМД ЕГИСЗ;</w:t>
            </w:r>
          </w:p>
          <w:p>
            <w:pPr>
              <w:pStyle w:val="0"/>
              <w:jc w:val="both"/>
            </w:pPr>
            <w:r>
              <w:rPr>
                <w:sz w:val="20"/>
              </w:rPr>
              <w:t xml:space="preserve">- доля медицинских организаций государственной и муниципальной систем здравоохранения субъекта Российской Федерации, перешедших на электронный медицинский документооборот согласно утвержденному приказу и плану;</w:t>
            </w:r>
          </w:p>
          <w:p>
            <w:pPr>
              <w:pStyle w:val="0"/>
              <w:jc w:val="both"/>
            </w:pPr>
            <w:r>
              <w:rPr>
                <w:sz w:val="20"/>
              </w:rPr>
              <w:t xml:space="preserve">- доля технических ошибок ГИС Нижегородской области (без учета ошибок ФЭР или ЕПГУ) от общего числа попыток записи через сервис "Запись на прием к врачу" на ЕПГУ, в том числе успешных записей (без учета "черновиков", ошибок ФЭР и ЕПГУ);</w:t>
            </w:r>
          </w:p>
          <w:p>
            <w:pPr>
              <w:pStyle w:val="0"/>
              <w:jc w:val="both"/>
            </w:pPr>
            <w:r>
              <w:rPr>
                <w:sz w:val="20"/>
              </w:rPr>
              <w:t xml:space="preserve">- число централизованных подсистем ГИС субъекта Российской Федерации, в которых применяются медицинские изделия с технологией искусственного интеллекта, единица;</w:t>
            </w:r>
          </w:p>
        </w:tc>
        <w:tc>
          <w:tcPr>
            <w:tcW w:w="1814" w:type="dxa"/>
            <w:tcBorders>
              <w:top w:val="nil"/>
              <w:bottom w:val="nil"/>
            </w:tcBorders>
          </w:tcPr>
          <w:p>
            <w:pPr>
              <w:pStyle w:val="0"/>
            </w:pPr>
            <w:r>
              <w:rPr>
                <w:sz w:val="20"/>
              </w:rPr>
            </w:r>
          </w:p>
        </w:tc>
      </w:tr>
      <w:tr>
        <w:tblPrEx>
          <w:tblBorders>
            <w:insideH w:val="nil"/>
          </w:tblBorders>
        </w:tblPrEx>
        <w:tc>
          <w:tcPr>
            <w:tcW w:w="567" w:type="dxa"/>
            <w:tcBorders>
              <w:top w:val="nil"/>
            </w:tcBorders>
          </w:tcPr>
          <w:p>
            <w:pPr>
              <w:pStyle w:val="0"/>
            </w:pPr>
            <w:r>
              <w:rPr>
                <w:sz w:val="20"/>
              </w:rPr>
            </w:r>
          </w:p>
        </w:tc>
        <w:tc>
          <w:tcPr>
            <w:tcW w:w="2324" w:type="dxa"/>
            <w:tcBorders>
              <w:top w:val="nil"/>
            </w:tcBorders>
          </w:tcPr>
          <w:p>
            <w:pPr>
              <w:pStyle w:val="0"/>
            </w:pPr>
            <w:r>
              <w:rPr>
                <w:sz w:val="20"/>
              </w:rPr>
            </w:r>
          </w:p>
        </w:tc>
        <w:tc>
          <w:tcPr>
            <w:tcW w:w="2324" w:type="dxa"/>
            <w:tcBorders>
              <w:top w:val="nil"/>
            </w:tcBorders>
          </w:tcPr>
          <w:p>
            <w:pPr>
              <w:pStyle w:val="0"/>
            </w:pPr>
            <w:r>
              <w:rPr>
                <w:sz w:val="20"/>
              </w:rPr>
            </w:r>
          </w:p>
        </w:tc>
        <w:tc>
          <w:tcPr>
            <w:tcW w:w="1984" w:type="dxa"/>
            <w:tcBorders>
              <w:top w:val="nil"/>
            </w:tcBorders>
          </w:tcPr>
          <w:p>
            <w:pPr>
              <w:pStyle w:val="0"/>
            </w:pPr>
            <w:r>
              <w:rPr>
                <w:sz w:val="20"/>
              </w:rPr>
            </w:r>
          </w:p>
        </w:tc>
        <w:tc>
          <w:tcPr>
            <w:tcW w:w="3458" w:type="dxa"/>
            <w:tcBorders>
              <w:top w:val="nil"/>
            </w:tcBorders>
          </w:tcPr>
          <w:p>
            <w:pPr>
              <w:pStyle w:val="0"/>
            </w:pPr>
            <w:r>
              <w:rPr>
                <w:sz w:val="20"/>
              </w:rPr>
            </w:r>
          </w:p>
        </w:tc>
        <w:tc>
          <w:tcPr>
            <w:tcW w:w="3175" w:type="dxa"/>
            <w:tcBorders>
              <w:top w:val="nil"/>
            </w:tcBorders>
          </w:tcPr>
          <w:p>
            <w:pPr>
              <w:pStyle w:val="0"/>
              <w:jc w:val="both"/>
            </w:pPr>
            <w:r>
              <w:rPr>
                <w:sz w:val="20"/>
              </w:rPr>
              <w:t xml:space="preserve">- доля врачей медицинских организаций государственной и муниципальной систем здравоохранения субъекта Российской Федерации, участвующих в оказании медицинской помощи, обеспеченных усиленной квалифицированной электронной подписью;</w:t>
            </w:r>
          </w:p>
          <w:p>
            <w:pPr>
              <w:pStyle w:val="0"/>
              <w:jc w:val="both"/>
            </w:pPr>
            <w:r>
              <w:rPr>
                <w:sz w:val="20"/>
              </w:rPr>
              <w:t xml:space="preserve">- доля отделений (станций и подстанций) государственных и муниципальных медицинских организаций субъектов Российской Федерации, обеспечивающих оказание скорой и неотложной медицинской помощи, подключенных к централизованной системе (подсистеме) "Управление системой оказания скорой медицинской помощи и медицинской эвакуацией (в том числе санитарно-авиационной) в повседневном режиме и в режиме чрезвычайной ситуации" субъекта Российской Федерации;</w:t>
            </w:r>
          </w:p>
          <w:p>
            <w:pPr>
              <w:pStyle w:val="0"/>
              <w:jc w:val="both"/>
            </w:pPr>
            <w:r>
              <w:rPr>
                <w:sz w:val="20"/>
              </w:rPr>
              <w:t xml:space="preserve">- доля врачей медицинских организаций государственной и муниципальной систем здравоохранения субъекта Российской Федерации III уровня оказания медицинской помощи, от которых зарегистрированы СЭМД в РЭМД ЕГИСЗ;</w:t>
            </w:r>
          </w:p>
          <w:p>
            <w:pPr>
              <w:pStyle w:val="0"/>
              <w:jc w:val="both"/>
            </w:pPr>
            <w:r>
              <w:rPr>
                <w:sz w:val="20"/>
              </w:rPr>
              <w:t xml:space="preserve">- проведена интеграция ГИС субъекта Российской Федерации с подсистемами "Федеральный регистр медицинских работников" и "Федеральный реестр медицинских организаций" ЕГИСЗ;</w:t>
            </w:r>
          </w:p>
          <w:p>
            <w:pPr>
              <w:pStyle w:val="0"/>
              <w:jc w:val="both"/>
            </w:pPr>
            <w:r>
              <w:rPr>
                <w:sz w:val="20"/>
              </w:rPr>
              <w:t xml:space="preserve">- доля государственных и муниципальных медицинских организаций, их структурных подразделений (включая ФАП и ФП, подключенных к сети Интернет) субъекта Российской Федерации и доля аптечных организаций субъекта Российской Федерации, участвующих в реализации программ льготного лекарственного обеспечения, подключенных к централизованной системе (подсистеме) "Управление льготным лекарственным обеспечением" субъекта Российской Федерации;</w:t>
            </w:r>
          </w:p>
          <w:p>
            <w:pPr>
              <w:pStyle w:val="0"/>
              <w:jc w:val="both"/>
            </w:pPr>
            <w:r>
              <w:rPr>
                <w:sz w:val="20"/>
              </w:rPr>
              <w:t xml:space="preserve">- в 2024 году применяются не менее трех медицинских изделий с технологией искусственного интеллекта в подсистемах государственной информационной системы в сфере здравоохранения субъекта Российской Федерации;</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(в том числе ФАП и ФП, подключенные к сети Интернет) Нижегородской области, участвующих в реализации программ льготного лекарственного обеспечения, подключенных к централизованной системе (подсистеме) "Управление льготным лекарственным обеспечением" ГИС Нижегородской области, %;</w:t>
            </w:r>
          </w:p>
          <w:p>
            <w:pPr>
              <w:pStyle w:val="0"/>
              <w:jc w:val="both"/>
            </w:pPr>
            <w:r>
              <w:rPr>
                <w:sz w:val="20"/>
              </w:rPr>
              <w:t xml:space="preserve">- доля отделений (станций и подстанций) медицинских организаций государственной и муниципальной систем здравоохранения субъекта Российской Федерации, обеспечивающих оказание скорой медицинской помощи, подключенных к централизованной системе (подсистеме) "Управление системой оказания скорой медицинской помощи и медицинской эвакуацией (в том числе санитарно-авиационной) в повседневном режиме и в режиме чрезвычайной ситуации" государственной информационной системы в сфере здравоохранения субъекта Российской Федерации;</w:t>
            </w:r>
          </w:p>
          <w:p>
            <w:pPr>
              <w:pStyle w:val="0"/>
              <w:jc w:val="both"/>
            </w:pPr>
            <w:r>
              <w:rPr>
                <w:sz w:val="20"/>
              </w:rPr>
              <w:t xml:space="preserve">- доля аптечных организаций Нижегородской области, обеспечивающих электронное информационное взаимодействие с медицинскими организациями при обслуживании рецептов, оформленных в форме электронного документа с использованием УКЭП медицинского работника;</w:t>
            </w:r>
          </w:p>
          <w:p>
            <w:pPr>
              <w:pStyle w:val="0"/>
              <w:jc w:val="both"/>
            </w:pPr>
            <w:r>
              <w:rPr>
                <w:sz w:val="20"/>
              </w:rPr>
              <w:t xml:space="preserve">- доля территориально выделенных структурных подразделений медицинских организаций государственной и муниципальной систем здравоохранения Нижегородской области, подключенных к централизованной системе (подсистеме) "Центральный архив медицинских изображений" ГИС Нижегородской области, %;</w:t>
            </w:r>
          </w:p>
          <w:p>
            <w:pPr>
              <w:pStyle w:val="0"/>
              <w:jc w:val="both"/>
            </w:pPr>
            <w:r>
              <w:rPr>
                <w:sz w:val="20"/>
              </w:rPr>
              <w:t xml:space="preserve">- доля отделений (станций и подстанций) медицинских организаций государственной и муниципальной систем здравоохранения субъекта Российской Федерации, обеспечивающих оказание скорой медицинской помощи, подключенных к централизованной системе (подсистеме) "Управление системой оказания скорой медицинской помощи и медицинской эвакуацией (в том числе санитарно-авиационной) в повседневном режиме и в режиме чрезвычайной ситуации" государственной информационной системы в сфере здравоохранения субъекта Российской Федерации;</w:t>
            </w:r>
          </w:p>
          <w:p>
            <w:pPr>
              <w:pStyle w:val="0"/>
              <w:jc w:val="both"/>
            </w:pPr>
            <w:r>
              <w:rPr>
                <w:sz w:val="20"/>
              </w:rPr>
              <w:t xml:space="preserve">- количество пролеченных иностранных граждан;</w:t>
            </w:r>
          </w:p>
          <w:p>
            <w:pPr>
              <w:pStyle w:val="0"/>
              <w:jc w:val="both"/>
            </w:pPr>
            <w:r>
              <w:rPr>
                <w:sz w:val="20"/>
              </w:rPr>
              <w:t xml:space="preserve">- увеличение объема экспорта медицинских услуг не менее чем в четыре раза по сравнению с 2017 годом (до 1 млрд долларов США в год);</w:t>
            </w:r>
          </w:p>
          <w:p>
            <w:pPr>
              <w:pStyle w:val="0"/>
              <w:jc w:val="both"/>
            </w:pPr>
            <w:r>
              <w:rPr>
                <w:sz w:val="20"/>
              </w:rPr>
              <w:t xml:space="preserve">- потребление алкогольной продукции на душу населения (в литрах этанола);</w:t>
            </w:r>
          </w:p>
          <w:p>
            <w:pPr>
              <w:pStyle w:val="0"/>
              <w:jc w:val="both"/>
            </w:pPr>
            <w:r>
              <w:rPr>
                <w:sz w:val="20"/>
              </w:rPr>
              <w:t xml:space="preserve">- розничные продажи алкогольной продукции на душу населения (в литрах этанола);</w:t>
            </w:r>
          </w:p>
          <w:p>
            <w:pPr>
              <w:pStyle w:val="0"/>
              <w:jc w:val="both"/>
            </w:pPr>
            <w:r>
              <w:rPr>
                <w:sz w:val="20"/>
              </w:rPr>
              <w:t xml:space="preserve">- темпы прироста первичной заболеваемости ожирением;</w:t>
            </w:r>
          </w:p>
          <w:p>
            <w:pPr>
              <w:pStyle w:val="0"/>
              <w:jc w:val="both"/>
            </w:pPr>
            <w:r>
              <w:rPr>
                <w:sz w:val="20"/>
              </w:rPr>
              <w:t xml:space="preserve">- смертность населения от всех причин смерти, на 1000 населения;</w:t>
            </w:r>
          </w:p>
          <w:p>
            <w:pPr>
              <w:pStyle w:val="0"/>
              <w:jc w:val="both"/>
            </w:pPr>
            <w:r>
              <w:rPr>
                <w:sz w:val="20"/>
              </w:rPr>
              <w:t xml:space="preserve">- младенческая смертность;</w:t>
            </w:r>
          </w:p>
          <w:p>
            <w:pPr>
              <w:pStyle w:val="0"/>
              <w:jc w:val="both"/>
            </w:pPr>
            <w:r>
              <w:rPr>
                <w:sz w:val="20"/>
              </w:rPr>
              <w:t xml:space="preserve">- смертность детей в возрасте 0 - 4 года на 1000 родившихся живыми (промилле (0,1 процента));</w:t>
            </w:r>
          </w:p>
          <w:p>
            <w:pPr>
              <w:pStyle w:val="0"/>
              <w:jc w:val="both"/>
            </w:pPr>
            <w:r>
              <w:rPr>
                <w:sz w:val="20"/>
              </w:rPr>
              <w:t xml:space="preserve">- смертность детей в возрасте 0 - 17 лет на 100 тыс. детей соответствующего возраста (число случаев на 100 тыс. детей соответствующего возраста);</w:t>
            </w:r>
          </w:p>
          <w:p>
            <w:pPr>
              <w:pStyle w:val="0"/>
              <w:jc w:val="both"/>
            </w:pPr>
            <w:r>
              <w:rPr>
                <w:sz w:val="20"/>
              </w:rPr>
              <w:t xml:space="preserve">- смертность населения от новообразований, на 100 тыс. населения;</w:t>
            </w:r>
          </w:p>
          <w:p>
            <w:pPr>
              <w:pStyle w:val="0"/>
              <w:jc w:val="both"/>
            </w:pPr>
            <w:r>
              <w:rPr>
                <w:sz w:val="20"/>
              </w:rPr>
              <w:t xml:space="preserve">- доля злокачественных новообразований, выявленных на ранних стадиях (I - II стадии);</w:t>
            </w:r>
          </w:p>
          <w:p>
            <w:pPr>
              <w:pStyle w:val="0"/>
              <w:jc w:val="both"/>
            </w:pPr>
            <w:r>
              <w:rPr>
                <w:sz w:val="20"/>
              </w:rPr>
              <w:t xml:space="preserve">- удельный вес больных со злокачественными новообразованиями, состоящих на учете 5 лет и более из общего числа больных со злокачественными образованиями, состоящих под диспансерным наблюдением, %;</w:t>
            </w:r>
          </w:p>
          <w:p>
            <w:pPr>
              <w:pStyle w:val="0"/>
              <w:jc w:val="both"/>
            </w:pPr>
            <w:r>
              <w:rPr>
                <w:sz w:val="20"/>
              </w:rPr>
              <w:t xml:space="preserve">- одногодичная летальность больных со злокачественными новообразованиями (умерли в течение первого года с момента установления диагноза из числа больных, впервые взятых под диспансерное наблюдение в предыдущем году), %;</w:t>
            </w:r>
          </w:p>
          <w:p>
            <w:pPr>
              <w:pStyle w:val="0"/>
              <w:jc w:val="both"/>
            </w:pPr>
            <w:r>
              <w:rPr>
                <w:sz w:val="20"/>
              </w:rPr>
              <w:t xml:space="preserve">- смертность населения от болезней системы кровообращения, на 100 тыс. населения;</w:t>
            </w:r>
          </w:p>
          <w:p>
            <w:pPr>
              <w:pStyle w:val="0"/>
              <w:jc w:val="both"/>
            </w:pPr>
            <w:r>
              <w:rPr>
                <w:sz w:val="20"/>
              </w:rPr>
              <w:t xml:space="preserve">- больничная летальность от инфаркта миокарда, %;</w:t>
            </w:r>
          </w:p>
          <w:p>
            <w:pPr>
              <w:pStyle w:val="0"/>
              <w:jc w:val="both"/>
            </w:pPr>
            <w:r>
              <w:rPr>
                <w:sz w:val="20"/>
              </w:rPr>
              <w:t xml:space="preserve">- больничная летальность от острого нарушения мозгового кровообращения, %;</w:t>
            </w:r>
          </w:p>
          <w:p>
            <w:pPr>
              <w:pStyle w:val="0"/>
              <w:jc w:val="both"/>
            </w:pPr>
            <w:r>
              <w:rPr>
                <w:sz w:val="20"/>
              </w:rPr>
              <w:t xml:space="preserve">- количество рентгенэндоваскулярных вмешательств в лечебных целях, тыс. ед.;</w:t>
            </w:r>
          </w:p>
          <w:p>
            <w:pPr>
              <w:pStyle w:val="0"/>
              <w:jc w:val="both"/>
            </w:pPr>
            <w:r>
              <w:rPr>
                <w:sz w:val="20"/>
              </w:rPr>
              <w:t xml:space="preserve">- летальность больных с болезнями системы кровообращения среди лиц с болезнями системы кровообращения, состоящих под диспансерным наблюдением (умершие от БСК/число лиц с БСК, состоящих под диспансерным наблюдением), %;</w:t>
            </w:r>
          </w:p>
          <w:p>
            <w:pPr>
              <w:pStyle w:val="0"/>
              <w:jc w:val="both"/>
            </w:pPr>
            <w:r>
              <w:rPr>
                <w:sz w:val="20"/>
              </w:rPr>
              <w:t xml:space="preserve">- оценка общественного мнения по удовлетворенности населения медицинской помощью;</w:t>
            </w:r>
          </w:p>
          <w:p>
            <w:pPr>
              <w:pStyle w:val="0"/>
              <w:jc w:val="both"/>
            </w:pPr>
            <w:r>
              <w:rPr>
                <w:sz w:val="20"/>
              </w:rPr>
              <w:t xml:space="preserve">- доля зданий медицинских организаций, оказывающих первичную медико-санитарную помощь, находящихся в аварийном состоянии, требующих сноса, реконструкции и капитального ремонта, %;</w:t>
            </w:r>
          </w:p>
          <w:p>
            <w:pPr>
              <w:pStyle w:val="0"/>
              <w:jc w:val="both"/>
            </w:pPr>
            <w:r>
              <w:rPr>
                <w:sz w:val="20"/>
              </w:rPr>
              <w:t xml:space="preserve">- доля оборудования в подразделениях, оказывающих медицинскую помощь в амбулаторных условиях, со сроком эксплуатации свыше 10 лет от общего числа данного вида оборудования, %;</w:t>
            </w:r>
          </w:p>
          <w:p>
            <w:pPr>
              <w:pStyle w:val="0"/>
              <w:jc w:val="both"/>
            </w:pPr>
            <w:r>
              <w:rPr>
                <w:sz w:val="20"/>
              </w:rPr>
              <w:t xml:space="preserve">- число посещений сельскими жителями медицинских организаций на 1 сельского жителя в год, условная единица;</w:t>
            </w:r>
          </w:p>
          <w:p>
            <w:pPr>
              <w:pStyle w:val="0"/>
              <w:jc w:val="both"/>
            </w:pPr>
            <w:r>
              <w:rPr>
                <w:sz w:val="20"/>
              </w:rPr>
              <w:t xml:space="preserve">- доля лиц с болезнями системы кровообращения, состоящих под диспансерным наблюдением, получивших в текущем году медицинские услуги в рамках диспансерного наблюдения от всех пациентов с болезнями системы кровообращения, состоящих под диспансерным наблюдением;</w:t>
            </w:r>
          </w:p>
          <w:p>
            <w:pPr>
              <w:pStyle w:val="0"/>
              <w:jc w:val="both"/>
            </w:pPr>
            <w:r>
              <w:rPr>
                <w:sz w:val="20"/>
              </w:rPr>
              <w:t xml:space="preserve">- доля лиц, которые перенесли острое нарушение мозгового кровообращения, инфаркт миокарда, а также которым были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бесплатно получавших в отчетном году необходимые лекарственные препараты в амбулаторных условиях;</w:t>
            </w:r>
          </w:p>
          <w:p>
            <w:pPr>
              <w:pStyle w:val="0"/>
              <w:jc w:val="both"/>
            </w:pPr>
            <w:r>
              <w:rPr>
                <w:sz w:val="20"/>
              </w:rPr>
              <w:t xml:space="preserve">- доля лиц с онкологическими заболеваниями, прошедших обследование и/или лечение в текущем году из числа состоящих под диспансерным наблюдением</w:t>
            </w:r>
          </w:p>
        </w:tc>
        <w:tc>
          <w:tcPr>
            <w:tcW w:w="1814" w:type="dxa"/>
            <w:tcBorders>
              <w:top w:val="nil"/>
            </w:tcBorders>
          </w:tcPr>
          <w:p>
            <w:pPr>
              <w:pStyle w:val="0"/>
            </w:pPr>
            <w:r>
              <w:rPr>
                <w:sz w:val="20"/>
              </w:rPr>
            </w:r>
          </w:p>
        </w:tc>
      </w:tr>
      <w:tr>
        <w:tc>
          <w:tcPr>
            <w:tcW w:w="567" w:type="dxa"/>
          </w:tcPr>
          <w:p>
            <w:pPr>
              <w:pStyle w:val="0"/>
              <w:jc w:val="both"/>
            </w:pPr>
            <w:r>
              <w:rPr>
                <w:sz w:val="20"/>
              </w:rPr>
              <w:t xml:space="preserve">27</w:t>
            </w:r>
          </w:p>
        </w:tc>
        <w:tc>
          <w:tcPr>
            <w:tcW w:w="2324" w:type="dxa"/>
          </w:tcPr>
          <w:p>
            <w:pPr>
              <w:pStyle w:val="0"/>
              <w:jc w:val="both"/>
            </w:pPr>
            <w:r>
              <w:rPr>
                <w:sz w:val="20"/>
              </w:rPr>
              <w:t xml:space="preserve">Государственная </w:t>
            </w:r>
            <w:hyperlink w:history="0" r:id="rId62" w:tooltip="Постановление Правительства Нижегородской области от 30.04.2014 N 299 (ред. от 19.08.2024) &quot;Об утверждении государственной программы Нижегородской области &quot;Развитие культуры Нижегородской области&quot; ------------ Недействующая редакция {КонсультантПлюс}">
              <w:r>
                <w:rPr>
                  <w:sz w:val="20"/>
                  <w:color w:val="0000ff"/>
                </w:rPr>
                <w:t xml:space="preserve">программа</w:t>
              </w:r>
            </w:hyperlink>
            <w:r>
              <w:rPr>
                <w:sz w:val="20"/>
              </w:rPr>
              <w:t xml:space="preserve"> "Развитие культуры Нижегородской области", утвержденная постановлением Правительства Нижегородской области от 30 апреля 2014 г. N 299</w:t>
            </w:r>
          </w:p>
        </w:tc>
        <w:tc>
          <w:tcPr>
            <w:tcW w:w="2324" w:type="dxa"/>
          </w:tcPr>
          <w:p>
            <w:pPr>
              <w:pStyle w:val="0"/>
              <w:jc w:val="both"/>
            </w:pPr>
            <w:r>
              <w:rPr>
                <w:sz w:val="20"/>
              </w:rPr>
              <w:t xml:space="preserve">1. Увеличение числа посещений культурных мероприятий до 92,23 млн единиц в год к концу 2030 года.</w:t>
            </w:r>
          </w:p>
          <w:p>
            <w:pPr>
              <w:pStyle w:val="0"/>
              <w:jc w:val="both"/>
            </w:pPr>
            <w:r>
              <w:rPr>
                <w:sz w:val="20"/>
              </w:rPr>
              <w:t xml:space="preserve">2. Повышение вовлеченности граждан в деятельность в сфере культуры.</w:t>
            </w:r>
          </w:p>
          <w:p>
            <w:pPr>
              <w:pStyle w:val="0"/>
              <w:jc w:val="both"/>
            </w:pPr>
            <w:r>
              <w:rPr>
                <w:sz w:val="20"/>
              </w:rPr>
              <w:t xml:space="preserve">3. Повышение уровня развития инфраструктуры в сфере культуры</w:t>
            </w:r>
          </w:p>
        </w:tc>
        <w:tc>
          <w:tcPr>
            <w:tcW w:w="1984" w:type="dxa"/>
          </w:tcPr>
          <w:p>
            <w:pPr>
              <w:pStyle w:val="0"/>
              <w:jc w:val="both"/>
            </w:pPr>
            <w:r>
              <w:rPr>
                <w:sz w:val="20"/>
              </w:rPr>
              <w:t xml:space="preserve">1. "Развитие деятельности организаций культуры".</w:t>
            </w:r>
          </w:p>
          <w:p>
            <w:pPr>
              <w:pStyle w:val="0"/>
              <w:jc w:val="both"/>
            </w:pPr>
            <w:r>
              <w:rPr>
                <w:sz w:val="20"/>
              </w:rPr>
              <w:t xml:space="preserve">2. "Вовлечение граждан в деятельность в сфере культуры".</w:t>
            </w:r>
          </w:p>
          <w:p>
            <w:pPr>
              <w:pStyle w:val="0"/>
              <w:jc w:val="both"/>
            </w:pPr>
            <w:r>
              <w:rPr>
                <w:sz w:val="20"/>
              </w:rPr>
              <w:t xml:space="preserve">3. "Развитие культурной инфраструктуры".</w:t>
            </w:r>
          </w:p>
          <w:p>
            <w:pPr>
              <w:pStyle w:val="0"/>
              <w:jc w:val="both"/>
            </w:pPr>
            <w:r>
              <w:rPr>
                <w:sz w:val="20"/>
              </w:rPr>
              <w:t xml:space="preserve">4. "Обеспечение реализации государственной программы"</w:t>
            </w:r>
          </w:p>
        </w:tc>
        <w:tc>
          <w:tcPr>
            <w:tcW w:w="3458" w:type="dxa"/>
          </w:tcPr>
          <w:p>
            <w:pPr>
              <w:pStyle w:val="0"/>
              <w:jc w:val="both"/>
            </w:pPr>
            <w:r>
              <w:rPr>
                <w:sz w:val="20"/>
              </w:rPr>
              <w:t xml:space="preserve">1. Фонды библиотек муниципальных образований и государственных общедоступных библиотек субъектов Российской Федерации получают ежегодно 30000 книг.</w:t>
            </w:r>
          </w:p>
          <w:p>
            <w:pPr>
              <w:pStyle w:val="0"/>
              <w:jc w:val="both"/>
            </w:pPr>
            <w:r>
              <w:rPr>
                <w:sz w:val="20"/>
              </w:rPr>
              <w:t xml:space="preserve">2. Создание и показ новых постановок и (или) укрепление материально-технической базы профессиональных репертуарных театров и учреждений культурно-досугового типа.</w:t>
            </w:r>
          </w:p>
          <w:p>
            <w:pPr>
              <w:pStyle w:val="0"/>
              <w:jc w:val="both"/>
            </w:pPr>
            <w:r>
              <w:rPr>
                <w:sz w:val="20"/>
              </w:rPr>
              <w:t xml:space="preserve">3. Обеспечение развития и укрепления материально-технической базы не менее 48 муниципальных учреждений культурно-досугового типа ежегодно (МДК).</w:t>
            </w:r>
          </w:p>
          <w:p>
            <w:pPr>
              <w:pStyle w:val="0"/>
              <w:jc w:val="both"/>
            </w:pPr>
            <w:r>
              <w:rPr>
                <w:sz w:val="20"/>
              </w:rPr>
              <w:t xml:space="preserve">4. Граждане получают дополнительные возможности для творческого развития и самореализации в современных учреждениях культуры, а также более широкий доступ к культурным ценностям.</w:t>
            </w:r>
          </w:p>
          <w:p>
            <w:pPr>
              <w:pStyle w:val="0"/>
              <w:jc w:val="both"/>
            </w:pPr>
            <w:r>
              <w:rPr>
                <w:sz w:val="20"/>
              </w:rPr>
              <w:t xml:space="preserve">5. Реализация программы реставрации и реэкспозиции мемориальных пушкинских музеев и музеев-заповедников.</w:t>
            </w:r>
          </w:p>
          <w:p>
            <w:pPr>
              <w:pStyle w:val="0"/>
              <w:jc w:val="both"/>
            </w:pPr>
            <w:r>
              <w:rPr>
                <w:sz w:val="20"/>
              </w:rPr>
              <w:t xml:space="preserve">6. Создание условий для развития библиотечного дела. Увеличение числа посещений государственных библиотек (в стационарных условиях, во внестационарных условиях, удаленно через сеть Интернет) до 0,8 млн в год к концу 2025 года.</w:t>
            </w:r>
          </w:p>
          <w:p>
            <w:pPr>
              <w:pStyle w:val="0"/>
              <w:jc w:val="both"/>
            </w:pPr>
            <w:r>
              <w:rPr>
                <w:sz w:val="20"/>
              </w:rPr>
              <w:t xml:space="preserve">7. Создание условий для развития музейного и выставочного дела. Увеличение числа посещений государственных музеев до 1,5 млн в год к концу 2025 года (без НГХМ).</w:t>
            </w:r>
          </w:p>
          <w:p>
            <w:pPr>
              <w:pStyle w:val="0"/>
              <w:jc w:val="both"/>
            </w:pPr>
            <w:r>
              <w:rPr>
                <w:sz w:val="20"/>
              </w:rPr>
              <w:t xml:space="preserve">8. Создание условий для развития искусства. Увеличение числа посещений государственных театрально-концертных учреждений Нижегородской области до 739936 чел. к концу 2030 год (театры, оркестры, филармония).</w:t>
            </w:r>
          </w:p>
          <w:p>
            <w:pPr>
              <w:pStyle w:val="0"/>
              <w:jc w:val="both"/>
            </w:pPr>
            <w:r>
              <w:rPr>
                <w:sz w:val="20"/>
              </w:rPr>
              <w:t xml:space="preserve">9. Создание условий и обеспечение подготовки и переподготовки кадров для организаций культуры не менее 2305 чел. ежегодно.</w:t>
            </w:r>
          </w:p>
          <w:p>
            <w:pPr>
              <w:pStyle w:val="0"/>
              <w:jc w:val="both"/>
            </w:pPr>
            <w:r>
              <w:rPr>
                <w:sz w:val="20"/>
              </w:rPr>
              <w:t xml:space="preserve">10. Организация и проведение ежегодно не менее 8 мероприятий государственных центров народного творчества.</w:t>
            </w:r>
          </w:p>
          <w:p>
            <w:pPr>
              <w:pStyle w:val="0"/>
              <w:jc w:val="both"/>
            </w:pPr>
            <w:r>
              <w:rPr>
                <w:sz w:val="20"/>
              </w:rPr>
              <w:t xml:space="preserve">11. Ежегодная грантовая поддержка государственных театрально-концертных учреждений Нижегородской области для организации гастрольной деятельности.</w:t>
            </w:r>
          </w:p>
          <w:p>
            <w:pPr>
              <w:pStyle w:val="0"/>
              <w:jc w:val="both"/>
            </w:pPr>
            <w:r>
              <w:rPr>
                <w:sz w:val="20"/>
              </w:rPr>
              <w:t xml:space="preserve">12. Внедрены новые форматы образования в сфере творчества, интеллектуальной собственности, предпринимательства.</w:t>
            </w:r>
          </w:p>
          <w:p>
            <w:pPr>
              <w:pStyle w:val="0"/>
              <w:jc w:val="both"/>
            </w:pPr>
            <w:r>
              <w:rPr>
                <w:sz w:val="20"/>
              </w:rPr>
              <w:t xml:space="preserve">13. Граждане получают возможность поддержки творческих инициатив, направленных на укрепление российской гражданской идентичности и сохранение духовно-нравственных ценностей народов Российской Федерации.</w:t>
            </w:r>
          </w:p>
          <w:p>
            <w:pPr>
              <w:pStyle w:val="0"/>
              <w:jc w:val="both"/>
            </w:pPr>
            <w:r>
              <w:rPr>
                <w:sz w:val="20"/>
              </w:rPr>
              <w:t xml:space="preserve">14. Граждане получают дополнительную поддержку со стороны государства в развитии добровольческой (волонтерской) деятельности, что позволяет реализовывать социально значимые проекты в сфере культуры и сохранения объектов культурного наследия (памятников истории и культуры) народов Российской Федерации.</w:t>
            </w:r>
          </w:p>
          <w:p>
            <w:pPr>
              <w:pStyle w:val="0"/>
              <w:jc w:val="both"/>
            </w:pPr>
            <w:r>
              <w:rPr>
                <w:sz w:val="20"/>
              </w:rPr>
              <w:t xml:space="preserve">15. Поддержка производства до 2030 года не менее 7 национальных фильмов и не менее 7 иных аудиовизуальных произведений.</w:t>
            </w:r>
          </w:p>
          <w:p>
            <w:pPr>
              <w:pStyle w:val="0"/>
              <w:jc w:val="both"/>
            </w:pPr>
            <w:r>
              <w:rPr>
                <w:sz w:val="20"/>
              </w:rPr>
              <w:t xml:space="preserve">16. Поддержка некоммерческих организаций в сфере культуры с целью развития общественных инициатив, реализующих культурные проекты как внутри, так и за пределами региона.</w:t>
            </w:r>
          </w:p>
          <w:p>
            <w:pPr>
              <w:pStyle w:val="0"/>
              <w:jc w:val="both"/>
            </w:pPr>
            <w:r>
              <w:rPr>
                <w:sz w:val="20"/>
              </w:rPr>
              <w:t xml:space="preserve">17. Поощрение учреждений культуры, обеспечивших в муниципальных образованиях Нижегородской области максимальные совокупные объемы продаж в рамках реализации мероприятий программы "Пушкинская карта".</w:t>
            </w:r>
          </w:p>
          <w:p>
            <w:pPr>
              <w:pStyle w:val="0"/>
              <w:jc w:val="both"/>
            </w:pPr>
            <w:r>
              <w:rPr>
                <w:sz w:val="20"/>
              </w:rPr>
              <w:t xml:space="preserve">18. Поддержка некоммерческих организаций в сфере культуры с целью реализации мероприятий по сохранению и укреплению духовно-нравственных ценностей.</w:t>
            </w:r>
          </w:p>
          <w:p>
            <w:pPr>
              <w:pStyle w:val="0"/>
              <w:jc w:val="both"/>
            </w:pPr>
            <w:r>
              <w:rPr>
                <w:sz w:val="20"/>
              </w:rPr>
              <w:t xml:space="preserve">19. Обеспечение поддержки деятелей культуры Нижегородской области, художественных коллективов, членов творческих союзов, стимулирование обучающихся в профессиональных образовательных организациях и образовательных организациях дополнительного образования сферы культуры и искусства.</w:t>
            </w:r>
          </w:p>
          <w:p>
            <w:pPr>
              <w:pStyle w:val="0"/>
              <w:jc w:val="both"/>
            </w:pPr>
            <w:r>
              <w:rPr>
                <w:sz w:val="20"/>
              </w:rPr>
              <w:t xml:space="preserve">20. Увеличение числа посещений государственных учреждений клубного типа до 36500 человек за год к концу 2030 года.</w:t>
            </w:r>
          </w:p>
          <w:p>
            <w:pPr>
              <w:pStyle w:val="0"/>
              <w:jc w:val="both"/>
            </w:pPr>
            <w:r>
              <w:rPr>
                <w:sz w:val="20"/>
              </w:rPr>
              <w:t xml:space="preserve">21. Обеспечено проведение общественно значимых мероприятий в сфере культуры и образования.</w:t>
            </w:r>
          </w:p>
          <w:p>
            <w:pPr>
              <w:pStyle w:val="0"/>
              <w:jc w:val="both"/>
            </w:pPr>
            <w:r>
              <w:rPr>
                <w:sz w:val="20"/>
              </w:rPr>
              <w:t xml:space="preserve">22. Строительство, реконструкция, проектно-изыскательские работы и разработка проектно-сметной документации объектов капитального строительства муниципальной собственности.</w:t>
            </w:r>
          </w:p>
          <w:p>
            <w:pPr>
              <w:pStyle w:val="0"/>
              <w:jc w:val="both"/>
            </w:pPr>
            <w:r>
              <w:rPr>
                <w:sz w:val="20"/>
              </w:rPr>
              <w:t xml:space="preserve">23. Строительство, реконструкция, проектно-изыскательские работы и разработка проектно-сметной документации объектов капитального строительства государственной собственности.</w:t>
            </w:r>
          </w:p>
          <w:p>
            <w:pPr>
              <w:pStyle w:val="0"/>
              <w:jc w:val="both"/>
            </w:pPr>
            <w:r>
              <w:rPr>
                <w:sz w:val="20"/>
              </w:rPr>
              <w:t xml:space="preserve">24. Проведен капитальный ремонт в государственных учреждениях культуры.</w:t>
            </w:r>
          </w:p>
          <w:p>
            <w:pPr>
              <w:pStyle w:val="0"/>
              <w:jc w:val="both"/>
            </w:pPr>
            <w:r>
              <w:rPr>
                <w:sz w:val="20"/>
              </w:rPr>
              <w:t xml:space="preserve">25. Проведены противопожарные мероприятия в государственных учреждениях культуры.</w:t>
            </w:r>
          </w:p>
          <w:p>
            <w:pPr>
              <w:pStyle w:val="0"/>
              <w:jc w:val="both"/>
            </w:pPr>
            <w:r>
              <w:rPr>
                <w:sz w:val="20"/>
              </w:rPr>
              <w:t xml:space="preserve">26. Проведены мероприятия по благоустройству территорий, прилегающих к государственным учреждениям культуры.</w:t>
            </w:r>
          </w:p>
          <w:p>
            <w:pPr>
              <w:pStyle w:val="0"/>
              <w:jc w:val="both"/>
            </w:pPr>
            <w:r>
              <w:rPr>
                <w:sz w:val="20"/>
              </w:rPr>
              <w:t xml:space="preserve">27. Реализация плана мероприятий по подготовке и проведению празднования</w:t>
            </w:r>
          </w:p>
          <w:p>
            <w:pPr>
              <w:pStyle w:val="0"/>
              <w:jc w:val="both"/>
            </w:pPr>
            <w:r>
              <w:rPr>
                <w:sz w:val="20"/>
              </w:rPr>
              <w:t xml:space="preserve">в 2024 году 225-летия со дня рождения А.С. Пушкина</w:t>
            </w:r>
          </w:p>
        </w:tc>
        <w:tc>
          <w:tcPr>
            <w:tcW w:w="3175" w:type="dxa"/>
          </w:tcPr>
          <w:p>
            <w:pPr>
              <w:pStyle w:val="0"/>
              <w:jc w:val="both"/>
            </w:pPr>
            <w:r>
              <w:rPr>
                <w:sz w:val="20"/>
              </w:rPr>
              <w:t xml:space="preserve">- число посещений культурных мероприятий;</w:t>
            </w:r>
          </w:p>
          <w:p>
            <w:pPr>
              <w:pStyle w:val="0"/>
              <w:jc w:val="both"/>
            </w:pPr>
            <w:r>
              <w:rPr>
                <w:sz w:val="20"/>
              </w:rPr>
              <w:t xml:space="preserve">- количество новых книг, поступивших в фонды библиотек муниципальных образований и государственных общедоступных библиотек субъектов Российской Федерации;</w:t>
            </w:r>
          </w:p>
          <w:p>
            <w:pPr>
              <w:pStyle w:val="0"/>
              <w:jc w:val="both"/>
            </w:pPr>
            <w:r>
              <w:rPr>
                <w:sz w:val="20"/>
              </w:rPr>
              <w:t xml:space="preserve">- доля региональных и муниципальных театров, учреждений культурно-досугового типа, в которых созданы новые постановки и (или) обеспечено развитие и укрепление материально-технической базы и создание новых постановок, по отношению к запланированной к 2030 году;</w:t>
            </w:r>
          </w:p>
          <w:p>
            <w:pPr>
              <w:pStyle w:val="0"/>
              <w:jc w:val="both"/>
            </w:pPr>
            <w:r>
              <w:rPr>
                <w:sz w:val="20"/>
              </w:rPr>
              <w:t xml:space="preserve">- количество региональных и муниципальных театров, учреждений культурно-досугового типа, в которых созданы новые постановки и (или) обеспечено развитие и укрепление материально-технической базы;</w:t>
            </w:r>
          </w:p>
          <w:p>
            <w:pPr>
              <w:pStyle w:val="0"/>
              <w:jc w:val="both"/>
            </w:pPr>
            <w:r>
              <w:rPr>
                <w:sz w:val="20"/>
              </w:rPr>
              <w:t xml:space="preserve">- 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pPr>
              <w:pStyle w:val="0"/>
              <w:jc w:val="both"/>
            </w:pPr>
            <w:r>
              <w:rPr>
                <w:sz w:val="20"/>
              </w:rPr>
              <w:t xml:space="preserve">- количество поддержанных творческих инициатив и проектов;</w:t>
            </w:r>
          </w:p>
          <w:p>
            <w:pPr>
              <w:pStyle w:val="0"/>
              <w:jc w:val="both"/>
            </w:pPr>
            <w:r>
              <w:rPr>
                <w:sz w:val="20"/>
              </w:rPr>
              <w:t xml:space="preserve">- количество специалистов сферы культуры, повысивших квалификацию на базе Центров непрерывного образования и повышения квалификации творческих и управленческих кадров в сфере культуры;</w:t>
            </w:r>
          </w:p>
          <w:p>
            <w:pPr>
              <w:pStyle w:val="0"/>
              <w:jc w:val="both"/>
            </w:pPr>
            <w:r>
              <w:rPr>
                <w:sz w:val="20"/>
              </w:rPr>
              <w:t xml:space="preserve">- количество граждан, принимающих участие в добровольческой деятельности;</w:t>
            </w:r>
          </w:p>
          <w:p>
            <w:pPr>
              <w:pStyle w:val="0"/>
              <w:jc w:val="both"/>
            </w:pPr>
            <w:r>
              <w:rPr>
                <w:sz w:val="20"/>
              </w:rPr>
              <w:t xml:space="preserve">- уровень обеспеченности субъектов Российской Федерации организациями культуры;</w:t>
            </w:r>
          </w:p>
          <w:p>
            <w:pPr>
              <w:pStyle w:val="0"/>
              <w:jc w:val="both"/>
            </w:pPr>
            <w:r>
              <w:rPr>
                <w:sz w:val="20"/>
              </w:rPr>
              <w:t xml:space="preserve">- доля зданий учреждений культуры, находящихся в удовлетворительном состоянии, в общем количестве зданий данных учреждений;</w:t>
            </w:r>
          </w:p>
          <w:p>
            <w:pPr>
              <w:pStyle w:val="0"/>
              <w:jc w:val="both"/>
            </w:pPr>
            <w:r>
              <w:rPr>
                <w:sz w:val="20"/>
              </w:rPr>
              <w:t xml:space="preserve">- количество созданных (реконструированных) и капитально отремонтированных объектов организаций культуры;</w:t>
            </w:r>
          </w:p>
          <w:p>
            <w:pPr>
              <w:pStyle w:val="0"/>
              <w:jc w:val="both"/>
            </w:pPr>
            <w:r>
              <w:rPr>
                <w:sz w:val="20"/>
              </w:rPr>
              <w:t xml:space="preserve">- количество организаций культуры, получивших современное оборудование;</w:t>
            </w:r>
          </w:p>
          <w:p>
            <w:pPr>
              <w:pStyle w:val="0"/>
              <w:jc w:val="both"/>
            </w:pPr>
            <w:r>
              <w:rPr>
                <w:sz w:val="20"/>
              </w:rPr>
              <w:t xml:space="preserve">- доля готовности объектов культуры, в отношении которых запланированы работы по созданию (реконструкции);</w:t>
            </w:r>
          </w:p>
          <w:p>
            <w:pPr>
              <w:pStyle w:val="0"/>
              <w:jc w:val="both"/>
            </w:pPr>
            <w:r>
              <w:rPr>
                <w:sz w:val="20"/>
              </w:rPr>
              <w:t xml:space="preserve">- степень готовности Пушкинских музеев к празднованию 225-летия А.С. Пушкина (нарастающим итогом)</w:t>
            </w:r>
          </w:p>
        </w:tc>
        <w:tc>
          <w:tcPr>
            <w:tcW w:w="1814" w:type="dxa"/>
          </w:tcPr>
          <w:p>
            <w:pPr>
              <w:pStyle w:val="0"/>
              <w:jc w:val="both"/>
            </w:pPr>
            <w:r>
              <w:rPr>
                <w:sz w:val="20"/>
              </w:rPr>
              <w:t xml:space="preserve">Национальная цель "Возможности для самореализации и развития талантов"/Государственная программа Российской Федерации "Развитие культуры"</w:t>
            </w:r>
          </w:p>
        </w:tc>
      </w:tr>
      <w:tr>
        <w:tc>
          <w:tcPr>
            <w:tcW w:w="567" w:type="dxa"/>
          </w:tcPr>
          <w:p>
            <w:pPr>
              <w:pStyle w:val="0"/>
              <w:jc w:val="both"/>
            </w:pPr>
            <w:r>
              <w:rPr>
                <w:sz w:val="20"/>
              </w:rPr>
              <w:t xml:space="preserve">28</w:t>
            </w:r>
          </w:p>
        </w:tc>
        <w:tc>
          <w:tcPr>
            <w:tcW w:w="2324" w:type="dxa"/>
          </w:tcPr>
          <w:p>
            <w:pPr>
              <w:pStyle w:val="0"/>
              <w:jc w:val="both"/>
            </w:pPr>
            <w:r>
              <w:rPr>
                <w:sz w:val="20"/>
              </w:rPr>
              <w:t xml:space="preserve">Государственная </w:t>
            </w:r>
            <w:hyperlink w:history="0" r:id="rId63" w:tooltip="Постановление Правительства Нижегородской области от 30.04.2014 N 301 (ред. от 01.03.2024) &quot;Об утверждении государственной программы Нижегородской области &quot;Развитие образования Нижегородской области&quot; ------------ Недействующая редакция {КонсультантПлюс}">
              <w:r>
                <w:rPr>
                  <w:sz w:val="20"/>
                  <w:color w:val="0000ff"/>
                </w:rPr>
                <w:t xml:space="preserve">программа</w:t>
              </w:r>
            </w:hyperlink>
            <w:r>
              <w:rPr>
                <w:sz w:val="20"/>
              </w:rPr>
              <w:t xml:space="preserve"> "Развитие образования Нижегородской области", утвержденная постановлением Правительства Нижегородской области от 30 апреля 2014 г. N 301</w:t>
            </w:r>
          </w:p>
        </w:tc>
        <w:tc>
          <w:tcPr>
            <w:tcW w:w="2324" w:type="dxa"/>
          </w:tcPr>
          <w:p>
            <w:pPr>
              <w:pStyle w:val="0"/>
              <w:jc w:val="both"/>
            </w:pPr>
            <w:r>
              <w:rPr>
                <w:sz w:val="20"/>
              </w:rPr>
              <w:t xml:space="preserve">Формирование на территории Нижегородской области образовательной системы, обеспечивающей доступность качественного образования, отвечающего потребностям инновационного развития экономики региона, ожиданиям общества и каждого гражданина</w:t>
            </w:r>
          </w:p>
        </w:tc>
        <w:tc>
          <w:tcPr>
            <w:tcW w:w="1984" w:type="dxa"/>
          </w:tcPr>
          <w:p>
            <w:pPr>
              <w:pStyle w:val="0"/>
              <w:jc w:val="both"/>
            </w:pPr>
            <w:r>
              <w:rPr>
                <w:sz w:val="20"/>
              </w:rPr>
              <w:t xml:space="preserve">1. "Развитие общего образования".</w:t>
            </w:r>
          </w:p>
          <w:p>
            <w:pPr>
              <w:pStyle w:val="0"/>
              <w:jc w:val="both"/>
            </w:pPr>
            <w:r>
              <w:rPr>
                <w:sz w:val="20"/>
              </w:rPr>
              <w:t xml:space="preserve">2. "Развитие дополнительного образования и воспитания детей и молодежи".</w:t>
            </w:r>
          </w:p>
          <w:p>
            <w:pPr>
              <w:pStyle w:val="0"/>
              <w:jc w:val="both"/>
            </w:pPr>
            <w:r>
              <w:rPr>
                <w:sz w:val="20"/>
              </w:rPr>
              <w:t xml:space="preserve">3. "Развитие профессионального образования".</w:t>
            </w:r>
          </w:p>
          <w:p>
            <w:pPr>
              <w:pStyle w:val="0"/>
              <w:jc w:val="both"/>
            </w:pPr>
            <w:r>
              <w:rPr>
                <w:sz w:val="20"/>
              </w:rPr>
              <w:t xml:space="preserve">4. "Развитие системы оценки качества образования и информационной прозрачности системы образования".</w:t>
            </w:r>
          </w:p>
          <w:p>
            <w:pPr>
              <w:pStyle w:val="0"/>
              <w:jc w:val="both"/>
            </w:pPr>
            <w:r>
              <w:rPr>
                <w:sz w:val="20"/>
              </w:rPr>
              <w:t xml:space="preserve">5. "Ресурсное обеспечение сферы образования в Нижегородской области".</w:t>
            </w:r>
          </w:p>
          <w:p>
            <w:pPr>
              <w:pStyle w:val="0"/>
              <w:jc w:val="both"/>
            </w:pPr>
            <w:r>
              <w:rPr>
                <w:sz w:val="20"/>
              </w:rPr>
              <w:t xml:space="preserve">6. "Ликвидация очередности в дошкольных образовательных организациях Нижегородской области".</w:t>
            </w:r>
          </w:p>
          <w:p>
            <w:pPr>
              <w:pStyle w:val="0"/>
              <w:jc w:val="both"/>
            </w:pPr>
            <w:r>
              <w:rPr>
                <w:sz w:val="20"/>
              </w:rPr>
              <w:t xml:space="preserve">7. "Обеспечение реализации государственной программы".</w:t>
            </w:r>
          </w:p>
          <w:p>
            <w:pPr>
              <w:pStyle w:val="0"/>
              <w:jc w:val="both"/>
            </w:pPr>
            <w:r>
              <w:rPr>
                <w:sz w:val="20"/>
              </w:rPr>
              <w:t xml:space="preserve">8. "Развитие молодежной политики"</w:t>
            </w:r>
          </w:p>
        </w:tc>
        <w:tc>
          <w:tcPr>
            <w:tcW w:w="3458" w:type="dxa"/>
          </w:tcPr>
          <w:p>
            <w:pPr>
              <w:pStyle w:val="0"/>
              <w:jc w:val="both"/>
            </w:pPr>
            <w:r>
              <w:rPr>
                <w:sz w:val="20"/>
              </w:rPr>
              <w:t xml:space="preserve">1. Обеспечена возможность профессионального развития и обучения на протяжении всей профессиональной деятельности для педагогических работников.</w:t>
            </w:r>
          </w:p>
          <w:p>
            <w:pPr>
              <w:pStyle w:val="0"/>
              <w:jc w:val="both"/>
            </w:pPr>
            <w:r>
              <w:rPr>
                <w:sz w:val="20"/>
              </w:rPr>
              <w:t xml:space="preserve">2. Обеспечена возможность детям получать качественное общее образование в условиях, отвечающих современным требованиям, независимо от места проживания ребенка.</w:t>
            </w:r>
          </w:p>
          <w:p>
            <w:pPr>
              <w:pStyle w:val="0"/>
              <w:jc w:val="both"/>
            </w:pPr>
            <w:r>
              <w:rPr>
                <w:sz w:val="20"/>
              </w:rPr>
              <w:t xml:space="preserve">3. Обеспечено функционирование системы патриотического воспитания граждан Российской Федерации.</w:t>
            </w:r>
          </w:p>
          <w:p>
            <w:pPr>
              <w:pStyle w:val="0"/>
              <w:jc w:val="both"/>
            </w:pPr>
            <w:r>
              <w:rPr>
                <w:sz w:val="20"/>
              </w:rPr>
              <w:t xml:space="preserve">4. Совершенствование содержания и технологий образования, создание в системе дошкольного и общего образования равных возможностей в получении качественного образования для всех категорий детей.</w:t>
            </w:r>
          </w:p>
          <w:p>
            <w:pPr>
              <w:pStyle w:val="0"/>
              <w:jc w:val="both"/>
            </w:pPr>
            <w:r>
              <w:rPr>
                <w:sz w:val="20"/>
              </w:rPr>
              <w:t xml:space="preserve">5. Модернизация содержания общего образования и образовательной среды для обеспечения готовности выпускников общеобразовательных организаций к дальнейшему обучению и деятельности в высокотехнологичной экономике.</w:t>
            </w:r>
          </w:p>
          <w:p>
            <w:pPr>
              <w:pStyle w:val="0"/>
              <w:jc w:val="both"/>
            </w:pPr>
            <w:r>
              <w:rPr>
                <w:sz w:val="20"/>
              </w:rPr>
              <w:t xml:space="preserve">6. Финансовая поддержка государственных и муниципальных образовательных организаций, демонстрирующих высокий уровень управления качеством образования.</w:t>
            </w:r>
          </w:p>
          <w:p>
            <w:pPr>
              <w:pStyle w:val="0"/>
              <w:jc w:val="both"/>
            </w:pPr>
            <w:r>
              <w:rPr>
                <w:sz w:val="20"/>
              </w:rPr>
              <w:t xml:space="preserve">7. Создание условий для реализации мероприятий по комплексному подходу к историко-культурному наследию в образовательной среде.</w:t>
            </w:r>
          </w:p>
          <w:p>
            <w:pPr>
              <w:pStyle w:val="0"/>
              <w:jc w:val="both"/>
            </w:pPr>
            <w:r>
              <w:rPr>
                <w:sz w:val="20"/>
              </w:rPr>
              <w:t xml:space="preserve">8. Повышение качества и доступности образования для детей с ОВЗ и детей-инвалидов.</w:t>
            </w:r>
          </w:p>
          <w:p>
            <w:pPr>
              <w:pStyle w:val="0"/>
              <w:jc w:val="both"/>
            </w:pPr>
            <w:r>
              <w:rPr>
                <w:sz w:val="20"/>
              </w:rPr>
              <w:t xml:space="preserve">9. Обеспечение выплат ежемесячного денежного вознаграждения за классное руководство педагогическим работникам образовательной организации, реализующей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p>
            <w:pPr>
              <w:pStyle w:val="0"/>
              <w:jc w:val="both"/>
            </w:pPr>
            <w:r>
              <w:rPr>
                <w:sz w:val="20"/>
              </w:rPr>
              <w:t xml:space="preserve">10. Финансовое обеспечение отдельных переданных государственных полномочий в сфере образования.</w:t>
            </w:r>
          </w:p>
          <w:p>
            <w:pPr>
              <w:pStyle w:val="0"/>
              <w:jc w:val="both"/>
            </w:pPr>
            <w:r>
              <w:rPr>
                <w:sz w:val="20"/>
              </w:rPr>
              <w:t xml:space="preserve">11. Организация бесплатного горячего питания обучающихся, получающих начальное общее образование.</w:t>
            </w:r>
          </w:p>
          <w:p>
            <w:pPr>
              <w:pStyle w:val="0"/>
              <w:jc w:val="both"/>
            </w:pPr>
            <w:r>
              <w:rPr>
                <w:sz w:val="20"/>
              </w:rPr>
              <w:t xml:space="preserve">12. Обеспечение деятельности автономной некоммерческой общеобразовательной организации "Школа 800".</w:t>
            </w:r>
          </w:p>
          <w:p>
            <w:pPr>
              <w:pStyle w:val="0"/>
              <w:jc w:val="both"/>
            </w:pPr>
            <w:r>
              <w:rPr>
                <w:sz w:val="20"/>
              </w:rPr>
              <w:t xml:space="preserve">13. Реализация концессионных соглашений в сфере образования.</w:t>
            </w:r>
          </w:p>
          <w:p>
            <w:pPr>
              <w:pStyle w:val="0"/>
              <w:jc w:val="both"/>
            </w:pPr>
            <w:r>
              <w:rPr>
                <w:sz w:val="20"/>
              </w:rPr>
              <w:t xml:space="preserve">14. Исполнение денежных обязательств концедента в соответствии с соглашениями.</w:t>
            </w:r>
          </w:p>
          <w:p>
            <w:pPr>
              <w:pStyle w:val="0"/>
              <w:jc w:val="both"/>
            </w:pPr>
            <w:r>
              <w:rPr>
                <w:sz w:val="20"/>
              </w:rPr>
              <w:t xml:space="preserve">15. Создана и работает система выявления, поддержки и развития способностей и талантов детей и молодежи.</w:t>
            </w:r>
          </w:p>
          <w:p>
            <w:pPr>
              <w:pStyle w:val="0"/>
              <w:jc w:val="both"/>
            </w:pPr>
            <w:r>
              <w:rPr>
                <w:sz w:val="20"/>
              </w:rPr>
              <w:t xml:space="preserve">16. Создана и внедрена в общеобразовательных организациях цифровая образовательная среда.</w:t>
            </w:r>
          </w:p>
          <w:p>
            <w:pPr>
              <w:pStyle w:val="0"/>
              <w:jc w:val="both"/>
            </w:pPr>
            <w:r>
              <w:rPr>
                <w:sz w:val="20"/>
              </w:rPr>
              <w:t xml:space="preserve">17. Обеспечение реализации цифровой трансформации системы образования.</w:t>
            </w:r>
          </w:p>
          <w:p>
            <w:pPr>
              <w:pStyle w:val="0"/>
              <w:jc w:val="both"/>
            </w:pPr>
            <w:r>
              <w:rPr>
                <w:sz w:val="20"/>
              </w:rPr>
              <w:t xml:space="preserve">18. Обеспечено функционирование системы патриотического воспитания граждан Российской Федерации.</w:t>
            </w:r>
          </w:p>
          <w:p>
            <w:pPr>
              <w:pStyle w:val="0"/>
              <w:jc w:val="both"/>
            </w:pPr>
            <w:r>
              <w:rPr>
                <w:sz w:val="20"/>
              </w:rPr>
              <w:t xml:space="preserve">19. Повышение доступности дополнительного образования, выявление и развитие способностей и талантов детей и молодежи.</w:t>
            </w:r>
          </w:p>
          <w:p>
            <w:pPr>
              <w:pStyle w:val="0"/>
              <w:jc w:val="both"/>
            </w:pPr>
            <w:r>
              <w:rPr>
                <w:sz w:val="20"/>
              </w:rPr>
              <w:t xml:space="preserve">20. Развитие дополнительного образования и воспитания детей и молодежи.</w:t>
            </w:r>
          </w:p>
          <w:p>
            <w:pPr>
              <w:pStyle w:val="0"/>
              <w:jc w:val="both"/>
            </w:pPr>
            <w:r>
              <w:rPr>
                <w:sz w:val="20"/>
              </w:rPr>
              <w:t xml:space="preserve">21. Обеспечение деятельности государственных учреждений дополнительного образования детей.</w:t>
            </w:r>
          </w:p>
          <w:p>
            <w:pPr>
              <w:pStyle w:val="0"/>
              <w:jc w:val="both"/>
            </w:pPr>
            <w:r>
              <w:rPr>
                <w:sz w:val="20"/>
              </w:rPr>
              <w:t xml:space="preserve">22. Обеспечение полноценного отдыха и оздоровления детей школьного возраста Нижегородской области.</w:t>
            </w:r>
          </w:p>
          <w:p>
            <w:pPr>
              <w:pStyle w:val="0"/>
              <w:jc w:val="both"/>
            </w:pPr>
            <w:r>
              <w:rPr>
                <w:sz w:val="20"/>
              </w:rPr>
              <w:t xml:space="preserve">23. Обеспечение возможности обучающимся образовательных организаций профессионального образования получить среднее профессиональное и высшее образование, соответствующее требованиям экономики и запросам рынка труда.</w:t>
            </w:r>
          </w:p>
          <w:p>
            <w:pPr>
              <w:pStyle w:val="0"/>
              <w:jc w:val="both"/>
            </w:pPr>
            <w:r>
              <w:rPr>
                <w:sz w:val="20"/>
              </w:rPr>
              <w:t xml:space="preserve">24. Обеспечение деятельности государственных учреждений высшего и профессионального образования, организаций дополнительного профессионального образования и дополнительных общеобразовательных программ.</w:t>
            </w:r>
          </w:p>
          <w:p>
            <w:pPr>
              <w:pStyle w:val="0"/>
              <w:jc w:val="both"/>
            </w:pPr>
            <w:r>
              <w:rPr>
                <w:sz w:val="20"/>
              </w:rPr>
              <w:t xml:space="preserve">25. Создание системы мониторинговых исследований качества образования на различных уровнях.</w:t>
            </w:r>
          </w:p>
          <w:p>
            <w:pPr>
              <w:pStyle w:val="0"/>
              <w:jc w:val="both"/>
            </w:pPr>
            <w:r>
              <w:rPr>
                <w:sz w:val="20"/>
              </w:rPr>
              <w:t xml:space="preserve">26. Формирование культуры оценки качества образования на уровне региона, ОМСУ и отдельных организаций через повышение квалификационного уровня кадров системы образования, организацию мониторинга качества образования, проведение анализа и использование результатов оценочных процедур.</w:t>
            </w:r>
          </w:p>
          <w:p>
            <w:pPr>
              <w:pStyle w:val="0"/>
              <w:jc w:val="both"/>
            </w:pPr>
            <w:r>
              <w:rPr>
                <w:sz w:val="20"/>
              </w:rPr>
              <w:t xml:space="preserve">27. Совершенствование системы работы с педагогическими кадрами.</w:t>
            </w:r>
          </w:p>
          <w:p>
            <w:pPr>
              <w:pStyle w:val="0"/>
              <w:jc w:val="both"/>
            </w:pPr>
            <w:r>
              <w:rPr>
                <w:sz w:val="20"/>
              </w:rPr>
              <w:t xml:space="preserve">28. Переподготовка педагогических кадров системы образования Нижегородской области.</w:t>
            </w:r>
          </w:p>
          <w:p>
            <w:pPr>
              <w:pStyle w:val="0"/>
              <w:jc w:val="both"/>
            </w:pPr>
            <w:r>
              <w:rPr>
                <w:sz w:val="20"/>
              </w:rPr>
              <w:t xml:space="preserve">29. Укрепление материально-технической базы организаций.</w:t>
            </w:r>
          </w:p>
          <w:p>
            <w:pPr>
              <w:pStyle w:val="0"/>
              <w:jc w:val="both"/>
            </w:pPr>
            <w:r>
              <w:rPr>
                <w:sz w:val="20"/>
              </w:rPr>
              <w:t xml:space="preserve">30. Разработка проектно-сметной документации, строительство, реконструкция, капитальный ремонт объектов образования, выкуп объектов недвижимости с целью расположения муниципальных дошкольных образовательных организаций и приобретение мебели, оборудования и учебно-наглядных пособий для общеобразовательных организаций в рамках адресной инвестиционной программы Нижегородской области.</w:t>
            </w:r>
          </w:p>
          <w:p>
            <w:pPr>
              <w:pStyle w:val="0"/>
              <w:jc w:val="both"/>
            </w:pPr>
            <w:r>
              <w:rPr>
                <w:sz w:val="20"/>
              </w:rPr>
              <w:t xml:space="preserve">31. Финансовое обеспечение уставной деятельности автономных некоммерческих организаций дополнительного профессионального образования.</w:t>
            </w:r>
          </w:p>
          <w:p>
            <w:pPr>
              <w:pStyle w:val="0"/>
              <w:jc w:val="both"/>
            </w:pPr>
            <w:r>
              <w:rPr>
                <w:sz w:val="20"/>
              </w:rPr>
              <w:t xml:space="preserve">32. Модернизация инфраструктуры общего образования.</w:t>
            </w:r>
          </w:p>
          <w:p>
            <w:pPr>
              <w:pStyle w:val="0"/>
              <w:jc w:val="both"/>
            </w:pPr>
            <w:r>
              <w:rPr>
                <w:sz w:val="20"/>
              </w:rPr>
              <w:t xml:space="preserve">33. Реализация комплекса мер, направленных на обеспечение безопасности в образовательных организациях.</w:t>
            </w:r>
          </w:p>
          <w:p>
            <w:pPr>
              <w:pStyle w:val="0"/>
              <w:jc w:val="both"/>
            </w:pPr>
            <w:r>
              <w:rPr>
                <w:sz w:val="20"/>
              </w:rPr>
              <w:t xml:space="preserve">34. Обеспечение деятельности подведомственных организаций.</w:t>
            </w:r>
          </w:p>
          <w:p>
            <w:pPr>
              <w:pStyle w:val="0"/>
              <w:jc w:val="both"/>
            </w:pPr>
            <w:r>
              <w:rPr>
                <w:sz w:val="20"/>
              </w:rPr>
              <w:t xml:space="preserve">35. Обеспечение нормативных требований, предъявляемых к пищеблокам общеобразовательных организаций контрольно-надзорными органами для организации бесплатного здорового горячего питания обучающихся.</w:t>
            </w:r>
          </w:p>
          <w:p>
            <w:pPr>
              <w:pStyle w:val="0"/>
              <w:jc w:val="both"/>
            </w:pPr>
            <w:r>
              <w:rPr>
                <w:sz w:val="20"/>
              </w:rPr>
              <w:t xml:space="preserve">36. Дети в возрасте от полутора до трех лет имеют возможность получать дошкольное образование.</w:t>
            </w:r>
          </w:p>
          <w:p>
            <w:pPr>
              <w:pStyle w:val="0"/>
              <w:jc w:val="both"/>
            </w:pPr>
            <w:r>
              <w:rPr>
                <w:sz w:val="20"/>
              </w:rPr>
              <w:t xml:space="preserve">37. Снижение напряженности на рынке труда.</w:t>
            </w:r>
          </w:p>
          <w:p>
            <w:pPr>
              <w:pStyle w:val="0"/>
              <w:jc w:val="both"/>
            </w:pPr>
            <w:r>
              <w:rPr>
                <w:sz w:val="20"/>
              </w:rPr>
              <w:t xml:space="preserve">38. Создание условий для привлечения работодателями необходимых трудовых ресурсов из других субъектов Российской Федерации.</w:t>
            </w:r>
          </w:p>
          <w:p>
            <w:pPr>
              <w:pStyle w:val="0"/>
              <w:jc w:val="both"/>
            </w:pPr>
            <w:r>
              <w:rPr>
                <w:sz w:val="20"/>
              </w:rPr>
              <w:t xml:space="preserve">39. Развитие инфраструктуры занятости и внедрение организационных и технологических инноваций с использованием цифровых и платформенных решений в целях поддержки уровня занятости населения.</w:t>
            </w:r>
          </w:p>
          <w:p>
            <w:pPr>
              <w:pStyle w:val="0"/>
              <w:jc w:val="both"/>
            </w:pPr>
            <w:r>
              <w:rPr>
                <w:sz w:val="20"/>
              </w:rPr>
              <w:t xml:space="preserve">40. Осуществление текущей деятельности ОИВ.</w:t>
            </w:r>
          </w:p>
          <w:p>
            <w:pPr>
              <w:pStyle w:val="0"/>
              <w:jc w:val="both"/>
            </w:pPr>
            <w:r>
              <w:rPr>
                <w:sz w:val="20"/>
              </w:rPr>
              <w:t xml:space="preserve">41. 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p>
            <w:pPr>
              <w:pStyle w:val="0"/>
              <w:jc w:val="both"/>
            </w:pPr>
            <w:r>
              <w:rPr>
                <w:sz w:val="20"/>
              </w:rPr>
              <w:t xml:space="preserve">42. Создание условий для эффективной самореализации молодежи, в том числе развитие инфраструктуры на территории Нижегородской области.</w:t>
            </w:r>
          </w:p>
          <w:p>
            <w:pPr>
              <w:pStyle w:val="0"/>
              <w:jc w:val="both"/>
            </w:pPr>
            <w:r>
              <w:rPr>
                <w:sz w:val="20"/>
              </w:rPr>
              <w:t xml:space="preserve">43. Создание условий, направленных на получение возможности для самореализации интеллектуального, творческого и социального потенциала молодежи, реализации своих социально значимых инициатив.</w:t>
            </w:r>
          </w:p>
          <w:p>
            <w:pPr>
              <w:pStyle w:val="0"/>
              <w:jc w:val="both"/>
            </w:pPr>
            <w:r>
              <w:rPr>
                <w:sz w:val="20"/>
              </w:rPr>
              <w:t xml:space="preserve">44. Создание и реализация современных подходов к подготовке граждан к военной службе в сфере военно-патриотического воспитания молодежи</w:t>
            </w:r>
          </w:p>
        </w:tc>
        <w:tc>
          <w:tcPr>
            <w:tcW w:w="3175" w:type="dxa"/>
          </w:tcPr>
          <w:p>
            <w:pPr>
              <w:pStyle w:val="0"/>
              <w:jc w:val="both"/>
            </w:pPr>
            <w:r>
              <w:rPr>
                <w:sz w:val="20"/>
              </w:rPr>
              <w:t xml:space="preserve">- 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p>
            <w:pPr>
              <w:pStyle w:val="0"/>
              <w:jc w:val="both"/>
            </w:pPr>
            <w:r>
              <w:rPr>
                <w:sz w:val="20"/>
              </w:rPr>
              <w:t xml:space="preserve">- удельный вес численности обучающихся государственных (муниципальных) ОБОО, которым предоставлена возможность обучаться в соответствии с основными современными требованиями, в общей численности обучающихся;</w:t>
            </w:r>
          </w:p>
          <w:p>
            <w:pPr>
              <w:pStyle w:val="0"/>
              <w:jc w:val="both"/>
            </w:pPr>
            <w:r>
              <w:rPr>
                <w:sz w:val="20"/>
              </w:rPr>
              <w:t xml:space="preserve">- удельный вес численности населения в возрасте 5 - 18 лет, охваченного образованием, в общей численности населения в возрасте 5 - 18 лет;</w:t>
            </w:r>
          </w:p>
          <w:p>
            <w:pPr>
              <w:pStyle w:val="0"/>
              <w:jc w:val="both"/>
            </w:pPr>
            <w:r>
              <w:rPr>
                <w:sz w:val="20"/>
              </w:rPr>
              <w:t xml:space="preserve">- доля детей-инвалидов, получающих образовательные услуги в форме дистанционного обучения, от общего количества детей-инвалидов, имеющих потребность в получении образовательной услуги в форме дистанционного обучения;</w:t>
            </w:r>
          </w:p>
          <w:p>
            <w:pPr>
              <w:pStyle w:val="0"/>
              <w:jc w:val="both"/>
            </w:pPr>
            <w:r>
              <w:rPr>
                <w:sz w:val="20"/>
              </w:rPr>
              <w:t xml:space="preserve">- доля педагогических работников общеобразовательных организаций, получивших вознаграждение за классное руководство, в общей численности педагогических работников такой категории;</w:t>
            </w:r>
          </w:p>
          <w:p>
            <w:pPr>
              <w:pStyle w:val="0"/>
              <w:jc w:val="both"/>
            </w:pPr>
            <w:r>
              <w:rPr>
                <w:sz w:val="20"/>
              </w:rPr>
              <w:t xml:space="preserve">- доля обучающихся, получающих начальное общее образование в образовательной организации, получающих бесплатное горячее питание, к общему количеству обучающихся, получающих начальное общее образование в образовательной организации;</w:t>
            </w:r>
          </w:p>
          <w:p>
            <w:pPr>
              <w:pStyle w:val="0"/>
              <w:jc w:val="both"/>
            </w:pPr>
            <w:r>
              <w:rPr>
                <w:sz w:val="20"/>
              </w:rPr>
              <w:t xml:space="preserve">- охват организованными формами отдыха и оздоровления детей школьного возраста;</w:t>
            </w:r>
          </w:p>
          <w:p>
            <w:pPr>
              <w:pStyle w:val="0"/>
              <w:jc w:val="both"/>
            </w:pPr>
            <w:r>
              <w:rPr>
                <w:sz w:val="20"/>
              </w:rPr>
              <w:t xml:space="preserve">- отношение средней заработной платы педагогических работников ОБОО к средней заработной плате в регионе;</w:t>
            </w:r>
          </w:p>
          <w:p>
            <w:pPr>
              <w:pStyle w:val="0"/>
              <w:jc w:val="both"/>
            </w:pPr>
            <w:r>
              <w:rPr>
                <w:sz w:val="20"/>
              </w:rPr>
              <w:t xml:space="preserve">- отношение средней заработной платы педагогических работников муниципальных ДОО к среднемесячной заработной плате в общем образовании региона;</w:t>
            </w:r>
          </w:p>
          <w:p>
            <w:pPr>
              <w:pStyle w:val="0"/>
              <w:jc w:val="both"/>
            </w:pPr>
            <w:r>
              <w:rPr>
                <w:sz w:val="20"/>
              </w:rPr>
              <w:t xml:space="preserve">- численность руководящих и педагогических работников государственных (муниципальных) ДОО, ОБОО и организаций дополнительного образования, прошедших в течение последних трех лет повышение квалификации или профессиональную переподготовку;</w:t>
            </w:r>
          </w:p>
          <w:p>
            <w:pPr>
              <w:pStyle w:val="0"/>
              <w:jc w:val="both"/>
            </w:pPr>
            <w:r>
              <w:rPr>
                <w:sz w:val="20"/>
              </w:rPr>
              <w:t xml:space="preserve">- количество отремонтированных подведомственных объектов образования;</w:t>
            </w:r>
          </w:p>
          <w:p>
            <w:pPr>
              <w:pStyle w:val="0"/>
              <w:jc w:val="both"/>
            </w:pPr>
            <w:r>
              <w:rPr>
                <w:sz w:val="20"/>
              </w:rPr>
              <w:t xml:space="preserve">- обновление автобусного парка для перевозки учащихся;</w:t>
            </w:r>
          </w:p>
          <w:p>
            <w:pPr>
              <w:pStyle w:val="0"/>
              <w:jc w:val="both"/>
            </w:pPr>
            <w:r>
              <w:rPr>
                <w:sz w:val="20"/>
              </w:rPr>
              <w:t xml:space="preserve">- количество образовательных организаций, в которых реализованы мероприятия по укреплению и развитию материальной базы образовательных организаций в рамках Адресной инвестиционной программы Нижегородской области;</w:t>
            </w:r>
          </w:p>
          <w:p>
            <w:pPr>
              <w:pStyle w:val="0"/>
              <w:jc w:val="both"/>
            </w:pPr>
            <w:r>
              <w:rPr>
                <w:sz w:val="20"/>
              </w:rPr>
              <w:t xml:space="preserve">- количество введенных объектов образования после проведения капитального ремонта;</w:t>
            </w:r>
          </w:p>
          <w:p>
            <w:pPr>
              <w:pStyle w:val="0"/>
              <w:jc w:val="both"/>
            </w:pPr>
            <w:r>
              <w:rPr>
                <w:sz w:val="20"/>
              </w:rPr>
              <w:t xml:space="preserve">- количество общеобразовательных организаций, в которых выполнены мероприятия по исполнению требований к антитеррористической защищенности муниципальных общеобразовательных организаций;</w:t>
            </w:r>
          </w:p>
          <w:p>
            <w:pPr>
              <w:pStyle w:val="0"/>
              <w:jc w:val="both"/>
            </w:pPr>
            <w:r>
              <w:rPr>
                <w:sz w:val="20"/>
              </w:rPr>
              <w:t xml:space="preserve">- количество молодежных проектов, направленных на получение возможности для самореализации интеллектуального, творческого и социального потенциала молодежи, реализации своих социально значимых инициатив;</w:t>
            </w:r>
          </w:p>
          <w:p>
            <w:pPr>
              <w:pStyle w:val="0"/>
              <w:jc w:val="both"/>
            </w:pPr>
            <w:r>
              <w:rPr>
                <w:sz w:val="20"/>
              </w:rPr>
              <w:t xml:space="preserve">- доля молодых людей, вовлеченных в реализацию мероприятий по направлениям молодежной политики, в общей численности молодежи;</w:t>
            </w:r>
          </w:p>
          <w:p>
            <w:pPr>
              <w:pStyle w:val="0"/>
              <w:jc w:val="both"/>
            </w:pPr>
            <w:r>
              <w:rPr>
                <w:sz w:val="20"/>
              </w:rPr>
              <w:t xml:space="preserve">-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pPr>
              <w:pStyle w:val="0"/>
              <w:jc w:val="both"/>
            </w:pPr>
            <w:r>
              <w:rPr>
                <w:sz w:val="20"/>
              </w:rPr>
              <w:t xml:space="preserve">- доля детей в возрасте от 5 до 18 лет, охваченных дополнительным образованием;</w:t>
            </w:r>
          </w:p>
          <w:p>
            <w:pPr>
              <w:pStyle w:val="0"/>
              <w:jc w:val="both"/>
            </w:pPr>
            <w:r>
              <w:rPr>
                <w:sz w:val="20"/>
              </w:rPr>
              <w:t xml:space="preserve">- количество субъектов Российской Федерации, выдающих сертификаты дополнительного образования в рамках системы персонифицированного финансирования дополнительного образования детей;</w:t>
            </w:r>
          </w:p>
          <w:p>
            <w:pPr>
              <w:pStyle w:val="0"/>
              <w:jc w:val="both"/>
            </w:pPr>
            <w:r>
              <w:rPr>
                <w:sz w:val="20"/>
              </w:rPr>
              <w:t xml:space="preserve">- 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p>
            <w:pPr>
              <w:pStyle w:val="0"/>
              <w:jc w:val="both"/>
            </w:pPr>
            <w:r>
              <w:rPr>
                <w:sz w:val="20"/>
              </w:rPr>
              <w:t xml:space="preserve">- 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w:t>
            </w:r>
          </w:p>
          <w:p>
            <w:pPr>
              <w:pStyle w:val="0"/>
              <w:jc w:val="both"/>
            </w:pPr>
            <w:r>
              <w:rPr>
                <w:sz w:val="20"/>
              </w:rPr>
              <w:t xml:space="preserve">- доля общеобразовательных организаций, оснащенных в целях внедрения цифровой образовательной среды;</w:t>
            </w:r>
          </w:p>
          <w:p>
            <w:pPr>
              <w:pStyle w:val="0"/>
              <w:jc w:val="both"/>
            </w:pPr>
            <w:r>
              <w:rPr>
                <w:sz w:val="20"/>
              </w:rPr>
              <w:t xml:space="preserve">- доля обучающихся,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информационно-сервисной платформе цифровой образовательной среды;</w:t>
            </w:r>
          </w:p>
          <w:p>
            <w:pPr>
              <w:pStyle w:val="0"/>
              <w:jc w:val="both"/>
            </w:pPr>
            <w:r>
              <w:rPr>
                <w:sz w:val="20"/>
              </w:rPr>
              <w:t xml:space="preserve">- доля педагогических работников, использующих сервисы федеральной информационно-сервисной платформы цифровой образовательной среды;</w:t>
            </w:r>
          </w:p>
          <w:p>
            <w:pPr>
              <w:pStyle w:val="0"/>
              <w:jc w:val="both"/>
            </w:pPr>
            <w:r>
              <w:rPr>
                <w:sz w:val="20"/>
              </w:rPr>
              <w:t xml:space="preserve">- доля образовательных организаций, использующих сервисы федеральной информационно-сервисной платформы цифровой образовательной среды при реализации основных общеобразовательных программ начального общего, основного общего и среднего общего образования;</w:t>
            </w:r>
          </w:p>
          <w:p>
            <w:pPr>
              <w:pStyle w:val="0"/>
              <w:jc w:val="both"/>
            </w:pPr>
            <w:r>
              <w:rPr>
                <w:sz w:val="20"/>
              </w:rPr>
              <w:t xml:space="preserve">- количество дополнительно созданных мест с целью обеспечения дошкольным образованием детей в возрасте до 3 лет;</w:t>
            </w:r>
          </w:p>
          <w:p>
            <w:pPr>
              <w:pStyle w:val="0"/>
              <w:jc w:val="both"/>
            </w:pPr>
            <w:r>
              <w:rPr>
                <w:sz w:val="20"/>
              </w:rPr>
              <w:t xml:space="preserve">- доступность дошкольного образования для детей в возрасте от 1,5 до 3 лет;</w:t>
            </w:r>
          </w:p>
          <w:p>
            <w:pPr>
              <w:pStyle w:val="0"/>
              <w:jc w:val="both"/>
            </w:pPr>
            <w:r>
              <w:rPr>
                <w:sz w:val="20"/>
              </w:rPr>
              <w:t xml:space="preserve">- доля граждан, вовлеченных центрами</w:t>
            </w:r>
          </w:p>
          <w:p>
            <w:pPr>
              <w:pStyle w:val="0"/>
              <w:jc w:val="both"/>
            </w:pPr>
            <w:r>
              <w:rPr>
                <w:sz w:val="20"/>
              </w:rPr>
              <w:t xml:space="preserve">(сообществами, объединениями) поддержки добровольчества (волонтерства) на базе</w:t>
            </w:r>
          </w:p>
          <w:p>
            <w:pPr>
              <w:pStyle w:val="0"/>
              <w:jc w:val="both"/>
            </w:pPr>
            <w:r>
              <w:rPr>
                <w:sz w:val="20"/>
              </w:rPr>
              <w:t xml:space="preserve">образовательных организаций,</w:t>
            </w:r>
          </w:p>
          <w:p>
            <w:pPr>
              <w:pStyle w:val="0"/>
              <w:jc w:val="both"/>
            </w:pPr>
            <w:r>
              <w:rPr>
                <w:sz w:val="20"/>
              </w:rPr>
              <w:t xml:space="preserve">некоммерческих организаций,</w:t>
            </w:r>
          </w:p>
          <w:p>
            <w:pPr>
              <w:pStyle w:val="0"/>
              <w:jc w:val="both"/>
            </w:pPr>
            <w:r>
              <w:rPr>
                <w:sz w:val="20"/>
              </w:rPr>
              <w:t xml:space="preserve">государственных и муниципальных</w:t>
            </w:r>
          </w:p>
          <w:p>
            <w:pPr>
              <w:pStyle w:val="0"/>
              <w:jc w:val="both"/>
            </w:pPr>
            <w:r>
              <w:rPr>
                <w:sz w:val="20"/>
              </w:rPr>
              <w:t xml:space="preserve">учреждений в добровольческую (волонтерскую) деятельность;</w:t>
            </w:r>
          </w:p>
          <w:p>
            <w:pPr>
              <w:pStyle w:val="0"/>
              <w:jc w:val="both"/>
            </w:pPr>
            <w:r>
              <w:rPr>
                <w:sz w:val="20"/>
              </w:rPr>
              <w:t xml:space="preserve">- доступность дошкольного образования для детей в возрасте от 3 до 7 лет;</w:t>
            </w:r>
          </w:p>
          <w:p>
            <w:pPr>
              <w:pStyle w:val="0"/>
              <w:jc w:val="both"/>
            </w:pPr>
            <w:r>
              <w:rPr>
                <w:sz w:val="20"/>
              </w:rPr>
              <w:t xml:space="preserve">- доля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w:t>
            </w:r>
          </w:p>
          <w:p>
            <w:pPr>
              <w:pStyle w:val="0"/>
              <w:jc w:val="both"/>
            </w:pPr>
            <w:r>
              <w:rPr>
                <w:sz w:val="20"/>
              </w:rPr>
              <w:t xml:space="preserve">- количество выпускников, освоивших образовательные программы высшего образования по всем формам обучения;</w:t>
            </w:r>
          </w:p>
          <w:p>
            <w:pPr>
              <w:pStyle w:val="0"/>
              <w:jc w:val="both"/>
            </w:pPr>
            <w:r>
              <w:rPr>
                <w:sz w:val="20"/>
              </w:rPr>
              <w:t xml:space="preserve">- число уровней общего образования, на которых реализуются механизмы внешней оценки качества образования;</w:t>
            </w:r>
          </w:p>
          <w:p>
            <w:pPr>
              <w:pStyle w:val="0"/>
              <w:jc w:val="both"/>
            </w:pPr>
            <w:r>
              <w:rPr>
                <w:sz w:val="20"/>
              </w:rPr>
              <w:t xml:space="preserve">- доля аттестованных педагогических работников в общей численности педагогических работников, подлежащих аттестации;</w:t>
            </w:r>
          </w:p>
          <w:p>
            <w:pPr>
              <w:pStyle w:val="0"/>
              <w:jc w:val="both"/>
            </w:pPr>
            <w:r>
              <w:rPr>
                <w:sz w:val="20"/>
              </w:rPr>
              <w:t xml:space="preserve">- общий охват граждан по основам начальных знаний в области обороны и подготовки по основам военной службы;</w:t>
            </w:r>
          </w:p>
          <w:p>
            <w:pPr>
              <w:pStyle w:val="0"/>
              <w:jc w:val="both"/>
            </w:pPr>
            <w:r>
              <w:rPr>
                <w:sz w:val="20"/>
              </w:rPr>
              <w:t xml:space="preserve">- доля детей, охваченных дополнительными общеобразовательными программами;</w:t>
            </w:r>
          </w:p>
          <w:p>
            <w:pPr>
              <w:pStyle w:val="0"/>
              <w:jc w:val="both"/>
            </w:pPr>
            <w:r>
              <w:rPr>
                <w:sz w:val="20"/>
              </w:rPr>
              <w:t xml:space="preserve">- дополнительные места для детей возрасте от 1,5 до 3 лет, созданные за счет средств грантов (субсидий) Нижегородской области;</w:t>
            </w:r>
          </w:p>
          <w:p>
            <w:pPr>
              <w:pStyle w:val="0"/>
              <w:jc w:val="both"/>
            </w:pPr>
            <w:r>
              <w:rPr>
                <w:sz w:val="20"/>
              </w:rPr>
              <w:t xml:space="preserve">- количество муниципальных учреждений, исполнивших обязательства, принятые по договорам концессии;</w:t>
            </w:r>
          </w:p>
          <w:p>
            <w:pPr>
              <w:pStyle w:val="0"/>
              <w:jc w:val="both"/>
            </w:pPr>
            <w:r>
              <w:rPr>
                <w:sz w:val="20"/>
              </w:rPr>
              <w:t xml:space="preserve">- количество образовательных организаций, по которым предусмотрены выплаты денежных обязательств концедента в рамках концессионных соглашений;</w:t>
            </w:r>
          </w:p>
          <w:p>
            <w:pPr>
              <w:pStyle w:val="0"/>
              <w:jc w:val="both"/>
            </w:pPr>
            <w:r>
              <w:rPr>
                <w:sz w:val="20"/>
              </w:rPr>
              <w:t xml:space="preserve">- оснащены образовательные организации, реализующие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БАС;</w:t>
            </w:r>
          </w:p>
          <w:p>
            <w:pPr>
              <w:pStyle w:val="0"/>
              <w:jc w:val="both"/>
            </w:pPr>
            <w:r>
              <w:rPr>
                <w:sz w:val="20"/>
              </w:rPr>
              <w:t xml:space="preserve">- количество общеобразовательных организаций, в которых проведена модернизация пищеблоков;</w:t>
            </w:r>
          </w:p>
          <w:p>
            <w:pPr>
              <w:pStyle w:val="0"/>
              <w:jc w:val="both"/>
            </w:pPr>
            <w:r>
              <w:rPr>
                <w:sz w:val="20"/>
              </w:rPr>
              <w:t xml:space="preserve">- количество образовательных организаций высшего образования, расположенных на территории Нижегородской области, имеющих статус "участник" и "кандидат" программы стратегического академического лидерства "Приоритет - 2030";</w:t>
            </w:r>
          </w:p>
          <w:p>
            <w:pPr>
              <w:pStyle w:val="0"/>
              <w:jc w:val="both"/>
            </w:pPr>
            <w:r>
              <w:rPr>
                <w:sz w:val="20"/>
              </w:rPr>
              <w:t xml:space="preserve">- доля обучающихся образовательных организаций, реализующих программы среднего профессионального образования, прошедших демонстрационный экзамен профильного уровня;</w:t>
            </w:r>
          </w:p>
          <w:p>
            <w:pPr>
              <w:pStyle w:val="0"/>
              <w:jc w:val="both"/>
            </w:pPr>
            <w:r>
              <w:rPr>
                <w:sz w:val="20"/>
              </w:rPr>
              <w:t xml:space="preserve">- численность граждан, охваченных деятельностью Центров опережающей профессиональной подготовки</w:t>
            </w:r>
          </w:p>
        </w:tc>
        <w:tc>
          <w:tcPr>
            <w:tcW w:w="1814" w:type="dxa"/>
          </w:tcPr>
          <w:p>
            <w:pPr>
              <w:pStyle w:val="0"/>
              <w:jc w:val="both"/>
            </w:pPr>
            <w:r>
              <w:rPr>
                <w:sz w:val="20"/>
              </w:rPr>
              <w:t xml:space="preserve">Национальная цель "Возможности для самореализации и развития талантов"/Государственная программа Российской Федерации "Развитие образования"</w:t>
            </w:r>
          </w:p>
        </w:tc>
      </w:tr>
      <w:tr>
        <w:tc>
          <w:tcPr>
            <w:tcW w:w="567" w:type="dxa"/>
          </w:tcPr>
          <w:p>
            <w:pPr>
              <w:pStyle w:val="0"/>
              <w:jc w:val="both"/>
            </w:pPr>
            <w:r>
              <w:rPr>
                <w:sz w:val="20"/>
              </w:rPr>
              <w:t xml:space="preserve">29</w:t>
            </w:r>
          </w:p>
        </w:tc>
        <w:tc>
          <w:tcPr>
            <w:tcW w:w="2324" w:type="dxa"/>
          </w:tcPr>
          <w:p>
            <w:pPr>
              <w:pStyle w:val="0"/>
              <w:jc w:val="both"/>
            </w:pPr>
            <w:r>
              <w:rPr>
                <w:sz w:val="20"/>
              </w:rPr>
              <w:t xml:space="preserve">Государственная </w:t>
            </w:r>
            <w:hyperlink w:history="0" r:id="rId64" w:tooltip="Постановление Правительства Нижегородской области от 29.12.2015 N 893 (ред. от 15.02.2024) &quot;Об утверждении государственной программы Нижегородской области &quot;Создание новых мест в общеобразовательных организациях Нижегородской области в соответствии с прогнозируемой потребностью и современными условиями обучения&quot; ------------ Недействующая редакция {КонсультантПлюс}">
              <w:r>
                <w:rPr>
                  <w:sz w:val="20"/>
                  <w:color w:val="0000ff"/>
                </w:rPr>
                <w:t xml:space="preserve">программа</w:t>
              </w:r>
            </w:hyperlink>
            <w:r>
              <w:rPr>
                <w:sz w:val="20"/>
              </w:rPr>
              <w:t xml:space="preserve"> "Создание новых мест в общеобразовательных организациях Нижегородской области в соответствии с прогнозируемой потребностью и современными условиями обучения", утвержденная постановлением Правительства Нижегородской области от 29 декабря 2015 г. N 893</w:t>
            </w:r>
          </w:p>
        </w:tc>
        <w:tc>
          <w:tcPr>
            <w:tcW w:w="2324" w:type="dxa"/>
          </w:tcPr>
          <w:p>
            <w:pPr>
              <w:pStyle w:val="0"/>
              <w:jc w:val="both"/>
            </w:pPr>
            <w:r>
              <w:rPr>
                <w:sz w:val="20"/>
              </w:rPr>
              <w:t xml:space="preserve">Обеспечение создания новых мест в общеобразовательных организациях в соответствии с прогнозируемой потребностью и современными условиями обучения для ликвидации 2 смены обучения и удерживания односменного режима обучения и перевода в новые здания общеобразовательных организаций, обучающихся в зданиях с износом 50 процентов и выше</w:t>
            </w:r>
          </w:p>
        </w:tc>
        <w:tc>
          <w:tcPr>
            <w:tcW w:w="1984" w:type="dxa"/>
          </w:tcPr>
          <w:p>
            <w:pPr>
              <w:pStyle w:val="0"/>
              <w:jc w:val="both"/>
            </w:pPr>
            <w:r>
              <w:rPr>
                <w:sz w:val="20"/>
              </w:rPr>
              <w:t xml:space="preserve">"Создание новых мест в общеобразовательных организациях Нижегородской области в соответствии с прогнозируемой потребностью и современными условиями обучения"</w:t>
            </w:r>
          </w:p>
        </w:tc>
        <w:tc>
          <w:tcPr>
            <w:tcW w:w="3458" w:type="dxa"/>
          </w:tcPr>
          <w:p>
            <w:pPr>
              <w:pStyle w:val="0"/>
              <w:jc w:val="both"/>
            </w:pPr>
            <w:r>
              <w:rPr>
                <w:sz w:val="20"/>
              </w:rPr>
              <w:t xml:space="preserve">1. Обеспечена возможность детям получать качественное общее образование в условиях, отвечающих современным требованиям, независимо от места проживания ребенка.</w:t>
            </w:r>
          </w:p>
          <w:p>
            <w:pPr>
              <w:pStyle w:val="0"/>
              <w:jc w:val="both"/>
            </w:pPr>
            <w:r>
              <w:rPr>
                <w:sz w:val="20"/>
              </w:rPr>
              <w:t xml:space="preserve">2. Обеспечение создания новых мест в общеобразовательных организациях в соответствии с прогнозируемой потребностью и современными условиями обучения</w:t>
            </w:r>
          </w:p>
        </w:tc>
        <w:tc>
          <w:tcPr>
            <w:tcW w:w="3175" w:type="dxa"/>
          </w:tcPr>
          <w:p>
            <w:pPr>
              <w:pStyle w:val="0"/>
              <w:jc w:val="both"/>
            </w:pPr>
            <w:r>
              <w:rPr>
                <w:sz w:val="20"/>
              </w:rPr>
              <w:t xml:space="preserve">- создано новых мест в общеобразовательных организациях в рамках реализации национального проекта "Образование";</w:t>
            </w:r>
          </w:p>
          <w:p>
            <w:pPr>
              <w:pStyle w:val="0"/>
              <w:jc w:val="both"/>
            </w:pPr>
            <w:r>
              <w:rPr>
                <w:sz w:val="20"/>
              </w:rPr>
              <w:t xml:space="preserve">- создано новых мест в общеобразовательных организациях</w:t>
            </w:r>
          </w:p>
        </w:tc>
        <w:tc>
          <w:tcPr>
            <w:tcW w:w="1814" w:type="dxa"/>
          </w:tcPr>
          <w:p>
            <w:pPr>
              <w:pStyle w:val="0"/>
              <w:jc w:val="both"/>
            </w:pPr>
            <w:r>
              <w:rPr>
                <w:sz w:val="20"/>
              </w:rPr>
              <w:t xml:space="preserve">Национальная цель "Возможности для самореализации и развития талантов"/Государственная программа Российской Федерации "Развитие образования"</w:t>
            </w:r>
          </w:p>
        </w:tc>
      </w:tr>
      <w:tr>
        <w:tc>
          <w:tcPr>
            <w:tcW w:w="567" w:type="dxa"/>
          </w:tcPr>
          <w:p>
            <w:pPr>
              <w:pStyle w:val="0"/>
              <w:jc w:val="both"/>
            </w:pPr>
            <w:r>
              <w:rPr>
                <w:sz w:val="20"/>
              </w:rPr>
              <w:t xml:space="preserve">30</w:t>
            </w:r>
          </w:p>
        </w:tc>
        <w:tc>
          <w:tcPr>
            <w:tcW w:w="2324" w:type="dxa"/>
          </w:tcPr>
          <w:p>
            <w:pPr>
              <w:pStyle w:val="0"/>
              <w:jc w:val="both"/>
            </w:pPr>
            <w:r>
              <w:rPr>
                <w:sz w:val="20"/>
              </w:rPr>
              <w:t xml:space="preserve">Государственная </w:t>
            </w:r>
            <w:hyperlink w:history="0" r:id="rId65" w:tooltip="Постановление Правительства Нижегородской области от 29.03.2019 N 180 (ред. от 29.05.2024) &quot;Об утверждении государственной программы Нижегородской области &quot;Капитальный ремонт образовательных организаций Нижегородской области&quot; ------------ Недействующая редакция {КонсультантПлюс}">
              <w:r>
                <w:rPr>
                  <w:sz w:val="20"/>
                  <w:color w:val="0000ff"/>
                </w:rPr>
                <w:t xml:space="preserve">программа</w:t>
              </w:r>
            </w:hyperlink>
            <w:r>
              <w:rPr>
                <w:sz w:val="20"/>
              </w:rPr>
              <w:t xml:space="preserve"> "Капитальный ремонт образовательных организаций Нижегородской области", утвержденная постановлением Правительства Нижегородской области от 29 марта 2019 г. N 180</w:t>
            </w:r>
          </w:p>
        </w:tc>
        <w:tc>
          <w:tcPr>
            <w:tcW w:w="2324" w:type="dxa"/>
          </w:tcPr>
          <w:p>
            <w:pPr>
              <w:pStyle w:val="0"/>
              <w:jc w:val="both"/>
            </w:pPr>
            <w:r>
              <w:rPr>
                <w:sz w:val="20"/>
              </w:rPr>
              <w:t xml:space="preserve">Обеспечение государственных гарантий прав граждан на получение общедоступного дошкольного, начального общего, основного общего, среднего общего образования и приведения в нормативное состояние зданий (обособленных помещений) общеобразовательных организаций</w:t>
            </w:r>
          </w:p>
        </w:tc>
        <w:tc>
          <w:tcPr>
            <w:tcW w:w="1984" w:type="dxa"/>
          </w:tcPr>
          <w:p>
            <w:pPr>
              <w:pStyle w:val="0"/>
              <w:jc w:val="both"/>
            </w:pPr>
            <w:r>
              <w:rPr>
                <w:sz w:val="20"/>
              </w:rPr>
              <w:t xml:space="preserve">"Капитальный ремонт образовательных организаций Нижегородской области"</w:t>
            </w:r>
          </w:p>
        </w:tc>
        <w:tc>
          <w:tcPr>
            <w:tcW w:w="3458" w:type="dxa"/>
          </w:tcPr>
          <w:p>
            <w:pPr>
              <w:pStyle w:val="0"/>
              <w:jc w:val="both"/>
            </w:pPr>
            <w:r>
              <w:rPr>
                <w:sz w:val="20"/>
              </w:rPr>
              <w:t xml:space="preserve">1. Обеспечение нормативных требований, предъявляемых к муниципальным и государственным образовательным организациям, реализующим общеобразовательные программы, согласно требованиям санитарно-эпидемиологического законодательства и нормам пожарной безопасности, необходимым для ведения безопасного, качественного и комфортного образовательного процесса.</w:t>
            </w:r>
          </w:p>
          <w:p>
            <w:pPr>
              <w:pStyle w:val="0"/>
              <w:jc w:val="both"/>
            </w:pPr>
            <w:r>
              <w:rPr>
                <w:sz w:val="20"/>
              </w:rPr>
              <w:t xml:space="preserve">2. Обеспечение нормативных требований, предъявляемых к муниципальным образовательным организациям, реализующим общеобразовательные программы, согласно требованиям санитарно-эпидемиологического законодательства и нормам пожарной безопасности, необходимым для ведения безопасного, качественного и комфортного образовательного процесса.</w:t>
            </w:r>
          </w:p>
          <w:p>
            <w:pPr>
              <w:pStyle w:val="0"/>
              <w:jc w:val="both"/>
            </w:pPr>
            <w:r>
              <w:rPr>
                <w:sz w:val="20"/>
              </w:rPr>
              <w:t xml:space="preserve">3. Обеспечение нормативных требований, предъявляемых к муниципальным образовательным организациям, реализующим программы дошкольного образования, согласно требованиям санитарно-эпидемиологического законодательства и нормам пожарной безопасности, необходимым для ведения безопасного, качественного и комфортного образовательного процесса.</w:t>
            </w:r>
          </w:p>
          <w:p>
            <w:pPr>
              <w:pStyle w:val="0"/>
              <w:jc w:val="both"/>
            </w:pPr>
            <w:r>
              <w:rPr>
                <w:sz w:val="20"/>
              </w:rPr>
              <w:t xml:space="preserve">4. Обеспечение нормативных требований, предъявляемых к учреждениям государственных бюджетных и автономных образовательных организаций, реализующим образовательные программы согласно требованиям санитарно-эпидемиологического законодательства и нормам пожарной безопасности, необходимым для ведения безопасного, качественного и комфортного образовательного процесса.</w:t>
            </w:r>
          </w:p>
        </w:tc>
        <w:tc>
          <w:tcPr>
            <w:tcW w:w="3175" w:type="dxa"/>
          </w:tcPr>
          <w:p>
            <w:pPr>
              <w:pStyle w:val="0"/>
              <w:jc w:val="both"/>
            </w:pPr>
            <w:r>
              <w:rPr>
                <w:sz w:val="20"/>
              </w:rPr>
              <w:t xml:space="preserve">- количество общеобразовательных организаций, в которых проведен комплексный капитальный ремонт;</w:t>
            </w:r>
          </w:p>
          <w:p>
            <w:pPr>
              <w:pStyle w:val="0"/>
              <w:jc w:val="both"/>
            </w:pPr>
            <w:r>
              <w:rPr>
                <w:sz w:val="20"/>
              </w:rPr>
              <w:t xml:space="preserve">- количество общеобразовательных организаций, в которых проведен капитальный ремонт по отдельным видам работ;</w:t>
            </w:r>
          </w:p>
          <w:p>
            <w:pPr>
              <w:pStyle w:val="0"/>
              <w:jc w:val="both"/>
            </w:pPr>
            <w:r>
              <w:rPr>
                <w:sz w:val="20"/>
              </w:rPr>
              <w:t xml:space="preserve">- количество муниципальных бюджетных дошкольных образовательных организаций, в которых проведен капитальный ремонт по отдельным видам работ;</w:t>
            </w:r>
          </w:p>
          <w:p>
            <w:pPr>
              <w:pStyle w:val="0"/>
              <w:jc w:val="both"/>
            </w:pPr>
            <w:r>
              <w:rPr>
                <w:sz w:val="20"/>
              </w:rPr>
              <w:t xml:space="preserve">- количество зданий (обособленных помещений) общеобразовательных организаций, в которых выполнен капитальный и которые оснащены современными средствами обучения и воспитания (согласно официальной статистической отчетности (формы ОО-2);</w:t>
            </w:r>
          </w:p>
          <w:p>
            <w:pPr>
              <w:pStyle w:val="0"/>
              <w:jc w:val="both"/>
            </w:pPr>
            <w:r>
              <w:rPr>
                <w:sz w:val="20"/>
              </w:rPr>
              <w:t xml:space="preserve">- количество государственных бюджетных и автономных образовательных организаций, реализующих образовательные программы среднего профессионального образования, в которых проведен капитальный ремонт по отдельным видам работ</w:t>
            </w:r>
          </w:p>
        </w:tc>
        <w:tc>
          <w:tcPr>
            <w:tcW w:w="1814" w:type="dxa"/>
          </w:tcPr>
          <w:p>
            <w:pPr>
              <w:pStyle w:val="0"/>
              <w:jc w:val="both"/>
            </w:pPr>
            <w:r>
              <w:rPr>
                <w:sz w:val="20"/>
              </w:rPr>
              <w:t xml:space="preserve">Национальная цель "Возможности для самореализации и развития талантов"/Государственная программа Российской Федерации "Развитие образования"</w:t>
            </w:r>
          </w:p>
        </w:tc>
      </w:tr>
      <w:tr>
        <w:tc>
          <w:tcPr>
            <w:tcW w:w="567" w:type="dxa"/>
          </w:tcPr>
          <w:p>
            <w:pPr>
              <w:pStyle w:val="0"/>
              <w:jc w:val="both"/>
            </w:pPr>
            <w:r>
              <w:rPr>
                <w:sz w:val="20"/>
              </w:rPr>
              <w:t xml:space="preserve">31</w:t>
            </w:r>
          </w:p>
        </w:tc>
        <w:tc>
          <w:tcPr>
            <w:tcW w:w="2324" w:type="dxa"/>
          </w:tcPr>
          <w:p>
            <w:pPr>
              <w:pStyle w:val="0"/>
              <w:jc w:val="both"/>
            </w:pPr>
            <w:r>
              <w:rPr>
                <w:sz w:val="20"/>
              </w:rPr>
              <w:t xml:space="preserve">Государственная </w:t>
            </w:r>
            <w:hyperlink w:history="0" r:id="rId66" w:tooltip="Постановление Правительства Нижегородской области от 30.06.2022 N 483 (ред. от 02.10.2024) &quot;Об утверждении государственной программы Нижегородской области &quot;Научно-технологическое развитие Нижегородской области&quot; {КонсультантПлюс}">
              <w:r>
                <w:rPr>
                  <w:sz w:val="20"/>
                  <w:color w:val="0000ff"/>
                </w:rPr>
                <w:t xml:space="preserve">программа</w:t>
              </w:r>
            </w:hyperlink>
            <w:r>
              <w:rPr>
                <w:sz w:val="20"/>
              </w:rPr>
              <w:t xml:space="preserve"> "Научно-технологическое развитие Нижегородской области", утвержденная постановлением Правительства Нижегородской области от 30 июня 2022 г. N 483</w:t>
            </w:r>
          </w:p>
        </w:tc>
        <w:tc>
          <w:tcPr>
            <w:tcW w:w="2324" w:type="dxa"/>
          </w:tcPr>
          <w:p>
            <w:pPr>
              <w:pStyle w:val="0"/>
              <w:jc w:val="both"/>
            </w:pPr>
            <w:r>
              <w:rPr>
                <w:sz w:val="20"/>
              </w:rPr>
              <w:t xml:space="preserve">Обеспечение поддержки, синхронизации и интенсификации сектора научных исследований и разработок, непосредственно влияющих на переход предприятий обрабатывающих производств Нижегородской области к новому технологическому укладу будущей цифровой экономики, достижение роста объемов производства и реализации наукоемкой и технологической продукции, высокой концентрации квалифицированных кадров в научно-производственные предприятия Нижегородской области, что окажет положительное влияние на производительность труда и объем валового регионального продукта в производственном секторе, создаст условия для роста уровня благосостояния граждан и внесет вклад в насыщение внутреннего и экспортного рынка высокотехнологической и инновационной продукции</w:t>
            </w:r>
          </w:p>
        </w:tc>
        <w:tc>
          <w:tcPr>
            <w:tcW w:w="1984" w:type="dxa"/>
          </w:tcPr>
          <w:p>
            <w:pPr>
              <w:pStyle w:val="0"/>
              <w:jc w:val="both"/>
            </w:pPr>
            <w:r>
              <w:rPr>
                <w:sz w:val="20"/>
              </w:rPr>
              <w:t xml:space="preserve">"Развитие науки и технологий"</w:t>
            </w:r>
          </w:p>
        </w:tc>
        <w:tc>
          <w:tcPr>
            <w:tcW w:w="3458" w:type="dxa"/>
          </w:tcPr>
          <w:p>
            <w:pPr>
              <w:pStyle w:val="0"/>
              <w:jc w:val="both"/>
            </w:pPr>
            <w:r>
              <w:rPr>
                <w:sz w:val="20"/>
              </w:rPr>
              <w:t xml:space="preserve">Созданы и начали функционировать кампусы образовательных организаций высшего образования</w:t>
            </w:r>
          </w:p>
        </w:tc>
        <w:tc>
          <w:tcPr>
            <w:tcW w:w="3175" w:type="dxa"/>
          </w:tcPr>
          <w:p>
            <w:pPr>
              <w:pStyle w:val="0"/>
              <w:jc w:val="both"/>
            </w:pPr>
            <w:r>
              <w:rPr>
                <w:sz w:val="20"/>
              </w:rPr>
              <w:t xml:space="preserve">- численность персонала, занятого исследованиями и разработками, всего;</w:t>
            </w:r>
          </w:p>
          <w:p>
            <w:pPr>
              <w:pStyle w:val="0"/>
              <w:jc w:val="both"/>
            </w:pPr>
            <w:r>
              <w:rPr>
                <w:sz w:val="20"/>
              </w:rPr>
              <w:t xml:space="preserve">- численность исследователей;</w:t>
            </w:r>
          </w:p>
          <w:p>
            <w:pPr>
              <w:pStyle w:val="0"/>
              <w:jc w:val="both"/>
            </w:pPr>
            <w:r>
              <w:rPr>
                <w:sz w:val="20"/>
              </w:rPr>
              <w:t xml:space="preserve">- численность исследователей, имеющих ученую степень;</w:t>
            </w:r>
          </w:p>
          <w:p>
            <w:pPr>
              <w:pStyle w:val="0"/>
              <w:jc w:val="both"/>
            </w:pPr>
            <w:r>
              <w:rPr>
                <w:sz w:val="20"/>
              </w:rPr>
              <w:t xml:space="preserve">- стоимость работ и услуг, выполненных собственными силами, в процентах к общему объему исследовательских, научно-технических работ и услуг;</w:t>
            </w:r>
          </w:p>
          <w:p>
            <w:pPr>
              <w:pStyle w:val="0"/>
              <w:jc w:val="both"/>
            </w:pPr>
            <w:r>
              <w:rPr>
                <w:sz w:val="20"/>
              </w:rPr>
              <w:t xml:space="preserve">- удельный вес инновационных товаров, работ, услуг в общем объеме отгруженных товаров, выполненных работ, услуг организаций;</w:t>
            </w:r>
          </w:p>
          <w:p>
            <w:pPr>
              <w:pStyle w:val="0"/>
              <w:jc w:val="both"/>
            </w:pPr>
            <w:r>
              <w:rPr>
                <w:sz w:val="20"/>
              </w:rPr>
              <w:t xml:space="preserve">- удельный вес исследователей в возрасте до 39 лет в общей численности исследователей;</w:t>
            </w:r>
          </w:p>
          <w:p>
            <w:pPr>
              <w:pStyle w:val="0"/>
              <w:jc w:val="both"/>
            </w:pPr>
            <w:r>
              <w:rPr>
                <w:sz w:val="20"/>
              </w:rPr>
              <w:t xml:space="preserve">- отношение внебюджетных средств и бюджетных ассигнований в составе внутренних затрат на исследования и разработки;</w:t>
            </w:r>
          </w:p>
          <w:p>
            <w:pPr>
              <w:pStyle w:val="0"/>
              <w:jc w:val="both"/>
            </w:pPr>
            <w:r>
              <w:rPr>
                <w:sz w:val="20"/>
              </w:rPr>
              <w:t xml:space="preserve">- количество поданных заявок на выдачу патентов на изобретения;</w:t>
            </w:r>
          </w:p>
          <w:p>
            <w:pPr>
              <w:pStyle w:val="0"/>
              <w:jc w:val="both"/>
            </w:pPr>
            <w:r>
              <w:rPr>
                <w:sz w:val="20"/>
              </w:rPr>
              <w:t xml:space="preserve">- количество лабораторий, созданных в новых объектах кампусов;</w:t>
            </w:r>
          </w:p>
          <w:p>
            <w:pPr>
              <w:pStyle w:val="0"/>
              <w:jc w:val="both"/>
            </w:pPr>
            <w:r>
              <w:rPr>
                <w:sz w:val="20"/>
              </w:rPr>
              <w:t xml:space="preserve">- количество новых мест, созданных в кампусах для проживания обучающихся, научно-педагогических работников, научных работников и иных категорий сотрудников образовательных организаций высшего</w:t>
            </w:r>
          </w:p>
          <w:p>
            <w:pPr>
              <w:pStyle w:val="0"/>
              <w:jc w:val="both"/>
            </w:pPr>
            <w:r>
              <w:rPr>
                <w:sz w:val="20"/>
              </w:rPr>
              <w:t xml:space="preserve">образования и научных организаций;</w:t>
            </w:r>
          </w:p>
          <w:p>
            <w:pPr>
              <w:pStyle w:val="0"/>
              <w:jc w:val="both"/>
            </w:pPr>
            <w:r>
              <w:rPr>
                <w:sz w:val="20"/>
              </w:rPr>
              <w:t xml:space="preserve">- количество объектов (спортивных, культурных, социально-бытовых и т.д.), созданных и/или реконструированных на</w:t>
            </w:r>
          </w:p>
          <w:p>
            <w:pPr>
              <w:pStyle w:val="0"/>
              <w:jc w:val="both"/>
            </w:pPr>
            <w:r>
              <w:rPr>
                <w:sz w:val="20"/>
              </w:rPr>
              <w:t xml:space="preserve">территории кампусов;</w:t>
            </w:r>
          </w:p>
          <w:p>
            <w:pPr>
              <w:pStyle w:val="0"/>
              <w:jc w:val="both"/>
            </w:pPr>
            <w:r>
              <w:rPr>
                <w:sz w:val="20"/>
              </w:rPr>
              <w:t xml:space="preserve">- количество объектов инновационной инфраструктуры, созданных на территории кампуса (технопарк, бизнес-инкубатор, точка кипения и иные);</w:t>
            </w:r>
          </w:p>
          <w:p>
            <w:pPr>
              <w:pStyle w:val="0"/>
              <w:jc w:val="both"/>
            </w:pPr>
            <w:r>
              <w:rPr>
                <w:sz w:val="20"/>
              </w:rPr>
              <w:t xml:space="preserve">- количество разработанных практико-ориентированных образовательных программ совместно с лидерами отрасли или индустриальными партнерами;</w:t>
            </w:r>
          </w:p>
          <w:p>
            <w:pPr>
              <w:pStyle w:val="0"/>
              <w:jc w:val="both"/>
            </w:pPr>
            <w:r>
              <w:rPr>
                <w:sz w:val="20"/>
              </w:rPr>
              <w:t xml:space="preserve">- количество сетевых образовательных программ, разработанных для проведения учебного процесса в новых объектах кампусов;</w:t>
            </w:r>
          </w:p>
          <w:p>
            <w:pPr>
              <w:pStyle w:val="0"/>
              <w:jc w:val="both"/>
            </w:pPr>
            <w:r>
              <w:rPr>
                <w:sz w:val="20"/>
              </w:rPr>
              <w:t xml:space="preserve">- количество структурных подразделений, созданных (размещенных) на территории кампусов совместно с внешними партнерами;</w:t>
            </w:r>
          </w:p>
          <w:p>
            <w:pPr>
              <w:pStyle w:val="0"/>
              <w:jc w:val="both"/>
            </w:pPr>
            <w:r>
              <w:rPr>
                <w:sz w:val="20"/>
              </w:rPr>
              <w:t xml:space="preserve">- объем площадей новых объектов кампусов, введенных в эксплуатацию;</w:t>
            </w:r>
          </w:p>
          <w:p>
            <w:pPr>
              <w:pStyle w:val="0"/>
              <w:jc w:val="both"/>
            </w:pPr>
            <w:r>
              <w:rPr>
                <w:sz w:val="20"/>
              </w:rPr>
              <w:t xml:space="preserve">- количество кампусов образовательных организаций высшего образования</w:t>
            </w:r>
          </w:p>
        </w:tc>
        <w:tc>
          <w:tcPr>
            <w:tcW w:w="1814" w:type="dxa"/>
          </w:tcPr>
          <w:p>
            <w:pPr>
              <w:pStyle w:val="0"/>
              <w:jc w:val="both"/>
            </w:pPr>
            <w:r>
              <w:rPr>
                <w:sz w:val="20"/>
              </w:rPr>
              <w:t xml:space="preserve">Национальная цель "Возможности для самореализации и развития талантов"/Государственная программа Российской Федерации "Научно-технологическое развитие Российской Федерации"</w:t>
            </w:r>
          </w:p>
        </w:tc>
      </w:tr>
      <w:tr>
        <w:tc>
          <w:tcPr>
            <w:tcW w:w="567" w:type="dxa"/>
          </w:tcPr>
          <w:p>
            <w:pPr>
              <w:pStyle w:val="0"/>
              <w:jc w:val="both"/>
            </w:pPr>
            <w:r>
              <w:rPr>
                <w:sz w:val="20"/>
              </w:rPr>
              <w:t xml:space="preserve">32</w:t>
            </w:r>
          </w:p>
        </w:tc>
        <w:tc>
          <w:tcPr>
            <w:tcW w:w="2324" w:type="dxa"/>
          </w:tcPr>
          <w:p>
            <w:pPr>
              <w:pStyle w:val="0"/>
              <w:jc w:val="both"/>
            </w:pPr>
            <w:r>
              <w:rPr>
                <w:sz w:val="20"/>
              </w:rPr>
              <w:t xml:space="preserve">Государственная </w:t>
            </w:r>
            <w:hyperlink w:history="0" r:id="rId67" w:tooltip="Постановление Правительства Нижегородской области от 18.12.2023 N 1081 &quot;Об утверждении государственной программы Нижегородской области &quot;Развитие туризма, промыслов и выставочно-конгрессной деятельности Нижегородской области&quot; {КонсультантПлюс}">
              <w:r>
                <w:rPr>
                  <w:sz w:val="20"/>
                  <w:color w:val="0000ff"/>
                </w:rPr>
                <w:t xml:space="preserve">программа</w:t>
              </w:r>
            </w:hyperlink>
            <w:r>
              <w:rPr>
                <w:sz w:val="20"/>
              </w:rPr>
              <w:t xml:space="preserve"> "Развитие туризма, промыслов и выставочно-конгрессной деятельности Нижегородской области", утвержденная постановлением Правительства Нижегородской области от 18 декабря 2023 г. N 1081</w:t>
            </w:r>
          </w:p>
        </w:tc>
        <w:tc>
          <w:tcPr>
            <w:tcW w:w="2324" w:type="dxa"/>
          </w:tcPr>
          <w:p>
            <w:pPr>
              <w:pStyle w:val="0"/>
              <w:jc w:val="both"/>
            </w:pPr>
            <w:r>
              <w:rPr>
                <w:sz w:val="20"/>
              </w:rPr>
              <w:t xml:space="preserve">1. Обеспечение устойчивого роста и эффективного развития туризма и индустрии гостеприимства, повышение туристской привлекательности Нижегородской области.</w:t>
            </w:r>
          </w:p>
          <w:p>
            <w:pPr>
              <w:pStyle w:val="0"/>
              <w:jc w:val="both"/>
            </w:pPr>
            <w:r>
              <w:rPr>
                <w:sz w:val="20"/>
              </w:rPr>
              <w:t xml:space="preserve">2. Сохранение и динамичное развитие народных художественных промыслов Нижегородской области.</w:t>
            </w:r>
          </w:p>
          <w:p>
            <w:pPr>
              <w:pStyle w:val="0"/>
              <w:jc w:val="both"/>
            </w:pPr>
            <w:r>
              <w:rPr>
                <w:sz w:val="20"/>
              </w:rPr>
              <w:t xml:space="preserve">3. Продвижение потенциала Нижегородской области в России и за рубежом</w:t>
            </w:r>
          </w:p>
        </w:tc>
        <w:tc>
          <w:tcPr>
            <w:tcW w:w="1984" w:type="dxa"/>
          </w:tcPr>
          <w:p>
            <w:pPr>
              <w:pStyle w:val="0"/>
              <w:jc w:val="both"/>
            </w:pPr>
            <w:r>
              <w:rPr>
                <w:sz w:val="20"/>
              </w:rPr>
              <w:t xml:space="preserve">1. "Развитие туризма и индустрии гостеприимства Нижегородской области".</w:t>
            </w:r>
          </w:p>
          <w:p>
            <w:pPr>
              <w:pStyle w:val="0"/>
              <w:jc w:val="both"/>
            </w:pPr>
            <w:r>
              <w:rPr>
                <w:sz w:val="20"/>
              </w:rPr>
              <w:t xml:space="preserve">2. "Сохранение, возрождение и развитие народных художественных промыслов Нижегородской области".</w:t>
            </w:r>
          </w:p>
          <w:p>
            <w:pPr>
              <w:pStyle w:val="0"/>
              <w:jc w:val="both"/>
            </w:pPr>
            <w:r>
              <w:rPr>
                <w:sz w:val="20"/>
              </w:rPr>
              <w:t xml:space="preserve">3. "Развитие выставочно-конгрессной деятельности Нижегородской области".</w:t>
            </w:r>
          </w:p>
          <w:p>
            <w:pPr>
              <w:pStyle w:val="0"/>
              <w:jc w:val="both"/>
            </w:pPr>
            <w:r>
              <w:rPr>
                <w:sz w:val="20"/>
              </w:rPr>
              <w:t xml:space="preserve">4. "Обеспечение реализации государственной программы"</w:t>
            </w:r>
          </w:p>
        </w:tc>
        <w:tc>
          <w:tcPr>
            <w:tcW w:w="3458" w:type="dxa"/>
          </w:tcPr>
          <w:p>
            <w:pPr>
              <w:pStyle w:val="0"/>
              <w:jc w:val="both"/>
            </w:pPr>
            <w:r>
              <w:rPr>
                <w:sz w:val="20"/>
              </w:rPr>
              <w:t xml:space="preserve">1. Создание модульных некапитальных средств размещения при реализации инвестиционных проектов.</w:t>
            </w:r>
          </w:p>
          <w:p>
            <w:pPr>
              <w:pStyle w:val="0"/>
              <w:jc w:val="both"/>
            </w:pPr>
            <w:r>
              <w:rPr>
                <w:sz w:val="20"/>
              </w:rPr>
              <w:t xml:space="preserve">2. Предоставление единой субсидии на достижение показателей государственной программы Российской Федерации "Развитие туризма".</w:t>
            </w:r>
          </w:p>
          <w:p>
            <w:pPr>
              <w:pStyle w:val="0"/>
              <w:jc w:val="both"/>
            </w:pPr>
            <w:r>
              <w:rPr>
                <w:sz w:val="20"/>
              </w:rPr>
              <w:t xml:space="preserve">3. Развитие территорий паломническо-туристического кластера "Арзамас - Дивеево - Саров".</w:t>
            </w:r>
          </w:p>
          <w:p>
            <w:pPr>
              <w:pStyle w:val="0"/>
              <w:jc w:val="both"/>
            </w:pPr>
            <w:r>
              <w:rPr>
                <w:sz w:val="20"/>
              </w:rPr>
              <w:t xml:space="preserve">4. Обеспечены благоприятные условия для развития туризма и индустрии гостеприимства Нижегородской области.</w:t>
            </w:r>
          </w:p>
          <w:p>
            <w:pPr>
              <w:pStyle w:val="0"/>
              <w:jc w:val="both"/>
            </w:pPr>
            <w:r>
              <w:rPr>
                <w:sz w:val="20"/>
              </w:rPr>
              <w:t xml:space="preserve">5. Привлечены инвестиции в туристическую сферу на поддержку проектов создания гостиниц.</w:t>
            </w:r>
          </w:p>
          <w:p>
            <w:pPr>
              <w:pStyle w:val="0"/>
              <w:jc w:val="both"/>
            </w:pPr>
            <w:r>
              <w:rPr>
                <w:sz w:val="20"/>
              </w:rPr>
              <w:t xml:space="preserve">6. Обеспечено развитие эко-рекреационного и аграрно-познавательного туризма.</w:t>
            </w:r>
          </w:p>
          <w:p>
            <w:pPr>
              <w:pStyle w:val="0"/>
              <w:jc w:val="both"/>
            </w:pPr>
            <w:r>
              <w:rPr>
                <w:sz w:val="20"/>
              </w:rPr>
              <w:t xml:space="preserve">7. Обеспечено сохранение кадрового потенциала отрасли народных художественных промыслов Нижегородской области.</w:t>
            </w:r>
          </w:p>
          <w:p>
            <w:pPr>
              <w:pStyle w:val="0"/>
              <w:jc w:val="both"/>
            </w:pPr>
            <w:r>
              <w:rPr>
                <w:sz w:val="20"/>
              </w:rPr>
              <w:t xml:space="preserve">8. Обеспечен прирост объема производства продукции отрасли народных художественных промыслов.</w:t>
            </w:r>
          </w:p>
          <w:p>
            <w:pPr>
              <w:pStyle w:val="0"/>
              <w:jc w:val="both"/>
            </w:pPr>
            <w:r>
              <w:rPr>
                <w:sz w:val="20"/>
              </w:rPr>
              <w:t xml:space="preserve">9. Обеспечены условия для сохранения, возрождения и развития народных художественных промыслов Нижегородской области.</w:t>
            </w:r>
          </w:p>
          <w:p>
            <w:pPr>
              <w:pStyle w:val="0"/>
              <w:jc w:val="both"/>
            </w:pPr>
            <w:r>
              <w:rPr>
                <w:sz w:val="20"/>
              </w:rPr>
              <w:t xml:space="preserve">10. Реализован План выставочно-конгрессных и иных мероприятий Правительства Нижегородской области</w:t>
            </w:r>
          </w:p>
        </w:tc>
        <w:tc>
          <w:tcPr>
            <w:tcW w:w="3175" w:type="dxa"/>
          </w:tcPr>
          <w:p>
            <w:pPr>
              <w:pStyle w:val="0"/>
              <w:jc w:val="both"/>
            </w:pPr>
            <w:r>
              <w:rPr>
                <w:sz w:val="20"/>
              </w:rPr>
              <w:t xml:space="preserve">- туристский поток (по числу поездок);</w:t>
            </w:r>
          </w:p>
          <w:p>
            <w:pPr>
              <w:pStyle w:val="0"/>
              <w:jc w:val="both"/>
            </w:pPr>
            <w:r>
              <w:rPr>
                <w:sz w:val="20"/>
              </w:rPr>
              <w:t xml:space="preserve">- число туристских поездок;</w:t>
            </w:r>
          </w:p>
          <w:p>
            <w:pPr>
              <w:pStyle w:val="0"/>
              <w:jc w:val="both"/>
            </w:pPr>
            <w:r>
              <w:rPr>
                <w:sz w:val="20"/>
              </w:rPr>
              <w:t xml:space="preserve">- число граждан РФ, размещенных в коллективных средствах размещения;</w:t>
            </w:r>
          </w:p>
          <w:p>
            <w:pPr>
              <w:pStyle w:val="0"/>
              <w:jc w:val="both"/>
            </w:pPr>
            <w:r>
              <w:rPr>
                <w:sz w:val="20"/>
              </w:rPr>
              <w:t xml:space="preserve">- число иностранных граждан, размещенных в коллективных средствах размещения;</w:t>
            </w:r>
          </w:p>
          <w:p>
            <w:pPr>
              <w:pStyle w:val="0"/>
              <w:jc w:val="both"/>
            </w:pPr>
            <w:r>
              <w:rPr>
                <w:sz w:val="20"/>
              </w:rPr>
              <w:t xml:space="preserve">- объем платных услуг в сфере туризма;</w:t>
            </w:r>
          </w:p>
          <w:p>
            <w:pPr>
              <w:pStyle w:val="0"/>
              <w:jc w:val="both"/>
            </w:pPr>
            <w:r>
              <w:rPr>
                <w:sz w:val="20"/>
              </w:rPr>
              <w:t xml:space="preserve">- численность лиц, размещенных в коллективных средствах размещения, расположенных в границах паломническо-туристического кластера "Арзамас - Дивеево - Саров";</w:t>
            </w:r>
          </w:p>
          <w:p>
            <w:pPr>
              <w:pStyle w:val="0"/>
              <w:jc w:val="both"/>
            </w:pPr>
            <w:r>
              <w:rPr>
                <w:sz w:val="20"/>
              </w:rPr>
              <w:t xml:space="preserve">- объем реализованной продукции субъектами народных художественных промыслов;</w:t>
            </w:r>
          </w:p>
          <w:p>
            <w:pPr>
              <w:pStyle w:val="0"/>
              <w:jc w:val="both"/>
            </w:pPr>
            <w:r>
              <w:rPr>
                <w:sz w:val="20"/>
              </w:rPr>
              <w:t xml:space="preserve">- объем производства продукции субъектами народных художественных промыслов;</w:t>
            </w:r>
          </w:p>
          <w:p>
            <w:pPr>
              <w:pStyle w:val="0"/>
              <w:jc w:val="both"/>
            </w:pPr>
            <w:r>
              <w:rPr>
                <w:sz w:val="20"/>
              </w:rPr>
              <w:t xml:space="preserve">- реализация Плана выставочно-конгрессных и иных мероприятий Правительства Нижегородской области, утвержденного Губернатором Нижегородской области</w:t>
            </w:r>
          </w:p>
        </w:tc>
        <w:tc>
          <w:tcPr>
            <w:tcW w:w="1814" w:type="dxa"/>
          </w:tcPr>
          <w:p>
            <w:pPr>
              <w:pStyle w:val="0"/>
              <w:jc w:val="both"/>
            </w:pPr>
            <w:r>
              <w:rPr>
                <w:sz w:val="20"/>
              </w:rPr>
              <w:t xml:space="preserve">Государственная программа Российской Федерации "Развитие туризма"</w:t>
            </w:r>
          </w:p>
        </w:tc>
      </w:tr>
      <w:tr>
        <w:tc>
          <w:tcPr>
            <w:tcW w:w="567" w:type="dxa"/>
          </w:tcPr>
          <w:p>
            <w:pPr>
              <w:pStyle w:val="0"/>
              <w:jc w:val="both"/>
            </w:pPr>
            <w:r>
              <w:rPr>
                <w:sz w:val="20"/>
              </w:rPr>
              <w:t xml:space="preserve">33</w:t>
            </w:r>
          </w:p>
        </w:tc>
        <w:tc>
          <w:tcPr>
            <w:tcW w:w="2324" w:type="dxa"/>
          </w:tcPr>
          <w:p>
            <w:pPr>
              <w:pStyle w:val="0"/>
              <w:jc w:val="both"/>
            </w:pPr>
            <w:r>
              <w:rPr>
                <w:sz w:val="20"/>
              </w:rPr>
              <w:t xml:space="preserve">Государственная </w:t>
            </w:r>
            <w:hyperlink w:history="0" r:id="rId68" w:tooltip="Постановление Правительства Нижегородской области от 15.03.2024 N 109 &quot;Об утверждении государственной программы Нижегородской области &quot;Развитие жилищного строительства и ликвидация аварийного жилищного фонда на территории Нижегородской области&quot; ------------ Недействующая редакция {КонсультантПлюс}">
              <w:r>
                <w:rPr>
                  <w:sz w:val="20"/>
                  <w:color w:val="0000ff"/>
                </w:rPr>
                <w:t xml:space="preserve">программа</w:t>
              </w:r>
            </w:hyperlink>
            <w:r>
              <w:rPr>
                <w:sz w:val="20"/>
              </w:rPr>
              <w:t xml:space="preserve"> "Развитие жилищного строительства и ликвидация аварийного жилищного фонда на территории Нижегородской области", утвержденная постановлением Правительства Нижегородской области от 15 марта 2024 г. N 109</w:t>
            </w:r>
          </w:p>
        </w:tc>
        <w:tc>
          <w:tcPr>
            <w:tcW w:w="2324" w:type="dxa"/>
          </w:tcPr>
          <w:p>
            <w:pPr>
              <w:pStyle w:val="0"/>
              <w:jc w:val="both"/>
            </w:pPr>
            <w:r>
              <w:rPr>
                <w:sz w:val="20"/>
              </w:rPr>
              <w:t xml:space="preserve">1. Увеличение годового объема ввода жилья до 2,6 млн кв. метров к 2030 году на территории Нижегородской области.</w:t>
            </w:r>
          </w:p>
          <w:p>
            <w:pPr>
              <w:pStyle w:val="0"/>
              <w:jc w:val="both"/>
            </w:pPr>
            <w:r>
              <w:rPr>
                <w:sz w:val="20"/>
              </w:rPr>
              <w:t xml:space="preserve">2. Расселение до 2024 года 0,22 млн кв. метров жилищного фонда, признанного непригодным для проживания на территории Нижегородской области</w:t>
            </w:r>
          </w:p>
        </w:tc>
        <w:tc>
          <w:tcPr>
            <w:tcW w:w="1984" w:type="dxa"/>
          </w:tcPr>
          <w:p>
            <w:pPr>
              <w:pStyle w:val="0"/>
              <w:jc w:val="both"/>
            </w:pPr>
            <w:r>
              <w:rPr>
                <w:sz w:val="20"/>
              </w:rPr>
              <w:t xml:space="preserve">1. "Реализация проектов по развитию территорий, предусматривающих строительство жилья".</w:t>
            </w:r>
          </w:p>
          <w:p>
            <w:pPr>
              <w:pStyle w:val="0"/>
              <w:jc w:val="both"/>
            </w:pPr>
            <w:r>
              <w:rPr>
                <w:sz w:val="20"/>
              </w:rPr>
              <w:t xml:space="preserve">2. "Обеспечение инженерной инфраструктурой земельных участков, предназначенных для бесплатного предоставления многодетным семьям для индивидуального жилищного строительства в Нижегородской области".</w:t>
            </w:r>
          </w:p>
          <w:p>
            <w:pPr>
              <w:pStyle w:val="0"/>
              <w:jc w:val="both"/>
            </w:pPr>
            <w:r>
              <w:rPr>
                <w:sz w:val="20"/>
              </w:rPr>
              <w:t xml:space="preserve">3. "Ликвидация аварийного жилищного фонда на территории Нижегородской области"</w:t>
            </w:r>
          </w:p>
        </w:tc>
        <w:tc>
          <w:tcPr>
            <w:tcW w:w="3458" w:type="dxa"/>
          </w:tcPr>
          <w:p>
            <w:pPr>
              <w:pStyle w:val="0"/>
              <w:jc w:val="both"/>
            </w:pPr>
            <w:r>
              <w:rPr>
                <w:sz w:val="20"/>
              </w:rPr>
              <w:t xml:space="preserve">1. Реализация проектов по развитию территорий, расположенных в границах населенных пунктов, предусматривающих строительство жилья.</w:t>
            </w:r>
          </w:p>
          <w:p>
            <w:pPr>
              <w:pStyle w:val="0"/>
              <w:jc w:val="both"/>
            </w:pPr>
            <w:r>
              <w:rPr>
                <w:sz w:val="20"/>
              </w:rPr>
              <w:t xml:space="preserve">2. Увеличение количества реализуемых в Нижегородской области инвестиционных проектов, предусматривающих строительство жилья.</w:t>
            </w:r>
          </w:p>
          <w:p>
            <w:pPr>
              <w:pStyle w:val="0"/>
              <w:jc w:val="both"/>
            </w:pPr>
            <w:r>
              <w:rPr>
                <w:sz w:val="20"/>
              </w:rPr>
              <w:t xml:space="preserve">3. Улучшение жилищных условий многодетных семей, проживающих на территории Нижегородской области.</w:t>
            </w:r>
          </w:p>
          <w:p>
            <w:pPr>
              <w:pStyle w:val="0"/>
              <w:jc w:val="both"/>
            </w:pPr>
            <w:r>
              <w:rPr>
                <w:sz w:val="20"/>
              </w:rPr>
              <w:t xml:space="preserve">4. Создание новых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pPr>
              <w:pStyle w:val="0"/>
              <w:jc w:val="both"/>
            </w:pPr>
            <w:r>
              <w:rPr>
                <w:sz w:val="20"/>
              </w:rPr>
              <w:t xml:space="preserve">5. Граждане расселены из аварийного жилищного фонда, признанного аварийным по состоянию на 01.01.2022.</w:t>
            </w:r>
          </w:p>
          <w:p>
            <w:pPr>
              <w:pStyle w:val="0"/>
              <w:jc w:val="both"/>
            </w:pPr>
            <w:r>
              <w:rPr>
                <w:sz w:val="20"/>
              </w:rPr>
              <w:t xml:space="preserve">6. Создание новых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pPr>
              <w:pStyle w:val="0"/>
              <w:jc w:val="both"/>
            </w:pPr>
            <w:r>
              <w:rPr>
                <w:sz w:val="20"/>
              </w:rPr>
              <w:t xml:space="preserve">7. Граждане расселены из аварийного жилищного фонда, признанного аварийным по состоянию на 01.01.2017.</w:t>
            </w:r>
          </w:p>
          <w:p>
            <w:pPr>
              <w:pStyle w:val="0"/>
              <w:jc w:val="both"/>
            </w:pPr>
            <w:r>
              <w:rPr>
                <w:sz w:val="20"/>
              </w:rPr>
              <w:t xml:space="preserve">8. Ликвидация расселенного аварийного жилищного фонда на территории Нижегородской области и высвобождение земельных участков с возможностью их дальнейшего вовлечения в оборот для развития территорий.</w:t>
            </w:r>
          </w:p>
          <w:p>
            <w:pPr>
              <w:pStyle w:val="0"/>
              <w:jc w:val="both"/>
            </w:pPr>
            <w:r>
              <w:rPr>
                <w:sz w:val="20"/>
              </w:rPr>
              <w:t xml:space="preserve">9. Расселение многоквартирных жилых домов в муниципальных образованиях Нижегородской области</w:t>
            </w:r>
          </w:p>
        </w:tc>
        <w:tc>
          <w:tcPr>
            <w:tcW w:w="3175" w:type="dxa"/>
          </w:tcPr>
          <w:p>
            <w:pPr>
              <w:pStyle w:val="0"/>
              <w:jc w:val="both"/>
            </w:pPr>
            <w:r>
              <w:rPr>
                <w:sz w:val="20"/>
              </w:rPr>
              <w:t xml:space="preserve">- объем жилищного строительства;</w:t>
            </w:r>
          </w:p>
          <w:p>
            <w:pPr>
              <w:pStyle w:val="0"/>
              <w:jc w:val="both"/>
            </w:pPr>
            <w:r>
              <w:rPr>
                <w:sz w:val="20"/>
              </w:rPr>
              <w:t xml:space="preserve">- ввод жилья в рамках мероприятия по стимулированию программ развития жилищного строительства субъектов Российской Федерации;</w:t>
            </w:r>
          </w:p>
          <w:p>
            <w:pPr>
              <w:pStyle w:val="0"/>
              <w:jc w:val="both"/>
            </w:pPr>
            <w:r>
              <w:rPr>
                <w:sz w:val="20"/>
              </w:rPr>
              <w:t xml:space="preserve">- создан объект инфраструктуры и введен в эксплуатацию;</w:t>
            </w:r>
          </w:p>
          <w:p>
            <w:pPr>
              <w:pStyle w:val="0"/>
              <w:jc w:val="both"/>
            </w:pPr>
            <w:r>
              <w:rPr>
                <w:sz w:val="20"/>
              </w:rPr>
              <w:t xml:space="preserve">- обеспечено функционирование объекта инфраструктуры;</w:t>
            </w:r>
          </w:p>
          <w:p>
            <w:pPr>
              <w:pStyle w:val="0"/>
              <w:jc w:val="both"/>
            </w:pPr>
            <w:r>
              <w:rPr>
                <w:sz w:val="20"/>
              </w:rPr>
              <w:t xml:space="preserve">- количество обеспеченных инженерной инфраструктурой земельных участков для бесплатного предоставления многодетным семьям для индивидуального жилищного строительства;</w:t>
            </w:r>
          </w:p>
          <w:p>
            <w:pPr>
              <w:pStyle w:val="0"/>
              <w:jc w:val="both"/>
            </w:pPr>
            <w:r>
              <w:rPr>
                <w:sz w:val="20"/>
              </w:rPr>
              <w:t xml:space="preserve">- количество проектно-сметной документации, получившей положительное заключение государственной экспертизы, на строительство объектов инженерной инфраструктурой на земельных участках, предназначенных для бесплатного предоставления многодетным семьям для индивидуального жилищного строительства;</w:t>
            </w:r>
          </w:p>
          <w:p>
            <w:pPr>
              <w:pStyle w:val="0"/>
              <w:jc w:val="both"/>
            </w:pPr>
            <w:r>
              <w:rPr>
                <w:sz w:val="20"/>
              </w:rPr>
              <w:t xml:space="preserve">- количество граждан, расселенных из непригодного для проживания жилищного фонда (нарастающим итогом);</w:t>
            </w:r>
          </w:p>
          <w:p>
            <w:pPr>
              <w:pStyle w:val="0"/>
              <w:jc w:val="both"/>
            </w:pPr>
            <w:r>
              <w:rPr>
                <w:sz w:val="20"/>
              </w:rPr>
              <w:t xml:space="preserve">- количество квадратных метров расселенного непригодного для проживания жилищного фонда (нарастающим итогом);</w:t>
            </w:r>
          </w:p>
          <w:p>
            <w:pPr>
              <w:pStyle w:val="0"/>
              <w:jc w:val="both"/>
            </w:pPr>
            <w:r>
              <w:rPr>
                <w:sz w:val="20"/>
              </w:rPr>
              <w:t xml:space="preserve">- количество освобожденных жилых помещений;</w:t>
            </w:r>
          </w:p>
          <w:p>
            <w:pPr>
              <w:pStyle w:val="0"/>
              <w:jc w:val="both"/>
            </w:pPr>
            <w:r>
              <w:rPr>
                <w:sz w:val="20"/>
              </w:rPr>
              <w:t xml:space="preserve">- количество снесенных аварийных многоквартирных жилых домов</w:t>
            </w:r>
          </w:p>
        </w:tc>
        <w:tc>
          <w:tcPr>
            <w:tcW w:w="1814" w:type="dxa"/>
          </w:tcPr>
          <w:p>
            <w:pPr>
              <w:pStyle w:val="0"/>
              <w:jc w:val="both"/>
            </w:pPr>
            <w:r>
              <w:rPr>
                <w:sz w:val="20"/>
              </w:rPr>
              <w:t xml:space="preserve">Национальная цель "Комфортная и безопасная среда для жизни"/Государственная программа Российской Федерации "Обеспечение доступным и комфортным жильем и коммунальными услугами граждан Российской Федерации"</w:t>
            </w:r>
          </w:p>
        </w:tc>
      </w:tr>
      <w:tr>
        <w:tc>
          <w:tcPr>
            <w:tcW w:w="567" w:type="dxa"/>
          </w:tcPr>
          <w:p>
            <w:pPr>
              <w:pStyle w:val="0"/>
              <w:jc w:val="both"/>
            </w:pPr>
            <w:r>
              <w:rPr>
                <w:sz w:val="20"/>
              </w:rPr>
              <w:t xml:space="preserve">34</w:t>
            </w:r>
          </w:p>
        </w:tc>
        <w:tc>
          <w:tcPr>
            <w:tcW w:w="2324" w:type="dxa"/>
          </w:tcPr>
          <w:p>
            <w:pPr>
              <w:pStyle w:val="0"/>
              <w:jc w:val="both"/>
            </w:pPr>
            <w:r>
              <w:rPr>
                <w:sz w:val="20"/>
              </w:rPr>
              <w:t xml:space="preserve">Государственная региональная </w:t>
            </w:r>
            <w:hyperlink w:history="0" r:id="rId69" w:tooltip="Постановление Правительства Нижегородской области от 10.07.2023 N 610 (ред. от 29.08.2024) &quot;Об утверждении государственной региональной программы Нижегородской области &quot;Модернизация систем коммунальной инфраструктуры (2023 - 2027 годы)&quot; ------------ Недействующая редакция {КонсультантПлюс}">
              <w:r>
                <w:rPr>
                  <w:sz w:val="20"/>
                  <w:color w:val="0000ff"/>
                </w:rPr>
                <w:t xml:space="preserve">программа</w:t>
              </w:r>
            </w:hyperlink>
            <w:r>
              <w:rPr>
                <w:sz w:val="20"/>
              </w:rPr>
              <w:t xml:space="preserve"> Нижегородской области "Модернизация систем коммунальной инфраструктуры (2023 - 2027 годы)", утвержденная постановлением Правительства Нижегородской области от 10 июля 2023 г. N 610</w:t>
            </w:r>
          </w:p>
        </w:tc>
        <w:tc>
          <w:tcPr>
            <w:tcW w:w="2324" w:type="dxa"/>
          </w:tcPr>
          <w:p>
            <w:pPr>
              <w:pStyle w:val="0"/>
              <w:jc w:val="both"/>
            </w:pPr>
            <w:r>
              <w:rPr>
                <w:sz w:val="20"/>
              </w:rPr>
              <w:t xml:space="preserve">Повышение качества и надежности предоставления коммунальных услуг населению Нижегородской области</w:t>
            </w:r>
          </w:p>
        </w:tc>
        <w:tc>
          <w:tcPr>
            <w:tcW w:w="1984" w:type="dxa"/>
          </w:tcPr>
          <w:p>
            <w:pPr>
              <w:pStyle w:val="0"/>
              <w:jc w:val="both"/>
            </w:pPr>
            <w:r>
              <w:rPr>
                <w:sz w:val="20"/>
              </w:rPr>
              <w:t xml:space="preserve">"Модернизация систем коммунальной инфраструктуры (2023 - 2027 годы)"</w:t>
            </w:r>
          </w:p>
        </w:tc>
        <w:tc>
          <w:tcPr>
            <w:tcW w:w="3458" w:type="dxa"/>
          </w:tcPr>
          <w:p>
            <w:pPr>
              <w:pStyle w:val="0"/>
              <w:jc w:val="both"/>
            </w:pPr>
            <w:r>
              <w:rPr>
                <w:sz w:val="20"/>
              </w:rPr>
              <w:t xml:space="preserve">Повышение качества и надежности предоставления коммунальных услуг населению Нижегородской области посредством модернизации объектов коммунальной инфраструктуры, в т.ч. модернизации, реконструкции и капитального ремонта линейных объектов</w:t>
            </w:r>
          </w:p>
        </w:tc>
        <w:tc>
          <w:tcPr>
            <w:tcW w:w="3175" w:type="dxa"/>
          </w:tcPr>
          <w:p>
            <w:pPr>
              <w:pStyle w:val="0"/>
              <w:jc w:val="both"/>
            </w:pPr>
            <w:r>
              <w:rPr>
                <w:sz w:val="20"/>
              </w:rPr>
              <w:t xml:space="preserve">- увеличение численности населения, для которого улучшится качество коммунальных услуг;</w:t>
            </w:r>
          </w:p>
          <w:p>
            <w:pPr>
              <w:pStyle w:val="0"/>
              <w:jc w:val="both"/>
            </w:pPr>
            <w:r>
              <w:rPr>
                <w:sz w:val="20"/>
              </w:rPr>
              <w:t xml:space="preserve">- увеличение протяженности замены инженерных сетей;</w:t>
            </w:r>
          </w:p>
          <w:p>
            <w:pPr>
              <w:pStyle w:val="0"/>
              <w:jc w:val="both"/>
            </w:pPr>
            <w:r>
              <w:rPr>
                <w:sz w:val="20"/>
              </w:rPr>
              <w:t xml:space="preserve">- снижение аварийности коммунальной инфраструктуры</w:t>
            </w:r>
          </w:p>
        </w:tc>
        <w:tc>
          <w:tcPr>
            <w:tcW w:w="1814" w:type="dxa"/>
          </w:tcPr>
          <w:p>
            <w:pPr>
              <w:pStyle w:val="0"/>
              <w:jc w:val="both"/>
            </w:pPr>
            <w:r>
              <w:rPr>
                <w:sz w:val="20"/>
              </w:rPr>
              <w:t xml:space="preserve">Национальная цель "Комфортная и безопасная среда для жизни"</w:t>
            </w:r>
          </w:p>
        </w:tc>
      </w:tr>
    </w:tbl>
    <w:p>
      <w:pPr>
        <w:sectPr>
          <w:headerReference w:type="default" r:id="rId9"/>
          <w:headerReference w:type="first" r:id="rId9"/>
          <w:footerReference w:type="default" r:id="rId10"/>
          <w:footerReference w:type="first" r:id="rId10"/>
          <w:pgSz w:w="16838" w:h="11906" w:orient="landscape"/>
          <w:pgMar w:top="1133" w:right="397" w:bottom="566" w:left="397" w:header="0" w:footer="0" w:gutter="0"/>
          <w:titlePg/>
        </w:sectPr>
      </w:pPr>
    </w:p>
    <w:p>
      <w:pPr>
        <w:pStyle w:val="0"/>
        <w:ind w:firstLine="540"/>
        <w:jc w:val="both"/>
      </w:pPr>
      <w:r>
        <w:rPr>
          <w:sz w:val="20"/>
        </w:rPr>
      </w:r>
    </w:p>
    <w:p>
      <w:pPr>
        <w:pStyle w:val="2"/>
        <w:outlineLvl w:val="3"/>
        <w:jc w:val="center"/>
      </w:pPr>
      <w:r>
        <w:rPr>
          <w:sz w:val="20"/>
        </w:rPr>
        <w:t xml:space="preserve">4.1. Прогноз баланса трудовых ресурсов Нижегородской области</w:t>
      </w:r>
    </w:p>
    <w:p>
      <w:pPr>
        <w:pStyle w:val="0"/>
        <w:ind w:firstLine="540"/>
        <w:jc w:val="both"/>
      </w:pPr>
      <w:r>
        <w:rPr>
          <w:sz w:val="20"/>
        </w:rPr>
      </w:r>
    </w:p>
    <w:p>
      <w:pPr>
        <w:pStyle w:val="0"/>
        <w:jc w:val="right"/>
      </w:pPr>
      <w:r>
        <w:rPr>
          <w:sz w:val="20"/>
        </w:rPr>
        <w:t xml:space="preserve">тыс. чел.</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72"/>
        <w:gridCol w:w="1077"/>
        <w:gridCol w:w="1134"/>
        <w:gridCol w:w="1077"/>
        <w:gridCol w:w="1134"/>
        <w:gridCol w:w="1077"/>
      </w:tblGrid>
      <w:tr>
        <w:tc>
          <w:tcPr>
            <w:tcW w:w="3572" w:type="dxa"/>
            <w:vMerge w:val="restart"/>
          </w:tcPr>
          <w:p>
            <w:pPr>
              <w:pStyle w:val="0"/>
              <w:jc w:val="center"/>
            </w:pPr>
            <w:r>
              <w:rPr>
                <w:sz w:val="20"/>
              </w:rPr>
              <w:t xml:space="preserve">Наименование показателя</w:t>
            </w:r>
          </w:p>
        </w:tc>
        <w:tc>
          <w:tcPr>
            <w:tcW w:w="1077" w:type="dxa"/>
            <w:vMerge w:val="restart"/>
          </w:tcPr>
          <w:p>
            <w:pPr>
              <w:pStyle w:val="0"/>
              <w:jc w:val="center"/>
            </w:pPr>
            <w:r>
              <w:rPr>
                <w:sz w:val="20"/>
              </w:rPr>
              <w:t xml:space="preserve">2023 год</w:t>
            </w:r>
          </w:p>
        </w:tc>
        <w:tc>
          <w:tcPr>
            <w:tcW w:w="1134" w:type="dxa"/>
            <w:vMerge w:val="restart"/>
          </w:tcPr>
          <w:p>
            <w:pPr>
              <w:pStyle w:val="0"/>
              <w:jc w:val="center"/>
            </w:pPr>
            <w:r>
              <w:rPr>
                <w:sz w:val="20"/>
              </w:rPr>
              <w:t xml:space="preserve">2024 год (оценка)</w:t>
            </w:r>
          </w:p>
        </w:tc>
        <w:tc>
          <w:tcPr>
            <w:tcW w:w="1077" w:type="dxa"/>
          </w:tcPr>
          <w:p>
            <w:pPr>
              <w:pStyle w:val="0"/>
              <w:jc w:val="center"/>
            </w:pPr>
            <w:r>
              <w:rPr>
                <w:sz w:val="20"/>
              </w:rPr>
              <w:t xml:space="preserve">2025 (прогноз)</w:t>
            </w:r>
          </w:p>
        </w:tc>
        <w:tc>
          <w:tcPr>
            <w:tcW w:w="1134" w:type="dxa"/>
          </w:tcPr>
          <w:p>
            <w:pPr>
              <w:pStyle w:val="0"/>
              <w:jc w:val="center"/>
            </w:pPr>
            <w:r>
              <w:rPr>
                <w:sz w:val="20"/>
              </w:rPr>
              <w:t xml:space="preserve">2026 (прогноз)</w:t>
            </w:r>
          </w:p>
        </w:tc>
        <w:tc>
          <w:tcPr>
            <w:tcW w:w="1077" w:type="dxa"/>
          </w:tcPr>
          <w:p>
            <w:pPr>
              <w:pStyle w:val="0"/>
              <w:jc w:val="center"/>
            </w:pPr>
            <w:r>
              <w:rPr>
                <w:sz w:val="20"/>
              </w:rPr>
              <w:t xml:space="preserve">2027 (прогноз)</w:t>
            </w:r>
          </w:p>
        </w:tc>
      </w:tr>
      <w:tr>
        <w:tc>
          <w:tcPr>
            <w:vMerge w:val="continue"/>
          </w:tcPr>
          <w:p/>
        </w:tc>
        <w:tc>
          <w:tcPr>
            <w:vMerge w:val="continue"/>
          </w:tcPr>
          <w:p/>
        </w:tc>
        <w:tc>
          <w:tcPr>
            <w:vMerge w:val="continue"/>
          </w:tcPr>
          <w:p/>
        </w:tc>
        <w:tc>
          <w:tcPr>
            <w:gridSpan w:val="3"/>
            <w:tcW w:w="3288" w:type="dxa"/>
          </w:tcPr>
          <w:p>
            <w:pPr>
              <w:pStyle w:val="0"/>
              <w:jc w:val="center"/>
            </w:pPr>
            <w:r>
              <w:rPr>
                <w:sz w:val="20"/>
              </w:rPr>
              <w:t xml:space="preserve">базовый вариант</w:t>
            </w:r>
          </w:p>
        </w:tc>
      </w:tr>
      <w:tr>
        <w:tc>
          <w:tcPr>
            <w:tcW w:w="3572" w:type="dxa"/>
          </w:tcPr>
          <w:p>
            <w:pPr>
              <w:pStyle w:val="0"/>
              <w:jc w:val="both"/>
            </w:pPr>
            <w:r>
              <w:rPr>
                <w:sz w:val="20"/>
              </w:rPr>
              <w:t xml:space="preserve">Численность трудовых ресурсов - всего, в том числе:</w:t>
            </w:r>
          </w:p>
        </w:tc>
        <w:tc>
          <w:tcPr>
            <w:tcW w:w="1077" w:type="dxa"/>
          </w:tcPr>
          <w:p>
            <w:pPr>
              <w:pStyle w:val="0"/>
              <w:jc w:val="center"/>
            </w:pPr>
            <w:r>
              <w:rPr>
                <w:sz w:val="20"/>
              </w:rPr>
              <w:t xml:space="preserve">1 874,8</w:t>
            </w:r>
          </w:p>
        </w:tc>
        <w:tc>
          <w:tcPr>
            <w:tcW w:w="1134" w:type="dxa"/>
          </w:tcPr>
          <w:p>
            <w:pPr>
              <w:pStyle w:val="0"/>
              <w:jc w:val="center"/>
            </w:pPr>
            <w:r>
              <w:rPr>
                <w:sz w:val="20"/>
              </w:rPr>
              <w:t xml:space="preserve">1 880,4</w:t>
            </w:r>
          </w:p>
        </w:tc>
        <w:tc>
          <w:tcPr>
            <w:tcW w:w="1077" w:type="dxa"/>
          </w:tcPr>
          <w:p>
            <w:pPr>
              <w:pStyle w:val="0"/>
              <w:jc w:val="center"/>
            </w:pPr>
            <w:r>
              <w:rPr>
                <w:sz w:val="20"/>
              </w:rPr>
              <w:t xml:space="preserve">1 888</w:t>
            </w:r>
          </w:p>
        </w:tc>
        <w:tc>
          <w:tcPr>
            <w:tcW w:w="1134" w:type="dxa"/>
          </w:tcPr>
          <w:p>
            <w:pPr>
              <w:pStyle w:val="0"/>
              <w:jc w:val="center"/>
            </w:pPr>
            <w:r>
              <w:rPr>
                <w:sz w:val="20"/>
              </w:rPr>
              <w:t xml:space="preserve">1 895,5</w:t>
            </w:r>
          </w:p>
        </w:tc>
        <w:tc>
          <w:tcPr>
            <w:tcW w:w="1077" w:type="dxa"/>
          </w:tcPr>
          <w:p>
            <w:pPr>
              <w:pStyle w:val="0"/>
              <w:jc w:val="center"/>
            </w:pPr>
            <w:r>
              <w:rPr>
                <w:sz w:val="20"/>
              </w:rPr>
              <w:t xml:space="preserve">1 903,2</w:t>
            </w:r>
          </w:p>
        </w:tc>
      </w:tr>
      <w:tr>
        <w:tc>
          <w:tcPr>
            <w:tcW w:w="3572" w:type="dxa"/>
          </w:tcPr>
          <w:p>
            <w:pPr>
              <w:pStyle w:val="0"/>
              <w:jc w:val="both"/>
            </w:pPr>
            <w:r>
              <w:rPr>
                <w:sz w:val="20"/>
              </w:rPr>
              <w:t xml:space="preserve">трудоспособное население в трудоспособном возрасте</w:t>
            </w:r>
          </w:p>
        </w:tc>
        <w:tc>
          <w:tcPr>
            <w:tcW w:w="1077" w:type="dxa"/>
          </w:tcPr>
          <w:p>
            <w:pPr>
              <w:pStyle w:val="0"/>
              <w:jc w:val="center"/>
            </w:pPr>
            <w:r>
              <w:rPr>
                <w:sz w:val="20"/>
              </w:rPr>
              <w:t xml:space="preserve">1 671,1</w:t>
            </w:r>
          </w:p>
        </w:tc>
        <w:tc>
          <w:tcPr>
            <w:tcW w:w="1134" w:type="dxa"/>
          </w:tcPr>
          <w:p>
            <w:pPr>
              <w:pStyle w:val="0"/>
              <w:jc w:val="center"/>
            </w:pPr>
            <w:r>
              <w:rPr>
                <w:sz w:val="20"/>
              </w:rPr>
              <w:t xml:space="preserve">1 676,2</w:t>
            </w:r>
          </w:p>
        </w:tc>
        <w:tc>
          <w:tcPr>
            <w:tcW w:w="1077" w:type="dxa"/>
          </w:tcPr>
          <w:p>
            <w:pPr>
              <w:pStyle w:val="0"/>
              <w:jc w:val="center"/>
            </w:pPr>
            <w:r>
              <w:rPr>
                <w:sz w:val="20"/>
              </w:rPr>
              <w:t xml:space="preserve">1 682,9</w:t>
            </w:r>
          </w:p>
        </w:tc>
        <w:tc>
          <w:tcPr>
            <w:tcW w:w="1134" w:type="dxa"/>
          </w:tcPr>
          <w:p>
            <w:pPr>
              <w:pStyle w:val="0"/>
              <w:jc w:val="center"/>
            </w:pPr>
            <w:r>
              <w:rPr>
                <w:sz w:val="20"/>
              </w:rPr>
              <w:t xml:space="preserve">1 689,6</w:t>
            </w:r>
          </w:p>
        </w:tc>
        <w:tc>
          <w:tcPr>
            <w:tcW w:w="1077" w:type="dxa"/>
          </w:tcPr>
          <w:p>
            <w:pPr>
              <w:pStyle w:val="0"/>
              <w:jc w:val="center"/>
            </w:pPr>
            <w:r>
              <w:rPr>
                <w:sz w:val="20"/>
              </w:rPr>
              <w:t xml:space="preserve">1 696,4</w:t>
            </w:r>
          </w:p>
        </w:tc>
      </w:tr>
      <w:tr>
        <w:tc>
          <w:tcPr>
            <w:tcW w:w="3572" w:type="dxa"/>
          </w:tcPr>
          <w:p>
            <w:pPr>
              <w:pStyle w:val="0"/>
              <w:jc w:val="both"/>
            </w:pPr>
            <w:r>
              <w:rPr>
                <w:sz w:val="20"/>
              </w:rPr>
              <w:t xml:space="preserve">иностранные трудовые мигранты</w:t>
            </w:r>
          </w:p>
        </w:tc>
        <w:tc>
          <w:tcPr>
            <w:tcW w:w="1077" w:type="dxa"/>
          </w:tcPr>
          <w:p>
            <w:pPr>
              <w:pStyle w:val="0"/>
              <w:jc w:val="center"/>
            </w:pPr>
            <w:r>
              <w:rPr>
                <w:sz w:val="20"/>
              </w:rPr>
              <w:t xml:space="preserve">48,4</w:t>
            </w:r>
          </w:p>
        </w:tc>
        <w:tc>
          <w:tcPr>
            <w:tcW w:w="1134" w:type="dxa"/>
          </w:tcPr>
          <w:p>
            <w:pPr>
              <w:pStyle w:val="0"/>
              <w:jc w:val="center"/>
            </w:pPr>
            <w:r>
              <w:rPr>
                <w:sz w:val="20"/>
              </w:rPr>
              <w:t xml:space="preserve">48,7</w:t>
            </w:r>
          </w:p>
        </w:tc>
        <w:tc>
          <w:tcPr>
            <w:tcW w:w="1077" w:type="dxa"/>
          </w:tcPr>
          <w:p>
            <w:pPr>
              <w:pStyle w:val="0"/>
              <w:jc w:val="center"/>
            </w:pPr>
            <w:r>
              <w:rPr>
                <w:sz w:val="20"/>
              </w:rPr>
              <w:t xml:space="preserve">49,1</w:t>
            </w:r>
          </w:p>
        </w:tc>
        <w:tc>
          <w:tcPr>
            <w:tcW w:w="1134" w:type="dxa"/>
          </w:tcPr>
          <w:p>
            <w:pPr>
              <w:pStyle w:val="0"/>
              <w:jc w:val="center"/>
            </w:pPr>
            <w:r>
              <w:rPr>
                <w:sz w:val="20"/>
              </w:rPr>
              <w:t xml:space="preserve">49,5</w:t>
            </w:r>
          </w:p>
        </w:tc>
        <w:tc>
          <w:tcPr>
            <w:tcW w:w="1077" w:type="dxa"/>
          </w:tcPr>
          <w:p>
            <w:pPr>
              <w:pStyle w:val="0"/>
              <w:jc w:val="center"/>
            </w:pPr>
            <w:r>
              <w:rPr>
                <w:sz w:val="20"/>
              </w:rPr>
              <w:t xml:space="preserve">49,9</w:t>
            </w:r>
          </w:p>
        </w:tc>
      </w:tr>
      <w:tr>
        <w:tc>
          <w:tcPr>
            <w:tcW w:w="3572" w:type="dxa"/>
          </w:tcPr>
          <w:p>
            <w:pPr>
              <w:pStyle w:val="0"/>
              <w:jc w:val="both"/>
            </w:pPr>
            <w:r>
              <w:rPr>
                <w:sz w:val="20"/>
              </w:rPr>
              <w:t xml:space="preserve">лица старше трудоспособного возраста и подростки, занятые в экономике, в том числе:</w:t>
            </w:r>
          </w:p>
        </w:tc>
        <w:tc>
          <w:tcPr>
            <w:tcW w:w="1077" w:type="dxa"/>
          </w:tcPr>
          <w:p>
            <w:pPr>
              <w:pStyle w:val="0"/>
              <w:jc w:val="center"/>
            </w:pPr>
            <w:r>
              <w:rPr>
                <w:sz w:val="20"/>
              </w:rPr>
              <w:t xml:space="preserve">155,3</w:t>
            </w:r>
          </w:p>
        </w:tc>
        <w:tc>
          <w:tcPr>
            <w:tcW w:w="1134" w:type="dxa"/>
          </w:tcPr>
          <w:p>
            <w:pPr>
              <w:pStyle w:val="0"/>
              <w:jc w:val="center"/>
            </w:pPr>
            <w:r>
              <w:rPr>
                <w:sz w:val="20"/>
              </w:rPr>
              <w:t xml:space="preserve">155,5</w:t>
            </w:r>
          </w:p>
        </w:tc>
        <w:tc>
          <w:tcPr>
            <w:tcW w:w="1077" w:type="dxa"/>
          </w:tcPr>
          <w:p>
            <w:pPr>
              <w:pStyle w:val="0"/>
              <w:jc w:val="center"/>
            </w:pPr>
            <w:r>
              <w:rPr>
                <w:sz w:val="20"/>
              </w:rPr>
              <w:t xml:space="preserve">156</w:t>
            </w:r>
          </w:p>
        </w:tc>
        <w:tc>
          <w:tcPr>
            <w:tcW w:w="1134" w:type="dxa"/>
          </w:tcPr>
          <w:p>
            <w:pPr>
              <w:pStyle w:val="0"/>
              <w:jc w:val="center"/>
            </w:pPr>
            <w:r>
              <w:rPr>
                <w:sz w:val="20"/>
              </w:rPr>
              <w:t xml:space="preserve">156,4</w:t>
            </w:r>
          </w:p>
        </w:tc>
        <w:tc>
          <w:tcPr>
            <w:tcW w:w="1077" w:type="dxa"/>
          </w:tcPr>
          <w:p>
            <w:pPr>
              <w:pStyle w:val="0"/>
              <w:jc w:val="center"/>
            </w:pPr>
            <w:r>
              <w:rPr>
                <w:sz w:val="20"/>
              </w:rPr>
              <w:t xml:space="preserve">156,9</w:t>
            </w:r>
          </w:p>
        </w:tc>
      </w:tr>
      <w:tr>
        <w:tc>
          <w:tcPr>
            <w:tcW w:w="3572" w:type="dxa"/>
          </w:tcPr>
          <w:p>
            <w:pPr>
              <w:pStyle w:val="0"/>
              <w:jc w:val="both"/>
            </w:pPr>
            <w:r>
              <w:rPr>
                <w:sz w:val="20"/>
              </w:rPr>
              <w:t xml:space="preserve">лица старше трудоспособного возраста</w:t>
            </w:r>
          </w:p>
        </w:tc>
        <w:tc>
          <w:tcPr>
            <w:tcW w:w="1077" w:type="dxa"/>
          </w:tcPr>
          <w:p>
            <w:pPr>
              <w:pStyle w:val="0"/>
              <w:jc w:val="center"/>
            </w:pPr>
            <w:r>
              <w:rPr>
                <w:sz w:val="20"/>
              </w:rPr>
              <w:t xml:space="preserve">154,6</w:t>
            </w:r>
          </w:p>
        </w:tc>
        <w:tc>
          <w:tcPr>
            <w:tcW w:w="1134" w:type="dxa"/>
          </w:tcPr>
          <w:p>
            <w:pPr>
              <w:pStyle w:val="0"/>
              <w:jc w:val="center"/>
            </w:pPr>
            <w:r>
              <w:rPr>
                <w:sz w:val="20"/>
              </w:rPr>
              <w:t xml:space="preserve">154,9</w:t>
            </w:r>
          </w:p>
        </w:tc>
        <w:tc>
          <w:tcPr>
            <w:tcW w:w="1077" w:type="dxa"/>
          </w:tcPr>
          <w:p>
            <w:pPr>
              <w:pStyle w:val="0"/>
              <w:jc w:val="center"/>
            </w:pPr>
            <w:r>
              <w:rPr>
                <w:sz w:val="20"/>
              </w:rPr>
              <w:t xml:space="preserve">155,4</w:t>
            </w:r>
          </w:p>
        </w:tc>
        <w:tc>
          <w:tcPr>
            <w:tcW w:w="1134" w:type="dxa"/>
          </w:tcPr>
          <w:p>
            <w:pPr>
              <w:pStyle w:val="0"/>
              <w:jc w:val="center"/>
            </w:pPr>
            <w:r>
              <w:rPr>
                <w:sz w:val="20"/>
              </w:rPr>
              <w:t xml:space="preserve">155,8</w:t>
            </w:r>
          </w:p>
        </w:tc>
        <w:tc>
          <w:tcPr>
            <w:tcW w:w="1077" w:type="dxa"/>
          </w:tcPr>
          <w:p>
            <w:pPr>
              <w:pStyle w:val="0"/>
              <w:jc w:val="center"/>
            </w:pPr>
            <w:r>
              <w:rPr>
                <w:sz w:val="20"/>
              </w:rPr>
              <w:t xml:space="preserve">156,3</w:t>
            </w:r>
          </w:p>
        </w:tc>
      </w:tr>
      <w:tr>
        <w:tc>
          <w:tcPr>
            <w:tcW w:w="3572" w:type="dxa"/>
          </w:tcPr>
          <w:p>
            <w:pPr>
              <w:pStyle w:val="0"/>
              <w:jc w:val="both"/>
            </w:pPr>
            <w:r>
              <w:rPr>
                <w:sz w:val="20"/>
              </w:rPr>
              <w:t xml:space="preserve">подростки</w:t>
            </w:r>
          </w:p>
        </w:tc>
        <w:tc>
          <w:tcPr>
            <w:tcW w:w="1077" w:type="dxa"/>
          </w:tcPr>
          <w:p>
            <w:pPr>
              <w:pStyle w:val="0"/>
              <w:jc w:val="center"/>
            </w:pPr>
            <w:r>
              <w:rPr>
                <w:sz w:val="20"/>
              </w:rPr>
              <w:t xml:space="preserve">0,6</w:t>
            </w:r>
          </w:p>
        </w:tc>
        <w:tc>
          <w:tcPr>
            <w:tcW w:w="1134" w:type="dxa"/>
          </w:tcPr>
          <w:p>
            <w:pPr>
              <w:pStyle w:val="0"/>
              <w:jc w:val="center"/>
            </w:pPr>
            <w:r>
              <w:rPr>
                <w:sz w:val="20"/>
              </w:rPr>
              <w:t xml:space="preserve">0,6</w:t>
            </w:r>
          </w:p>
        </w:tc>
        <w:tc>
          <w:tcPr>
            <w:tcW w:w="1077" w:type="dxa"/>
          </w:tcPr>
          <w:p>
            <w:pPr>
              <w:pStyle w:val="0"/>
              <w:jc w:val="center"/>
            </w:pPr>
            <w:r>
              <w:rPr>
                <w:sz w:val="20"/>
              </w:rPr>
              <w:t xml:space="preserve">0,6</w:t>
            </w:r>
          </w:p>
        </w:tc>
        <w:tc>
          <w:tcPr>
            <w:tcW w:w="1134" w:type="dxa"/>
          </w:tcPr>
          <w:p>
            <w:pPr>
              <w:pStyle w:val="0"/>
              <w:jc w:val="center"/>
            </w:pPr>
            <w:r>
              <w:rPr>
                <w:sz w:val="20"/>
              </w:rPr>
              <w:t xml:space="preserve">0,6</w:t>
            </w:r>
          </w:p>
        </w:tc>
        <w:tc>
          <w:tcPr>
            <w:tcW w:w="1077" w:type="dxa"/>
          </w:tcPr>
          <w:p>
            <w:pPr>
              <w:pStyle w:val="0"/>
              <w:jc w:val="center"/>
            </w:pPr>
            <w:r>
              <w:rPr>
                <w:sz w:val="20"/>
              </w:rPr>
              <w:t xml:space="preserve">0,6</w:t>
            </w:r>
          </w:p>
        </w:tc>
      </w:tr>
      <w:tr>
        <w:tc>
          <w:tcPr>
            <w:tcW w:w="3572" w:type="dxa"/>
          </w:tcPr>
          <w:p>
            <w:pPr>
              <w:pStyle w:val="0"/>
              <w:jc w:val="both"/>
            </w:pPr>
            <w:r>
              <w:rPr>
                <w:sz w:val="20"/>
              </w:rPr>
              <w:t xml:space="preserve">Распределение численности трудовых ресурсов:</w:t>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r>
      <w:tr>
        <w:tc>
          <w:tcPr>
            <w:tcW w:w="3572" w:type="dxa"/>
          </w:tcPr>
          <w:p>
            <w:pPr>
              <w:pStyle w:val="0"/>
              <w:jc w:val="both"/>
            </w:pPr>
            <w:r>
              <w:rPr>
                <w:sz w:val="20"/>
              </w:rPr>
              <w:t xml:space="preserve">Среднегодовая численность занятых в экономике</w:t>
            </w:r>
          </w:p>
        </w:tc>
        <w:tc>
          <w:tcPr>
            <w:tcW w:w="1077" w:type="dxa"/>
          </w:tcPr>
          <w:p>
            <w:pPr>
              <w:pStyle w:val="0"/>
              <w:jc w:val="center"/>
            </w:pPr>
            <w:r>
              <w:rPr>
                <w:sz w:val="20"/>
              </w:rPr>
              <w:t xml:space="preserve">1 660,5</w:t>
            </w:r>
          </w:p>
        </w:tc>
        <w:tc>
          <w:tcPr>
            <w:tcW w:w="1134" w:type="dxa"/>
          </w:tcPr>
          <w:p>
            <w:pPr>
              <w:pStyle w:val="0"/>
              <w:jc w:val="center"/>
            </w:pPr>
            <w:r>
              <w:rPr>
                <w:sz w:val="20"/>
              </w:rPr>
              <w:t xml:space="preserve">1 667,4</w:t>
            </w:r>
          </w:p>
        </w:tc>
        <w:tc>
          <w:tcPr>
            <w:tcW w:w="1077" w:type="dxa"/>
          </w:tcPr>
          <w:p>
            <w:pPr>
              <w:pStyle w:val="0"/>
              <w:jc w:val="center"/>
            </w:pPr>
            <w:r>
              <w:rPr>
                <w:sz w:val="20"/>
              </w:rPr>
              <w:t xml:space="preserve">1 675,2</w:t>
            </w:r>
          </w:p>
        </w:tc>
        <w:tc>
          <w:tcPr>
            <w:tcW w:w="1134" w:type="dxa"/>
          </w:tcPr>
          <w:p>
            <w:pPr>
              <w:pStyle w:val="0"/>
              <w:jc w:val="center"/>
            </w:pPr>
            <w:r>
              <w:rPr>
                <w:sz w:val="20"/>
              </w:rPr>
              <w:t xml:space="preserve">1 683,4</w:t>
            </w:r>
          </w:p>
        </w:tc>
        <w:tc>
          <w:tcPr>
            <w:tcW w:w="1077" w:type="dxa"/>
          </w:tcPr>
          <w:p>
            <w:pPr>
              <w:pStyle w:val="0"/>
              <w:jc w:val="center"/>
            </w:pPr>
            <w:r>
              <w:rPr>
                <w:sz w:val="20"/>
              </w:rPr>
              <w:t xml:space="preserve">1 691,8</w:t>
            </w:r>
          </w:p>
        </w:tc>
      </w:tr>
      <w:tr>
        <w:tc>
          <w:tcPr>
            <w:tcW w:w="3572" w:type="dxa"/>
          </w:tcPr>
          <w:p>
            <w:pPr>
              <w:pStyle w:val="0"/>
              <w:jc w:val="both"/>
            </w:pPr>
            <w:r>
              <w:rPr>
                <w:sz w:val="20"/>
              </w:rPr>
              <w:t xml:space="preserve">Учащиеся в трудоспособном возрасте, обучающиеся с отрывом от работы</w:t>
            </w:r>
          </w:p>
        </w:tc>
        <w:tc>
          <w:tcPr>
            <w:tcW w:w="1077" w:type="dxa"/>
          </w:tcPr>
          <w:p>
            <w:pPr>
              <w:pStyle w:val="0"/>
              <w:jc w:val="center"/>
            </w:pPr>
            <w:r>
              <w:rPr>
                <w:sz w:val="20"/>
              </w:rPr>
              <w:t xml:space="preserve">138</w:t>
            </w:r>
          </w:p>
        </w:tc>
        <w:tc>
          <w:tcPr>
            <w:tcW w:w="1134" w:type="dxa"/>
          </w:tcPr>
          <w:p>
            <w:pPr>
              <w:pStyle w:val="0"/>
              <w:jc w:val="center"/>
            </w:pPr>
            <w:r>
              <w:rPr>
                <w:sz w:val="20"/>
              </w:rPr>
              <w:t xml:space="preserve">138,2</w:t>
            </w:r>
          </w:p>
        </w:tc>
        <w:tc>
          <w:tcPr>
            <w:tcW w:w="1077" w:type="dxa"/>
          </w:tcPr>
          <w:p>
            <w:pPr>
              <w:pStyle w:val="0"/>
              <w:jc w:val="center"/>
            </w:pPr>
            <w:r>
              <w:rPr>
                <w:sz w:val="20"/>
              </w:rPr>
              <w:t xml:space="preserve">138,3</w:t>
            </w:r>
          </w:p>
        </w:tc>
        <w:tc>
          <w:tcPr>
            <w:tcW w:w="1134" w:type="dxa"/>
          </w:tcPr>
          <w:p>
            <w:pPr>
              <w:pStyle w:val="0"/>
              <w:jc w:val="center"/>
            </w:pPr>
            <w:r>
              <w:rPr>
                <w:sz w:val="20"/>
              </w:rPr>
              <w:t xml:space="preserve">138,4</w:t>
            </w:r>
          </w:p>
        </w:tc>
        <w:tc>
          <w:tcPr>
            <w:tcW w:w="1077" w:type="dxa"/>
          </w:tcPr>
          <w:p>
            <w:pPr>
              <w:pStyle w:val="0"/>
              <w:jc w:val="center"/>
            </w:pPr>
            <w:r>
              <w:rPr>
                <w:sz w:val="20"/>
              </w:rPr>
              <w:t xml:space="preserve">138,5</w:t>
            </w:r>
          </w:p>
        </w:tc>
      </w:tr>
      <w:tr>
        <w:tc>
          <w:tcPr>
            <w:tcW w:w="3572" w:type="dxa"/>
          </w:tcPr>
          <w:p>
            <w:pPr>
              <w:pStyle w:val="0"/>
              <w:jc w:val="both"/>
            </w:pPr>
            <w:r>
              <w:rPr>
                <w:sz w:val="20"/>
              </w:rPr>
              <w:t xml:space="preserve">Трудоспособное население в трудоспособном возрасте, не занятое в экономике и учебой: военнослужащие; российские граждане, работающие за границей; безработные; домохозяйки и др. население</w:t>
            </w:r>
          </w:p>
        </w:tc>
        <w:tc>
          <w:tcPr>
            <w:tcW w:w="1077" w:type="dxa"/>
          </w:tcPr>
          <w:p>
            <w:pPr>
              <w:pStyle w:val="0"/>
              <w:jc w:val="center"/>
            </w:pPr>
            <w:r>
              <w:rPr>
                <w:sz w:val="20"/>
              </w:rPr>
              <w:t xml:space="preserve">76,3</w:t>
            </w:r>
          </w:p>
        </w:tc>
        <w:tc>
          <w:tcPr>
            <w:tcW w:w="1134" w:type="dxa"/>
          </w:tcPr>
          <w:p>
            <w:pPr>
              <w:pStyle w:val="0"/>
              <w:jc w:val="center"/>
            </w:pPr>
            <w:r>
              <w:rPr>
                <w:sz w:val="20"/>
              </w:rPr>
              <w:t xml:space="preserve">74,8</w:t>
            </w:r>
          </w:p>
        </w:tc>
        <w:tc>
          <w:tcPr>
            <w:tcW w:w="1077" w:type="dxa"/>
          </w:tcPr>
          <w:p>
            <w:pPr>
              <w:pStyle w:val="0"/>
              <w:jc w:val="center"/>
            </w:pPr>
            <w:r>
              <w:rPr>
                <w:sz w:val="20"/>
              </w:rPr>
              <w:t xml:space="preserve">74,5</w:t>
            </w:r>
          </w:p>
        </w:tc>
        <w:tc>
          <w:tcPr>
            <w:tcW w:w="1134" w:type="dxa"/>
          </w:tcPr>
          <w:p>
            <w:pPr>
              <w:pStyle w:val="0"/>
              <w:jc w:val="center"/>
            </w:pPr>
            <w:r>
              <w:rPr>
                <w:sz w:val="20"/>
              </w:rPr>
              <w:t xml:space="preserve">73,7</w:t>
            </w:r>
          </w:p>
        </w:tc>
        <w:tc>
          <w:tcPr>
            <w:tcW w:w="1077" w:type="dxa"/>
          </w:tcPr>
          <w:p>
            <w:pPr>
              <w:pStyle w:val="0"/>
              <w:jc w:val="center"/>
            </w:pPr>
            <w:r>
              <w:rPr>
                <w:sz w:val="20"/>
              </w:rPr>
              <w:t xml:space="preserve">72,9</w:t>
            </w:r>
          </w:p>
        </w:tc>
      </w:tr>
    </w:tbl>
    <w:p>
      <w:pPr>
        <w:pStyle w:val="0"/>
        <w:ind w:firstLine="540"/>
        <w:jc w:val="both"/>
      </w:pPr>
      <w:r>
        <w:rPr>
          <w:sz w:val="20"/>
        </w:rPr>
      </w:r>
    </w:p>
    <w:p>
      <w:pPr>
        <w:pStyle w:val="2"/>
        <w:outlineLvl w:val="4"/>
        <w:jc w:val="center"/>
      </w:pPr>
      <w:r>
        <w:rPr>
          <w:sz w:val="20"/>
        </w:rPr>
        <w:t xml:space="preserve">Распределение иностранных трудовых мигрантов по видам</w:t>
      </w:r>
    </w:p>
    <w:p>
      <w:pPr>
        <w:pStyle w:val="2"/>
        <w:jc w:val="center"/>
      </w:pPr>
      <w:r>
        <w:rPr>
          <w:sz w:val="20"/>
        </w:rPr>
        <w:t xml:space="preserve">экономической деятельности (расчетные данные управления</w:t>
      </w:r>
    </w:p>
    <w:p>
      <w:pPr>
        <w:pStyle w:val="2"/>
        <w:jc w:val="center"/>
      </w:pPr>
      <w:r>
        <w:rPr>
          <w:sz w:val="20"/>
        </w:rPr>
        <w:t xml:space="preserve">по труду и занятости населения Нижегородской области</w:t>
      </w:r>
    </w:p>
    <w:p>
      <w:pPr>
        <w:pStyle w:val="2"/>
        <w:jc w:val="center"/>
      </w:pPr>
      <w:r>
        <w:rPr>
          <w:sz w:val="20"/>
        </w:rPr>
        <w:t xml:space="preserve">с учетом фактических данных МВД России)</w:t>
      </w:r>
    </w:p>
    <w:p>
      <w:pPr>
        <w:pStyle w:val="0"/>
        <w:ind w:firstLine="540"/>
        <w:jc w:val="both"/>
      </w:pPr>
      <w:r>
        <w:rPr>
          <w:sz w:val="20"/>
        </w:rPr>
      </w:r>
    </w:p>
    <w:p>
      <w:pPr>
        <w:pStyle w:val="0"/>
        <w:jc w:val="right"/>
      </w:pPr>
      <w:r>
        <w:rPr>
          <w:sz w:val="20"/>
        </w:rPr>
        <w:t xml:space="preserve">тыс. чел.</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72"/>
        <w:gridCol w:w="1077"/>
        <w:gridCol w:w="1134"/>
        <w:gridCol w:w="1077"/>
        <w:gridCol w:w="1134"/>
        <w:gridCol w:w="1077"/>
      </w:tblGrid>
      <w:tr>
        <w:tc>
          <w:tcPr>
            <w:tcW w:w="3572" w:type="dxa"/>
            <w:vMerge w:val="restart"/>
          </w:tcPr>
          <w:p>
            <w:pPr>
              <w:pStyle w:val="0"/>
              <w:jc w:val="center"/>
            </w:pPr>
            <w:r>
              <w:rPr>
                <w:sz w:val="20"/>
              </w:rPr>
              <w:t xml:space="preserve">Наименование показателя</w:t>
            </w:r>
          </w:p>
        </w:tc>
        <w:tc>
          <w:tcPr>
            <w:tcW w:w="1077" w:type="dxa"/>
            <w:vMerge w:val="restart"/>
          </w:tcPr>
          <w:p>
            <w:pPr>
              <w:pStyle w:val="0"/>
              <w:jc w:val="center"/>
            </w:pPr>
            <w:r>
              <w:rPr>
                <w:sz w:val="20"/>
              </w:rPr>
              <w:t xml:space="preserve">2023 год</w:t>
            </w:r>
          </w:p>
        </w:tc>
        <w:tc>
          <w:tcPr>
            <w:tcW w:w="1134" w:type="dxa"/>
            <w:vMerge w:val="restart"/>
          </w:tcPr>
          <w:p>
            <w:pPr>
              <w:pStyle w:val="0"/>
              <w:jc w:val="center"/>
            </w:pPr>
            <w:r>
              <w:rPr>
                <w:sz w:val="20"/>
              </w:rPr>
              <w:t xml:space="preserve">2024 год (оценка)</w:t>
            </w:r>
          </w:p>
        </w:tc>
        <w:tc>
          <w:tcPr>
            <w:tcW w:w="1077" w:type="dxa"/>
          </w:tcPr>
          <w:p>
            <w:pPr>
              <w:pStyle w:val="0"/>
              <w:jc w:val="center"/>
            </w:pPr>
            <w:r>
              <w:rPr>
                <w:sz w:val="20"/>
              </w:rPr>
              <w:t xml:space="preserve">2025 (прогноз)</w:t>
            </w:r>
          </w:p>
        </w:tc>
        <w:tc>
          <w:tcPr>
            <w:tcW w:w="1134" w:type="dxa"/>
          </w:tcPr>
          <w:p>
            <w:pPr>
              <w:pStyle w:val="0"/>
              <w:jc w:val="center"/>
            </w:pPr>
            <w:r>
              <w:rPr>
                <w:sz w:val="20"/>
              </w:rPr>
              <w:t xml:space="preserve">2026 (прогноз)</w:t>
            </w:r>
          </w:p>
        </w:tc>
        <w:tc>
          <w:tcPr>
            <w:tcW w:w="1077" w:type="dxa"/>
          </w:tcPr>
          <w:p>
            <w:pPr>
              <w:pStyle w:val="0"/>
              <w:jc w:val="center"/>
            </w:pPr>
            <w:r>
              <w:rPr>
                <w:sz w:val="20"/>
              </w:rPr>
              <w:t xml:space="preserve">2027 (прогноз)</w:t>
            </w:r>
          </w:p>
        </w:tc>
      </w:tr>
      <w:tr>
        <w:tc>
          <w:tcPr>
            <w:vMerge w:val="continue"/>
          </w:tcPr>
          <w:p/>
        </w:tc>
        <w:tc>
          <w:tcPr>
            <w:vMerge w:val="continue"/>
          </w:tcPr>
          <w:p/>
        </w:tc>
        <w:tc>
          <w:tcPr>
            <w:vMerge w:val="continue"/>
          </w:tcPr>
          <w:p/>
        </w:tc>
        <w:tc>
          <w:tcPr>
            <w:gridSpan w:val="3"/>
            <w:tcW w:w="3288" w:type="dxa"/>
          </w:tcPr>
          <w:p>
            <w:pPr>
              <w:pStyle w:val="0"/>
              <w:jc w:val="center"/>
            </w:pPr>
            <w:r>
              <w:rPr>
                <w:sz w:val="20"/>
              </w:rPr>
              <w:t xml:space="preserve">базовый вариант</w:t>
            </w:r>
          </w:p>
        </w:tc>
      </w:tr>
      <w:tr>
        <w:tc>
          <w:tcPr>
            <w:tcW w:w="3572" w:type="dxa"/>
          </w:tcPr>
          <w:p>
            <w:pPr>
              <w:pStyle w:val="0"/>
              <w:jc w:val="both"/>
            </w:pPr>
            <w:r>
              <w:rPr>
                <w:sz w:val="20"/>
              </w:rPr>
              <w:t xml:space="preserve">Иностранные трудовые мигранты, в том числе по видам экономической деятельности:</w:t>
            </w:r>
          </w:p>
        </w:tc>
        <w:tc>
          <w:tcPr>
            <w:tcW w:w="1077" w:type="dxa"/>
          </w:tcPr>
          <w:p>
            <w:pPr>
              <w:pStyle w:val="0"/>
              <w:jc w:val="center"/>
            </w:pPr>
            <w:r>
              <w:rPr>
                <w:sz w:val="20"/>
              </w:rPr>
              <w:t xml:space="preserve">48,4</w:t>
            </w:r>
          </w:p>
        </w:tc>
        <w:tc>
          <w:tcPr>
            <w:tcW w:w="1134" w:type="dxa"/>
          </w:tcPr>
          <w:p>
            <w:pPr>
              <w:pStyle w:val="0"/>
              <w:jc w:val="center"/>
            </w:pPr>
            <w:r>
              <w:rPr>
                <w:sz w:val="20"/>
              </w:rPr>
              <w:t xml:space="preserve">48,7</w:t>
            </w:r>
          </w:p>
        </w:tc>
        <w:tc>
          <w:tcPr>
            <w:tcW w:w="1077" w:type="dxa"/>
          </w:tcPr>
          <w:p>
            <w:pPr>
              <w:pStyle w:val="0"/>
              <w:jc w:val="center"/>
            </w:pPr>
            <w:r>
              <w:rPr>
                <w:sz w:val="20"/>
              </w:rPr>
              <w:t xml:space="preserve">49,1</w:t>
            </w:r>
          </w:p>
        </w:tc>
        <w:tc>
          <w:tcPr>
            <w:tcW w:w="1134" w:type="dxa"/>
          </w:tcPr>
          <w:p>
            <w:pPr>
              <w:pStyle w:val="0"/>
              <w:jc w:val="center"/>
            </w:pPr>
            <w:r>
              <w:rPr>
                <w:sz w:val="20"/>
              </w:rPr>
              <w:t xml:space="preserve">49,5</w:t>
            </w:r>
          </w:p>
        </w:tc>
        <w:tc>
          <w:tcPr>
            <w:tcW w:w="1077" w:type="dxa"/>
          </w:tcPr>
          <w:p>
            <w:pPr>
              <w:pStyle w:val="0"/>
              <w:jc w:val="center"/>
            </w:pPr>
            <w:r>
              <w:rPr>
                <w:sz w:val="20"/>
              </w:rPr>
              <w:t xml:space="preserve">49,9</w:t>
            </w:r>
          </w:p>
        </w:tc>
      </w:tr>
      <w:tr>
        <w:tc>
          <w:tcPr>
            <w:tcW w:w="3572" w:type="dxa"/>
          </w:tcPr>
          <w:p>
            <w:pPr>
              <w:pStyle w:val="0"/>
              <w:jc w:val="both"/>
            </w:pPr>
            <w:r>
              <w:rPr>
                <w:sz w:val="20"/>
              </w:rPr>
              <w:t xml:space="preserve">сельское, лесное хозяйство, охота, рыболовство и рыбоводство</w:t>
            </w:r>
          </w:p>
        </w:tc>
        <w:tc>
          <w:tcPr>
            <w:tcW w:w="1077" w:type="dxa"/>
          </w:tcPr>
          <w:p>
            <w:pPr>
              <w:pStyle w:val="0"/>
              <w:jc w:val="center"/>
            </w:pPr>
            <w:r>
              <w:rPr>
                <w:sz w:val="20"/>
              </w:rPr>
              <w:t xml:space="preserve">1,9</w:t>
            </w:r>
          </w:p>
        </w:tc>
        <w:tc>
          <w:tcPr>
            <w:tcW w:w="1134" w:type="dxa"/>
          </w:tcPr>
          <w:p>
            <w:pPr>
              <w:pStyle w:val="0"/>
              <w:jc w:val="center"/>
            </w:pPr>
            <w:r>
              <w:rPr>
                <w:sz w:val="20"/>
              </w:rPr>
              <w:t xml:space="preserve">1,9</w:t>
            </w:r>
          </w:p>
        </w:tc>
        <w:tc>
          <w:tcPr>
            <w:tcW w:w="1077" w:type="dxa"/>
          </w:tcPr>
          <w:p>
            <w:pPr>
              <w:pStyle w:val="0"/>
              <w:jc w:val="center"/>
            </w:pPr>
            <w:r>
              <w:rPr>
                <w:sz w:val="20"/>
              </w:rPr>
              <w:t xml:space="preserve">1,9</w:t>
            </w:r>
          </w:p>
        </w:tc>
        <w:tc>
          <w:tcPr>
            <w:tcW w:w="1134" w:type="dxa"/>
          </w:tcPr>
          <w:p>
            <w:pPr>
              <w:pStyle w:val="0"/>
              <w:jc w:val="center"/>
            </w:pPr>
            <w:r>
              <w:rPr>
                <w:sz w:val="20"/>
              </w:rPr>
              <w:t xml:space="preserve">1,9</w:t>
            </w:r>
          </w:p>
        </w:tc>
        <w:tc>
          <w:tcPr>
            <w:tcW w:w="1077" w:type="dxa"/>
          </w:tcPr>
          <w:p>
            <w:pPr>
              <w:pStyle w:val="0"/>
              <w:jc w:val="center"/>
            </w:pPr>
            <w:r>
              <w:rPr>
                <w:sz w:val="20"/>
              </w:rPr>
              <w:t xml:space="preserve">2,1</w:t>
            </w:r>
          </w:p>
        </w:tc>
      </w:tr>
      <w:tr>
        <w:tc>
          <w:tcPr>
            <w:tcW w:w="3572" w:type="dxa"/>
          </w:tcPr>
          <w:p>
            <w:pPr>
              <w:pStyle w:val="0"/>
              <w:jc w:val="both"/>
            </w:pPr>
            <w:r>
              <w:rPr>
                <w:sz w:val="20"/>
              </w:rPr>
              <w:t xml:space="preserve">обрабатывающие производства</w:t>
            </w:r>
          </w:p>
        </w:tc>
        <w:tc>
          <w:tcPr>
            <w:tcW w:w="1077" w:type="dxa"/>
          </w:tcPr>
          <w:p>
            <w:pPr>
              <w:pStyle w:val="0"/>
              <w:jc w:val="center"/>
            </w:pPr>
            <w:r>
              <w:rPr>
                <w:sz w:val="20"/>
              </w:rPr>
              <w:t xml:space="preserve">8,9</w:t>
            </w:r>
          </w:p>
        </w:tc>
        <w:tc>
          <w:tcPr>
            <w:tcW w:w="1134" w:type="dxa"/>
          </w:tcPr>
          <w:p>
            <w:pPr>
              <w:pStyle w:val="0"/>
              <w:jc w:val="center"/>
            </w:pPr>
            <w:r>
              <w:rPr>
                <w:sz w:val="20"/>
              </w:rPr>
              <w:t xml:space="preserve">9</w:t>
            </w:r>
          </w:p>
        </w:tc>
        <w:tc>
          <w:tcPr>
            <w:tcW w:w="1077" w:type="dxa"/>
          </w:tcPr>
          <w:p>
            <w:pPr>
              <w:pStyle w:val="0"/>
              <w:jc w:val="center"/>
            </w:pPr>
            <w:r>
              <w:rPr>
                <w:sz w:val="20"/>
              </w:rPr>
              <w:t xml:space="preserve">9,2</w:t>
            </w:r>
          </w:p>
        </w:tc>
        <w:tc>
          <w:tcPr>
            <w:tcW w:w="1134" w:type="dxa"/>
          </w:tcPr>
          <w:p>
            <w:pPr>
              <w:pStyle w:val="0"/>
              <w:jc w:val="center"/>
            </w:pPr>
            <w:r>
              <w:rPr>
                <w:sz w:val="20"/>
              </w:rPr>
              <w:t xml:space="preserve">9,5</w:t>
            </w:r>
          </w:p>
        </w:tc>
        <w:tc>
          <w:tcPr>
            <w:tcW w:w="1077" w:type="dxa"/>
          </w:tcPr>
          <w:p>
            <w:pPr>
              <w:pStyle w:val="0"/>
              <w:jc w:val="center"/>
            </w:pPr>
            <w:r>
              <w:rPr>
                <w:sz w:val="20"/>
              </w:rPr>
              <w:t xml:space="preserve">9,6</w:t>
            </w:r>
          </w:p>
        </w:tc>
      </w:tr>
      <w:tr>
        <w:tc>
          <w:tcPr>
            <w:tcW w:w="3572" w:type="dxa"/>
          </w:tcPr>
          <w:p>
            <w:pPr>
              <w:pStyle w:val="0"/>
              <w:jc w:val="both"/>
            </w:pPr>
            <w:r>
              <w:rPr>
                <w:sz w:val="20"/>
              </w:rPr>
              <w:t xml:space="preserve">строительство</w:t>
            </w:r>
          </w:p>
        </w:tc>
        <w:tc>
          <w:tcPr>
            <w:tcW w:w="1077" w:type="dxa"/>
          </w:tcPr>
          <w:p>
            <w:pPr>
              <w:pStyle w:val="0"/>
              <w:jc w:val="center"/>
            </w:pPr>
            <w:r>
              <w:rPr>
                <w:sz w:val="20"/>
              </w:rPr>
              <w:t xml:space="preserve">21,4</w:t>
            </w:r>
          </w:p>
        </w:tc>
        <w:tc>
          <w:tcPr>
            <w:tcW w:w="1134" w:type="dxa"/>
          </w:tcPr>
          <w:p>
            <w:pPr>
              <w:pStyle w:val="0"/>
              <w:jc w:val="center"/>
            </w:pPr>
            <w:r>
              <w:rPr>
                <w:sz w:val="20"/>
              </w:rPr>
              <w:t xml:space="preserve">21,4</w:t>
            </w:r>
          </w:p>
        </w:tc>
        <w:tc>
          <w:tcPr>
            <w:tcW w:w="1077" w:type="dxa"/>
          </w:tcPr>
          <w:p>
            <w:pPr>
              <w:pStyle w:val="0"/>
              <w:jc w:val="center"/>
            </w:pPr>
            <w:r>
              <w:rPr>
                <w:sz w:val="20"/>
              </w:rPr>
              <w:t xml:space="preserve">21,7</w:t>
            </w:r>
          </w:p>
        </w:tc>
        <w:tc>
          <w:tcPr>
            <w:tcW w:w="1134" w:type="dxa"/>
          </w:tcPr>
          <w:p>
            <w:pPr>
              <w:pStyle w:val="0"/>
              <w:jc w:val="center"/>
            </w:pPr>
            <w:r>
              <w:rPr>
                <w:sz w:val="20"/>
              </w:rPr>
              <w:t xml:space="preserve">21,9</w:t>
            </w:r>
          </w:p>
        </w:tc>
        <w:tc>
          <w:tcPr>
            <w:tcW w:w="1077" w:type="dxa"/>
          </w:tcPr>
          <w:p>
            <w:pPr>
              <w:pStyle w:val="0"/>
              <w:jc w:val="center"/>
            </w:pPr>
            <w:r>
              <w:rPr>
                <w:sz w:val="20"/>
              </w:rPr>
              <w:t xml:space="preserve">22</w:t>
            </w:r>
          </w:p>
        </w:tc>
      </w:tr>
      <w:tr>
        <w:tc>
          <w:tcPr>
            <w:tcW w:w="3572" w:type="dxa"/>
          </w:tcPr>
          <w:p>
            <w:pPr>
              <w:pStyle w:val="0"/>
              <w:jc w:val="both"/>
            </w:pPr>
            <w:r>
              <w:rPr>
                <w:sz w:val="20"/>
              </w:rPr>
              <w:t xml:space="preserve">торговля оптовая и розничная; ремонт автотранспортных средств и мотоциклов</w:t>
            </w:r>
          </w:p>
        </w:tc>
        <w:tc>
          <w:tcPr>
            <w:tcW w:w="1077" w:type="dxa"/>
          </w:tcPr>
          <w:p>
            <w:pPr>
              <w:pStyle w:val="0"/>
              <w:jc w:val="center"/>
            </w:pPr>
            <w:r>
              <w:rPr>
                <w:sz w:val="20"/>
              </w:rPr>
              <w:t xml:space="preserve">3,6</w:t>
            </w:r>
          </w:p>
        </w:tc>
        <w:tc>
          <w:tcPr>
            <w:tcW w:w="1134" w:type="dxa"/>
          </w:tcPr>
          <w:p>
            <w:pPr>
              <w:pStyle w:val="0"/>
              <w:jc w:val="center"/>
            </w:pPr>
            <w:r>
              <w:rPr>
                <w:sz w:val="20"/>
              </w:rPr>
              <w:t xml:space="preserve">3,6</w:t>
            </w:r>
          </w:p>
        </w:tc>
        <w:tc>
          <w:tcPr>
            <w:tcW w:w="1077" w:type="dxa"/>
          </w:tcPr>
          <w:p>
            <w:pPr>
              <w:pStyle w:val="0"/>
              <w:jc w:val="center"/>
            </w:pPr>
            <w:r>
              <w:rPr>
                <w:sz w:val="20"/>
              </w:rPr>
              <w:t xml:space="preserve">3,6</w:t>
            </w:r>
          </w:p>
        </w:tc>
        <w:tc>
          <w:tcPr>
            <w:tcW w:w="1134" w:type="dxa"/>
          </w:tcPr>
          <w:p>
            <w:pPr>
              <w:pStyle w:val="0"/>
              <w:jc w:val="center"/>
            </w:pPr>
            <w:r>
              <w:rPr>
                <w:sz w:val="20"/>
              </w:rPr>
              <w:t xml:space="preserve">3,5</w:t>
            </w:r>
          </w:p>
        </w:tc>
        <w:tc>
          <w:tcPr>
            <w:tcW w:w="1077" w:type="dxa"/>
          </w:tcPr>
          <w:p>
            <w:pPr>
              <w:pStyle w:val="0"/>
              <w:jc w:val="center"/>
            </w:pPr>
            <w:r>
              <w:rPr>
                <w:sz w:val="20"/>
              </w:rPr>
              <w:t xml:space="preserve">3,5</w:t>
            </w:r>
          </w:p>
        </w:tc>
      </w:tr>
      <w:tr>
        <w:tc>
          <w:tcPr>
            <w:tcW w:w="3572" w:type="dxa"/>
          </w:tcPr>
          <w:p>
            <w:pPr>
              <w:pStyle w:val="0"/>
              <w:jc w:val="both"/>
            </w:pPr>
            <w:r>
              <w:rPr>
                <w:sz w:val="20"/>
              </w:rPr>
              <w:t xml:space="preserve">предоставление прочих видов услуг</w:t>
            </w:r>
          </w:p>
        </w:tc>
        <w:tc>
          <w:tcPr>
            <w:tcW w:w="1077" w:type="dxa"/>
          </w:tcPr>
          <w:p>
            <w:pPr>
              <w:pStyle w:val="0"/>
              <w:jc w:val="center"/>
            </w:pPr>
            <w:r>
              <w:rPr>
                <w:sz w:val="20"/>
              </w:rPr>
              <w:t xml:space="preserve">9,4</w:t>
            </w:r>
          </w:p>
        </w:tc>
        <w:tc>
          <w:tcPr>
            <w:tcW w:w="1134" w:type="dxa"/>
          </w:tcPr>
          <w:p>
            <w:pPr>
              <w:pStyle w:val="0"/>
              <w:jc w:val="center"/>
            </w:pPr>
            <w:r>
              <w:rPr>
                <w:sz w:val="20"/>
              </w:rPr>
              <w:t xml:space="preserve">9,5</w:t>
            </w:r>
          </w:p>
        </w:tc>
        <w:tc>
          <w:tcPr>
            <w:tcW w:w="1077" w:type="dxa"/>
          </w:tcPr>
          <w:p>
            <w:pPr>
              <w:pStyle w:val="0"/>
              <w:jc w:val="center"/>
            </w:pPr>
            <w:r>
              <w:rPr>
                <w:sz w:val="20"/>
              </w:rPr>
              <w:t xml:space="preserve">9,4</w:t>
            </w:r>
          </w:p>
        </w:tc>
        <w:tc>
          <w:tcPr>
            <w:tcW w:w="1134" w:type="dxa"/>
          </w:tcPr>
          <w:p>
            <w:pPr>
              <w:pStyle w:val="0"/>
              <w:jc w:val="center"/>
            </w:pPr>
            <w:r>
              <w:rPr>
                <w:sz w:val="20"/>
              </w:rPr>
              <w:t xml:space="preserve">9,4</w:t>
            </w:r>
          </w:p>
        </w:tc>
        <w:tc>
          <w:tcPr>
            <w:tcW w:w="1077" w:type="dxa"/>
          </w:tcPr>
          <w:p>
            <w:pPr>
              <w:pStyle w:val="0"/>
              <w:jc w:val="center"/>
            </w:pPr>
            <w:r>
              <w:rPr>
                <w:sz w:val="20"/>
              </w:rPr>
              <w:t xml:space="preserve">9,4</w:t>
            </w:r>
          </w:p>
        </w:tc>
      </w:tr>
      <w:tr>
        <w:tc>
          <w:tcPr>
            <w:tcW w:w="3572" w:type="dxa"/>
          </w:tcPr>
          <w:p>
            <w:pPr>
              <w:pStyle w:val="0"/>
              <w:jc w:val="both"/>
            </w:pPr>
            <w:r>
              <w:rPr>
                <w:sz w:val="20"/>
              </w:rPr>
              <w:t xml:space="preserve">прочие</w:t>
            </w:r>
          </w:p>
        </w:tc>
        <w:tc>
          <w:tcPr>
            <w:tcW w:w="1077" w:type="dxa"/>
          </w:tcPr>
          <w:p>
            <w:pPr>
              <w:pStyle w:val="0"/>
              <w:jc w:val="center"/>
            </w:pPr>
            <w:r>
              <w:rPr>
                <w:sz w:val="20"/>
              </w:rPr>
              <w:t xml:space="preserve">3,2</w:t>
            </w:r>
          </w:p>
        </w:tc>
        <w:tc>
          <w:tcPr>
            <w:tcW w:w="1134" w:type="dxa"/>
          </w:tcPr>
          <w:p>
            <w:pPr>
              <w:pStyle w:val="0"/>
              <w:jc w:val="center"/>
            </w:pPr>
            <w:r>
              <w:rPr>
                <w:sz w:val="20"/>
              </w:rPr>
              <w:t xml:space="preserve">3,3</w:t>
            </w:r>
          </w:p>
        </w:tc>
        <w:tc>
          <w:tcPr>
            <w:tcW w:w="1077" w:type="dxa"/>
          </w:tcPr>
          <w:p>
            <w:pPr>
              <w:pStyle w:val="0"/>
              <w:jc w:val="center"/>
            </w:pPr>
            <w:r>
              <w:rPr>
                <w:sz w:val="20"/>
              </w:rPr>
              <w:t xml:space="preserve">3,3</w:t>
            </w:r>
          </w:p>
        </w:tc>
        <w:tc>
          <w:tcPr>
            <w:tcW w:w="1134" w:type="dxa"/>
          </w:tcPr>
          <w:p>
            <w:pPr>
              <w:pStyle w:val="0"/>
              <w:jc w:val="center"/>
            </w:pPr>
            <w:r>
              <w:rPr>
                <w:sz w:val="20"/>
              </w:rPr>
              <w:t xml:space="preserve">3,3</w:t>
            </w:r>
          </w:p>
        </w:tc>
        <w:tc>
          <w:tcPr>
            <w:tcW w:w="1077" w:type="dxa"/>
          </w:tcPr>
          <w:p>
            <w:pPr>
              <w:pStyle w:val="0"/>
              <w:jc w:val="center"/>
            </w:pPr>
            <w:r>
              <w:rPr>
                <w:sz w:val="20"/>
              </w:rPr>
              <w:t xml:space="preserve">3,3</w:t>
            </w:r>
          </w:p>
        </w:tc>
      </w:tr>
    </w:tbl>
    <w:p>
      <w:pPr>
        <w:pStyle w:val="0"/>
        <w:ind w:firstLine="540"/>
        <w:jc w:val="both"/>
      </w:pPr>
      <w:r>
        <w:rPr>
          <w:sz w:val="20"/>
        </w:rPr>
      </w:r>
    </w:p>
    <w:bookmarkStart w:id="3047" w:name="P3047"/>
    <w:bookmarkEnd w:id="3047"/>
    <w:p>
      <w:pPr>
        <w:pStyle w:val="2"/>
        <w:outlineLvl w:val="3"/>
        <w:jc w:val="center"/>
      </w:pPr>
      <w:r>
        <w:rPr>
          <w:sz w:val="20"/>
        </w:rPr>
        <w:t xml:space="preserve">4.2. Прогноз кадровой потребности Нижегородской области</w:t>
      </w:r>
    </w:p>
    <w:p>
      <w:pPr>
        <w:pStyle w:val="0"/>
        <w:jc w:val="center"/>
      </w:pPr>
      <w:r>
        <w:rPr>
          <w:sz w:val="20"/>
        </w:rPr>
      </w:r>
    </w:p>
    <w:p>
      <w:pPr>
        <w:pStyle w:val="0"/>
        <w:jc w:val="center"/>
      </w:pPr>
      <w:r>
        <w:rPr>
          <w:sz w:val="20"/>
        </w:rPr>
        <w:t xml:space="preserve">(в ред. </w:t>
      </w:r>
      <w:hyperlink w:history="0" r:id="rId70" w:tooltip="Постановление Правительства Нижегородской области от 24.01.2025 N 28 &quot;О внесении изменений в прогноз социально-экономического развития Нижегородской области на среднесрочный период (на 2025 год и на плановый период 2026 и 2027 годов), одобренный постановлением Правительства Нижегородской области от 23 октября 2024 г. N 639&quot; {КонсультантПлюс}">
        <w:r>
          <w:rPr>
            <w:sz w:val="20"/>
            <w:color w:val="0000ff"/>
          </w:rPr>
          <w:t xml:space="preserve">постановления</w:t>
        </w:r>
      </w:hyperlink>
      <w:r>
        <w:rPr>
          <w:sz w:val="20"/>
        </w:rPr>
        <w:t xml:space="preserve"> Правительства Нижегородской области</w:t>
      </w:r>
    </w:p>
    <w:p>
      <w:pPr>
        <w:pStyle w:val="0"/>
        <w:jc w:val="center"/>
      </w:pPr>
      <w:r>
        <w:rPr>
          <w:sz w:val="20"/>
        </w:rPr>
        <w:t xml:space="preserve">от 24.01.2025 N 28)</w:t>
      </w:r>
    </w:p>
    <w:p>
      <w:pPr>
        <w:pStyle w:val="0"/>
        <w:ind w:firstLine="540"/>
        <w:jc w:val="both"/>
      </w:pPr>
      <w:r>
        <w:rPr>
          <w:sz w:val="20"/>
        </w:rPr>
      </w:r>
    </w:p>
    <w:p>
      <w:pPr>
        <w:pStyle w:val="2"/>
        <w:outlineLvl w:val="4"/>
        <w:jc w:val="center"/>
      </w:pPr>
      <w:r>
        <w:rPr>
          <w:sz w:val="20"/>
        </w:rPr>
        <w:t xml:space="preserve">Прогноз общей кадровой потребности предприятий</w:t>
      </w:r>
    </w:p>
    <w:p>
      <w:pPr>
        <w:pStyle w:val="2"/>
        <w:jc w:val="center"/>
      </w:pPr>
      <w:r>
        <w:rPr>
          <w:sz w:val="20"/>
        </w:rPr>
        <w:t xml:space="preserve">в разрезе видов экономической деятельности</w:t>
      </w:r>
    </w:p>
    <w:p>
      <w:pPr>
        <w:pStyle w:val="0"/>
        <w:ind w:firstLine="540"/>
        <w:jc w:val="both"/>
      </w:pPr>
      <w:r>
        <w:rPr>
          <w:sz w:val="20"/>
        </w:rPr>
      </w:r>
    </w:p>
    <w:p>
      <w:pPr>
        <w:pStyle w:val="0"/>
        <w:jc w:val="right"/>
      </w:pPr>
      <w:r>
        <w:rPr>
          <w:sz w:val="20"/>
        </w:rPr>
        <w:t xml:space="preserve">тыс. чел.</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05"/>
        <w:gridCol w:w="1125"/>
        <w:gridCol w:w="1290"/>
        <w:gridCol w:w="1290"/>
        <w:gridCol w:w="1361"/>
      </w:tblGrid>
      <w:tr>
        <w:tc>
          <w:tcPr>
            <w:tcW w:w="4005" w:type="dxa"/>
          </w:tcPr>
          <w:p>
            <w:pPr>
              <w:pStyle w:val="0"/>
              <w:jc w:val="center"/>
            </w:pPr>
            <w:r>
              <w:rPr>
                <w:sz w:val="20"/>
              </w:rPr>
              <w:t xml:space="preserve">Вид экономической деятельности</w:t>
            </w:r>
          </w:p>
        </w:tc>
        <w:tc>
          <w:tcPr>
            <w:tcW w:w="1125" w:type="dxa"/>
          </w:tcPr>
          <w:p>
            <w:pPr>
              <w:pStyle w:val="0"/>
              <w:jc w:val="center"/>
            </w:pPr>
            <w:r>
              <w:rPr>
                <w:sz w:val="20"/>
              </w:rPr>
              <w:t xml:space="preserve">2024 год (оценка)</w:t>
            </w:r>
          </w:p>
        </w:tc>
        <w:tc>
          <w:tcPr>
            <w:tcW w:w="1290" w:type="dxa"/>
          </w:tcPr>
          <w:p>
            <w:pPr>
              <w:pStyle w:val="0"/>
              <w:jc w:val="center"/>
            </w:pPr>
            <w:r>
              <w:rPr>
                <w:sz w:val="20"/>
              </w:rPr>
              <w:t xml:space="preserve">2025 год (прогноз)</w:t>
            </w:r>
          </w:p>
        </w:tc>
        <w:tc>
          <w:tcPr>
            <w:tcW w:w="1290" w:type="dxa"/>
          </w:tcPr>
          <w:p>
            <w:pPr>
              <w:pStyle w:val="0"/>
              <w:jc w:val="center"/>
            </w:pPr>
            <w:r>
              <w:rPr>
                <w:sz w:val="20"/>
              </w:rPr>
              <w:t xml:space="preserve">2026 год (прогноз)</w:t>
            </w:r>
          </w:p>
        </w:tc>
        <w:tc>
          <w:tcPr>
            <w:tcW w:w="1361" w:type="dxa"/>
          </w:tcPr>
          <w:p>
            <w:pPr>
              <w:pStyle w:val="0"/>
              <w:jc w:val="center"/>
            </w:pPr>
            <w:r>
              <w:rPr>
                <w:sz w:val="20"/>
              </w:rPr>
              <w:t xml:space="preserve">2027 год (прогноз)</w:t>
            </w:r>
          </w:p>
        </w:tc>
      </w:tr>
      <w:tr>
        <w:tc>
          <w:tcPr>
            <w:tcW w:w="4005" w:type="dxa"/>
          </w:tcPr>
          <w:p>
            <w:pPr>
              <w:pStyle w:val="0"/>
              <w:jc w:val="both"/>
            </w:pPr>
            <w:r>
              <w:rPr>
                <w:sz w:val="20"/>
              </w:rPr>
              <w:t xml:space="preserve">Раздел А Сельское, лесное хозяйство, охота, рыболовство и рыбоводство</w:t>
            </w:r>
          </w:p>
        </w:tc>
        <w:tc>
          <w:tcPr>
            <w:tcW w:w="1125" w:type="dxa"/>
          </w:tcPr>
          <w:p>
            <w:pPr>
              <w:pStyle w:val="0"/>
              <w:jc w:val="center"/>
            </w:pPr>
            <w:r>
              <w:rPr>
                <w:sz w:val="20"/>
              </w:rPr>
              <w:t xml:space="preserve">55,5</w:t>
            </w:r>
          </w:p>
        </w:tc>
        <w:tc>
          <w:tcPr>
            <w:tcW w:w="1290" w:type="dxa"/>
          </w:tcPr>
          <w:p>
            <w:pPr>
              <w:pStyle w:val="0"/>
              <w:jc w:val="center"/>
            </w:pPr>
            <w:r>
              <w:rPr>
                <w:sz w:val="20"/>
              </w:rPr>
              <w:t xml:space="preserve">55,5</w:t>
            </w:r>
          </w:p>
        </w:tc>
        <w:tc>
          <w:tcPr>
            <w:tcW w:w="1290" w:type="dxa"/>
          </w:tcPr>
          <w:p>
            <w:pPr>
              <w:pStyle w:val="0"/>
              <w:jc w:val="center"/>
            </w:pPr>
            <w:r>
              <w:rPr>
                <w:sz w:val="20"/>
              </w:rPr>
              <w:t xml:space="preserve">56,9</w:t>
            </w:r>
          </w:p>
        </w:tc>
        <w:tc>
          <w:tcPr>
            <w:tcW w:w="1361" w:type="dxa"/>
          </w:tcPr>
          <w:p>
            <w:pPr>
              <w:pStyle w:val="0"/>
              <w:jc w:val="center"/>
            </w:pPr>
            <w:r>
              <w:rPr>
                <w:sz w:val="20"/>
              </w:rPr>
              <w:t xml:space="preserve">57,6</w:t>
            </w:r>
          </w:p>
        </w:tc>
      </w:tr>
      <w:tr>
        <w:tc>
          <w:tcPr>
            <w:tcW w:w="4005" w:type="dxa"/>
          </w:tcPr>
          <w:p>
            <w:pPr>
              <w:pStyle w:val="0"/>
              <w:jc w:val="both"/>
            </w:pPr>
            <w:r>
              <w:rPr>
                <w:sz w:val="20"/>
              </w:rPr>
              <w:t xml:space="preserve">Раздел В Добыча полезных ископаемых</w:t>
            </w:r>
          </w:p>
        </w:tc>
        <w:tc>
          <w:tcPr>
            <w:tcW w:w="1125" w:type="dxa"/>
          </w:tcPr>
          <w:p>
            <w:pPr>
              <w:pStyle w:val="0"/>
              <w:jc w:val="center"/>
            </w:pPr>
            <w:r>
              <w:rPr>
                <w:sz w:val="20"/>
              </w:rPr>
              <w:t xml:space="preserve">2,1</w:t>
            </w:r>
          </w:p>
        </w:tc>
        <w:tc>
          <w:tcPr>
            <w:tcW w:w="1290" w:type="dxa"/>
          </w:tcPr>
          <w:p>
            <w:pPr>
              <w:pStyle w:val="0"/>
              <w:jc w:val="center"/>
            </w:pPr>
            <w:r>
              <w:rPr>
                <w:sz w:val="20"/>
              </w:rPr>
              <w:t xml:space="preserve">2,1</w:t>
            </w:r>
          </w:p>
        </w:tc>
        <w:tc>
          <w:tcPr>
            <w:tcW w:w="1290" w:type="dxa"/>
          </w:tcPr>
          <w:p>
            <w:pPr>
              <w:pStyle w:val="0"/>
              <w:jc w:val="center"/>
            </w:pPr>
            <w:r>
              <w:rPr>
                <w:sz w:val="20"/>
              </w:rPr>
              <w:t xml:space="preserve">2,1</w:t>
            </w:r>
          </w:p>
        </w:tc>
        <w:tc>
          <w:tcPr>
            <w:tcW w:w="1361" w:type="dxa"/>
          </w:tcPr>
          <w:p>
            <w:pPr>
              <w:pStyle w:val="0"/>
              <w:jc w:val="center"/>
            </w:pPr>
            <w:r>
              <w:rPr>
                <w:sz w:val="20"/>
              </w:rPr>
              <w:t xml:space="preserve">2,1</w:t>
            </w:r>
          </w:p>
        </w:tc>
      </w:tr>
      <w:tr>
        <w:tc>
          <w:tcPr>
            <w:tcW w:w="4005" w:type="dxa"/>
          </w:tcPr>
          <w:p>
            <w:pPr>
              <w:pStyle w:val="0"/>
              <w:jc w:val="both"/>
            </w:pPr>
            <w:r>
              <w:rPr>
                <w:sz w:val="20"/>
              </w:rPr>
              <w:t xml:space="preserve">Раздел С Обрабатывающие производства</w:t>
            </w:r>
          </w:p>
        </w:tc>
        <w:tc>
          <w:tcPr>
            <w:tcW w:w="1125" w:type="dxa"/>
          </w:tcPr>
          <w:p>
            <w:pPr>
              <w:pStyle w:val="0"/>
              <w:jc w:val="center"/>
            </w:pPr>
            <w:r>
              <w:rPr>
                <w:sz w:val="20"/>
              </w:rPr>
              <w:t xml:space="preserve">332,6</w:t>
            </w:r>
          </w:p>
        </w:tc>
        <w:tc>
          <w:tcPr>
            <w:tcW w:w="1290" w:type="dxa"/>
          </w:tcPr>
          <w:p>
            <w:pPr>
              <w:pStyle w:val="0"/>
              <w:jc w:val="center"/>
            </w:pPr>
            <w:r>
              <w:rPr>
                <w:sz w:val="20"/>
              </w:rPr>
              <w:t xml:space="preserve">335,6</w:t>
            </w:r>
          </w:p>
        </w:tc>
        <w:tc>
          <w:tcPr>
            <w:tcW w:w="1290" w:type="dxa"/>
          </w:tcPr>
          <w:p>
            <w:pPr>
              <w:pStyle w:val="0"/>
              <w:jc w:val="center"/>
            </w:pPr>
            <w:r>
              <w:rPr>
                <w:sz w:val="20"/>
              </w:rPr>
              <w:t xml:space="preserve">338,6</w:t>
            </w:r>
          </w:p>
        </w:tc>
        <w:tc>
          <w:tcPr>
            <w:tcW w:w="1361" w:type="dxa"/>
          </w:tcPr>
          <w:p>
            <w:pPr>
              <w:pStyle w:val="0"/>
              <w:jc w:val="center"/>
            </w:pPr>
            <w:r>
              <w:rPr>
                <w:sz w:val="20"/>
              </w:rPr>
              <w:t xml:space="preserve">341,5</w:t>
            </w:r>
          </w:p>
        </w:tc>
      </w:tr>
      <w:tr>
        <w:tc>
          <w:tcPr>
            <w:tcW w:w="4005" w:type="dxa"/>
          </w:tcPr>
          <w:p>
            <w:pPr>
              <w:pStyle w:val="0"/>
              <w:jc w:val="both"/>
            </w:pPr>
            <w:r>
              <w:rPr>
                <w:sz w:val="20"/>
              </w:rPr>
              <w:t xml:space="preserve">Раздел D Обеспечение электрической энергией, газом и паром; кондиционирование воздуха</w:t>
            </w:r>
          </w:p>
        </w:tc>
        <w:tc>
          <w:tcPr>
            <w:tcW w:w="1125" w:type="dxa"/>
          </w:tcPr>
          <w:p>
            <w:pPr>
              <w:pStyle w:val="0"/>
              <w:jc w:val="center"/>
            </w:pPr>
            <w:r>
              <w:rPr>
                <w:sz w:val="20"/>
              </w:rPr>
              <w:t xml:space="preserve">30,4</w:t>
            </w:r>
          </w:p>
        </w:tc>
        <w:tc>
          <w:tcPr>
            <w:tcW w:w="1290" w:type="dxa"/>
          </w:tcPr>
          <w:p>
            <w:pPr>
              <w:pStyle w:val="0"/>
              <w:jc w:val="center"/>
            </w:pPr>
            <w:r>
              <w:rPr>
                <w:sz w:val="20"/>
              </w:rPr>
              <w:t xml:space="preserve">30,6</w:t>
            </w:r>
          </w:p>
        </w:tc>
        <w:tc>
          <w:tcPr>
            <w:tcW w:w="1290" w:type="dxa"/>
          </w:tcPr>
          <w:p>
            <w:pPr>
              <w:pStyle w:val="0"/>
              <w:jc w:val="center"/>
            </w:pPr>
            <w:r>
              <w:rPr>
                <w:sz w:val="20"/>
              </w:rPr>
              <w:t xml:space="preserve">30,7</w:t>
            </w:r>
          </w:p>
        </w:tc>
        <w:tc>
          <w:tcPr>
            <w:tcW w:w="1361" w:type="dxa"/>
          </w:tcPr>
          <w:p>
            <w:pPr>
              <w:pStyle w:val="0"/>
              <w:jc w:val="center"/>
            </w:pPr>
            <w:r>
              <w:rPr>
                <w:sz w:val="20"/>
              </w:rPr>
              <w:t xml:space="preserve">30,9</w:t>
            </w:r>
          </w:p>
        </w:tc>
      </w:tr>
      <w:tr>
        <w:tc>
          <w:tcPr>
            <w:tcW w:w="4005" w:type="dxa"/>
          </w:tcPr>
          <w:p>
            <w:pPr>
              <w:pStyle w:val="0"/>
              <w:jc w:val="both"/>
            </w:pPr>
            <w:r>
              <w:rPr>
                <w:sz w:val="20"/>
              </w:rPr>
              <w:t xml:space="preserve">Раздел E Водоснабжение; водоотведение, организация сбора и утилизации отходов, деятельность по ликвидации загрязнений</w:t>
            </w:r>
          </w:p>
        </w:tc>
        <w:tc>
          <w:tcPr>
            <w:tcW w:w="1125" w:type="dxa"/>
          </w:tcPr>
          <w:p>
            <w:pPr>
              <w:pStyle w:val="0"/>
              <w:jc w:val="center"/>
            </w:pPr>
            <w:r>
              <w:rPr>
                <w:sz w:val="20"/>
              </w:rPr>
              <w:t xml:space="preserve">15,2</w:t>
            </w:r>
          </w:p>
        </w:tc>
        <w:tc>
          <w:tcPr>
            <w:tcW w:w="1290" w:type="dxa"/>
          </w:tcPr>
          <w:p>
            <w:pPr>
              <w:pStyle w:val="0"/>
              <w:jc w:val="center"/>
            </w:pPr>
            <w:r>
              <w:rPr>
                <w:sz w:val="20"/>
              </w:rPr>
              <w:t xml:space="preserve">15,2</w:t>
            </w:r>
          </w:p>
        </w:tc>
        <w:tc>
          <w:tcPr>
            <w:tcW w:w="1290" w:type="dxa"/>
          </w:tcPr>
          <w:p>
            <w:pPr>
              <w:pStyle w:val="0"/>
              <w:jc w:val="center"/>
            </w:pPr>
            <w:r>
              <w:rPr>
                <w:sz w:val="20"/>
              </w:rPr>
              <w:t xml:space="preserve">15,2</w:t>
            </w:r>
          </w:p>
        </w:tc>
        <w:tc>
          <w:tcPr>
            <w:tcW w:w="1361" w:type="dxa"/>
          </w:tcPr>
          <w:p>
            <w:pPr>
              <w:pStyle w:val="0"/>
              <w:jc w:val="center"/>
            </w:pPr>
            <w:r>
              <w:rPr>
                <w:sz w:val="20"/>
              </w:rPr>
              <w:t xml:space="preserve">15,2</w:t>
            </w:r>
          </w:p>
        </w:tc>
      </w:tr>
      <w:tr>
        <w:tc>
          <w:tcPr>
            <w:tcW w:w="4005" w:type="dxa"/>
          </w:tcPr>
          <w:p>
            <w:pPr>
              <w:pStyle w:val="0"/>
              <w:jc w:val="both"/>
            </w:pPr>
            <w:r>
              <w:rPr>
                <w:sz w:val="20"/>
              </w:rPr>
              <w:t xml:space="preserve">Раздел F Строительство</w:t>
            </w:r>
          </w:p>
        </w:tc>
        <w:tc>
          <w:tcPr>
            <w:tcW w:w="1125" w:type="dxa"/>
          </w:tcPr>
          <w:p>
            <w:pPr>
              <w:pStyle w:val="0"/>
              <w:jc w:val="center"/>
            </w:pPr>
            <w:r>
              <w:rPr>
                <w:sz w:val="20"/>
              </w:rPr>
              <w:t xml:space="preserve">152,1</w:t>
            </w:r>
          </w:p>
        </w:tc>
        <w:tc>
          <w:tcPr>
            <w:tcW w:w="1290" w:type="dxa"/>
          </w:tcPr>
          <w:p>
            <w:pPr>
              <w:pStyle w:val="0"/>
              <w:jc w:val="center"/>
            </w:pPr>
            <w:r>
              <w:rPr>
                <w:sz w:val="20"/>
              </w:rPr>
              <w:t xml:space="preserve">153,6</w:t>
            </w:r>
          </w:p>
        </w:tc>
        <w:tc>
          <w:tcPr>
            <w:tcW w:w="1290" w:type="dxa"/>
          </w:tcPr>
          <w:p>
            <w:pPr>
              <w:pStyle w:val="0"/>
              <w:jc w:val="center"/>
            </w:pPr>
            <w:r>
              <w:rPr>
                <w:sz w:val="20"/>
              </w:rPr>
              <w:t xml:space="preserve">154,9</w:t>
            </w:r>
          </w:p>
        </w:tc>
        <w:tc>
          <w:tcPr>
            <w:tcW w:w="1361" w:type="dxa"/>
          </w:tcPr>
          <w:p>
            <w:pPr>
              <w:pStyle w:val="0"/>
              <w:jc w:val="center"/>
            </w:pPr>
            <w:r>
              <w:rPr>
                <w:sz w:val="20"/>
              </w:rPr>
              <w:t xml:space="preserve">156,1</w:t>
            </w:r>
          </w:p>
        </w:tc>
      </w:tr>
      <w:tr>
        <w:tc>
          <w:tcPr>
            <w:tcW w:w="4005" w:type="dxa"/>
          </w:tcPr>
          <w:p>
            <w:pPr>
              <w:pStyle w:val="0"/>
              <w:jc w:val="both"/>
            </w:pPr>
            <w:r>
              <w:rPr>
                <w:sz w:val="20"/>
              </w:rPr>
              <w:t xml:space="preserve">Раздел G Торговля оптовая и розничная; ремонт автотранспортных средств и мотоциклов</w:t>
            </w:r>
          </w:p>
        </w:tc>
        <w:tc>
          <w:tcPr>
            <w:tcW w:w="1125" w:type="dxa"/>
          </w:tcPr>
          <w:p>
            <w:pPr>
              <w:pStyle w:val="0"/>
              <w:jc w:val="center"/>
            </w:pPr>
            <w:r>
              <w:rPr>
                <w:sz w:val="20"/>
              </w:rPr>
              <w:t xml:space="preserve">328,1</w:t>
            </w:r>
          </w:p>
        </w:tc>
        <w:tc>
          <w:tcPr>
            <w:tcW w:w="1290" w:type="dxa"/>
          </w:tcPr>
          <w:p>
            <w:pPr>
              <w:pStyle w:val="0"/>
              <w:jc w:val="center"/>
            </w:pPr>
            <w:r>
              <w:rPr>
                <w:sz w:val="20"/>
              </w:rPr>
              <w:t xml:space="preserve">329,4</w:t>
            </w:r>
          </w:p>
        </w:tc>
        <w:tc>
          <w:tcPr>
            <w:tcW w:w="1290" w:type="dxa"/>
          </w:tcPr>
          <w:p>
            <w:pPr>
              <w:pStyle w:val="0"/>
              <w:jc w:val="center"/>
            </w:pPr>
            <w:r>
              <w:rPr>
                <w:sz w:val="20"/>
              </w:rPr>
              <w:t xml:space="preserve">331,2</w:t>
            </w:r>
          </w:p>
        </w:tc>
        <w:tc>
          <w:tcPr>
            <w:tcW w:w="1361" w:type="dxa"/>
          </w:tcPr>
          <w:p>
            <w:pPr>
              <w:pStyle w:val="0"/>
              <w:jc w:val="center"/>
            </w:pPr>
            <w:r>
              <w:rPr>
                <w:sz w:val="20"/>
              </w:rPr>
              <w:t xml:space="preserve">330,6</w:t>
            </w:r>
          </w:p>
        </w:tc>
      </w:tr>
      <w:tr>
        <w:tc>
          <w:tcPr>
            <w:tcW w:w="4005" w:type="dxa"/>
          </w:tcPr>
          <w:p>
            <w:pPr>
              <w:pStyle w:val="0"/>
              <w:jc w:val="both"/>
            </w:pPr>
            <w:r>
              <w:rPr>
                <w:sz w:val="20"/>
              </w:rPr>
              <w:t xml:space="preserve">Раздел H Транспортировка и хранение</w:t>
            </w:r>
          </w:p>
        </w:tc>
        <w:tc>
          <w:tcPr>
            <w:tcW w:w="1125" w:type="dxa"/>
          </w:tcPr>
          <w:p>
            <w:pPr>
              <w:pStyle w:val="0"/>
              <w:jc w:val="center"/>
            </w:pPr>
            <w:r>
              <w:rPr>
                <w:sz w:val="20"/>
              </w:rPr>
              <w:t xml:space="preserve">114,5</w:t>
            </w:r>
          </w:p>
        </w:tc>
        <w:tc>
          <w:tcPr>
            <w:tcW w:w="1290" w:type="dxa"/>
          </w:tcPr>
          <w:p>
            <w:pPr>
              <w:pStyle w:val="0"/>
              <w:jc w:val="center"/>
            </w:pPr>
            <w:r>
              <w:rPr>
                <w:sz w:val="20"/>
              </w:rPr>
              <w:t xml:space="preserve">115,4</w:t>
            </w:r>
          </w:p>
        </w:tc>
        <w:tc>
          <w:tcPr>
            <w:tcW w:w="1290" w:type="dxa"/>
          </w:tcPr>
          <w:p>
            <w:pPr>
              <w:pStyle w:val="0"/>
              <w:jc w:val="center"/>
            </w:pPr>
            <w:r>
              <w:rPr>
                <w:sz w:val="20"/>
              </w:rPr>
              <w:t xml:space="preserve">116,4</w:t>
            </w:r>
          </w:p>
        </w:tc>
        <w:tc>
          <w:tcPr>
            <w:tcW w:w="1361" w:type="dxa"/>
          </w:tcPr>
          <w:p>
            <w:pPr>
              <w:pStyle w:val="0"/>
              <w:jc w:val="center"/>
            </w:pPr>
            <w:r>
              <w:rPr>
                <w:sz w:val="20"/>
              </w:rPr>
              <w:t xml:space="preserve">117,1</w:t>
            </w:r>
          </w:p>
        </w:tc>
      </w:tr>
      <w:tr>
        <w:tc>
          <w:tcPr>
            <w:tcW w:w="4005" w:type="dxa"/>
          </w:tcPr>
          <w:p>
            <w:pPr>
              <w:pStyle w:val="0"/>
              <w:jc w:val="both"/>
            </w:pPr>
            <w:r>
              <w:rPr>
                <w:sz w:val="20"/>
              </w:rPr>
              <w:t xml:space="preserve">Раздел I Деятельность гостиниц и предприятий общественного питания</w:t>
            </w:r>
          </w:p>
        </w:tc>
        <w:tc>
          <w:tcPr>
            <w:tcW w:w="1125" w:type="dxa"/>
          </w:tcPr>
          <w:p>
            <w:pPr>
              <w:pStyle w:val="0"/>
              <w:jc w:val="center"/>
            </w:pPr>
            <w:r>
              <w:rPr>
                <w:sz w:val="20"/>
              </w:rPr>
              <w:t xml:space="preserve">38,7</w:t>
            </w:r>
          </w:p>
        </w:tc>
        <w:tc>
          <w:tcPr>
            <w:tcW w:w="1290" w:type="dxa"/>
          </w:tcPr>
          <w:p>
            <w:pPr>
              <w:pStyle w:val="0"/>
              <w:jc w:val="center"/>
            </w:pPr>
            <w:r>
              <w:rPr>
                <w:sz w:val="20"/>
              </w:rPr>
              <w:t xml:space="preserve">39,5</w:t>
            </w:r>
          </w:p>
        </w:tc>
        <w:tc>
          <w:tcPr>
            <w:tcW w:w="1290" w:type="dxa"/>
          </w:tcPr>
          <w:p>
            <w:pPr>
              <w:pStyle w:val="0"/>
              <w:jc w:val="center"/>
            </w:pPr>
            <w:r>
              <w:rPr>
                <w:sz w:val="20"/>
              </w:rPr>
              <w:t xml:space="preserve">40,3</w:t>
            </w:r>
          </w:p>
        </w:tc>
        <w:tc>
          <w:tcPr>
            <w:tcW w:w="1361" w:type="dxa"/>
          </w:tcPr>
          <w:p>
            <w:pPr>
              <w:pStyle w:val="0"/>
              <w:jc w:val="center"/>
            </w:pPr>
            <w:r>
              <w:rPr>
                <w:sz w:val="20"/>
              </w:rPr>
              <w:t xml:space="preserve">41,1</w:t>
            </w:r>
          </w:p>
        </w:tc>
      </w:tr>
      <w:tr>
        <w:tc>
          <w:tcPr>
            <w:tcW w:w="4005" w:type="dxa"/>
          </w:tcPr>
          <w:p>
            <w:pPr>
              <w:pStyle w:val="0"/>
              <w:jc w:val="both"/>
            </w:pPr>
            <w:r>
              <w:rPr>
                <w:sz w:val="20"/>
              </w:rPr>
              <w:t xml:space="preserve">Раздел J Деятельность в области информации и связи</w:t>
            </w:r>
          </w:p>
        </w:tc>
        <w:tc>
          <w:tcPr>
            <w:tcW w:w="1125" w:type="dxa"/>
          </w:tcPr>
          <w:p>
            <w:pPr>
              <w:pStyle w:val="0"/>
              <w:jc w:val="center"/>
            </w:pPr>
            <w:r>
              <w:rPr>
                <w:sz w:val="20"/>
              </w:rPr>
              <w:t xml:space="preserve">39,8</w:t>
            </w:r>
          </w:p>
        </w:tc>
        <w:tc>
          <w:tcPr>
            <w:tcW w:w="1290" w:type="dxa"/>
          </w:tcPr>
          <w:p>
            <w:pPr>
              <w:pStyle w:val="0"/>
              <w:jc w:val="center"/>
            </w:pPr>
            <w:r>
              <w:rPr>
                <w:sz w:val="20"/>
              </w:rPr>
              <w:t xml:space="preserve">40,2</w:t>
            </w:r>
          </w:p>
        </w:tc>
        <w:tc>
          <w:tcPr>
            <w:tcW w:w="1290" w:type="dxa"/>
          </w:tcPr>
          <w:p>
            <w:pPr>
              <w:pStyle w:val="0"/>
              <w:jc w:val="center"/>
            </w:pPr>
            <w:r>
              <w:rPr>
                <w:sz w:val="20"/>
              </w:rPr>
              <w:t xml:space="preserve">40,5</w:t>
            </w:r>
          </w:p>
        </w:tc>
        <w:tc>
          <w:tcPr>
            <w:tcW w:w="1361" w:type="dxa"/>
          </w:tcPr>
          <w:p>
            <w:pPr>
              <w:pStyle w:val="0"/>
              <w:jc w:val="center"/>
            </w:pPr>
            <w:r>
              <w:rPr>
                <w:sz w:val="20"/>
              </w:rPr>
              <w:t xml:space="preserve">41</w:t>
            </w:r>
          </w:p>
        </w:tc>
      </w:tr>
      <w:tr>
        <w:tc>
          <w:tcPr>
            <w:tcW w:w="4005" w:type="dxa"/>
          </w:tcPr>
          <w:p>
            <w:pPr>
              <w:pStyle w:val="0"/>
              <w:jc w:val="both"/>
            </w:pPr>
            <w:r>
              <w:rPr>
                <w:sz w:val="20"/>
              </w:rPr>
              <w:t xml:space="preserve">Раздел K Деятельность финансовая и страховая</w:t>
            </w:r>
          </w:p>
        </w:tc>
        <w:tc>
          <w:tcPr>
            <w:tcW w:w="1125" w:type="dxa"/>
          </w:tcPr>
          <w:p>
            <w:pPr>
              <w:pStyle w:val="0"/>
              <w:jc w:val="center"/>
            </w:pPr>
            <w:r>
              <w:rPr>
                <w:sz w:val="20"/>
              </w:rPr>
              <w:t xml:space="preserve">27,3</w:t>
            </w:r>
          </w:p>
        </w:tc>
        <w:tc>
          <w:tcPr>
            <w:tcW w:w="1290" w:type="dxa"/>
          </w:tcPr>
          <w:p>
            <w:pPr>
              <w:pStyle w:val="0"/>
              <w:jc w:val="center"/>
            </w:pPr>
            <w:r>
              <w:rPr>
                <w:sz w:val="20"/>
              </w:rPr>
              <w:t xml:space="preserve">27,0</w:t>
            </w:r>
          </w:p>
        </w:tc>
        <w:tc>
          <w:tcPr>
            <w:tcW w:w="1290" w:type="dxa"/>
          </w:tcPr>
          <w:p>
            <w:pPr>
              <w:pStyle w:val="0"/>
              <w:jc w:val="center"/>
            </w:pPr>
            <w:r>
              <w:rPr>
                <w:sz w:val="20"/>
              </w:rPr>
              <w:t xml:space="preserve">26,7</w:t>
            </w:r>
          </w:p>
        </w:tc>
        <w:tc>
          <w:tcPr>
            <w:tcW w:w="1361" w:type="dxa"/>
          </w:tcPr>
          <w:p>
            <w:pPr>
              <w:pStyle w:val="0"/>
              <w:jc w:val="center"/>
            </w:pPr>
            <w:r>
              <w:rPr>
                <w:sz w:val="20"/>
              </w:rPr>
              <w:t xml:space="preserve">26,4</w:t>
            </w:r>
          </w:p>
        </w:tc>
      </w:tr>
      <w:tr>
        <w:tc>
          <w:tcPr>
            <w:tcW w:w="4005" w:type="dxa"/>
          </w:tcPr>
          <w:p>
            <w:pPr>
              <w:pStyle w:val="0"/>
              <w:jc w:val="both"/>
            </w:pPr>
            <w:r>
              <w:rPr>
                <w:sz w:val="20"/>
              </w:rPr>
              <w:t xml:space="preserve">Раздел L Деятельность по операциям с недвижимым имуществом</w:t>
            </w:r>
          </w:p>
        </w:tc>
        <w:tc>
          <w:tcPr>
            <w:tcW w:w="1125" w:type="dxa"/>
          </w:tcPr>
          <w:p>
            <w:pPr>
              <w:pStyle w:val="0"/>
              <w:jc w:val="center"/>
            </w:pPr>
            <w:r>
              <w:rPr>
                <w:sz w:val="20"/>
              </w:rPr>
              <w:t xml:space="preserve">39,0</w:t>
            </w:r>
          </w:p>
        </w:tc>
        <w:tc>
          <w:tcPr>
            <w:tcW w:w="1290" w:type="dxa"/>
          </w:tcPr>
          <w:p>
            <w:pPr>
              <w:pStyle w:val="0"/>
              <w:jc w:val="center"/>
            </w:pPr>
            <w:r>
              <w:rPr>
                <w:sz w:val="20"/>
              </w:rPr>
              <w:t xml:space="preserve">38,8</w:t>
            </w:r>
          </w:p>
        </w:tc>
        <w:tc>
          <w:tcPr>
            <w:tcW w:w="1290" w:type="dxa"/>
          </w:tcPr>
          <w:p>
            <w:pPr>
              <w:pStyle w:val="0"/>
              <w:jc w:val="center"/>
            </w:pPr>
            <w:r>
              <w:rPr>
                <w:sz w:val="20"/>
              </w:rPr>
              <w:t xml:space="preserve">38,8</w:t>
            </w:r>
          </w:p>
        </w:tc>
        <w:tc>
          <w:tcPr>
            <w:tcW w:w="1361" w:type="dxa"/>
          </w:tcPr>
          <w:p>
            <w:pPr>
              <w:pStyle w:val="0"/>
              <w:jc w:val="center"/>
            </w:pPr>
            <w:r>
              <w:rPr>
                <w:sz w:val="20"/>
              </w:rPr>
              <w:t xml:space="preserve">38,8</w:t>
            </w:r>
          </w:p>
        </w:tc>
      </w:tr>
      <w:tr>
        <w:tc>
          <w:tcPr>
            <w:tcW w:w="4005" w:type="dxa"/>
          </w:tcPr>
          <w:p>
            <w:pPr>
              <w:pStyle w:val="0"/>
              <w:jc w:val="both"/>
            </w:pPr>
            <w:r>
              <w:rPr>
                <w:sz w:val="20"/>
              </w:rPr>
              <w:t xml:space="preserve">Раздел M Деятельность профессиональная, научная и техническая</w:t>
            </w:r>
          </w:p>
        </w:tc>
        <w:tc>
          <w:tcPr>
            <w:tcW w:w="1125" w:type="dxa"/>
          </w:tcPr>
          <w:p>
            <w:pPr>
              <w:pStyle w:val="0"/>
              <w:jc w:val="center"/>
            </w:pPr>
            <w:r>
              <w:rPr>
                <w:sz w:val="20"/>
              </w:rPr>
              <w:t xml:space="preserve">86,1</w:t>
            </w:r>
          </w:p>
        </w:tc>
        <w:tc>
          <w:tcPr>
            <w:tcW w:w="1290" w:type="dxa"/>
          </w:tcPr>
          <w:p>
            <w:pPr>
              <w:pStyle w:val="0"/>
              <w:jc w:val="center"/>
            </w:pPr>
            <w:r>
              <w:rPr>
                <w:sz w:val="20"/>
              </w:rPr>
              <w:t xml:space="preserve">88,0</w:t>
            </w:r>
          </w:p>
        </w:tc>
        <w:tc>
          <w:tcPr>
            <w:tcW w:w="1290" w:type="dxa"/>
          </w:tcPr>
          <w:p>
            <w:pPr>
              <w:pStyle w:val="0"/>
              <w:jc w:val="center"/>
            </w:pPr>
            <w:r>
              <w:rPr>
                <w:sz w:val="20"/>
              </w:rPr>
              <w:t xml:space="preserve">90,0</w:t>
            </w:r>
          </w:p>
        </w:tc>
        <w:tc>
          <w:tcPr>
            <w:tcW w:w="1361" w:type="dxa"/>
          </w:tcPr>
          <w:p>
            <w:pPr>
              <w:pStyle w:val="0"/>
              <w:jc w:val="center"/>
            </w:pPr>
            <w:r>
              <w:rPr>
                <w:sz w:val="20"/>
              </w:rPr>
              <w:t xml:space="preserve">92,0</w:t>
            </w:r>
          </w:p>
        </w:tc>
      </w:tr>
      <w:tr>
        <w:tc>
          <w:tcPr>
            <w:tcW w:w="4005" w:type="dxa"/>
          </w:tcPr>
          <w:p>
            <w:pPr>
              <w:pStyle w:val="0"/>
              <w:jc w:val="both"/>
            </w:pPr>
            <w:r>
              <w:rPr>
                <w:sz w:val="20"/>
              </w:rPr>
              <w:t xml:space="preserve">Раздел N Деятельность административная и сопутствующие дополнительные услуги</w:t>
            </w:r>
          </w:p>
        </w:tc>
        <w:tc>
          <w:tcPr>
            <w:tcW w:w="1125" w:type="dxa"/>
          </w:tcPr>
          <w:p>
            <w:pPr>
              <w:pStyle w:val="0"/>
              <w:jc w:val="center"/>
            </w:pPr>
            <w:r>
              <w:rPr>
                <w:sz w:val="20"/>
              </w:rPr>
              <w:t xml:space="preserve">45,3</w:t>
            </w:r>
          </w:p>
        </w:tc>
        <w:tc>
          <w:tcPr>
            <w:tcW w:w="1290" w:type="dxa"/>
          </w:tcPr>
          <w:p>
            <w:pPr>
              <w:pStyle w:val="0"/>
              <w:jc w:val="center"/>
            </w:pPr>
            <w:r>
              <w:rPr>
                <w:sz w:val="20"/>
              </w:rPr>
              <w:t xml:space="preserve">46,6</w:t>
            </w:r>
          </w:p>
        </w:tc>
        <w:tc>
          <w:tcPr>
            <w:tcW w:w="1290" w:type="dxa"/>
          </w:tcPr>
          <w:p>
            <w:pPr>
              <w:pStyle w:val="0"/>
              <w:jc w:val="center"/>
            </w:pPr>
            <w:r>
              <w:rPr>
                <w:sz w:val="20"/>
              </w:rPr>
              <w:t xml:space="preserve">48,0</w:t>
            </w:r>
          </w:p>
        </w:tc>
        <w:tc>
          <w:tcPr>
            <w:tcW w:w="1361" w:type="dxa"/>
          </w:tcPr>
          <w:p>
            <w:pPr>
              <w:pStyle w:val="0"/>
              <w:jc w:val="center"/>
            </w:pPr>
            <w:r>
              <w:rPr>
                <w:sz w:val="20"/>
              </w:rPr>
              <w:t xml:space="preserve">49,3</w:t>
            </w:r>
          </w:p>
        </w:tc>
      </w:tr>
      <w:tr>
        <w:tc>
          <w:tcPr>
            <w:tcW w:w="4005" w:type="dxa"/>
          </w:tcPr>
          <w:p>
            <w:pPr>
              <w:pStyle w:val="0"/>
              <w:jc w:val="both"/>
            </w:pPr>
            <w:r>
              <w:rPr>
                <w:sz w:val="20"/>
              </w:rPr>
              <w:t xml:space="preserve">Раздел O Государственное управление и обеспечение военной безопасности; социальное обеспечение</w:t>
            </w:r>
          </w:p>
        </w:tc>
        <w:tc>
          <w:tcPr>
            <w:tcW w:w="1125" w:type="dxa"/>
          </w:tcPr>
          <w:p>
            <w:pPr>
              <w:pStyle w:val="0"/>
              <w:jc w:val="center"/>
            </w:pPr>
            <w:r>
              <w:rPr>
                <w:sz w:val="20"/>
              </w:rPr>
              <w:t xml:space="preserve">78,0</w:t>
            </w:r>
          </w:p>
        </w:tc>
        <w:tc>
          <w:tcPr>
            <w:tcW w:w="1290" w:type="dxa"/>
          </w:tcPr>
          <w:p>
            <w:pPr>
              <w:pStyle w:val="0"/>
              <w:jc w:val="center"/>
            </w:pPr>
            <w:r>
              <w:rPr>
                <w:sz w:val="20"/>
              </w:rPr>
              <w:t xml:space="preserve">78,0</w:t>
            </w:r>
          </w:p>
        </w:tc>
        <w:tc>
          <w:tcPr>
            <w:tcW w:w="1290" w:type="dxa"/>
          </w:tcPr>
          <w:p>
            <w:pPr>
              <w:pStyle w:val="0"/>
              <w:jc w:val="center"/>
            </w:pPr>
            <w:r>
              <w:rPr>
                <w:sz w:val="20"/>
              </w:rPr>
              <w:t xml:space="preserve">78,1</w:t>
            </w:r>
          </w:p>
        </w:tc>
        <w:tc>
          <w:tcPr>
            <w:tcW w:w="1361" w:type="dxa"/>
          </w:tcPr>
          <w:p>
            <w:pPr>
              <w:pStyle w:val="0"/>
              <w:jc w:val="center"/>
            </w:pPr>
            <w:r>
              <w:rPr>
                <w:sz w:val="20"/>
              </w:rPr>
              <w:t xml:space="preserve">78,1</w:t>
            </w:r>
          </w:p>
        </w:tc>
      </w:tr>
      <w:tr>
        <w:tc>
          <w:tcPr>
            <w:tcW w:w="4005" w:type="dxa"/>
          </w:tcPr>
          <w:p>
            <w:pPr>
              <w:pStyle w:val="0"/>
              <w:jc w:val="both"/>
            </w:pPr>
            <w:r>
              <w:rPr>
                <w:sz w:val="20"/>
              </w:rPr>
              <w:t xml:space="preserve">Раздел P Образование</w:t>
            </w:r>
          </w:p>
        </w:tc>
        <w:tc>
          <w:tcPr>
            <w:tcW w:w="1125" w:type="dxa"/>
          </w:tcPr>
          <w:p>
            <w:pPr>
              <w:pStyle w:val="0"/>
              <w:jc w:val="center"/>
            </w:pPr>
            <w:r>
              <w:rPr>
                <w:sz w:val="20"/>
              </w:rPr>
              <w:t xml:space="preserve">111,0</w:t>
            </w:r>
          </w:p>
        </w:tc>
        <w:tc>
          <w:tcPr>
            <w:tcW w:w="1290" w:type="dxa"/>
          </w:tcPr>
          <w:p>
            <w:pPr>
              <w:pStyle w:val="0"/>
              <w:jc w:val="center"/>
            </w:pPr>
            <w:r>
              <w:rPr>
                <w:sz w:val="20"/>
              </w:rPr>
              <w:t xml:space="preserve">111,7</w:t>
            </w:r>
          </w:p>
        </w:tc>
        <w:tc>
          <w:tcPr>
            <w:tcW w:w="1290" w:type="dxa"/>
          </w:tcPr>
          <w:p>
            <w:pPr>
              <w:pStyle w:val="0"/>
              <w:jc w:val="center"/>
            </w:pPr>
            <w:r>
              <w:rPr>
                <w:sz w:val="20"/>
              </w:rPr>
              <w:t xml:space="preserve">112,3</w:t>
            </w:r>
          </w:p>
        </w:tc>
        <w:tc>
          <w:tcPr>
            <w:tcW w:w="1361" w:type="dxa"/>
          </w:tcPr>
          <w:p>
            <w:pPr>
              <w:pStyle w:val="0"/>
              <w:jc w:val="center"/>
            </w:pPr>
            <w:r>
              <w:rPr>
                <w:sz w:val="20"/>
              </w:rPr>
              <w:t xml:space="preserve">113,0</w:t>
            </w:r>
          </w:p>
        </w:tc>
      </w:tr>
      <w:tr>
        <w:tc>
          <w:tcPr>
            <w:tcW w:w="4005" w:type="dxa"/>
          </w:tcPr>
          <w:p>
            <w:pPr>
              <w:pStyle w:val="0"/>
              <w:jc w:val="both"/>
            </w:pPr>
            <w:r>
              <w:rPr>
                <w:sz w:val="20"/>
              </w:rPr>
              <w:t xml:space="preserve">Раздел Q Деятельность в области здравоохранения и социальных услуг</w:t>
            </w:r>
          </w:p>
        </w:tc>
        <w:tc>
          <w:tcPr>
            <w:tcW w:w="1125" w:type="dxa"/>
          </w:tcPr>
          <w:p>
            <w:pPr>
              <w:pStyle w:val="0"/>
              <w:jc w:val="center"/>
            </w:pPr>
            <w:r>
              <w:rPr>
                <w:sz w:val="20"/>
              </w:rPr>
              <w:t xml:space="preserve">100,2</w:t>
            </w:r>
          </w:p>
        </w:tc>
        <w:tc>
          <w:tcPr>
            <w:tcW w:w="1290" w:type="dxa"/>
          </w:tcPr>
          <w:p>
            <w:pPr>
              <w:pStyle w:val="0"/>
              <w:jc w:val="center"/>
            </w:pPr>
            <w:r>
              <w:rPr>
                <w:sz w:val="20"/>
              </w:rPr>
              <w:t xml:space="preserve">100,9</w:t>
            </w:r>
          </w:p>
        </w:tc>
        <w:tc>
          <w:tcPr>
            <w:tcW w:w="1290" w:type="dxa"/>
          </w:tcPr>
          <w:p>
            <w:pPr>
              <w:pStyle w:val="0"/>
              <w:jc w:val="center"/>
            </w:pPr>
            <w:r>
              <w:rPr>
                <w:sz w:val="20"/>
              </w:rPr>
              <w:t xml:space="preserve">101,7</w:t>
            </w:r>
          </w:p>
        </w:tc>
        <w:tc>
          <w:tcPr>
            <w:tcW w:w="1361" w:type="dxa"/>
          </w:tcPr>
          <w:p>
            <w:pPr>
              <w:pStyle w:val="0"/>
              <w:jc w:val="center"/>
            </w:pPr>
            <w:r>
              <w:rPr>
                <w:sz w:val="20"/>
              </w:rPr>
              <w:t xml:space="preserve">102,4</w:t>
            </w:r>
          </w:p>
        </w:tc>
      </w:tr>
      <w:tr>
        <w:tc>
          <w:tcPr>
            <w:tcW w:w="4005" w:type="dxa"/>
          </w:tcPr>
          <w:p>
            <w:pPr>
              <w:pStyle w:val="0"/>
              <w:jc w:val="both"/>
            </w:pPr>
            <w:r>
              <w:rPr>
                <w:sz w:val="20"/>
              </w:rPr>
              <w:t xml:space="preserve">Раздел R Деятельность в области культуры, спорта, организации досуга и развлечений</w:t>
            </w:r>
          </w:p>
        </w:tc>
        <w:tc>
          <w:tcPr>
            <w:tcW w:w="1125" w:type="dxa"/>
          </w:tcPr>
          <w:p>
            <w:pPr>
              <w:pStyle w:val="0"/>
              <w:jc w:val="center"/>
            </w:pPr>
            <w:r>
              <w:rPr>
                <w:sz w:val="20"/>
              </w:rPr>
              <w:t xml:space="preserve">30,2</w:t>
            </w:r>
          </w:p>
        </w:tc>
        <w:tc>
          <w:tcPr>
            <w:tcW w:w="1290" w:type="dxa"/>
          </w:tcPr>
          <w:p>
            <w:pPr>
              <w:pStyle w:val="0"/>
              <w:jc w:val="center"/>
            </w:pPr>
            <w:r>
              <w:rPr>
                <w:sz w:val="20"/>
              </w:rPr>
              <w:t xml:space="preserve">30,8</w:t>
            </w:r>
          </w:p>
        </w:tc>
        <w:tc>
          <w:tcPr>
            <w:tcW w:w="1290" w:type="dxa"/>
          </w:tcPr>
          <w:p>
            <w:pPr>
              <w:pStyle w:val="0"/>
              <w:jc w:val="center"/>
            </w:pPr>
            <w:r>
              <w:rPr>
                <w:sz w:val="20"/>
              </w:rPr>
              <w:t xml:space="preserve">31,4</w:t>
            </w:r>
          </w:p>
        </w:tc>
        <w:tc>
          <w:tcPr>
            <w:tcW w:w="1361" w:type="dxa"/>
          </w:tcPr>
          <w:p>
            <w:pPr>
              <w:pStyle w:val="0"/>
              <w:jc w:val="center"/>
            </w:pPr>
            <w:r>
              <w:rPr>
                <w:sz w:val="20"/>
              </w:rPr>
              <w:t xml:space="preserve">31,8</w:t>
            </w:r>
          </w:p>
        </w:tc>
      </w:tr>
      <w:tr>
        <w:tc>
          <w:tcPr>
            <w:tcW w:w="4005" w:type="dxa"/>
          </w:tcPr>
          <w:p>
            <w:pPr>
              <w:pStyle w:val="0"/>
              <w:jc w:val="both"/>
            </w:pPr>
            <w:r>
              <w:rPr>
                <w:sz w:val="20"/>
              </w:rPr>
              <w:t xml:space="preserve">Раздел S Предоставление прочих видов услуг</w:t>
            </w:r>
          </w:p>
        </w:tc>
        <w:tc>
          <w:tcPr>
            <w:tcW w:w="1125" w:type="dxa"/>
          </w:tcPr>
          <w:p>
            <w:pPr>
              <w:pStyle w:val="0"/>
              <w:jc w:val="center"/>
            </w:pPr>
            <w:r>
              <w:rPr>
                <w:sz w:val="20"/>
              </w:rPr>
              <w:t xml:space="preserve">34,6</w:t>
            </w:r>
          </w:p>
        </w:tc>
        <w:tc>
          <w:tcPr>
            <w:tcW w:w="1290" w:type="dxa"/>
          </w:tcPr>
          <w:p>
            <w:pPr>
              <w:pStyle w:val="0"/>
              <w:jc w:val="center"/>
            </w:pPr>
            <w:r>
              <w:rPr>
                <w:sz w:val="20"/>
              </w:rPr>
              <w:t xml:space="preserve">34,7</w:t>
            </w:r>
          </w:p>
        </w:tc>
        <w:tc>
          <w:tcPr>
            <w:tcW w:w="1290" w:type="dxa"/>
          </w:tcPr>
          <w:p>
            <w:pPr>
              <w:pStyle w:val="0"/>
              <w:jc w:val="center"/>
            </w:pPr>
            <w:r>
              <w:rPr>
                <w:sz w:val="20"/>
              </w:rPr>
              <w:t xml:space="preserve">35,1</w:t>
            </w:r>
          </w:p>
        </w:tc>
        <w:tc>
          <w:tcPr>
            <w:tcW w:w="1361" w:type="dxa"/>
          </w:tcPr>
          <w:p>
            <w:pPr>
              <w:pStyle w:val="0"/>
              <w:jc w:val="center"/>
            </w:pPr>
            <w:r>
              <w:rPr>
                <w:sz w:val="20"/>
              </w:rPr>
              <w:t xml:space="preserve">35,6</w:t>
            </w:r>
          </w:p>
        </w:tc>
      </w:tr>
      <w:tr>
        <w:tc>
          <w:tcPr>
            <w:tcW w:w="4005" w:type="dxa"/>
          </w:tcPr>
          <w:p>
            <w:pPr>
              <w:pStyle w:val="0"/>
              <w:jc w:val="both"/>
            </w:pPr>
            <w:r>
              <w:rPr>
                <w:sz w:val="20"/>
              </w:rPr>
              <w:t xml:space="preserve">Всего</w:t>
            </w:r>
          </w:p>
        </w:tc>
        <w:tc>
          <w:tcPr>
            <w:tcW w:w="1125" w:type="dxa"/>
          </w:tcPr>
          <w:p>
            <w:pPr>
              <w:pStyle w:val="0"/>
              <w:jc w:val="center"/>
            </w:pPr>
            <w:r>
              <w:rPr>
                <w:sz w:val="20"/>
              </w:rPr>
              <w:t xml:space="preserve">1660,6</w:t>
            </w:r>
          </w:p>
        </w:tc>
        <w:tc>
          <w:tcPr>
            <w:tcW w:w="1290" w:type="dxa"/>
          </w:tcPr>
          <w:p>
            <w:pPr>
              <w:pStyle w:val="0"/>
              <w:jc w:val="center"/>
            </w:pPr>
            <w:r>
              <w:rPr>
                <w:sz w:val="20"/>
              </w:rPr>
              <w:t xml:space="preserve">1673,7</w:t>
            </w:r>
          </w:p>
        </w:tc>
        <w:tc>
          <w:tcPr>
            <w:tcW w:w="1290" w:type="dxa"/>
          </w:tcPr>
          <w:p>
            <w:pPr>
              <w:pStyle w:val="0"/>
              <w:jc w:val="center"/>
            </w:pPr>
            <w:r>
              <w:rPr>
                <w:sz w:val="20"/>
              </w:rPr>
              <w:t xml:space="preserve">1688,7</w:t>
            </w:r>
          </w:p>
        </w:tc>
        <w:tc>
          <w:tcPr>
            <w:tcW w:w="1361" w:type="dxa"/>
          </w:tcPr>
          <w:p>
            <w:pPr>
              <w:pStyle w:val="0"/>
              <w:jc w:val="center"/>
            </w:pPr>
            <w:r>
              <w:rPr>
                <w:sz w:val="20"/>
              </w:rPr>
              <w:t xml:space="preserve">1700,6</w:t>
            </w:r>
          </w:p>
        </w:tc>
      </w:tr>
    </w:tbl>
    <w:p>
      <w:pPr>
        <w:pStyle w:val="0"/>
        <w:ind w:firstLine="540"/>
        <w:jc w:val="both"/>
      </w:pPr>
      <w:r>
        <w:rPr>
          <w:sz w:val="20"/>
        </w:rPr>
      </w:r>
    </w:p>
    <w:p>
      <w:pPr>
        <w:pStyle w:val="2"/>
        <w:outlineLvl w:val="4"/>
        <w:jc w:val="center"/>
      </w:pPr>
      <w:r>
        <w:rPr>
          <w:sz w:val="20"/>
        </w:rPr>
        <w:t xml:space="preserve">Прогноз общей кадровой потребности предприятий</w:t>
      </w:r>
    </w:p>
    <w:p>
      <w:pPr>
        <w:pStyle w:val="2"/>
        <w:jc w:val="center"/>
      </w:pPr>
      <w:r>
        <w:rPr>
          <w:sz w:val="20"/>
        </w:rPr>
        <w:t xml:space="preserve">по видам занятий</w:t>
      </w:r>
    </w:p>
    <w:p>
      <w:pPr>
        <w:pStyle w:val="0"/>
        <w:ind w:firstLine="540"/>
        <w:jc w:val="both"/>
      </w:pPr>
      <w:r>
        <w:rPr>
          <w:sz w:val="20"/>
        </w:rPr>
      </w:r>
    </w:p>
    <w:p>
      <w:pPr>
        <w:pStyle w:val="0"/>
        <w:jc w:val="right"/>
      </w:pPr>
      <w:r>
        <w:rPr>
          <w:sz w:val="20"/>
        </w:rPr>
        <w:t xml:space="preserve">тыс. чел.</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25"/>
        <w:gridCol w:w="1125"/>
        <w:gridCol w:w="1290"/>
        <w:gridCol w:w="1290"/>
        <w:gridCol w:w="1304"/>
      </w:tblGrid>
      <w:tr>
        <w:tc>
          <w:tcPr>
            <w:tcW w:w="4025" w:type="dxa"/>
          </w:tcPr>
          <w:p>
            <w:pPr>
              <w:pStyle w:val="0"/>
              <w:jc w:val="center"/>
            </w:pPr>
            <w:r>
              <w:rPr>
                <w:sz w:val="20"/>
              </w:rPr>
              <w:t xml:space="preserve">Наименования групп занятий</w:t>
            </w:r>
          </w:p>
        </w:tc>
        <w:tc>
          <w:tcPr>
            <w:tcW w:w="1125" w:type="dxa"/>
          </w:tcPr>
          <w:p>
            <w:pPr>
              <w:pStyle w:val="0"/>
              <w:jc w:val="center"/>
            </w:pPr>
            <w:r>
              <w:rPr>
                <w:sz w:val="20"/>
              </w:rPr>
              <w:t xml:space="preserve">2024 год (оценка)</w:t>
            </w:r>
          </w:p>
        </w:tc>
        <w:tc>
          <w:tcPr>
            <w:tcW w:w="1290" w:type="dxa"/>
          </w:tcPr>
          <w:p>
            <w:pPr>
              <w:pStyle w:val="0"/>
              <w:jc w:val="center"/>
            </w:pPr>
            <w:r>
              <w:rPr>
                <w:sz w:val="20"/>
              </w:rPr>
              <w:t xml:space="preserve">2025 год (прогноз)</w:t>
            </w:r>
          </w:p>
        </w:tc>
        <w:tc>
          <w:tcPr>
            <w:tcW w:w="1290" w:type="dxa"/>
          </w:tcPr>
          <w:p>
            <w:pPr>
              <w:pStyle w:val="0"/>
              <w:jc w:val="center"/>
            </w:pPr>
            <w:r>
              <w:rPr>
                <w:sz w:val="20"/>
              </w:rPr>
              <w:t xml:space="preserve">2026 год (прогноз)</w:t>
            </w:r>
          </w:p>
        </w:tc>
        <w:tc>
          <w:tcPr>
            <w:tcW w:w="1304" w:type="dxa"/>
          </w:tcPr>
          <w:p>
            <w:pPr>
              <w:pStyle w:val="0"/>
              <w:jc w:val="center"/>
            </w:pPr>
            <w:r>
              <w:rPr>
                <w:sz w:val="20"/>
              </w:rPr>
              <w:t xml:space="preserve">2027 год (прогноз)</w:t>
            </w:r>
          </w:p>
        </w:tc>
      </w:tr>
      <w:tr>
        <w:tc>
          <w:tcPr>
            <w:tcW w:w="4025" w:type="dxa"/>
          </w:tcPr>
          <w:p>
            <w:pPr>
              <w:pStyle w:val="0"/>
              <w:jc w:val="both"/>
            </w:pPr>
            <w:r>
              <w:rPr>
                <w:sz w:val="20"/>
              </w:rPr>
              <w:t xml:space="preserve">Руководители</w:t>
            </w:r>
          </w:p>
        </w:tc>
        <w:tc>
          <w:tcPr>
            <w:tcW w:w="1125" w:type="dxa"/>
          </w:tcPr>
          <w:p>
            <w:pPr>
              <w:pStyle w:val="0"/>
              <w:jc w:val="center"/>
            </w:pPr>
            <w:r>
              <w:rPr>
                <w:sz w:val="20"/>
              </w:rPr>
              <w:t xml:space="preserve">161,6</w:t>
            </w:r>
          </w:p>
        </w:tc>
        <w:tc>
          <w:tcPr>
            <w:tcW w:w="1290" w:type="dxa"/>
          </w:tcPr>
          <w:p>
            <w:pPr>
              <w:pStyle w:val="0"/>
              <w:jc w:val="center"/>
            </w:pPr>
            <w:r>
              <w:rPr>
                <w:sz w:val="20"/>
              </w:rPr>
              <w:t xml:space="preserve">156,9</w:t>
            </w:r>
          </w:p>
        </w:tc>
        <w:tc>
          <w:tcPr>
            <w:tcW w:w="1290" w:type="dxa"/>
          </w:tcPr>
          <w:p>
            <w:pPr>
              <w:pStyle w:val="0"/>
              <w:jc w:val="center"/>
            </w:pPr>
            <w:r>
              <w:rPr>
                <w:sz w:val="20"/>
              </w:rPr>
              <w:t xml:space="preserve">156,2</w:t>
            </w:r>
          </w:p>
        </w:tc>
        <w:tc>
          <w:tcPr>
            <w:tcW w:w="1304" w:type="dxa"/>
          </w:tcPr>
          <w:p>
            <w:pPr>
              <w:pStyle w:val="0"/>
              <w:jc w:val="center"/>
            </w:pPr>
            <w:r>
              <w:rPr>
                <w:sz w:val="20"/>
              </w:rPr>
              <w:t xml:space="preserve">154,9</w:t>
            </w:r>
          </w:p>
        </w:tc>
      </w:tr>
      <w:tr>
        <w:tc>
          <w:tcPr>
            <w:tcW w:w="4025" w:type="dxa"/>
          </w:tcPr>
          <w:p>
            <w:pPr>
              <w:pStyle w:val="0"/>
              <w:jc w:val="both"/>
            </w:pPr>
            <w:r>
              <w:rPr>
                <w:sz w:val="20"/>
              </w:rPr>
              <w:t xml:space="preserve">Специалисты высшего уровня квалификации</w:t>
            </w:r>
          </w:p>
        </w:tc>
        <w:tc>
          <w:tcPr>
            <w:tcW w:w="1125" w:type="dxa"/>
          </w:tcPr>
          <w:p>
            <w:pPr>
              <w:pStyle w:val="0"/>
              <w:jc w:val="center"/>
            </w:pPr>
            <w:r>
              <w:rPr>
                <w:sz w:val="20"/>
              </w:rPr>
              <w:t xml:space="preserve">371,7</w:t>
            </w:r>
          </w:p>
        </w:tc>
        <w:tc>
          <w:tcPr>
            <w:tcW w:w="1290" w:type="dxa"/>
          </w:tcPr>
          <w:p>
            <w:pPr>
              <w:pStyle w:val="0"/>
              <w:jc w:val="center"/>
            </w:pPr>
            <w:r>
              <w:rPr>
                <w:sz w:val="20"/>
              </w:rPr>
              <w:t xml:space="preserve">375,9</w:t>
            </w:r>
          </w:p>
        </w:tc>
        <w:tc>
          <w:tcPr>
            <w:tcW w:w="1290" w:type="dxa"/>
          </w:tcPr>
          <w:p>
            <w:pPr>
              <w:pStyle w:val="0"/>
              <w:jc w:val="center"/>
            </w:pPr>
            <w:r>
              <w:rPr>
                <w:sz w:val="20"/>
              </w:rPr>
              <w:t xml:space="preserve">381,6</w:t>
            </w:r>
          </w:p>
        </w:tc>
        <w:tc>
          <w:tcPr>
            <w:tcW w:w="1304" w:type="dxa"/>
          </w:tcPr>
          <w:p>
            <w:pPr>
              <w:pStyle w:val="0"/>
              <w:jc w:val="center"/>
            </w:pPr>
            <w:r>
              <w:rPr>
                <w:sz w:val="20"/>
              </w:rPr>
              <w:t xml:space="preserve">386,1</w:t>
            </w:r>
          </w:p>
        </w:tc>
      </w:tr>
      <w:tr>
        <w:tc>
          <w:tcPr>
            <w:tcW w:w="4025" w:type="dxa"/>
          </w:tcPr>
          <w:p>
            <w:pPr>
              <w:pStyle w:val="0"/>
              <w:jc w:val="both"/>
            </w:pPr>
            <w:r>
              <w:rPr>
                <w:sz w:val="20"/>
              </w:rPr>
              <w:t xml:space="preserve">Специалисты среднего уровня квалификации</w:t>
            </w:r>
          </w:p>
        </w:tc>
        <w:tc>
          <w:tcPr>
            <w:tcW w:w="1125" w:type="dxa"/>
          </w:tcPr>
          <w:p>
            <w:pPr>
              <w:pStyle w:val="0"/>
              <w:jc w:val="center"/>
            </w:pPr>
            <w:r>
              <w:rPr>
                <w:sz w:val="20"/>
              </w:rPr>
              <w:t xml:space="preserve">176,7</w:t>
            </w:r>
          </w:p>
        </w:tc>
        <w:tc>
          <w:tcPr>
            <w:tcW w:w="1290" w:type="dxa"/>
          </w:tcPr>
          <w:p>
            <w:pPr>
              <w:pStyle w:val="0"/>
              <w:jc w:val="center"/>
            </w:pPr>
            <w:r>
              <w:rPr>
                <w:sz w:val="20"/>
              </w:rPr>
              <w:t xml:space="preserve">180,6</w:t>
            </w:r>
          </w:p>
        </w:tc>
        <w:tc>
          <w:tcPr>
            <w:tcW w:w="1290" w:type="dxa"/>
          </w:tcPr>
          <w:p>
            <w:pPr>
              <w:pStyle w:val="0"/>
              <w:jc w:val="center"/>
            </w:pPr>
            <w:r>
              <w:rPr>
                <w:sz w:val="20"/>
              </w:rPr>
              <w:t xml:space="preserve">181,6</w:t>
            </w:r>
          </w:p>
        </w:tc>
        <w:tc>
          <w:tcPr>
            <w:tcW w:w="1304" w:type="dxa"/>
          </w:tcPr>
          <w:p>
            <w:pPr>
              <w:pStyle w:val="0"/>
              <w:jc w:val="center"/>
            </w:pPr>
            <w:r>
              <w:rPr>
                <w:sz w:val="20"/>
              </w:rPr>
              <w:t xml:space="preserve">184,0</w:t>
            </w:r>
          </w:p>
        </w:tc>
      </w:tr>
      <w:tr>
        <w:tc>
          <w:tcPr>
            <w:tcW w:w="4025" w:type="dxa"/>
          </w:tcPr>
          <w:p>
            <w:pPr>
              <w:pStyle w:val="0"/>
              <w:jc w:val="both"/>
            </w:pPr>
            <w:r>
              <w:rPr>
                <w:sz w:val="20"/>
              </w:rPr>
              <w:t xml:space="preserve">Служащие, занятые подготовкой и оформлением документации, учетом и обслуживанием</w:t>
            </w:r>
          </w:p>
        </w:tc>
        <w:tc>
          <w:tcPr>
            <w:tcW w:w="1125" w:type="dxa"/>
          </w:tcPr>
          <w:p>
            <w:pPr>
              <w:pStyle w:val="0"/>
              <w:jc w:val="center"/>
            </w:pPr>
            <w:r>
              <w:rPr>
                <w:sz w:val="20"/>
              </w:rPr>
              <w:t xml:space="preserve">83,5</w:t>
            </w:r>
          </w:p>
        </w:tc>
        <w:tc>
          <w:tcPr>
            <w:tcW w:w="1290" w:type="dxa"/>
          </w:tcPr>
          <w:p>
            <w:pPr>
              <w:pStyle w:val="0"/>
              <w:jc w:val="center"/>
            </w:pPr>
            <w:r>
              <w:rPr>
                <w:sz w:val="20"/>
              </w:rPr>
              <w:t xml:space="preserve">83,6</w:t>
            </w:r>
          </w:p>
        </w:tc>
        <w:tc>
          <w:tcPr>
            <w:tcW w:w="1290" w:type="dxa"/>
          </w:tcPr>
          <w:p>
            <w:pPr>
              <w:pStyle w:val="0"/>
              <w:jc w:val="center"/>
            </w:pPr>
            <w:r>
              <w:rPr>
                <w:sz w:val="20"/>
              </w:rPr>
              <w:t xml:space="preserve">84,7</w:t>
            </w:r>
          </w:p>
        </w:tc>
        <w:tc>
          <w:tcPr>
            <w:tcW w:w="1304" w:type="dxa"/>
          </w:tcPr>
          <w:p>
            <w:pPr>
              <w:pStyle w:val="0"/>
              <w:jc w:val="center"/>
            </w:pPr>
            <w:r>
              <w:rPr>
                <w:sz w:val="20"/>
              </w:rPr>
              <w:t xml:space="preserve">86,2</w:t>
            </w:r>
          </w:p>
        </w:tc>
      </w:tr>
      <w:tr>
        <w:tc>
          <w:tcPr>
            <w:tcW w:w="4025" w:type="dxa"/>
          </w:tcPr>
          <w:p>
            <w:pPr>
              <w:pStyle w:val="0"/>
              <w:jc w:val="both"/>
            </w:pPr>
            <w:r>
              <w:rPr>
                <w:sz w:val="20"/>
              </w:rPr>
              <w:t xml:space="preserve">Работники сферы обслуживания и торговли, охраны граждан и собственности</w:t>
            </w:r>
          </w:p>
        </w:tc>
        <w:tc>
          <w:tcPr>
            <w:tcW w:w="1125" w:type="dxa"/>
          </w:tcPr>
          <w:p>
            <w:pPr>
              <w:pStyle w:val="0"/>
              <w:jc w:val="center"/>
            </w:pPr>
            <w:r>
              <w:rPr>
                <w:sz w:val="20"/>
              </w:rPr>
              <w:t xml:space="preserve">244,0</w:t>
            </w:r>
          </w:p>
        </w:tc>
        <w:tc>
          <w:tcPr>
            <w:tcW w:w="1290" w:type="dxa"/>
          </w:tcPr>
          <w:p>
            <w:pPr>
              <w:pStyle w:val="0"/>
              <w:jc w:val="center"/>
            </w:pPr>
            <w:r>
              <w:rPr>
                <w:sz w:val="20"/>
              </w:rPr>
              <w:t xml:space="preserve">244,8</w:t>
            </w:r>
          </w:p>
        </w:tc>
        <w:tc>
          <w:tcPr>
            <w:tcW w:w="1290" w:type="dxa"/>
          </w:tcPr>
          <w:p>
            <w:pPr>
              <w:pStyle w:val="0"/>
              <w:jc w:val="center"/>
            </w:pPr>
            <w:r>
              <w:rPr>
                <w:sz w:val="20"/>
              </w:rPr>
              <w:t xml:space="preserve">245,6</w:t>
            </w:r>
          </w:p>
        </w:tc>
        <w:tc>
          <w:tcPr>
            <w:tcW w:w="1304" w:type="dxa"/>
          </w:tcPr>
          <w:p>
            <w:pPr>
              <w:pStyle w:val="0"/>
              <w:jc w:val="center"/>
            </w:pPr>
            <w:r>
              <w:rPr>
                <w:sz w:val="20"/>
              </w:rPr>
              <w:t xml:space="preserve">246,6</w:t>
            </w:r>
          </w:p>
        </w:tc>
      </w:tr>
      <w:tr>
        <w:tc>
          <w:tcPr>
            <w:tcW w:w="4025" w:type="dxa"/>
          </w:tcPr>
          <w:p>
            <w:pPr>
              <w:pStyle w:val="0"/>
              <w:jc w:val="both"/>
            </w:pPr>
            <w:r>
              <w:rPr>
                <w:sz w:val="20"/>
              </w:rPr>
              <w:t xml:space="preserve">Квалифицированные работники сельского и лесного хозяйства, рыбоводства и рыболовства</w:t>
            </w:r>
          </w:p>
        </w:tc>
        <w:tc>
          <w:tcPr>
            <w:tcW w:w="1125" w:type="dxa"/>
          </w:tcPr>
          <w:p>
            <w:pPr>
              <w:pStyle w:val="0"/>
              <w:jc w:val="center"/>
            </w:pPr>
            <w:r>
              <w:rPr>
                <w:sz w:val="20"/>
              </w:rPr>
              <w:t xml:space="preserve">13,8</w:t>
            </w:r>
          </w:p>
        </w:tc>
        <w:tc>
          <w:tcPr>
            <w:tcW w:w="1290" w:type="dxa"/>
          </w:tcPr>
          <w:p>
            <w:pPr>
              <w:pStyle w:val="0"/>
              <w:jc w:val="center"/>
            </w:pPr>
            <w:r>
              <w:rPr>
                <w:sz w:val="20"/>
              </w:rPr>
              <w:t xml:space="preserve">13,0</w:t>
            </w:r>
          </w:p>
        </w:tc>
        <w:tc>
          <w:tcPr>
            <w:tcW w:w="1290" w:type="dxa"/>
          </w:tcPr>
          <w:p>
            <w:pPr>
              <w:pStyle w:val="0"/>
              <w:jc w:val="center"/>
            </w:pPr>
            <w:r>
              <w:rPr>
                <w:sz w:val="20"/>
              </w:rPr>
              <w:t xml:space="preserve">13,5</w:t>
            </w:r>
          </w:p>
        </w:tc>
        <w:tc>
          <w:tcPr>
            <w:tcW w:w="1304" w:type="dxa"/>
          </w:tcPr>
          <w:p>
            <w:pPr>
              <w:pStyle w:val="0"/>
              <w:jc w:val="center"/>
            </w:pPr>
            <w:r>
              <w:rPr>
                <w:sz w:val="20"/>
              </w:rPr>
              <w:t xml:space="preserve">13,2</w:t>
            </w:r>
          </w:p>
        </w:tc>
      </w:tr>
      <w:tr>
        <w:tc>
          <w:tcPr>
            <w:tcW w:w="4025" w:type="dxa"/>
          </w:tcPr>
          <w:p>
            <w:pPr>
              <w:pStyle w:val="0"/>
              <w:jc w:val="both"/>
            </w:pPr>
            <w:r>
              <w:rPr>
                <w:sz w:val="20"/>
              </w:rPr>
              <w:t xml:space="preserve">Квалифицированные рабочие промышленности, строительства, транспорта и рабочие родственных занятий</w:t>
            </w:r>
          </w:p>
        </w:tc>
        <w:tc>
          <w:tcPr>
            <w:tcW w:w="1125" w:type="dxa"/>
          </w:tcPr>
          <w:p>
            <w:pPr>
              <w:pStyle w:val="0"/>
              <w:jc w:val="center"/>
            </w:pPr>
            <w:r>
              <w:rPr>
                <w:sz w:val="20"/>
              </w:rPr>
              <w:t xml:space="preserve">255,1</w:t>
            </w:r>
          </w:p>
        </w:tc>
        <w:tc>
          <w:tcPr>
            <w:tcW w:w="1290" w:type="dxa"/>
          </w:tcPr>
          <w:p>
            <w:pPr>
              <w:pStyle w:val="0"/>
              <w:jc w:val="center"/>
            </w:pPr>
            <w:r>
              <w:rPr>
                <w:sz w:val="20"/>
              </w:rPr>
              <w:t xml:space="preserve">261,9</w:t>
            </w:r>
          </w:p>
        </w:tc>
        <w:tc>
          <w:tcPr>
            <w:tcW w:w="1290" w:type="dxa"/>
          </w:tcPr>
          <w:p>
            <w:pPr>
              <w:pStyle w:val="0"/>
              <w:jc w:val="center"/>
            </w:pPr>
            <w:r>
              <w:rPr>
                <w:sz w:val="20"/>
              </w:rPr>
              <w:t xml:space="preserve">265,3</w:t>
            </w:r>
          </w:p>
        </w:tc>
        <w:tc>
          <w:tcPr>
            <w:tcW w:w="1304" w:type="dxa"/>
          </w:tcPr>
          <w:p>
            <w:pPr>
              <w:pStyle w:val="0"/>
              <w:jc w:val="center"/>
            </w:pPr>
            <w:r>
              <w:rPr>
                <w:sz w:val="20"/>
              </w:rPr>
              <w:t xml:space="preserve">268,8</w:t>
            </w:r>
          </w:p>
        </w:tc>
      </w:tr>
      <w:tr>
        <w:tc>
          <w:tcPr>
            <w:tcW w:w="4025" w:type="dxa"/>
          </w:tcPr>
          <w:p>
            <w:pPr>
              <w:pStyle w:val="0"/>
              <w:jc w:val="both"/>
            </w:pPr>
            <w:r>
              <w:rPr>
                <w:sz w:val="20"/>
              </w:rPr>
              <w:t xml:space="preserve">Операторы производственных установок и машин, сборщики и водители</w:t>
            </w:r>
          </w:p>
        </w:tc>
        <w:tc>
          <w:tcPr>
            <w:tcW w:w="1125" w:type="dxa"/>
          </w:tcPr>
          <w:p>
            <w:pPr>
              <w:pStyle w:val="0"/>
              <w:jc w:val="center"/>
            </w:pPr>
            <w:r>
              <w:rPr>
                <w:sz w:val="20"/>
              </w:rPr>
              <w:t xml:space="preserve">206,4</w:t>
            </w:r>
          </w:p>
        </w:tc>
        <w:tc>
          <w:tcPr>
            <w:tcW w:w="1290" w:type="dxa"/>
          </w:tcPr>
          <w:p>
            <w:pPr>
              <w:pStyle w:val="0"/>
              <w:jc w:val="center"/>
            </w:pPr>
            <w:r>
              <w:rPr>
                <w:sz w:val="20"/>
              </w:rPr>
              <w:t xml:space="preserve">210,8</w:t>
            </w:r>
          </w:p>
        </w:tc>
        <w:tc>
          <w:tcPr>
            <w:tcW w:w="1290" w:type="dxa"/>
          </w:tcPr>
          <w:p>
            <w:pPr>
              <w:pStyle w:val="0"/>
              <w:jc w:val="center"/>
            </w:pPr>
            <w:r>
              <w:rPr>
                <w:sz w:val="20"/>
              </w:rPr>
              <w:t xml:space="preserve">212,8</w:t>
            </w:r>
          </w:p>
        </w:tc>
        <w:tc>
          <w:tcPr>
            <w:tcW w:w="1304" w:type="dxa"/>
          </w:tcPr>
          <w:p>
            <w:pPr>
              <w:pStyle w:val="0"/>
              <w:jc w:val="center"/>
            </w:pPr>
            <w:r>
              <w:rPr>
                <w:sz w:val="20"/>
              </w:rPr>
              <w:t xml:space="preserve">214,4</w:t>
            </w:r>
          </w:p>
        </w:tc>
      </w:tr>
      <w:tr>
        <w:tc>
          <w:tcPr>
            <w:tcW w:w="4025" w:type="dxa"/>
          </w:tcPr>
          <w:p>
            <w:pPr>
              <w:pStyle w:val="0"/>
              <w:jc w:val="both"/>
            </w:pPr>
            <w:r>
              <w:rPr>
                <w:sz w:val="20"/>
              </w:rPr>
              <w:t xml:space="preserve">Неквалифицированные рабочие</w:t>
            </w:r>
          </w:p>
        </w:tc>
        <w:tc>
          <w:tcPr>
            <w:tcW w:w="1125" w:type="dxa"/>
          </w:tcPr>
          <w:p>
            <w:pPr>
              <w:pStyle w:val="0"/>
              <w:jc w:val="center"/>
            </w:pPr>
            <w:r>
              <w:rPr>
                <w:sz w:val="20"/>
              </w:rPr>
              <w:t xml:space="preserve">147,7</w:t>
            </w:r>
          </w:p>
        </w:tc>
        <w:tc>
          <w:tcPr>
            <w:tcW w:w="1290" w:type="dxa"/>
          </w:tcPr>
          <w:p>
            <w:pPr>
              <w:pStyle w:val="0"/>
              <w:jc w:val="center"/>
            </w:pPr>
            <w:r>
              <w:rPr>
                <w:sz w:val="20"/>
              </w:rPr>
              <w:t xml:space="preserve">146,3</w:t>
            </w:r>
          </w:p>
        </w:tc>
        <w:tc>
          <w:tcPr>
            <w:tcW w:w="1290" w:type="dxa"/>
          </w:tcPr>
          <w:p>
            <w:pPr>
              <w:pStyle w:val="0"/>
              <w:jc w:val="center"/>
            </w:pPr>
            <w:r>
              <w:rPr>
                <w:sz w:val="20"/>
              </w:rPr>
              <w:t xml:space="preserve">147,2</w:t>
            </w:r>
          </w:p>
        </w:tc>
        <w:tc>
          <w:tcPr>
            <w:tcW w:w="1304" w:type="dxa"/>
          </w:tcPr>
          <w:p>
            <w:pPr>
              <w:pStyle w:val="0"/>
              <w:jc w:val="center"/>
            </w:pPr>
            <w:r>
              <w:rPr>
                <w:sz w:val="20"/>
              </w:rPr>
              <w:t xml:space="preserve">146,3</w:t>
            </w:r>
          </w:p>
        </w:tc>
      </w:tr>
      <w:tr>
        <w:tc>
          <w:tcPr>
            <w:tcW w:w="4025" w:type="dxa"/>
          </w:tcPr>
          <w:p>
            <w:pPr>
              <w:pStyle w:val="0"/>
              <w:jc w:val="both"/>
            </w:pPr>
            <w:r>
              <w:rPr>
                <w:sz w:val="20"/>
              </w:rPr>
              <w:t xml:space="preserve">Всего</w:t>
            </w:r>
          </w:p>
        </w:tc>
        <w:tc>
          <w:tcPr>
            <w:tcW w:w="1125" w:type="dxa"/>
          </w:tcPr>
          <w:p>
            <w:pPr>
              <w:pStyle w:val="0"/>
              <w:jc w:val="center"/>
            </w:pPr>
            <w:r>
              <w:rPr>
                <w:sz w:val="20"/>
              </w:rPr>
              <w:t xml:space="preserve">1660,6</w:t>
            </w:r>
          </w:p>
        </w:tc>
        <w:tc>
          <w:tcPr>
            <w:tcW w:w="1290" w:type="dxa"/>
          </w:tcPr>
          <w:p>
            <w:pPr>
              <w:pStyle w:val="0"/>
              <w:jc w:val="center"/>
            </w:pPr>
            <w:r>
              <w:rPr>
                <w:sz w:val="20"/>
              </w:rPr>
              <w:t xml:space="preserve">1673,7</w:t>
            </w:r>
          </w:p>
        </w:tc>
        <w:tc>
          <w:tcPr>
            <w:tcW w:w="1290" w:type="dxa"/>
          </w:tcPr>
          <w:p>
            <w:pPr>
              <w:pStyle w:val="0"/>
              <w:jc w:val="center"/>
            </w:pPr>
            <w:r>
              <w:rPr>
                <w:sz w:val="20"/>
              </w:rPr>
              <w:t xml:space="preserve">1688,7</w:t>
            </w:r>
          </w:p>
        </w:tc>
        <w:tc>
          <w:tcPr>
            <w:tcW w:w="1304" w:type="dxa"/>
          </w:tcPr>
          <w:p>
            <w:pPr>
              <w:pStyle w:val="0"/>
              <w:jc w:val="center"/>
            </w:pPr>
            <w:r>
              <w:rPr>
                <w:sz w:val="20"/>
              </w:rPr>
              <w:t xml:space="preserve">1700,6</w:t>
            </w:r>
          </w:p>
        </w:tc>
      </w:tr>
    </w:tbl>
    <w:p>
      <w:pPr>
        <w:pStyle w:val="0"/>
        <w:ind w:firstLine="540"/>
        <w:jc w:val="both"/>
      </w:pPr>
      <w:r>
        <w:rPr>
          <w:sz w:val="20"/>
        </w:rPr>
      </w:r>
    </w:p>
    <w:p>
      <w:pPr>
        <w:pStyle w:val="2"/>
        <w:outlineLvl w:val="4"/>
        <w:jc w:val="center"/>
      </w:pPr>
      <w:r>
        <w:rPr>
          <w:sz w:val="20"/>
        </w:rPr>
        <w:t xml:space="preserve">Прогноз замещающей кадровой потребности предприятий</w:t>
      </w:r>
    </w:p>
    <w:p>
      <w:pPr>
        <w:pStyle w:val="2"/>
        <w:jc w:val="center"/>
      </w:pPr>
      <w:r>
        <w:rPr>
          <w:sz w:val="20"/>
        </w:rPr>
        <w:t xml:space="preserve">в разрезе видов экономической деятельности</w:t>
      </w:r>
    </w:p>
    <w:p>
      <w:pPr>
        <w:pStyle w:val="0"/>
        <w:ind w:firstLine="540"/>
        <w:jc w:val="both"/>
      </w:pPr>
      <w:r>
        <w:rPr>
          <w:sz w:val="20"/>
        </w:rPr>
      </w:r>
    </w:p>
    <w:p>
      <w:pPr>
        <w:pStyle w:val="0"/>
        <w:jc w:val="right"/>
      </w:pPr>
      <w:r>
        <w:rPr>
          <w:sz w:val="20"/>
        </w:rPr>
        <w:t xml:space="preserve">тыс. чел.</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59"/>
        <w:gridCol w:w="1290"/>
        <w:gridCol w:w="1290"/>
        <w:gridCol w:w="1290"/>
      </w:tblGrid>
      <w:tr>
        <w:tc>
          <w:tcPr>
            <w:tcW w:w="5159" w:type="dxa"/>
          </w:tcPr>
          <w:p>
            <w:pPr>
              <w:pStyle w:val="0"/>
              <w:jc w:val="center"/>
            </w:pPr>
            <w:r>
              <w:rPr>
                <w:sz w:val="20"/>
              </w:rPr>
              <w:t xml:space="preserve">Вид экономической деятельности</w:t>
            </w:r>
          </w:p>
        </w:tc>
        <w:tc>
          <w:tcPr>
            <w:tcW w:w="1290" w:type="dxa"/>
          </w:tcPr>
          <w:p>
            <w:pPr>
              <w:pStyle w:val="0"/>
              <w:jc w:val="center"/>
            </w:pPr>
            <w:r>
              <w:rPr>
                <w:sz w:val="20"/>
              </w:rPr>
              <w:t xml:space="preserve">2025 год (прогноз)</w:t>
            </w:r>
          </w:p>
        </w:tc>
        <w:tc>
          <w:tcPr>
            <w:tcW w:w="1290" w:type="dxa"/>
          </w:tcPr>
          <w:p>
            <w:pPr>
              <w:pStyle w:val="0"/>
              <w:jc w:val="center"/>
            </w:pPr>
            <w:r>
              <w:rPr>
                <w:sz w:val="20"/>
              </w:rPr>
              <w:t xml:space="preserve">2026 год (прогноз)</w:t>
            </w:r>
          </w:p>
        </w:tc>
        <w:tc>
          <w:tcPr>
            <w:tcW w:w="1290" w:type="dxa"/>
          </w:tcPr>
          <w:p>
            <w:pPr>
              <w:pStyle w:val="0"/>
              <w:jc w:val="center"/>
            </w:pPr>
            <w:r>
              <w:rPr>
                <w:sz w:val="20"/>
              </w:rPr>
              <w:t xml:space="preserve">2027 год (прогноз)</w:t>
            </w:r>
          </w:p>
        </w:tc>
      </w:tr>
      <w:tr>
        <w:tc>
          <w:tcPr>
            <w:tcW w:w="5159" w:type="dxa"/>
          </w:tcPr>
          <w:p>
            <w:pPr>
              <w:pStyle w:val="0"/>
              <w:jc w:val="both"/>
            </w:pPr>
            <w:r>
              <w:rPr>
                <w:sz w:val="20"/>
              </w:rPr>
              <w:t xml:space="preserve">Раздел А Сельское, лесное хозяйство, охота, рыболовство и рыбоводство</w:t>
            </w:r>
          </w:p>
        </w:tc>
        <w:tc>
          <w:tcPr>
            <w:tcW w:w="1290" w:type="dxa"/>
          </w:tcPr>
          <w:p>
            <w:pPr>
              <w:pStyle w:val="0"/>
              <w:jc w:val="center"/>
            </w:pPr>
            <w:r>
              <w:rPr>
                <w:sz w:val="20"/>
              </w:rPr>
              <w:t xml:space="preserve">2,3</w:t>
            </w:r>
          </w:p>
        </w:tc>
        <w:tc>
          <w:tcPr>
            <w:tcW w:w="1290" w:type="dxa"/>
          </w:tcPr>
          <w:p>
            <w:pPr>
              <w:pStyle w:val="0"/>
              <w:jc w:val="center"/>
            </w:pPr>
            <w:r>
              <w:rPr>
                <w:sz w:val="20"/>
              </w:rPr>
              <w:t xml:space="preserve">3,6</w:t>
            </w:r>
          </w:p>
        </w:tc>
        <w:tc>
          <w:tcPr>
            <w:tcW w:w="1290" w:type="dxa"/>
          </w:tcPr>
          <w:p>
            <w:pPr>
              <w:pStyle w:val="0"/>
              <w:jc w:val="center"/>
            </w:pPr>
            <w:r>
              <w:rPr>
                <w:sz w:val="20"/>
              </w:rPr>
              <w:t xml:space="preserve">3,1</w:t>
            </w:r>
          </w:p>
        </w:tc>
      </w:tr>
      <w:tr>
        <w:tc>
          <w:tcPr>
            <w:tcW w:w="5159" w:type="dxa"/>
          </w:tcPr>
          <w:p>
            <w:pPr>
              <w:pStyle w:val="0"/>
              <w:jc w:val="both"/>
            </w:pPr>
            <w:r>
              <w:rPr>
                <w:sz w:val="20"/>
              </w:rPr>
              <w:t xml:space="preserve">Раздел В Добыча полезных ископаемых</w:t>
            </w:r>
          </w:p>
        </w:tc>
        <w:tc>
          <w:tcPr>
            <w:tcW w:w="1290" w:type="dxa"/>
          </w:tcPr>
          <w:p>
            <w:pPr>
              <w:pStyle w:val="0"/>
              <w:jc w:val="center"/>
            </w:pPr>
            <w:r>
              <w:rPr>
                <w:sz w:val="20"/>
              </w:rPr>
              <w:t xml:space="preserve">0,1</w:t>
            </w:r>
          </w:p>
        </w:tc>
        <w:tc>
          <w:tcPr>
            <w:tcW w:w="1290" w:type="dxa"/>
          </w:tcPr>
          <w:p>
            <w:pPr>
              <w:pStyle w:val="0"/>
              <w:jc w:val="center"/>
            </w:pPr>
            <w:r>
              <w:rPr>
                <w:sz w:val="20"/>
              </w:rPr>
              <w:t xml:space="preserve">0,1</w:t>
            </w:r>
          </w:p>
        </w:tc>
        <w:tc>
          <w:tcPr>
            <w:tcW w:w="1290" w:type="dxa"/>
          </w:tcPr>
          <w:p>
            <w:pPr>
              <w:pStyle w:val="0"/>
              <w:jc w:val="center"/>
            </w:pPr>
            <w:r>
              <w:rPr>
                <w:sz w:val="20"/>
              </w:rPr>
              <w:t xml:space="preserve">0,1</w:t>
            </w:r>
          </w:p>
        </w:tc>
      </w:tr>
      <w:tr>
        <w:tc>
          <w:tcPr>
            <w:tcW w:w="5159" w:type="dxa"/>
          </w:tcPr>
          <w:p>
            <w:pPr>
              <w:pStyle w:val="0"/>
              <w:jc w:val="both"/>
            </w:pPr>
            <w:r>
              <w:rPr>
                <w:sz w:val="20"/>
              </w:rPr>
              <w:t xml:space="preserve">Раздел С Обрабатывающие производства</w:t>
            </w:r>
          </w:p>
        </w:tc>
        <w:tc>
          <w:tcPr>
            <w:tcW w:w="1290" w:type="dxa"/>
          </w:tcPr>
          <w:p>
            <w:pPr>
              <w:pStyle w:val="0"/>
              <w:jc w:val="center"/>
            </w:pPr>
            <w:r>
              <w:rPr>
                <w:sz w:val="20"/>
              </w:rPr>
              <w:t xml:space="preserve">15,3</w:t>
            </w:r>
          </w:p>
        </w:tc>
        <w:tc>
          <w:tcPr>
            <w:tcW w:w="1290" w:type="dxa"/>
          </w:tcPr>
          <w:p>
            <w:pPr>
              <w:pStyle w:val="0"/>
              <w:jc w:val="center"/>
            </w:pPr>
            <w:r>
              <w:rPr>
                <w:sz w:val="20"/>
              </w:rPr>
              <w:t xml:space="preserve">14,4</w:t>
            </w:r>
          </w:p>
        </w:tc>
        <w:tc>
          <w:tcPr>
            <w:tcW w:w="1290" w:type="dxa"/>
          </w:tcPr>
          <w:p>
            <w:pPr>
              <w:pStyle w:val="0"/>
              <w:jc w:val="center"/>
            </w:pPr>
            <w:r>
              <w:rPr>
                <w:sz w:val="20"/>
              </w:rPr>
              <w:t xml:space="preserve">15,7</w:t>
            </w:r>
          </w:p>
        </w:tc>
      </w:tr>
      <w:tr>
        <w:tc>
          <w:tcPr>
            <w:tcW w:w="5159" w:type="dxa"/>
          </w:tcPr>
          <w:p>
            <w:pPr>
              <w:pStyle w:val="0"/>
              <w:jc w:val="both"/>
            </w:pPr>
            <w:r>
              <w:rPr>
                <w:sz w:val="20"/>
              </w:rPr>
              <w:t xml:space="preserve">Раздел D Обеспечение электрической энергией, газом и паром; кондиционирование воздуха</w:t>
            </w:r>
          </w:p>
        </w:tc>
        <w:tc>
          <w:tcPr>
            <w:tcW w:w="1290" w:type="dxa"/>
          </w:tcPr>
          <w:p>
            <w:pPr>
              <w:pStyle w:val="0"/>
              <w:jc w:val="center"/>
            </w:pPr>
            <w:r>
              <w:rPr>
                <w:sz w:val="20"/>
              </w:rPr>
              <w:t xml:space="preserve">1,4</w:t>
            </w:r>
          </w:p>
        </w:tc>
        <w:tc>
          <w:tcPr>
            <w:tcW w:w="1290" w:type="dxa"/>
          </w:tcPr>
          <w:p>
            <w:pPr>
              <w:pStyle w:val="0"/>
              <w:jc w:val="center"/>
            </w:pPr>
            <w:r>
              <w:rPr>
                <w:sz w:val="20"/>
              </w:rPr>
              <w:t xml:space="preserve">1,3</w:t>
            </w:r>
          </w:p>
        </w:tc>
        <w:tc>
          <w:tcPr>
            <w:tcW w:w="1290" w:type="dxa"/>
          </w:tcPr>
          <w:p>
            <w:pPr>
              <w:pStyle w:val="0"/>
              <w:jc w:val="center"/>
            </w:pPr>
            <w:r>
              <w:rPr>
                <w:sz w:val="20"/>
              </w:rPr>
              <w:t xml:space="preserve">1,5</w:t>
            </w:r>
          </w:p>
        </w:tc>
      </w:tr>
      <w:tr>
        <w:tc>
          <w:tcPr>
            <w:tcW w:w="5159" w:type="dxa"/>
          </w:tcPr>
          <w:p>
            <w:pPr>
              <w:pStyle w:val="0"/>
              <w:jc w:val="both"/>
            </w:pPr>
            <w:r>
              <w:rPr>
                <w:sz w:val="20"/>
              </w:rPr>
              <w:t xml:space="preserve">Раздел E Водоснабжение; водоотведение, организация сбора и утилизации отходов, деятельность по ликвидации загрязнений</w:t>
            </w:r>
          </w:p>
        </w:tc>
        <w:tc>
          <w:tcPr>
            <w:tcW w:w="1290" w:type="dxa"/>
          </w:tcPr>
          <w:p>
            <w:pPr>
              <w:pStyle w:val="0"/>
              <w:jc w:val="center"/>
            </w:pPr>
            <w:r>
              <w:rPr>
                <w:sz w:val="20"/>
              </w:rPr>
              <w:t xml:space="preserve">0,5</w:t>
            </w:r>
          </w:p>
        </w:tc>
        <w:tc>
          <w:tcPr>
            <w:tcW w:w="1290" w:type="dxa"/>
          </w:tcPr>
          <w:p>
            <w:pPr>
              <w:pStyle w:val="0"/>
              <w:jc w:val="center"/>
            </w:pPr>
            <w:r>
              <w:rPr>
                <w:sz w:val="20"/>
              </w:rPr>
              <w:t xml:space="preserve">0,5</w:t>
            </w:r>
          </w:p>
        </w:tc>
        <w:tc>
          <w:tcPr>
            <w:tcW w:w="1290" w:type="dxa"/>
          </w:tcPr>
          <w:p>
            <w:pPr>
              <w:pStyle w:val="0"/>
              <w:jc w:val="center"/>
            </w:pPr>
            <w:r>
              <w:rPr>
                <w:sz w:val="20"/>
              </w:rPr>
              <w:t xml:space="preserve">0,6</w:t>
            </w:r>
          </w:p>
        </w:tc>
      </w:tr>
      <w:tr>
        <w:tc>
          <w:tcPr>
            <w:tcW w:w="5159" w:type="dxa"/>
          </w:tcPr>
          <w:p>
            <w:pPr>
              <w:pStyle w:val="0"/>
              <w:jc w:val="both"/>
            </w:pPr>
            <w:r>
              <w:rPr>
                <w:sz w:val="20"/>
              </w:rPr>
              <w:t xml:space="preserve">Раздел F Строительство</w:t>
            </w:r>
          </w:p>
        </w:tc>
        <w:tc>
          <w:tcPr>
            <w:tcW w:w="1290" w:type="dxa"/>
          </w:tcPr>
          <w:p>
            <w:pPr>
              <w:pStyle w:val="0"/>
              <w:jc w:val="center"/>
            </w:pPr>
            <w:r>
              <w:rPr>
                <w:sz w:val="20"/>
              </w:rPr>
              <w:t xml:space="preserve">5,6</w:t>
            </w:r>
          </w:p>
        </w:tc>
        <w:tc>
          <w:tcPr>
            <w:tcW w:w="1290" w:type="dxa"/>
          </w:tcPr>
          <w:p>
            <w:pPr>
              <w:pStyle w:val="0"/>
              <w:jc w:val="center"/>
            </w:pPr>
            <w:r>
              <w:rPr>
                <w:sz w:val="20"/>
              </w:rPr>
              <w:t xml:space="preserve">5,1</w:t>
            </w:r>
          </w:p>
        </w:tc>
        <w:tc>
          <w:tcPr>
            <w:tcW w:w="1290" w:type="dxa"/>
          </w:tcPr>
          <w:p>
            <w:pPr>
              <w:pStyle w:val="0"/>
              <w:jc w:val="center"/>
            </w:pPr>
            <w:r>
              <w:rPr>
                <w:sz w:val="20"/>
              </w:rPr>
              <w:t xml:space="preserve">5,5</w:t>
            </w:r>
          </w:p>
        </w:tc>
      </w:tr>
      <w:tr>
        <w:tc>
          <w:tcPr>
            <w:tcW w:w="5159" w:type="dxa"/>
          </w:tcPr>
          <w:p>
            <w:pPr>
              <w:pStyle w:val="0"/>
              <w:jc w:val="both"/>
            </w:pPr>
            <w:r>
              <w:rPr>
                <w:sz w:val="20"/>
              </w:rPr>
              <w:t xml:space="preserve">Раздел G Торговля оптовая и розничная; ремонт автотранспортных средств и мотоциклов</w:t>
            </w:r>
          </w:p>
        </w:tc>
        <w:tc>
          <w:tcPr>
            <w:tcW w:w="1290" w:type="dxa"/>
          </w:tcPr>
          <w:p>
            <w:pPr>
              <w:pStyle w:val="0"/>
              <w:jc w:val="center"/>
            </w:pPr>
            <w:r>
              <w:rPr>
                <w:sz w:val="20"/>
              </w:rPr>
              <w:t xml:space="preserve">10,7</w:t>
            </w:r>
          </w:p>
        </w:tc>
        <w:tc>
          <w:tcPr>
            <w:tcW w:w="1290" w:type="dxa"/>
          </w:tcPr>
          <w:p>
            <w:pPr>
              <w:pStyle w:val="0"/>
              <w:jc w:val="center"/>
            </w:pPr>
            <w:r>
              <w:rPr>
                <w:sz w:val="20"/>
              </w:rPr>
              <w:t xml:space="preserve">10,4</w:t>
            </w:r>
          </w:p>
        </w:tc>
        <w:tc>
          <w:tcPr>
            <w:tcW w:w="1290" w:type="dxa"/>
          </w:tcPr>
          <w:p>
            <w:pPr>
              <w:pStyle w:val="0"/>
              <w:jc w:val="center"/>
            </w:pPr>
            <w:r>
              <w:rPr>
                <w:sz w:val="20"/>
              </w:rPr>
              <w:t xml:space="preserve">9,2</w:t>
            </w:r>
          </w:p>
        </w:tc>
      </w:tr>
      <w:tr>
        <w:tc>
          <w:tcPr>
            <w:tcW w:w="5159" w:type="dxa"/>
          </w:tcPr>
          <w:p>
            <w:pPr>
              <w:pStyle w:val="0"/>
              <w:jc w:val="both"/>
            </w:pPr>
            <w:r>
              <w:rPr>
                <w:sz w:val="20"/>
              </w:rPr>
              <w:t xml:space="preserve">Раздел H Транспортировка и хранение</w:t>
            </w:r>
          </w:p>
        </w:tc>
        <w:tc>
          <w:tcPr>
            <w:tcW w:w="1290" w:type="dxa"/>
          </w:tcPr>
          <w:p>
            <w:pPr>
              <w:pStyle w:val="0"/>
              <w:jc w:val="center"/>
            </w:pPr>
            <w:r>
              <w:rPr>
                <w:sz w:val="20"/>
              </w:rPr>
              <w:t xml:space="preserve">5,6</w:t>
            </w:r>
          </w:p>
        </w:tc>
        <w:tc>
          <w:tcPr>
            <w:tcW w:w="1290" w:type="dxa"/>
          </w:tcPr>
          <w:p>
            <w:pPr>
              <w:pStyle w:val="0"/>
              <w:jc w:val="center"/>
            </w:pPr>
            <w:r>
              <w:rPr>
                <w:sz w:val="20"/>
              </w:rPr>
              <w:t xml:space="preserve">5,4</w:t>
            </w:r>
          </w:p>
        </w:tc>
        <w:tc>
          <w:tcPr>
            <w:tcW w:w="1290" w:type="dxa"/>
          </w:tcPr>
          <w:p>
            <w:pPr>
              <w:pStyle w:val="0"/>
              <w:jc w:val="center"/>
            </w:pPr>
            <w:r>
              <w:rPr>
                <w:sz w:val="20"/>
              </w:rPr>
              <w:t xml:space="preserve">5,7</w:t>
            </w:r>
          </w:p>
        </w:tc>
      </w:tr>
      <w:tr>
        <w:tc>
          <w:tcPr>
            <w:tcW w:w="5159" w:type="dxa"/>
          </w:tcPr>
          <w:p>
            <w:pPr>
              <w:pStyle w:val="0"/>
              <w:jc w:val="both"/>
            </w:pPr>
            <w:r>
              <w:rPr>
                <w:sz w:val="20"/>
              </w:rPr>
              <w:t xml:space="preserve">Раздел I Деятельность гостиниц и предприятий общественного питания</w:t>
            </w:r>
          </w:p>
        </w:tc>
        <w:tc>
          <w:tcPr>
            <w:tcW w:w="1290" w:type="dxa"/>
          </w:tcPr>
          <w:p>
            <w:pPr>
              <w:pStyle w:val="0"/>
              <w:jc w:val="center"/>
            </w:pPr>
            <w:r>
              <w:rPr>
                <w:sz w:val="20"/>
              </w:rPr>
              <w:t xml:space="preserve">1,9</w:t>
            </w:r>
          </w:p>
        </w:tc>
        <w:tc>
          <w:tcPr>
            <w:tcW w:w="1290" w:type="dxa"/>
          </w:tcPr>
          <w:p>
            <w:pPr>
              <w:pStyle w:val="0"/>
              <w:jc w:val="center"/>
            </w:pPr>
            <w:r>
              <w:rPr>
                <w:sz w:val="20"/>
              </w:rPr>
              <w:t xml:space="preserve">1,8</w:t>
            </w:r>
          </w:p>
        </w:tc>
        <w:tc>
          <w:tcPr>
            <w:tcW w:w="1290" w:type="dxa"/>
          </w:tcPr>
          <w:p>
            <w:pPr>
              <w:pStyle w:val="0"/>
              <w:jc w:val="center"/>
            </w:pPr>
            <w:r>
              <w:rPr>
                <w:sz w:val="20"/>
              </w:rPr>
              <w:t xml:space="preserve">1,9</w:t>
            </w:r>
          </w:p>
        </w:tc>
      </w:tr>
      <w:tr>
        <w:tc>
          <w:tcPr>
            <w:tcW w:w="5159" w:type="dxa"/>
          </w:tcPr>
          <w:p>
            <w:pPr>
              <w:pStyle w:val="0"/>
              <w:jc w:val="both"/>
            </w:pPr>
            <w:r>
              <w:rPr>
                <w:sz w:val="20"/>
              </w:rPr>
              <w:t xml:space="preserve">Раздел J Деятельность в области информации и связи</w:t>
            </w:r>
          </w:p>
        </w:tc>
        <w:tc>
          <w:tcPr>
            <w:tcW w:w="1290" w:type="dxa"/>
          </w:tcPr>
          <w:p>
            <w:pPr>
              <w:pStyle w:val="0"/>
              <w:jc w:val="center"/>
            </w:pPr>
            <w:r>
              <w:rPr>
                <w:sz w:val="20"/>
              </w:rPr>
              <w:t xml:space="preserve">1,4</w:t>
            </w:r>
          </w:p>
        </w:tc>
        <w:tc>
          <w:tcPr>
            <w:tcW w:w="1290" w:type="dxa"/>
          </w:tcPr>
          <w:p>
            <w:pPr>
              <w:pStyle w:val="0"/>
              <w:jc w:val="center"/>
            </w:pPr>
            <w:r>
              <w:rPr>
                <w:sz w:val="20"/>
              </w:rPr>
              <w:t xml:space="preserve">1,1</w:t>
            </w:r>
          </w:p>
        </w:tc>
        <w:tc>
          <w:tcPr>
            <w:tcW w:w="1290" w:type="dxa"/>
          </w:tcPr>
          <w:p>
            <w:pPr>
              <w:pStyle w:val="0"/>
              <w:jc w:val="center"/>
            </w:pPr>
            <w:r>
              <w:rPr>
                <w:sz w:val="20"/>
              </w:rPr>
              <w:t xml:space="preserve">1,4</w:t>
            </w:r>
          </w:p>
        </w:tc>
      </w:tr>
      <w:tr>
        <w:tc>
          <w:tcPr>
            <w:tcW w:w="5159" w:type="dxa"/>
          </w:tcPr>
          <w:p>
            <w:pPr>
              <w:pStyle w:val="0"/>
              <w:jc w:val="both"/>
            </w:pPr>
            <w:r>
              <w:rPr>
                <w:sz w:val="20"/>
              </w:rPr>
              <w:t xml:space="preserve">Раздел K Деятельность финансовая и страховая</w:t>
            </w:r>
          </w:p>
        </w:tc>
        <w:tc>
          <w:tcPr>
            <w:tcW w:w="1290" w:type="dxa"/>
          </w:tcPr>
          <w:p>
            <w:pPr>
              <w:pStyle w:val="0"/>
              <w:jc w:val="center"/>
            </w:pPr>
            <w:r>
              <w:rPr>
                <w:sz w:val="20"/>
              </w:rPr>
              <w:t xml:space="preserve">1,1</w:t>
            </w:r>
          </w:p>
        </w:tc>
        <w:tc>
          <w:tcPr>
            <w:tcW w:w="1290" w:type="dxa"/>
          </w:tcPr>
          <w:p>
            <w:pPr>
              <w:pStyle w:val="0"/>
              <w:jc w:val="center"/>
            </w:pPr>
            <w:r>
              <w:rPr>
                <w:sz w:val="20"/>
              </w:rPr>
              <w:t xml:space="preserve">1,0</w:t>
            </w:r>
          </w:p>
        </w:tc>
        <w:tc>
          <w:tcPr>
            <w:tcW w:w="1290" w:type="dxa"/>
          </w:tcPr>
          <w:p>
            <w:pPr>
              <w:pStyle w:val="0"/>
              <w:jc w:val="center"/>
            </w:pPr>
            <w:r>
              <w:rPr>
                <w:sz w:val="20"/>
              </w:rPr>
              <w:t xml:space="preserve">1,2</w:t>
            </w:r>
          </w:p>
        </w:tc>
      </w:tr>
      <w:tr>
        <w:tc>
          <w:tcPr>
            <w:tcW w:w="5159" w:type="dxa"/>
          </w:tcPr>
          <w:p>
            <w:pPr>
              <w:pStyle w:val="0"/>
              <w:jc w:val="both"/>
            </w:pPr>
            <w:r>
              <w:rPr>
                <w:sz w:val="20"/>
              </w:rPr>
              <w:t xml:space="preserve">Раздел L Деятельность по операциям с недвижимым имуществом</w:t>
            </w:r>
          </w:p>
        </w:tc>
        <w:tc>
          <w:tcPr>
            <w:tcW w:w="1290" w:type="dxa"/>
          </w:tcPr>
          <w:p>
            <w:pPr>
              <w:pStyle w:val="0"/>
              <w:jc w:val="center"/>
            </w:pPr>
            <w:r>
              <w:rPr>
                <w:sz w:val="20"/>
              </w:rPr>
              <w:t xml:space="preserve">0,8</w:t>
            </w:r>
          </w:p>
        </w:tc>
        <w:tc>
          <w:tcPr>
            <w:tcW w:w="1290" w:type="dxa"/>
          </w:tcPr>
          <w:p>
            <w:pPr>
              <w:pStyle w:val="0"/>
              <w:jc w:val="center"/>
            </w:pPr>
            <w:r>
              <w:rPr>
                <w:sz w:val="20"/>
              </w:rPr>
              <w:t xml:space="preserve">0,8</w:t>
            </w:r>
          </w:p>
        </w:tc>
        <w:tc>
          <w:tcPr>
            <w:tcW w:w="1290" w:type="dxa"/>
          </w:tcPr>
          <w:p>
            <w:pPr>
              <w:pStyle w:val="0"/>
              <w:jc w:val="center"/>
            </w:pPr>
            <w:r>
              <w:rPr>
                <w:sz w:val="20"/>
              </w:rPr>
              <w:t xml:space="preserve">1,0</w:t>
            </w:r>
          </w:p>
        </w:tc>
      </w:tr>
      <w:tr>
        <w:tc>
          <w:tcPr>
            <w:tcW w:w="5159" w:type="dxa"/>
          </w:tcPr>
          <w:p>
            <w:pPr>
              <w:pStyle w:val="0"/>
              <w:jc w:val="both"/>
            </w:pPr>
            <w:r>
              <w:rPr>
                <w:sz w:val="20"/>
              </w:rPr>
              <w:t xml:space="preserve">Раздел M Деятельность профессиональная, научная и техническая</w:t>
            </w:r>
          </w:p>
        </w:tc>
        <w:tc>
          <w:tcPr>
            <w:tcW w:w="1290" w:type="dxa"/>
          </w:tcPr>
          <w:p>
            <w:pPr>
              <w:pStyle w:val="0"/>
              <w:jc w:val="center"/>
            </w:pPr>
            <w:r>
              <w:rPr>
                <w:sz w:val="20"/>
              </w:rPr>
              <w:t xml:space="preserve">4,3</w:t>
            </w:r>
          </w:p>
        </w:tc>
        <w:tc>
          <w:tcPr>
            <w:tcW w:w="1290" w:type="dxa"/>
          </w:tcPr>
          <w:p>
            <w:pPr>
              <w:pStyle w:val="0"/>
              <w:jc w:val="center"/>
            </w:pPr>
            <w:r>
              <w:rPr>
                <w:sz w:val="20"/>
              </w:rPr>
              <w:t xml:space="preserve">4,1</w:t>
            </w:r>
          </w:p>
        </w:tc>
        <w:tc>
          <w:tcPr>
            <w:tcW w:w="1290" w:type="dxa"/>
          </w:tcPr>
          <w:p>
            <w:pPr>
              <w:pStyle w:val="0"/>
              <w:jc w:val="center"/>
            </w:pPr>
            <w:r>
              <w:rPr>
                <w:sz w:val="20"/>
              </w:rPr>
              <w:t xml:space="preserve">4,4</w:t>
            </w:r>
          </w:p>
        </w:tc>
      </w:tr>
      <w:tr>
        <w:tc>
          <w:tcPr>
            <w:tcW w:w="5159" w:type="dxa"/>
          </w:tcPr>
          <w:p>
            <w:pPr>
              <w:pStyle w:val="0"/>
              <w:jc w:val="both"/>
            </w:pPr>
            <w:r>
              <w:rPr>
                <w:sz w:val="20"/>
              </w:rPr>
              <w:t xml:space="preserve">Раздел N Деятельность административная и сопутствующие дополнительные услуги</w:t>
            </w:r>
          </w:p>
        </w:tc>
        <w:tc>
          <w:tcPr>
            <w:tcW w:w="1290" w:type="dxa"/>
          </w:tcPr>
          <w:p>
            <w:pPr>
              <w:pStyle w:val="0"/>
              <w:jc w:val="center"/>
            </w:pPr>
            <w:r>
              <w:rPr>
                <w:sz w:val="20"/>
              </w:rPr>
              <w:t xml:space="preserve">2,1</w:t>
            </w:r>
          </w:p>
        </w:tc>
        <w:tc>
          <w:tcPr>
            <w:tcW w:w="1290" w:type="dxa"/>
          </w:tcPr>
          <w:p>
            <w:pPr>
              <w:pStyle w:val="0"/>
              <w:jc w:val="center"/>
            </w:pPr>
            <w:r>
              <w:rPr>
                <w:sz w:val="20"/>
              </w:rPr>
              <w:t xml:space="preserve">2,1</w:t>
            </w:r>
          </w:p>
        </w:tc>
        <w:tc>
          <w:tcPr>
            <w:tcW w:w="1290" w:type="dxa"/>
          </w:tcPr>
          <w:p>
            <w:pPr>
              <w:pStyle w:val="0"/>
              <w:jc w:val="center"/>
            </w:pPr>
            <w:r>
              <w:rPr>
                <w:sz w:val="20"/>
              </w:rPr>
              <w:t xml:space="preserve">2,1</w:t>
            </w:r>
          </w:p>
        </w:tc>
      </w:tr>
      <w:tr>
        <w:tc>
          <w:tcPr>
            <w:tcW w:w="5159" w:type="dxa"/>
          </w:tcPr>
          <w:p>
            <w:pPr>
              <w:pStyle w:val="0"/>
              <w:jc w:val="both"/>
            </w:pPr>
            <w:r>
              <w:rPr>
                <w:sz w:val="20"/>
              </w:rPr>
              <w:t xml:space="preserve">Раздел O Государственное управление и обеспечение военной безопасности; социальное обеспечение</w:t>
            </w:r>
          </w:p>
        </w:tc>
        <w:tc>
          <w:tcPr>
            <w:tcW w:w="1290" w:type="dxa"/>
          </w:tcPr>
          <w:p>
            <w:pPr>
              <w:pStyle w:val="0"/>
              <w:jc w:val="center"/>
            </w:pPr>
            <w:r>
              <w:rPr>
                <w:sz w:val="20"/>
              </w:rPr>
              <w:t xml:space="preserve">3,5</w:t>
            </w:r>
          </w:p>
        </w:tc>
        <w:tc>
          <w:tcPr>
            <w:tcW w:w="1290" w:type="dxa"/>
          </w:tcPr>
          <w:p>
            <w:pPr>
              <w:pStyle w:val="0"/>
              <w:jc w:val="center"/>
            </w:pPr>
            <w:r>
              <w:rPr>
                <w:sz w:val="20"/>
              </w:rPr>
              <w:t xml:space="preserve">3,3</w:t>
            </w:r>
          </w:p>
        </w:tc>
        <w:tc>
          <w:tcPr>
            <w:tcW w:w="1290" w:type="dxa"/>
          </w:tcPr>
          <w:p>
            <w:pPr>
              <w:pStyle w:val="0"/>
              <w:jc w:val="center"/>
            </w:pPr>
            <w:r>
              <w:rPr>
                <w:sz w:val="20"/>
              </w:rPr>
              <w:t xml:space="preserve">3,7</w:t>
            </w:r>
          </w:p>
        </w:tc>
      </w:tr>
      <w:tr>
        <w:tc>
          <w:tcPr>
            <w:tcW w:w="5159" w:type="dxa"/>
          </w:tcPr>
          <w:p>
            <w:pPr>
              <w:pStyle w:val="0"/>
              <w:jc w:val="both"/>
            </w:pPr>
            <w:r>
              <w:rPr>
                <w:sz w:val="20"/>
              </w:rPr>
              <w:t xml:space="preserve">Раздел P Образование</w:t>
            </w:r>
          </w:p>
        </w:tc>
        <w:tc>
          <w:tcPr>
            <w:tcW w:w="1290" w:type="dxa"/>
          </w:tcPr>
          <w:p>
            <w:pPr>
              <w:pStyle w:val="0"/>
              <w:jc w:val="center"/>
            </w:pPr>
            <w:r>
              <w:rPr>
                <w:sz w:val="20"/>
              </w:rPr>
              <w:t xml:space="preserve">6,3</w:t>
            </w:r>
          </w:p>
        </w:tc>
        <w:tc>
          <w:tcPr>
            <w:tcW w:w="1290" w:type="dxa"/>
          </w:tcPr>
          <w:p>
            <w:pPr>
              <w:pStyle w:val="0"/>
              <w:jc w:val="center"/>
            </w:pPr>
            <w:r>
              <w:rPr>
                <w:sz w:val="20"/>
              </w:rPr>
              <w:t xml:space="preserve">5,9</w:t>
            </w:r>
          </w:p>
        </w:tc>
        <w:tc>
          <w:tcPr>
            <w:tcW w:w="1290" w:type="dxa"/>
          </w:tcPr>
          <w:p>
            <w:pPr>
              <w:pStyle w:val="0"/>
              <w:jc w:val="center"/>
            </w:pPr>
            <w:r>
              <w:rPr>
                <w:sz w:val="20"/>
              </w:rPr>
              <w:t xml:space="preserve">6,5</w:t>
            </w:r>
          </w:p>
        </w:tc>
      </w:tr>
      <w:tr>
        <w:tc>
          <w:tcPr>
            <w:tcW w:w="5159" w:type="dxa"/>
          </w:tcPr>
          <w:p>
            <w:pPr>
              <w:pStyle w:val="0"/>
              <w:jc w:val="both"/>
            </w:pPr>
            <w:r>
              <w:rPr>
                <w:sz w:val="20"/>
              </w:rPr>
              <w:t xml:space="preserve">Раздел Q Деятельность в области здравоохранения и социальных услуг</w:t>
            </w:r>
          </w:p>
        </w:tc>
        <w:tc>
          <w:tcPr>
            <w:tcW w:w="1290" w:type="dxa"/>
          </w:tcPr>
          <w:p>
            <w:pPr>
              <w:pStyle w:val="0"/>
              <w:jc w:val="center"/>
            </w:pPr>
            <w:r>
              <w:rPr>
                <w:sz w:val="20"/>
              </w:rPr>
              <w:t xml:space="preserve">5,7</w:t>
            </w:r>
          </w:p>
        </w:tc>
        <w:tc>
          <w:tcPr>
            <w:tcW w:w="1290" w:type="dxa"/>
          </w:tcPr>
          <w:p>
            <w:pPr>
              <w:pStyle w:val="0"/>
              <w:jc w:val="center"/>
            </w:pPr>
            <w:r>
              <w:rPr>
                <w:sz w:val="20"/>
              </w:rPr>
              <w:t xml:space="preserve">5,4</w:t>
            </w:r>
          </w:p>
        </w:tc>
        <w:tc>
          <w:tcPr>
            <w:tcW w:w="1290" w:type="dxa"/>
          </w:tcPr>
          <w:p>
            <w:pPr>
              <w:pStyle w:val="0"/>
              <w:jc w:val="center"/>
            </w:pPr>
            <w:r>
              <w:rPr>
                <w:sz w:val="20"/>
              </w:rPr>
              <w:t xml:space="preserve">5,9</w:t>
            </w:r>
          </w:p>
        </w:tc>
      </w:tr>
      <w:tr>
        <w:tc>
          <w:tcPr>
            <w:tcW w:w="5159" w:type="dxa"/>
          </w:tcPr>
          <w:p>
            <w:pPr>
              <w:pStyle w:val="0"/>
              <w:jc w:val="both"/>
            </w:pPr>
            <w:r>
              <w:rPr>
                <w:sz w:val="20"/>
              </w:rPr>
              <w:t xml:space="preserve">Раздел R Деятельность в области культуры, спорта, организации досуга и развлечений</w:t>
            </w:r>
          </w:p>
        </w:tc>
        <w:tc>
          <w:tcPr>
            <w:tcW w:w="1290" w:type="dxa"/>
          </w:tcPr>
          <w:p>
            <w:pPr>
              <w:pStyle w:val="0"/>
              <w:jc w:val="center"/>
            </w:pPr>
            <w:r>
              <w:rPr>
                <w:sz w:val="20"/>
              </w:rPr>
              <w:t xml:space="preserve">1,8</w:t>
            </w:r>
          </w:p>
        </w:tc>
        <w:tc>
          <w:tcPr>
            <w:tcW w:w="1290" w:type="dxa"/>
          </w:tcPr>
          <w:p>
            <w:pPr>
              <w:pStyle w:val="0"/>
              <w:jc w:val="center"/>
            </w:pPr>
            <w:r>
              <w:rPr>
                <w:sz w:val="20"/>
              </w:rPr>
              <w:t xml:space="preserve">1,7</w:t>
            </w:r>
          </w:p>
        </w:tc>
        <w:tc>
          <w:tcPr>
            <w:tcW w:w="1290" w:type="dxa"/>
          </w:tcPr>
          <w:p>
            <w:pPr>
              <w:pStyle w:val="0"/>
              <w:jc w:val="center"/>
            </w:pPr>
            <w:r>
              <w:rPr>
                <w:sz w:val="20"/>
              </w:rPr>
              <w:t xml:space="preserve">1,8</w:t>
            </w:r>
          </w:p>
        </w:tc>
      </w:tr>
      <w:tr>
        <w:tc>
          <w:tcPr>
            <w:tcW w:w="5159" w:type="dxa"/>
          </w:tcPr>
          <w:p>
            <w:pPr>
              <w:pStyle w:val="0"/>
              <w:jc w:val="both"/>
            </w:pPr>
            <w:r>
              <w:rPr>
                <w:sz w:val="20"/>
              </w:rPr>
              <w:t xml:space="preserve">Раздел S Предоставление прочих видов услуг</w:t>
            </w:r>
          </w:p>
        </w:tc>
        <w:tc>
          <w:tcPr>
            <w:tcW w:w="1290" w:type="dxa"/>
          </w:tcPr>
          <w:p>
            <w:pPr>
              <w:pStyle w:val="0"/>
              <w:jc w:val="center"/>
            </w:pPr>
            <w:r>
              <w:rPr>
                <w:sz w:val="20"/>
              </w:rPr>
              <w:t xml:space="preserve">1,4</w:t>
            </w:r>
          </w:p>
        </w:tc>
        <w:tc>
          <w:tcPr>
            <w:tcW w:w="1290" w:type="dxa"/>
          </w:tcPr>
          <w:p>
            <w:pPr>
              <w:pStyle w:val="0"/>
              <w:jc w:val="center"/>
            </w:pPr>
            <w:r>
              <w:rPr>
                <w:sz w:val="20"/>
              </w:rPr>
              <w:t xml:space="preserve">1,7</w:t>
            </w:r>
          </w:p>
        </w:tc>
        <w:tc>
          <w:tcPr>
            <w:tcW w:w="1290" w:type="dxa"/>
          </w:tcPr>
          <w:p>
            <w:pPr>
              <w:pStyle w:val="0"/>
              <w:jc w:val="center"/>
            </w:pPr>
            <w:r>
              <w:rPr>
                <w:sz w:val="20"/>
              </w:rPr>
              <w:t xml:space="preserve">1,9</w:t>
            </w:r>
          </w:p>
        </w:tc>
      </w:tr>
      <w:tr>
        <w:tc>
          <w:tcPr>
            <w:tcW w:w="5159" w:type="dxa"/>
          </w:tcPr>
          <w:p>
            <w:pPr>
              <w:pStyle w:val="0"/>
              <w:jc w:val="both"/>
            </w:pPr>
            <w:r>
              <w:rPr>
                <w:sz w:val="20"/>
              </w:rPr>
              <w:t xml:space="preserve">Всего</w:t>
            </w:r>
          </w:p>
        </w:tc>
        <w:tc>
          <w:tcPr>
            <w:tcW w:w="1290" w:type="dxa"/>
          </w:tcPr>
          <w:p>
            <w:pPr>
              <w:pStyle w:val="0"/>
              <w:jc w:val="center"/>
            </w:pPr>
            <w:r>
              <w:rPr>
                <w:sz w:val="20"/>
              </w:rPr>
              <w:t xml:space="preserve">71,8</w:t>
            </w:r>
          </w:p>
        </w:tc>
        <w:tc>
          <w:tcPr>
            <w:tcW w:w="1290" w:type="dxa"/>
          </w:tcPr>
          <w:p>
            <w:pPr>
              <w:pStyle w:val="0"/>
              <w:jc w:val="center"/>
            </w:pPr>
            <w:r>
              <w:rPr>
                <w:sz w:val="20"/>
              </w:rPr>
              <w:t xml:space="preserve">69,5</w:t>
            </w:r>
          </w:p>
        </w:tc>
        <w:tc>
          <w:tcPr>
            <w:tcW w:w="1290" w:type="dxa"/>
          </w:tcPr>
          <w:p>
            <w:pPr>
              <w:pStyle w:val="0"/>
              <w:jc w:val="center"/>
            </w:pPr>
            <w:r>
              <w:rPr>
                <w:sz w:val="20"/>
              </w:rPr>
              <w:t xml:space="preserve">73,2</w:t>
            </w:r>
          </w:p>
        </w:tc>
      </w:tr>
    </w:tbl>
    <w:p>
      <w:pPr>
        <w:pStyle w:val="0"/>
        <w:ind w:firstLine="540"/>
        <w:jc w:val="both"/>
      </w:pPr>
      <w:r>
        <w:rPr>
          <w:sz w:val="20"/>
        </w:rPr>
      </w:r>
    </w:p>
    <w:p>
      <w:pPr>
        <w:pStyle w:val="2"/>
        <w:outlineLvl w:val="4"/>
        <w:jc w:val="center"/>
      </w:pPr>
      <w:r>
        <w:rPr>
          <w:sz w:val="20"/>
        </w:rPr>
        <w:t xml:space="preserve">Прогноз замещающей кадровой потребности</w:t>
      </w:r>
    </w:p>
    <w:p>
      <w:pPr>
        <w:pStyle w:val="2"/>
        <w:jc w:val="center"/>
      </w:pPr>
      <w:r>
        <w:rPr>
          <w:sz w:val="20"/>
        </w:rPr>
        <w:t xml:space="preserve">предприятий по видам занятий</w:t>
      </w:r>
    </w:p>
    <w:p>
      <w:pPr>
        <w:pStyle w:val="0"/>
        <w:ind w:firstLine="540"/>
        <w:jc w:val="both"/>
      </w:pPr>
      <w:r>
        <w:rPr>
          <w:sz w:val="20"/>
        </w:rPr>
      </w:r>
    </w:p>
    <w:p>
      <w:pPr>
        <w:pStyle w:val="0"/>
        <w:jc w:val="right"/>
      </w:pPr>
      <w:r>
        <w:rPr>
          <w:sz w:val="20"/>
        </w:rPr>
        <w:t xml:space="preserve">тыс. чел.</w:t>
      </w:r>
    </w:p>
    <w:p>
      <w:pPr>
        <w:spacing w:before="0"/>
        <w:spacing w:after="1"/>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59"/>
        <w:gridCol w:w="1290"/>
        <w:gridCol w:w="1290"/>
        <w:gridCol w:w="1290"/>
      </w:tblGrid>
      <w:tr>
        <w:tc>
          <w:tcPr>
            <w:tcW w:w="5159" w:type="dxa"/>
          </w:tcPr>
          <w:p>
            <w:pPr>
              <w:pStyle w:val="0"/>
              <w:jc w:val="center"/>
            </w:pPr>
            <w:r>
              <w:rPr>
                <w:sz w:val="20"/>
              </w:rPr>
              <w:t xml:space="preserve">Наименования групп занятий</w:t>
            </w:r>
          </w:p>
        </w:tc>
        <w:tc>
          <w:tcPr>
            <w:tcW w:w="1290" w:type="dxa"/>
          </w:tcPr>
          <w:p>
            <w:pPr>
              <w:pStyle w:val="0"/>
              <w:jc w:val="center"/>
            </w:pPr>
            <w:r>
              <w:rPr>
                <w:sz w:val="20"/>
              </w:rPr>
              <w:t xml:space="preserve">2025 год (прогноз)</w:t>
            </w:r>
          </w:p>
        </w:tc>
        <w:tc>
          <w:tcPr>
            <w:tcW w:w="1290" w:type="dxa"/>
          </w:tcPr>
          <w:p>
            <w:pPr>
              <w:pStyle w:val="0"/>
              <w:jc w:val="center"/>
            </w:pPr>
            <w:r>
              <w:rPr>
                <w:sz w:val="20"/>
              </w:rPr>
              <w:t xml:space="preserve">2026 год (прогноз)</w:t>
            </w:r>
          </w:p>
        </w:tc>
        <w:tc>
          <w:tcPr>
            <w:tcW w:w="1290" w:type="dxa"/>
          </w:tcPr>
          <w:p>
            <w:pPr>
              <w:pStyle w:val="0"/>
              <w:jc w:val="center"/>
            </w:pPr>
            <w:r>
              <w:rPr>
                <w:sz w:val="20"/>
              </w:rPr>
              <w:t xml:space="preserve">2027 год (прогноз)</w:t>
            </w:r>
          </w:p>
        </w:tc>
      </w:tr>
      <w:tr>
        <w:tc>
          <w:tcPr>
            <w:tcW w:w="5159" w:type="dxa"/>
          </w:tcPr>
          <w:p>
            <w:pPr>
              <w:pStyle w:val="0"/>
              <w:jc w:val="both"/>
            </w:pPr>
            <w:r>
              <w:rPr>
                <w:sz w:val="20"/>
              </w:rPr>
              <w:t xml:space="preserve">Руководители</w:t>
            </w:r>
          </w:p>
        </w:tc>
        <w:tc>
          <w:tcPr>
            <w:tcW w:w="1290" w:type="dxa"/>
          </w:tcPr>
          <w:p>
            <w:pPr>
              <w:pStyle w:val="0"/>
              <w:jc w:val="center"/>
            </w:pPr>
            <w:r>
              <w:rPr>
                <w:sz w:val="20"/>
              </w:rPr>
              <w:t xml:space="preserve">3,7</w:t>
            </w:r>
          </w:p>
        </w:tc>
        <w:tc>
          <w:tcPr>
            <w:tcW w:w="1290" w:type="dxa"/>
          </w:tcPr>
          <w:p>
            <w:pPr>
              <w:pStyle w:val="0"/>
              <w:jc w:val="center"/>
            </w:pPr>
            <w:r>
              <w:rPr>
                <w:sz w:val="20"/>
              </w:rPr>
              <w:t xml:space="preserve">4,1</w:t>
            </w:r>
          </w:p>
        </w:tc>
        <w:tc>
          <w:tcPr>
            <w:tcW w:w="1290" w:type="dxa"/>
          </w:tcPr>
          <w:p>
            <w:pPr>
              <w:pStyle w:val="0"/>
              <w:jc w:val="center"/>
            </w:pPr>
            <w:r>
              <w:rPr>
                <w:sz w:val="20"/>
              </w:rPr>
              <w:t xml:space="preserve">4,2</w:t>
            </w:r>
          </w:p>
        </w:tc>
      </w:tr>
      <w:tr>
        <w:tc>
          <w:tcPr>
            <w:tcW w:w="5159" w:type="dxa"/>
          </w:tcPr>
          <w:p>
            <w:pPr>
              <w:pStyle w:val="0"/>
              <w:jc w:val="both"/>
            </w:pPr>
            <w:r>
              <w:rPr>
                <w:sz w:val="20"/>
              </w:rPr>
              <w:t xml:space="preserve">Специалисты высшего уровня квалификации</w:t>
            </w:r>
          </w:p>
        </w:tc>
        <w:tc>
          <w:tcPr>
            <w:tcW w:w="1290" w:type="dxa"/>
          </w:tcPr>
          <w:p>
            <w:pPr>
              <w:pStyle w:val="0"/>
              <w:jc w:val="center"/>
            </w:pPr>
            <w:r>
              <w:rPr>
                <w:sz w:val="20"/>
              </w:rPr>
              <w:t xml:space="preserve">18,0</w:t>
            </w:r>
          </w:p>
        </w:tc>
        <w:tc>
          <w:tcPr>
            <w:tcW w:w="1290" w:type="dxa"/>
          </w:tcPr>
          <w:p>
            <w:pPr>
              <w:pStyle w:val="0"/>
              <w:jc w:val="center"/>
            </w:pPr>
            <w:r>
              <w:rPr>
                <w:sz w:val="20"/>
              </w:rPr>
              <w:t xml:space="preserve">15,9</w:t>
            </w:r>
          </w:p>
        </w:tc>
        <w:tc>
          <w:tcPr>
            <w:tcW w:w="1290" w:type="dxa"/>
          </w:tcPr>
          <w:p>
            <w:pPr>
              <w:pStyle w:val="0"/>
              <w:jc w:val="center"/>
            </w:pPr>
            <w:r>
              <w:rPr>
                <w:sz w:val="20"/>
              </w:rPr>
              <w:t xml:space="preserve">16,8</w:t>
            </w:r>
          </w:p>
        </w:tc>
      </w:tr>
      <w:tr>
        <w:tc>
          <w:tcPr>
            <w:tcW w:w="5159" w:type="dxa"/>
          </w:tcPr>
          <w:p>
            <w:pPr>
              <w:pStyle w:val="0"/>
              <w:jc w:val="both"/>
            </w:pPr>
            <w:r>
              <w:rPr>
                <w:sz w:val="20"/>
              </w:rPr>
              <w:t xml:space="preserve">Специалисты среднего уровня квалификации</w:t>
            </w:r>
          </w:p>
        </w:tc>
        <w:tc>
          <w:tcPr>
            <w:tcW w:w="1290" w:type="dxa"/>
          </w:tcPr>
          <w:p>
            <w:pPr>
              <w:pStyle w:val="0"/>
              <w:jc w:val="center"/>
            </w:pPr>
            <w:r>
              <w:rPr>
                <w:sz w:val="20"/>
              </w:rPr>
              <w:t xml:space="preserve">7,6</w:t>
            </w:r>
          </w:p>
        </w:tc>
        <w:tc>
          <w:tcPr>
            <w:tcW w:w="1290" w:type="dxa"/>
          </w:tcPr>
          <w:p>
            <w:pPr>
              <w:pStyle w:val="0"/>
              <w:jc w:val="center"/>
            </w:pPr>
            <w:r>
              <w:rPr>
                <w:sz w:val="20"/>
              </w:rPr>
              <w:t xml:space="preserve">7,1</w:t>
            </w:r>
          </w:p>
        </w:tc>
        <w:tc>
          <w:tcPr>
            <w:tcW w:w="1290" w:type="dxa"/>
          </w:tcPr>
          <w:p>
            <w:pPr>
              <w:pStyle w:val="0"/>
              <w:jc w:val="center"/>
            </w:pPr>
            <w:r>
              <w:rPr>
                <w:sz w:val="20"/>
              </w:rPr>
              <w:t xml:space="preserve">8,2</w:t>
            </w:r>
          </w:p>
        </w:tc>
      </w:tr>
      <w:tr>
        <w:tc>
          <w:tcPr>
            <w:tcW w:w="5159" w:type="dxa"/>
          </w:tcPr>
          <w:p>
            <w:pPr>
              <w:pStyle w:val="0"/>
              <w:jc w:val="both"/>
            </w:pPr>
            <w:r>
              <w:rPr>
                <w:sz w:val="20"/>
              </w:rPr>
              <w:t xml:space="preserve">Служащие, занятые подготовкой и оформлением документации, учетом и обслуживанием</w:t>
            </w:r>
          </w:p>
        </w:tc>
        <w:tc>
          <w:tcPr>
            <w:tcW w:w="1290" w:type="dxa"/>
          </w:tcPr>
          <w:p>
            <w:pPr>
              <w:pStyle w:val="0"/>
              <w:jc w:val="center"/>
            </w:pPr>
            <w:r>
              <w:rPr>
                <w:sz w:val="20"/>
              </w:rPr>
              <w:t xml:space="preserve">2,7</w:t>
            </w:r>
          </w:p>
        </w:tc>
        <w:tc>
          <w:tcPr>
            <w:tcW w:w="1290" w:type="dxa"/>
          </w:tcPr>
          <w:p>
            <w:pPr>
              <w:pStyle w:val="0"/>
              <w:jc w:val="center"/>
            </w:pPr>
            <w:r>
              <w:rPr>
                <w:sz w:val="20"/>
              </w:rPr>
              <w:t xml:space="preserve">3,0</w:t>
            </w:r>
          </w:p>
        </w:tc>
        <w:tc>
          <w:tcPr>
            <w:tcW w:w="1290" w:type="dxa"/>
          </w:tcPr>
          <w:p>
            <w:pPr>
              <w:pStyle w:val="0"/>
              <w:jc w:val="center"/>
            </w:pPr>
            <w:r>
              <w:rPr>
                <w:sz w:val="20"/>
              </w:rPr>
              <w:t xml:space="preserve">3,2</w:t>
            </w:r>
          </w:p>
        </w:tc>
      </w:tr>
      <w:tr>
        <w:tc>
          <w:tcPr>
            <w:tcW w:w="5159" w:type="dxa"/>
          </w:tcPr>
          <w:p>
            <w:pPr>
              <w:pStyle w:val="0"/>
              <w:jc w:val="both"/>
            </w:pPr>
            <w:r>
              <w:rPr>
                <w:sz w:val="20"/>
              </w:rPr>
              <w:t xml:space="preserve">Работники сферы обслуживания и торговли, охраны граждан и собственности</w:t>
            </w:r>
          </w:p>
        </w:tc>
        <w:tc>
          <w:tcPr>
            <w:tcW w:w="1290" w:type="dxa"/>
          </w:tcPr>
          <w:p>
            <w:pPr>
              <w:pStyle w:val="0"/>
              <w:jc w:val="center"/>
            </w:pPr>
            <w:r>
              <w:rPr>
                <w:sz w:val="20"/>
              </w:rPr>
              <w:t xml:space="preserve">8,6</w:t>
            </w:r>
          </w:p>
        </w:tc>
        <w:tc>
          <w:tcPr>
            <w:tcW w:w="1290" w:type="dxa"/>
          </w:tcPr>
          <w:p>
            <w:pPr>
              <w:pStyle w:val="0"/>
              <w:jc w:val="center"/>
            </w:pPr>
            <w:r>
              <w:rPr>
                <w:sz w:val="20"/>
              </w:rPr>
              <w:t xml:space="preserve">9,3</w:t>
            </w:r>
          </w:p>
        </w:tc>
        <w:tc>
          <w:tcPr>
            <w:tcW w:w="1290" w:type="dxa"/>
          </w:tcPr>
          <w:p>
            <w:pPr>
              <w:pStyle w:val="0"/>
              <w:jc w:val="center"/>
            </w:pPr>
            <w:r>
              <w:rPr>
                <w:sz w:val="20"/>
              </w:rPr>
              <w:t xml:space="preserve">9,4</w:t>
            </w:r>
          </w:p>
        </w:tc>
      </w:tr>
      <w:tr>
        <w:tc>
          <w:tcPr>
            <w:tcW w:w="5159" w:type="dxa"/>
          </w:tcPr>
          <w:p>
            <w:pPr>
              <w:pStyle w:val="0"/>
              <w:jc w:val="both"/>
            </w:pPr>
            <w:r>
              <w:rPr>
                <w:sz w:val="20"/>
              </w:rPr>
              <w:t xml:space="preserve">Квалифицированные работники сельского и лесного хозяйства, рыбоводства и рыболовства</w:t>
            </w:r>
          </w:p>
        </w:tc>
        <w:tc>
          <w:tcPr>
            <w:tcW w:w="1290" w:type="dxa"/>
          </w:tcPr>
          <w:p>
            <w:pPr>
              <w:pStyle w:val="0"/>
              <w:jc w:val="center"/>
            </w:pPr>
            <w:r>
              <w:rPr>
                <w:sz w:val="20"/>
              </w:rPr>
              <w:t xml:space="preserve">0,9</w:t>
            </w:r>
          </w:p>
        </w:tc>
        <w:tc>
          <w:tcPr>
            <w:tcW w:w="1290" w:type="dxa"/>
          </w:tcPr>
          <w:p>
            <w:pPr>
              <w:pStyle w:val="0"/>
              <w:jc w:val="center"/>
            </w:pPr>
            <w:r>
              <w:rPr>
                <w:sz w:val="20"/>
              </w:rPr>
              <w:t xml:space="preserve">1,4</w:t>
            </w:r>
          </w:p>
        </w:tc>
        <w:tc>
          <w:tcPr>
            <w:tcW w:w="1290" w:type="dxa"/>
          </w:tcPr>
          <w:p>
            <w:pPr>
              <w:pStyle w:val="0"/>
              <w:jc w:val="center"/>
            </w:pPr>
            <w:r>
              <w:rPr>
                <w:sz w:val="20"/>
              </w:rPr>
              <w:t xml:space="preserve">1,2</w:t>
            </w:r>
          </w:p>
        </w:tc>
      </w:tr>
      <w:tr>
        <w:tc>
          <w:tcPr>
            <w:tcW w:w="5159" w:type="dxa"/>
          </w:tcPr>
          <w:p>
            <w:pPr>
              <w:pStyle w:val="0"/>
              <w:jc w:val="both"/>
            </w:pPr>
            <w:r>
              <w:rPr>
                <w:sz w:val="20"/>
              </w:rPr>
              <w:t xml:space="preserve">Квалифицированные рабочие промышленности, строительства, транспорта и рабочие родственных занятий</w:t>
            </w:r>
          </w:p>
        </w:tc>
        <w:tc>
          <w:tcPr>
            <w:tcW w:w="1290" w:type="dxa"/>
          </w:tcPr>
          <w:p>
            <w:pPr>
              <w:pStyle w:val="0"/>
              <w:jc w:val="center"/>
            </w:pPr>
            <w:r>
              <w:rPr>
                <w:sz w:val="20"/>
              </w:rPr>
              <w:t xml:space="preserve">12,8</w:t>
            </w:r>
          </w:p>
        </w:tc>
        <w:tc>
          <w:tcPr>
            <w:tcW w:w="1290" w:type="dxa"/>
          </w:tcPr>
          <w:p>
            <w:pPr>
              <w:pStyle w:val="0"/>
              <w:jc w:val="center"/>
            </w:pPr>
            <w:r>
              <w:rPr>
                <w:sz w:val="20"/>
              </w:rPr>
              <w:t xml:space="preserve">13,2</w:t>
            </w:r>
          </w:p>
        </w:tc>
        <w:tc>
          <w:tcPr>
            <w:tcW w:w="1290" w:type="dxa"/>
          </w:tcPr>
          <w:p>
            <w:pPr>
              <w:pStyle w:val="0"/>
              <w:jc w:val="center"/>
            </w:pPr>
            <w:r>
              <w:rPr>
                <w:sz w:val="20"/>
              </w:rPr>
              <w:t xml:space="preserve">14,1</w:t>
            </w:r>
          </w:p>
        </w:tc>
      </w:tr>
      <w:tr>
        <w:tc>
          <w:tcPr>
            <w:tcW w:w="5159" w:type="dxa"/>
          </w:tcPr>
          <w:p>
            <w:pPr>
              <w:pStyle w:val="0"/>
              <w:jc w:val="both"/>
            </w:pPr>
            <w:r>
              <w:rPr>
                <w:sz w:val="20"/>
              </w:rPr>
              <w:t xml:space="preserve">Операторы производственных установок и машин, сборщики и водители</w:t>
            </w:r>
          </w:p>
        </w:tc>
        <w:tc>
          <w:tcPr>
            <w:tcW w:w="1290" w:type="dxa"/>
          </w:tcPr>
          <w:p>
            <w:pPr>
              <w:pStyle w:val="0"/>
              <w:jc w:val="center"/>
            </w:pPr>
            <w:r>
              <w:rPr>
                <w:sz w:val="20"/>
              </w:rPr>
              <w:t xml:space="preserve">11,0</w:t>
            </w:r>
          </w:p>
        </w:tc>
        <w:tc>
          <w:tcPr>
            <w:tcW w:w="1290" w:type="dxa"/>
          </w:tcPr>
          <w:p>
            <w:pPr>
              <w:pStyle w:val="0"/>
              <w:jc w:val="center"/>
            </w:pPr>
            <w:r>
              <w:rPr>
                <w:sz w:val="20"/>
              </w:rPr>
              <w:t xml:space="preserve">9,5</w:t>
            </w:r>
          </w:p>
        </w:tc>
        <w:tc>
          <w:tcPr>
            <w:tcW w:w="1290" w:type="dxa"/>
          </w:tcPr>
          <w:p>
            <w:pPr>
              <w:pStyle w:val="0"/>
              <w:jc w:val="center"/>
            </w:pPr>
            <w:r>
              <w:rPr>
                <w:sz w:val="20"/>
              </w:rPr>
              <w:t xml:space="preserve">9,3</w:t>
            </w:r>
          </w:p>
        </w:tc>
      </w:tr>
      <w:tr>
        <w:tc>
          <w:tcPr>
            <w:tcW w:w="5159" w:type="dxa"/>
          </w:tcPr>
          <w:p>
            <w:pPr>
              <w:pStyle w:val="0"/>
              <w:jc w:val="both"/>
            </w:pPr>
            <w:r>
              <w:rPr>
                <w:sz w:val="20"/>
              </w:rPr>
              <w:t xml:space="preserve">Неквалифицированные рабочие</w:t>
            </w:r>
          </w:p>
        </w:tc>
        <w:tc>
          <w:tcPr>
            <w:tcW w:w="1290" w:type="dxa"/>
          </w:tcPr>
          <w:p>
            <w:pPr>
              <w:pStyle w:val="0"/>
              <w:jc w:val="center"/>
            </w:pPr>
            <w:r>
              <w:rPr>
                <w:sz w:val="20"/>
              </w:rPr>
              <w:t xml:space="preserve">6,4</w:t>
            </w:r>
          </w:p>
        </w:tc>
        <w:tc>
          <w:tcPr>
            <w:tcW w:w="1290" w:type="dxa"/>
          </w:tcPr>
          <w:p>
            <w:pPr>
              <w:pStyle w:val="0"/>
              <w:jc w:val="center"/>
            </w:pPr>
            <w:r>
              <w:rPr>
                <w:sz w:val="20"/>
              </w:rPr>
              <w:t xml:space="preserve">6,0</w:t>
            </w:r>
          </w:p>
        </w:tc>
        <w:tc>
          <w:tcPr>
            <w:tcW w:w="1290" w:type="dxa"/>
          </w:tcPr>
          <w:p>
            <w:pPr>
              <w:pStyle w:val="0"/>
              <w:jc w:val="center"/>
            </w:pPr>
            <w:r>
              <w:rPr>
                <w:sz w:val="20"/>
              </w:rPr>
              <w:t xml:space="preserve">6,7</w:t>
            </w:r>
          </w:p>
        </w:tc>
      </w:tr>
      <w:tr>
        <w:tc>
          <w:tcPr>
            <w:tcW w:w="5159" w:type="dxa"/>
          </w:tcPr>
          <w:p>
            <w:pPr>
              <w:pStyle w:val="0"/>
              <w:jc w:val="both"/>
            </w:pPr>
            <w:r>
              <w:rPr>
                <w:sz w:val="20"/>
              </w:rPr>
              <w:t xml:space="preserve">Всего</w:t>
            </w:r>
          </w:p>
        </w:tc>
        <w:tc>
          <w:tcPr>
            <w:tcW w:w="1290" w:type="dxa"/>
          </w:tcPr>
          <w:p>
            <w:pPr>
              <w:pStyle w:val="0"/>
              <w:jc w:val="center"/>
            </w:pPr>
            <w:r>
              <w:rPr>
                <w:sz w:val="20"/>
              </w:rPr>
              <w:t xml:space="preserve">71,8</w:t>
            </w:r>
          </w:p>
        </w:tc>
        <w:tc>
          <w:tcPr>
            <w:tcW w:w="1290" w:type="dxa"/>
          </w:tcPr>
          <w:p>
            <w:pPr>
              <w:pStyle w:val="0"/>
              <w:jc w:val="center"/>
            </w:pPr>
            <w:r>
              <w:rPr>
                <w:sz w:val="20"/>
              </w:rPr>
              <w:t xml:space="preserve">69,5</w:t>
            </w:r>
          </w:p>
        </w:tc>
        <w:tc>
          <w:tcPr>
            <w:tcW w:w="1290" w:type="dxa"/>
          </w:tcPr>
          <w:p>
            <w:pPr>
              <w:pStyle w:val="0"/>
              <w:jc w:val="center"/>
            </w:pPr>
            <w:r>
              <w:rPr>
                <w:sz w:val="20"/>
              </w:rPr>
              <w:t xml:space="preserve">73,2</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Нижегородской области от 23.10.2024 N 639</w:t>
            <w:br/>
            <w:t>(ред. от 24.01.2025)</w:t>
            <w:br/>
            <w:t>"О прогнозе социально-экономи...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20.05.2025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Нижегородской области от 23.10.2024 N 639</w:t>
            <w:br/>
            <w:t>(ред. от 24.01.2025)</w:t>
            <w:br/>
            <w:t>"О прогнозе социально-экономи...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7&amp;n=309624&amp;dst=100005" TargetMode = "External"/>
	<Relationship Id="rId8" Type="http://schemas.openxmlformats.org/officeDocument/2006/relationships/hyperlink" Target="https://login.consultant.ru/link/?req=doc&amp;base=RLAW187&amp;n=309624&amp;dst=100005" TargetMode = "External"/>
	<Relationship Id="rId9" Type="http://schemas.openxmlformats.org/officeDocument/2006/relationships/header" Target="header2.xml"/>
	<Relationship Id="rId10" Type="http://schemas.openxmlformats.org/officeDocument/2006/relationships/footer" Target="footer2.xml"/>
	<Relationship Id="rId11" Type="http://schemas.openxmlformats.org/officeDocument/2006/relationships/hyperlink" Target="https://login.consultant.ru/link/?req=doc&amp;base=LAW&amp;n=469774" TargetMode = "External"/>
	<Relationship Id="rId12" Type="http://schemas.openxmlformats.org/officeDocument/2006/relationships/hyperlink" Target="https://login.consultant.ru/link/?req=doc&amp;base=LAW&amp;n=480785" TargetMode = "External"/>
	<Relationship Id="rId13" Type="http://schemas.openxmlformats.org/officeDocument/2006/relationships/hyperlink" Target="https://login.consultant.ru/link/?req=doc&amp;base=RLAW187&amp;n=286060" TargetMode = "External"/>
	<Relationship Id="rId14" Type="http://schemas.openxmlformats.org/officeDocument/2006/relationships/hyperlink" Target="https://login.consultant.ru/link/?req=doc&amp;base=RLAW187&amp;n=250630" TargetMode = "External"/>
	<Relationship Id="rId15" Type="http://schemas.openxmlformats.org/officeDocument/2006/relationships/hyperlink" Target="https://login.consultant.ru/link/?req=doc&amp;base=RLAW187&amp;n=286898" TargetMode = "External"/>
	<Relationship Id="rId16" Type="http://schemas.openxmlformats.org/officeDocument/2006/relationships/hyperlink" Target="https://login.consultant.ru/link/?req=doc&amp;base=LAW&amp;n=480785&amp;dst=100453" TargetMode = "External"/>
	<Relationship Id="rId17" Type="http://schemas.openxmlformats.org/officeDocument/2006/relationships/hyperlink" Target="https://login.consultant.ru/link/?req=doc&amp;base=LAW&amp;n=478587&amp;dst=101167" TargetMode = "External"/>
	<Relationship Id="rId18" Type="http://schemas.openxmlformats.org/officeDocument/2006/relationships/hyperlink" Target="https://login.consultant.ru/link/?req=doc&amp;base=LAW&amp;n=475991" TargetMode = "External"/>
	<Relationship Id="rId19" Type="http://schemas.openxmlformats.org/officeDocument/2006/relationships/hyperlink" Target="https://login.consultant.ru/link/?req=doc&amp;base=RLAW187&amp;n=271880&amp;dst=100018" TargetMode = "External"/>
	<Relationship Id="rId20" Type="http://schemas.openxmlformats.org/officeDocument/2006/relationships/hyperlink" Target="https://login.consultant.ru/link/?req=doc&amp;base=RLAW187&amp;n=283529&amp;dst=100011" TargetMode = "External"/>
	<Relationship Id="rId21" Type="http://schemas.openxmlformats.org/officeDocument/2006/relationships/hyperlink" Target="https://login.consultant.ru/link/?req=doc&amp;base=LAW&amp;n=475991" TargetMode = "External"/>
	<Relationship Id="rId22" Type="http://schemas.openxmlformats.org/officeDocument/2006/relationships/image" Target="media/image2.png"/>
	<Relationship Id="rId23" Type="http://schemas.openxmlformats.org/officeDocument/2006/relationships/image" Target="media/image3.png"/>
	<Relationship Id="rId24" Type="http://schemas.openxmlformats.org/officeDocument/2006/relationships/image" Target="media/image4.png"/>
	<Relationship Id="rId25" Type="http://schemas.openxmlformats.org/officeDocument/2006/relationships/image" Target="media/image5.png"/>
	<Relationship Id="rId26" Type="http://schemas.openxmlformats.org/officeDocument/2006/relationships/hyperlink" Target="www.economy.gov.ru" TargetMode = "External"/>
	<Relationship Id="rId27" Type="http://schemas.openxmlformats.org/officeDocument/2006/relationships/image" Target="media/image6.png"/>
	<Relationship Id="rId28" Type="http://schemas.openxmlformats.org/officeDocument/2006/relationships/hyperlink" Target="https://login.consultant.ru/link/?req=doc&amp;base=RLAW187&amp;n=309624&amp;dst=100007" TargetMode = "External"/>
	<Relationship Id="rId29" Type="http://schemas.openxmlformats.org/officeDocument/2006/relationships/hyperlink" Target="https://login.consultant.ru/link/?req=doc&amp;base=LAW&amp;n=475991" TargetMode = "External"/>
	<Relationship Id="rId30" Type="http://schemas.openxmlformats.org/officeDocument/2006/relationships/hyperlink" Target="https://login.consultant.ru/link/?req=doc&amp;base=RLAW187&amp;n=287369&amp;dst=9386" TargetMode = "External"/>
	<Relationship Id="rId31" Type="http://schemas.openxmlformats.org/officeDocument/2006/relationships/hyperlink" Target="https://login.consultant.ru/link/?req=doc&amp;base=RLAW187&amp;n=288073&amp;dst=154504" TargetMode = "External"/>
	<Relationship Id="rId32" Type="http://schemas.openxmlformats.org/officeDocument/2006/relationships/hyperlink" Target="https://login.consultant.ru/link/?req=doc&amp;base=RLAW187&amp;n=287835&amp;dst=117372" TargetMode = "External"/>
	<Relationship Id="rId33" Type="http://schemas.openxmlformats.org/officeDocument/2006/relationships/hyperlink" Target="https://login.consultant.ru/link/?req=doc&amp;base=LAW&amp;n=486170" TargetMode = "External"/>
	<Relationship Id="rId34" Type="http://schemas.openxmlformats.org/officeDocument/2006/relationships/hyperlink" Target="https://login.consultant.ru/link/?req=doc&amp;base=RLAW187&amp;n=287668&amp;dst=169389" TargetMode = "External"/>
	<Relationship Id="rId35" Type="http://schemas.openxmlformats.org/officeDocument/2006/relationships/hyperlink" Target="https://login.consultant.ru/link/?req=doc&amp;base=RLAW187&amp;n=287770&amp;dst=104639" TargetMode = "External"/>
	<Relationship Id="rId36" Type="http://schemas.openxmlformats.org/officeDocument/2006/relationships/hyperlink" Target="https://login.consultant.ru/link/?req=doc&amp;base=RLAW187&amp;n=302531&amp;dst=117702" TargetMode = "External"/>
	<Relationship Id="rId37" Type="http://schemas.openxmlformats.org/officeDocument/2006/relationships/hyperlink" Target="https://login.consultant.ru/link/?req=doc&amp;base=RLAW187&amp;n=287571&amp;dst=101109" TargetMode = "External"/>
	<Relationship Id="rId38" Type="http://schemas.openxmlformats.org/officeDocument/2006/relationships/hyperlink" Target="https://login.consultant.ru/link/?req=doc&amp;base=RLAW187&amp;n=298699&amp;dst=199488" TargetMode = "External"/>
	<Relationship Id="rId39" Type="http://schemas.openxmlformats.org/officeDocument/2006/relationships/hyperlink" Target="https://login.consultant.ru/link/?req=doc&amp;base=RLAW187&amp;n=287567&amp;dst=135346" TargetMode = "External"/>
	<Relationship Id="rId40" Type="http://schemas.openxmlformats.org/officeDocument/2006/relationships/hyperlink" Target="https://login.consultant.ru/link/?req=doc&amp;base=RLAW187&amp;n=293535&amp;dst=127647" TargetMode = "External"/>
	<Relationship Id="rId41" Type="http://schemas.openxmlformats.org/officeDocument/2006/relationships/hyperlink" Target="https://login.consultant.ru/link/?req=doc&amp;base=RLAW187&amp;n=300510&amp;dst=152921" TargetMode = "External"/>
	<Relationship Id="rId42" Type="http://schemas.openxmlformats.org/officeDocument/2006/relationships/hyperlink" Target="https://login.consultant.ru/link/?req=doc&amp;base=RLAW187&amp;n=289905&amp;dst=129666" TargetMode = "External"/>
	<Relationship Id="rId43" Type="http://schemas.openxmlformats.org/officeDocument/2006/relationships/hyperlink" Target="https://login.consultant.ru/link/?req=doc&amp;base=LAW&amp;n=422197&amp;dst=132" TargetMode = "External"/>
	<Relationship Id="rId44" Type="http://schemas.openxmlformats.org/officeDocument/2006/relationships/hyperlink" Target="https://login.consultant.ru/link/?req=doc&amp;base=LAW&amp;n=422197&amp;dst=64" TargetMode = "External"/>
	<Relationship Id="rId45" Type="http://schemas.openxmlformats.org/officeDocument/2006/relationships/hyperlink" Target="https://login.consultant.ru/link/?req=doc&amp;base=LAW&amp;n=422197&amp;dst=132" TargetMode = "External"/>
	<Relationship Id="rId46" Type="http://schemas.openxmlformats.org/officeDocument/2006/relationships/hyperlink" Target="https://login.consultant.ru/link/?req=doc&amp;base=LAW&amp;n=422197&amp;dst=64" TargetMode = "External"/>
	<Relationship Id="rId47" Type="http://schemas.openxmlformats.org/officeDocument/2006/relationships/hyperlink" Target="https://login.consultant.ru/link/?req=doc&amp;base=RLAW187&amp;n=300023&amp;dst=193041" TargetMode = "External"/>
	<Relationship Id="rId48" Type="http://schemas.openxmlformats.org/officeDocument/2006/relationships/hyperlink" Target="https://login.consultant.ru/link/?req=doc&amp;base=RLAW187&amp;n=290414&amp;dst=149675" TargetMode = "External"/>
	<Relationship Id="rId49" Type="http://schemas.openxmlformats.org/officeDocument/2006/relationships/hyperlink" Target="https://login.consultant.ru/link/?req=doc&amp;base=RLAW187&amp;n=288143&amp;dst=137321" TargetMode = "External"/>
	<Relationship Id="rId50" Type="http://schemas.openxmlformats.org/officeDocument/2006/relationships/hyperlink" Target="https://login.consultant.ru/link/?req=doc&amp;base=RLAW187&amp;n=287480&amp;dst=125943" TargetMode = "External"/>
	<Relationship Id="rId51" Type="http://schemas.openxmlformats.org/officeDocument/2006/relationships/hyperlink" Target="https://login.consultant.ru/link/?req=doc&amp;base=RLAW187&amp;n=287479&amp;dst=105657" TargetMode = "External"/>
	<Relationship Id="rId52" Type="http://schemas.openxmlformats.org/officeDocument/2006/relationships/hyperlink" Target="https://login.consultant.ru/link/?req=doc&amp;base=RLAW187&amp;n=293339&amp;dst=111264" TargetMode = "External"/>
	<Relationship Id="rId53" Type="http://schemas.openxmlformats.org/officeDocument/2006/relationships/hyperlink" Target="https://login.consultant.ru/link/?req=doc&amp;base=RLAW187&amp;n=309624&amp;dst=100010" TargetMode = "External"/>
	<Relationship Id="rId54" Type="http://schemas.openxmlformats.org/officeDocument/2006/relationships/hyperlink" Target="https://login.consultant.ru/link/?req=doc&amp;base=RLAW187&amp;n=287659&amp;dst=142294" TargetMode = "External"/>
	<Relationship Id="rId55" Type="http://schemas.openxmlformats.org/officeDocument/2006/relationships/hyperlink" Target="https://login.consultant.ru/link/?req=doc&amp;base=RLAW187&amp;n=287397&amp;dst=109688" TargetMode = "External"/>
	<Relationship Id="rId56" Type="http://schemas.openxmlformats.org/officeDocument/2006/relationships/hyperlink" Target="https://login.consultant.ru/link/?req=doc&amp;base=RLAW187&amp;n=294602&amp;dst=155142" TargetMode = "External"/>
	<Relationship Id="rId57" Type="http://schemas.openxmlformats.org/officeDocument/2006/relationships/hyperlink" Target="https://login.consultant.ru/link/?req=doc&amp;base=RLAW187&amp;n=288040&amp;dst=109278" TargetMode = "External"/>
	<Relationship Id="rId58" Type="http://schemas.openxmlformats.org/officeDocument/2006/relationships/hyperlink" Target="https://login.consultant.ru/link/?req=doc&amp;base=RLAW187&amp;n=290002&amp;dst=100019" TargetMode = "External"/>
	<Relationship Id="rId59" Type="http://schemas.openxmlformats.org/officeDocument/2006/relationships/hyperlink" Target="https://login.consultant.ru/link/?req=doc&amp;base=RLAW187&amp;n=288039&amp;dst=132093" TargetMode = "External"/>
	<Relationship Id="rId60" Type="http://schemas.openxmlformats.org/officeDocument/2006/relationships/hyperlink" Target="https://login.consultant.ru/link/?req=doc&amp;base=RLAW187&amp;n=286234&amp;dst=295" TargetMode = "External"/>
	<Relationship Id="rId61" Type="http://schemas.openxmlformats.org/officeDocument/2006/relationships/hyperlink" Target="https://login.consultant.ru/link/?req=doc&amp;base=RLAW187&amp;n=287021&amp;dst=1427167" TargetMode = "External"/>
	<Relationship Id="rId62" Type="http://schemas.openxmlformats.org/officeDocument/2006/relationships/hyperlink" Target="https://login.consultant.ru/link/?req=doc&amp;base=RLAW187&amp;n=300511&amp;dst=174526" TargetMode = "External"/>
	<Relationship Id="rId63" Type="http://schemas.openxmlformats.org/officeDocument/2006/relationships/hyperlink" Target="https://login.consultant.ru/link/?req=doc&amp;base=RLAW187&amp;n=291088&amp;dst=168211" TargetMode = "External"/>
	<Relationship Id="rId64" Type="http://schemas.openxmlformats.org/officeDocument/2006/relationships/hyperlink" Target="https://login.consultant.ru/link/?req=doc&amp;base=RLAW187&amp;n=291886&amp;dst=111704" TargetMode = "External"/>
	<Relationship Id="rId65" Type="http://schemas.openxmlformats.org/officeDocument/2006/relationships/hyperlink" Target="https://login.consultant.ru/link/?req=doc&amp;base=RLAW187&amp;n=295474&amp;dst=116703" TargetMode = "External"/>
	<Relationship Id="rId66" Type="http://schemas.openxmlformats.org/officeDocument/2006/relationships/hyperlink" Target="https://login.consultant.ru/link/?req=doc&amp;base=RLAW187&amp;n=302659&amp;dst=101316" TargetMode = "External"/>
	<Relationship Id="rId67" Type="http://schemas.openxmlformats.org/officeDocument/2006/relationships/hyperlink" Target="https://login.consultant.ru/link/?req=doc&amp;base=RLAW187&amp;n=286306&amp;dst=100009" TargetMode = "External"/>
	<Relationship Id="rId68" Type="http://schemas.openxmlformats.org/officeDocument/2006/relationships/hyperlink" Target="https://login.consultant.ru/link/?req=doc&amp;base=RLAW187&amp;n=291414&amp;dst=100009" TargetMode = "External"/>
	<Relationship Id="rId69" Type="http://schemas.openxmlformats.org/officeDocument/2006/relationships/hyperlink" Target="https://login.consultant.ru/link/?req=doc&amp;base=RLAW187&amp;n=301351&amp;dst=100012" TargetMode = "External"/>
	<Relationship Id="rId70" Type="http://schemas.openxmlformats.org/officeDocument/2006/relationships/hyperlink" Target="https://login.consultant.ru/link/?req=doc&amp;base=RLAW187&amp;n=309624&amp;dst=10001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Нижегородской области от 23.10.2024 N 639
(ред. от 24.01.2025)
"О прогнозе социально-экономического развития Нижегородской области на среднесрочный период (на 2025 год и на плановый период 2026 и 2027 годов)"</dc:title>
  <dcterms:created xsi:type="dcterms:W3CDTF">2025-05-20T16:52:25Z</dcterms:created>
</cp:coreProperties>
</file>