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8"/>
              </w:rPr>
              <w:t xml:space="preserve">Указ Губернатора Нижегородской области от 10.12.2024 N 242</w:t>
              <w:br/>
              <w:t xml:space="preserve">"О создании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Нижегородской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08.01.2025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ГУБЕРНАТОР НИЖЕГОРОДСКОЙ ОБЛАСТИ</w:t>
      </w:r>
    </w:p>
    <w:p>
      <w:pPr>
        <w:pStyle w:val="2"/>
        <w:jc w:val="center"/>
      </w:pPr>
      <w:r>
        <w:rPr>
          <w:sz w:val="20"/>
        </w:rPr>
      </w:r>
    </w:p>
    <w:p>
      <w:pPr>
        <w:pStyle w:val="2"/>
        <w:jc w:val="center"/>
      </w:pPr>
      <w:r>
        <w:rPr>
          <w:sz w:val="20"/>
        </w:rPr>
        <w:t xml:space="preserve">УКАЗ</w:t>
      </w:r>
    </w:p>
    <w:p>
      <w:pPr>
        <w:pStyle w:val="2"/>
        <w:jc w:val="center"/>
      </w:pPr>
      <w:r>
        <w:rPr>
          <w:sz w:val="20"/>
        </w:rPr>
        <w:t xml:space="preserve">от 10 декабря 2024 г. N 242</w:t>
      </w:r>
    </w:p>
    <w:p>
      <w:pPr>
        <w:pStyle w:val="2"/>
      </w:pPr>
      <w:r>
        <w:rPr>
          <w:sz w:val="20"/>
        </w:rPr>
      </w:r>
    </w:p>
    <w:p>
      <w:pPr>
        <w:pStyle w:val="2"/>
        <w:jc w:val="center"/>
      </w:pPr>
      <w:r>
        <w:rPr>
          <w:sz w:val="20"/>
        </w:rPr>
        <w:t xml:space="preserve">О СОЗДАНИИ КОМИССИИ ПО УСТАНОВЛЕНИЮ ПРИЧИННО-СЛЕДСТВЕННОЙ</w:t>
      </w:r>
    </w:p>
    <w:p>
      <w:pPr>
        <w:pStyle w:val="2"/>
        <w:jc w:val="center"/>
      </w:pPr>
      <w:r>
        <w:rPr>
          <w:sz w:val="20"/>
        </w:rPr>
        <w:t xml:space="preserve">СВЯЗИ МЕЖДУ ПОЛУЧЕНИЕМ ВРЕДА ЖИЗНИ ИЛИ ЗДОРОВЬЮ ДОБРОВОЛЬЦА</w:t>
      </w:r>
    </w:p>
    <w:p>
      <w:pPr>
        <w:pStyle w:val="2"/>
        <w:jc w:val="center"/>
      </w:pPr>
      <w:r>
        <w:rPr>
          <w:sz w:val="20"/>
        </w:rPr>
        <w:t xml:space="preserve">(ВОЛОНТЕРА) И ОСУЩЕСТВЛЕНИЕМ ИМ ВИДА ДОБРОВОЛЬЧЕСКОЙ</w:t>
      </w:r>
    </w:p>
    <w:p>
      <w:pPr>
        <w:pStyle w:val="2"/>
        <w:jc w:val="center"/>
      </w:pPr>
      <w:r>
        <w:rPr>
          <w:sz w:val="20"/>
        </w:rPr>
        <w:t xml:space="preserve">(ВОЛОНТЕРСКОЙ) ДЕЯТЕЛЬНОСТИ, А ТАКЖЕ ПРИЧИННО-СЛЕДСТВЕННОЙ</w:t>
      </w:r>
    </w:p>
    <w:p>
      <w:pPr>
        <w:pStyle w:val="2"/>
        <w:jc w:val="center"/>
      </w:pPr>
      <w:r>
        <w:rPr>
          <w:sz w:val="20"/>
        </w:rPr>
        <w:t xml:space="preserve">СВЯЗИ МЕЖДУ СМЕРТЬЮ (ГИБЕЛЬЮ) ДОБРОВОЛЬЦА (ВОЛОНТЕРА)</w:t>
      </w:r>
    </w:p>
    <w:p>
      <w:pPr>
        <w:pStyle w:val="2"/>
        <w:jc w:val="center"/>
      </w:pPr>
      <w:r>
        <w:rPr>
          <w:sz w:val="20"/>
        </w:rPr>
        <w:t xml:space="preserve">И ВРЕДОМ ЖИЗНИ ИЛИ ЗДОРОВЬЮ ДОБРОВОЛЬЦА (ВОЛОНТЕРА),</w:t>
      </w:r>
    </w:p>
    <w:p>
      <w:pPr>
        <w:pStyle w:val="2"/>
        <w:jc w:val="center"/>
      </w:pPr>
      <w:r>
        <w:rPr>
          <w:sz w:val="20"/>
        </w:rPr>
        <w:t xml:space="preserve">ПОЛУЧЕННЫМ ДОБРОВОЛЬЦЕМ (ВОЛОНТЕРОМ) ПРИ ОСУЩЕСТВЛЕНИИ</w:t>
      </w:r>
    </w:p>
    <w:p>
      <w:pPr>
        <w:pStyle w:val="2"/>
        <w:jc w:val="center"/>
      </w:pPr>
      <w:r>
        <w:rPr>
          <w:sz w:val="20"/>
        </w:rPr>
        <w:t xml:space="preserve">ИМ 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w:t>
      </w:r>
    </w:p>
    <w:p>
      <w:pPr>
        <w:pStyle w:val="2"/>
        <w:jc w:val="center"/>
      </w:pPr>
      <w:r>
        <w:rPr>
          <w:sz w:val="20"/>
        </w:rPr>
        <w:t xml:space="preserve">ИЛИ ЗДОРОВЬЮ ДОБРОВОЛЬЦА (ВОЛОНТЕРА), ПОЛУЧЕННОГО</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w:t>
      </w:r>
    </w:p>
    <w:p>
      <w:pPr>
        <w:pStyle w:val="2"/>
        <w:jc w:val="center"/>
      </w:pPr>
      <w:r>
        <w:rPr>
          <w:sz w:val="20"/>
        </w:rPr>
        <w:t xml:space="preserve">НА ТЕРРИТОРИИ НИЖЕГОРОДСКОЙ ОБЛАСТИ</w:t>
      </w:r>
    </w:p>
    <w:p>
      <w:pPr>
        <w:pStyle w:val="0"/>
        <w:ind w:firstLine="540"/>
        <w:jc w:val="both"/>
      </w:pPr>
      <w:r>
        <w:rPr>
          <w:sz w:val="20"/>
        </w:rPr>
      </w:r>
    </w:p>
    <w:p>
      <w:pPr>
        <w:pStyle w:val="0"/>
        <w:ind w:firstLine="540"/>
        <w:jc w:val="both"/>
      </w:pPr>
      <w:r>
        <w:rPr>
          <w:sz w:val="20"/>
        </w:rPr>
        <w:t xml:space="preserve">В соответствии с </w:t>
      </w:r>
      <w:hyperlink w:history="0" r:id="rId7"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КонсультантПлюс}">
        <w:r>
          <w:rPr>
            <w:sz w:val="20"/>
            <w:color w:val="0000ff"/>
          </w:rPr>
          <w:t xml:space="preserve">постановлением</w:t>
        </w:r>
      </w:hyperlink>
      <w:r>
        <w:rPr>
          <w:sz w:val="20"/>
        </w:rPr>
        <w:t xml:space="preserve"> Правительства Российской Федерации от 7 марта 2023 г. N 356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w:t>
      </w:r>
    </w:p>
    <w:p>
      <w:pPr>
        <w:pStyle w:val="0"/>
        <w:spacing w:before="200" w:line-rule="auto"/>
        <w:ind w:firstLine="540"/>
        <w:jc w:val="both"/>
      </w:pPr>
      <w:r>
        <w:rPr>
          <w:sz w:val="20"/>
        </w:rPr>
        <w:t xml:space="preserve">1. Создать комиссию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Нижегородской области (далее - Комиссия).</w:t>
      </w:r>
    </w:p>
    <w:p>
      <w:pPr>
        <w:pStyle w:val="0"/>
        <w:spacing w:before="200" w:line-rule="auto"/>
        <w:ind w:firstLine="540"/>
        <w:jc w:val="both"/>
      </w:pPr>
      <w:r>
        <w:rPr>
          <w:sz w:val="20"/>
        </w:rPr>
        <w:t xml:space="preserve">2. Утвердить прилагаемый </w:t>
      </w:r>
      <w:hyperlink w:history="0" w:anchor="P40" w:tooltip="СОСТАВ">
        <w:r>
          <w:rPr>
            <w:sz w:val="20"/>
            <w:color w:val="0000ff"/>
          </w:rPr>
          <w:t xml:space="preserve">состав</w:t>
        </w:r>
      </w:hyperlink>
      <w:r>
        <w:rPr>
          <w:sz w:val="20"/>
        </w:rPr>
        <w:t xml:space="preserve"> Комиссии.</w:t>
      </w:r>
    </w:p>
    <w:p>
      <w:pPr>
        <w:pStyle w:val="0"/>
        <w:spacing w:before="200" w:line-rule="auto"/>
        <w:ind w:firstLine="540"/>
        <w:jc w:val="both"/>
      </w:pPr>
      <w:r>
        <w:rPr>
          <w:sz w:val="20"/>
        </w:rPr>
        <w:t xml:space="preserve">3. Утвердить прилагаемое </w:t>
      </w:r>
      <w:hyperlink w:history="0" w:anchor="P112" w:tooltip="ПОЛОЖЕНИЕ">
        <w:r>
          <w:rPr>
            <w:sz w:val="20"/>
            <w:color w:val="0000ff"/>
          </w:rPr>
          <w:t xml:space="preserve">Положение</w:t>
        </w:r>
      </w:hyperlink>
      <w:r>
        <w:rPr>
          <w:sz w:val="20"/>
        </w:rPr>
        <w:t xml:space="preserve"> о Комиссии.</w:t>
      </w:r>
    </w:p>
    <w:p>
      <w:pPr>
        <w:pStyle w:val="0"/>
        <w:spacing w:before="200" w:line-rule="auto"/>
        <w:ind w:firstLine="540"/>
        <w:jc w:val="both"/>
      </w:pPr>
      <w:r>
        <w:rPr>
          <w:sz w:val="20"/>
        </w:rPr>
        <w:t xml:space="preserve">4. Контроль за исполнением настоящего Указа возложить на заместителя Губернатора Нижегородской области Берковича О.А.</w:t>
      </w:r>
    </w:p>
    <w:p>
      <w:pPr>
        <w:pStyle w:val="0"/>
        <w:spacing w:before="200" w:line-rule="auto"/>
        <w:ind w:firstLine="540"/>
        <w:jc w:val="both"/>
      </w:pPr>
      <w:r>
        <w:rPr>
          <w:sz w:val="20"/>
        </w:rPr>
        <w:t xml:space="preserve">5. Настоящий Указ подлежит официальному опубликованию.</w:t>
      </w:r>
    </w:p>
    <w:p>
      <w:pPr>
        <w:pStyle w:val="0"/>
        <w:ind w:firstLine="540"/>
        <w:jc w:val="both"/>
      </w:pPr>
      <w:r>
        <w:rPr>
          <w:sz w:val="20"/>
        </w:rPr>
      </w:r>
    </w:p>
    <w:p>
      <w:pPr>
        <w:pStyle w:val="0"/>
        <w:jc w:val="right"/>
      </w:pPr>
      <w:r>
        <w:rPr>
          <w:sz w:val="20"/>
        </w:rPr>
        <w:t xml:space="preserve">И.о. Губернатора</w:t>
      </w:r>
    </w:p>
    <w:p>
      <w:pPr>
        <w:pStyle w:val="0"/>
        <w:jc w:val="right"/>
      </w:pPr>
      <w:r>
        <w:rPr>
          <w:sz w:val="20"/>
        </w:rPr>
        <w:t xml:space="preserve">А.Н.ГНЕУШЕВ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Указом Губернатора</w:t>
      </w:r>
    </w:p>
    <w:p>
      <w:pPr>
        <w:pStyle w:val="0"/>
        <w:jc w:val="right"/>
      </w:pPr>
      <w:r>
        <w:rPr>
          <w:sz w:val="20"/>
        </w:rPr>
        <w:t xml:space="preserve">Нижегородской области</w:t>
      </w:r>
    </w:p>
    <w:p>
      <w:pPr>
        <w:pStyle w:val="0"/>
        <w:jc w:val="right"/>
      </w:pPr>
      <w:r>
        <w:rPr>
          <w:sz w:val="20"/>
        </w:rPr>
        <w:t xml:space="preserve">от 10 декабря 2024 г. N 242</w:t>
      </w:r>
    </w:p>
    <w:p>
      <w:pPr>
        <w:pStyle w:val="0"/>
        <w:ind w:firstLine="540"/>
        <w:jc w:val="both"/>
      </w:pPr>
      <w:r>
        <w:rPr>
          <w:sz w:val="20"/>
        </w:rPr>
      </w:r>
    </w:p>
    <w:bookmarkStart w:id="40" w:name="P40"/>
    <w:bookmarkEnd w:id="40"/>
    <w:p>
      <w:pPr>
        <w:pStyle w:val="2"/>
        <w:jc w:val="center"/>
      </w:pPr>
      <w:r>
        <w:rPr>
          <w:sz w:val="20"/>
        </w:rPr>
        <w:t xml:space="preserve">СОСТАВ</w:t>
      </w:r>
    </w:p>
    <w:p>
      <w:pPr>
        <w:pStyle w:val="2"/>
        <w:jc w:val="center"/>
      </w:pPr>
      <w:r>
        <w:rPr>
          <w:sz w:val="20"/>
        </w:rPr>
        <w:t xml:space="preserve">КОМИССИИ ПО УСТАНОВЛЕНИЮ ПРИЧИННО-СЛЕДСТВЕННОЙ СВЯЗИ МЕЖДУ</w:t>
      </w:r>
    </w:p>
    <w:p>
      <w:pPr>
        <w:pStyle w:val="2"/>
        <w:jc w:val="center"/>
      </w:pPr>
      <w:r>
        <w:rPr>
          <w:sz w:val="20"/>
        </w:rPr>
        <w:t xml:space="preserve">ПОЛУЧЕНИЕМ ВРЕДА ЖИЗНИ ИЛИ ЗДОРОВЬЮ ДОБРОВОЛЬЦА (ВОЛОНТЕРА)</w:t>
      </w:r>
    </w:p>
    <w:p>
      <w:pPr>
        <w:pStyle w:val="2"/>
        <w:jc w:val="center"/>
      </w:pPr>
      <w:r>
        <w:rPr>
          <w:sz w:val="20"/>
        </w:rPr>
        <w:t xml:space="preserve">И ОСУЩЕСТВЛЕНИЕМ ИМ ВИДА ДОБРОВОЛЬЧЕСКОЙ (ВОЛОНТЕРСКОЙ)</w:t>
      </w:r>
    </w:p>
    <w:p>
      <w:pPr>
        <w:pStyle w:val="2"/>
        <w:jc w:val="center"/>
      </w:pPr>
      <w:r>
        <w:rPr>
          <w:sz w:val="20"/>
        </w:rPr>
        <w:t xml:space="preserve">ДЕЯТЕЛЬНОСТИ, А ТАКЖЕ ПРИЧИННО-СЛЕДСТВЕННОЙ СВЯЗИ МЕЖДУ</w:t>
      </w:r>
    </w:p>
    <w:p>
      <w:pPr>
        <w:pStyle w:val="2"/>
        <w:jc w:val="center"/>
      </w:pPr>
      <w:r>
        <w:rPr>
          <w:sz w:val="20"/>
        </w:rPr>
        <w:t xml:space="preserve">СМЕРТЬЮ (ГИБЕЛЬЮ) ДОБРОВОЛЬЦА (ВОЛОНТЕРА) И ВРЕДОМ ЖИЗНИ</w:t>
      </w:r>
    </w:p>
    <w:p>
      <w:pPr>
        <w:pStyle w:val="2"/>
        <w:jc w:val="center"/>
      </w:pPr>
      <w:r>
        <w:rPr>
          <w:sz w:val="20"/>
        </w:rPr>
        <w:t xml:space="preserve">ИЛИ ЗДОРОВЬЮ ДОБРОВОЛЬЦА (ВОЛОНТЕРА), ПОЛУЧЕННЫМ</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w:t>
      </w:r>
    </w:p>
    <w:p>
      <w:pPr>
        <w:pStyle w:val="2"/>
        <w:jc w:val="center"/>
      </w:pPr>
      <w:r>
        <w:rPr>
          <w:sz w:val="20"/>
        </w:rPr>
        <w:t xml:space="preserve">ИЛИ ЗДОРОВЬЮ ДОБРОВОЛЬЦА (ВОЛОНТЕРА), ПОЛУЧЕННОГО</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w:t>
      </w:r>
    </w:p>
    <w:p>
      <w:pPr>
        <w:pStyle w:val="2"/>
        <w:jc w:val="center"/>
      </w:pPr>
      <w:r>
        <w:rPr>
          <w:sz w:val="20"/>
        </w:rPr>
        <w:t xml:space="preserve">НА ТЕРРИТОРИИ НИЖЕГОРОДСКОЙ ОБЛАСТИ</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005"/>
        <w:gridCol w:w="6066"/>
      </w:tblGrid>
      <w:tr>
        <w:tc>
          <w:tcPr>
            <w:tcW w:w="3005" w:type="dxa"/>
            <w:tcBorders>
              <w:top w:val="nil"/>
              <w:left w:val="nil"/>
              <w:bottom w:val="nil"/>
              <w:right w:val="nil"/>
            </w:tcBorders>
          </w:tcPr>
          <w:p>
            <w:pPr>
              <w:pStyle w:val="0"/>
              <w:jc w:val="both"/>
            </w:pPr>
            <w:r>
              <w:rPr>
                <w:sz w:val="20"/>
              </w:rPr>
              <w:t xml:space="preserve">Беркович</w:t>
            </w:r>
          </w:p>
          <w:p>
            <w:pPr>
              <w:pStyle w:val="0"/>
              <w:jc w:val="both"/>
            </w:pPr>
            <w:r>
              <w:rPr>
                <w:sz w:val="20"/>
              </w:rPr>
              <w:t xml:space="preserve">Олег Алексеевич</w:t>
            </w:r>
          </w:p>
        </w:tc>
        <w:tc>
          <w:tcPr>
            <w:tcW w:w="6066" w:type="dxa"/>
            <w:tcBorders>
              <w:top w:val="nil"/>
              <w:left w:val="nil"/>
              <w:bottom w:val="nil"/>
              <w:right w:val="nil"/>
            </w:tcBorders>
          </w:tcPr>
          <w:p>
            <w:pPr>
              <w:pStyle w:val="0"/>
              <w:jc w:val="both"/>
            </w:pPr>
            <w:r>
              <w:rPr>
                <w:sz w:val="20"/>
              </w:rPr>
              <w:t xml:space="preserve">- заместитель Губернатора Нижегородской области, председатель комиссии</w:t>
            </w:r>
          </w:p>
        </w:tc>
      </w:tr>
      <w:tr>
        <w:tc>
          <w:tcPr>
            <w:tcW w:w="3005" w:type="dxa"/>
            <w:tcBorders>
              <w:top w:val="nil"/>
              <w:left w:val="nil"/>
              <w:bottom w:val="nil"/>
              <w:right w:val="nil"/>
            </w:tcBorders>
          </w:tcPr>
          <w:p>
            <w:pPr>
              <w:pStyle w:val="0"/>
              <w:jc w:val="both"/>
            </w:pPr>
            <w:r>
              <w:rPr>
                <w:sz w:val="20"/>
              </w:rPr>
              <w:t xml:space="preserve">Гнеушев</w:t>
            </w:r>
          </w:p>
          <w:p>
            <w:pPr>
              <w:pStyle w:val="0"/>
              <w:jc w:val="both"/>
            </w:pPr>
            <w:r>
              <w:rPr>
                <w:sz w:val="20"/>
              </w:rPr>
              <w:t xml:space="preserve">Андрей Николаевич</w:t>
            </w:r>
          </w:p>
        </w:tc>
        <w:tc>
          <w:tcPr>
            <w:tcW w:w="6066" w:type="dxa"/>
            <w:tcBorders>
              <w:top w:val="nil"/>
              <w:left w:val="nil"/>
              <w:bottom w:val="nil"/>
              <w:right w:val="nil"/>
            </w:tcBorders>
          </w:tcPr>
          <w:p>
            <w:pPr>
              <w:pStyle w:val="0"/>
              <w:jc w:val="both"/>
            </w:pPr>
            <w:r>
              <w:rPr>
                <w:sz w:val="20"/>
              </w:rPr>
              <w:t xml:space="preserve">- заместитель Губернатора Нижегородской области, заместитель председателя комиссии</w:t>
            </w:r>
          </w:p>
        </w:tc>
      </w:tr>
      <w:tr>
        <w:tc>
          <w:tcPr>
            <w:tcW w:w="3005" w:type="dxa"/>
            <w:tcBorders>
              <w:top w:val="nil"/>
              <w:left w:val="nil"/>
              <w:bottom w:val="nil"/>
              <w:right w:val="nil"/>
            </w:tcBorders>
          </w:tcPr>
          <w:p>
            <w:pPr>
              <w:pStyle w:val="0"/>
              <w:jc w:val="both"/>
            </w:pPr>
            <w:r>
              <w:rPr>
                <w:sz w:val="20"/>
              </w:rPr>
              <w:t xml:space="preserve">Омельченко</w:t>
            </w:r>
          </w:p>
          <w:p>
            <w:pPr>
              <w:pStyle w:val="0"/>
              <w:jc w:val="both"/>
            </w:pPr>
            <w:r>
              <w:rPr>
                <w:sz w:val="20"/>
              </w:rPr>
              <w:t xml:space="preserve">Юлия Александровна</w:t>
            </w:r>
          </w:p>
        </w:tc>
        <w:tc>
          <w:tcPr>
            <w:tcW w:w="6066" w:type="dxa"/>
            <w:tcBorders>
              <w:top w:val="nil"/>
              <w:left w:val="nil"/>
              <w:bottom w:val="nil"/>
              <w:right w:val="nil"/>
            </w:tcBorders>
          </w:tcPr>
          <w:p>
            <w:pPr>
              <w:pStyle w:val="0"/>
              <w:jc w:val="both"/>
            </w:pPr>
            <w:r>
              <w:rPr>
                <w:sz w:val="20"/>
              </w:rPr>
              <w:t xml:space="preserve">- консультант отдела по развитию патриотического воспитания и добровольческой деятельности министерства молодежной политики Нижегородской области, ответственный секретарь комиссии</w:t>
            </w:r>
          </w:p>
        </w:tc>
      </w:tr>
      <w:tr>
        <w:tc>
          <w:tcPr>
            <w:gridSpan w:val="2"/>
            <w:tcW w:w="9071" w:type="dxa"/>
            <w:tcBorders>
              <w:top w:val="nil"/>
              <w:left w:val="nil"/>
              <w:bottom w:val="nil"/>
              <w:right w:val="nil"/>
            </w:tcBorders>
          </w:tcPr>
          <w:p>
            <w:pPr>
              <w:pStyle w:val="0"/>
              <w:jc w:val="both"/>
            </w:pPr>
            <w:r>
              <w:rPr>
                <w:sz w:val="20"/>
              </w:rPr>
              <w:t xml:space="preserve">Члены комиссии:</w:t>
            </w:r>
          </w:p>
        </w:tc>
      </w:tr>
      <w:tr>
        <w:tc>
          <w:tcPr>
            <w:tcW w:w="3005" w:type="dxa"/>
            <w:tcBorders>
              <w:top w:val="nil"/>
              <w:left w:val="nil"/>
              <w:bottom w:val="nil"/>
              <w:right w:val="nil"/>
            </w:tcBorders>
          </w:tcPr>
          <w:p>
            <w:pPr>
              <w:pStyle w:val="0"/>
              <w:jc w:val="both"/>
            </w:pPr>
            <w:r>
              <w:rPr>
                <w:sz w:val="20"/>
              </w:rPr>
              <w:t xml:space="preserve">Ануфриева</w:t>
            </w:r>
          </w:p>
          <w:p>
            <w:pPr>
              <w:pStyle w:val="0"/>
              <w:jc w:val="both"/>
            </w:pPr>
            <w:r>
              <w:rPr>
                <w:sz w:val="20"/>
              </w:rPr>
              <w:t xml:space="preserve">Светлана Олеговна</w:t>
            </w:r>
          </w:p>
        </w:tc>
        <w:tc>
          <w:tcPr>
            <w:tcW w:w="6066" w:type="dxa"/>
            <w:tcBorders>
              <w:top w:val="nil"/>
              <w:left w:val="nil"/>
              <w:bottom w:val="nil"/>
              <w:right w:val="nil"/>
            </w:tcBorders>
          </w:tcPr>
          <w:p>
            <w:pPr>
              <w:pStyle w:val="0"/>
              <w:jc w:val="both"/>
            </w:pPr>
            <w:r>
              <w:rPr>
                <w:sz w:val="20"/>
              </w:rPr>
              <w:t xml:space="preserve">- министр молодежной политики Нижегородской области</w:t>
            </w:r>
          </w:p>
        </w:tc>
      </w:tr>
      <w:tr>
        <w:tc>
          <w:tcPr>
            <w:tcW w:w="3005" w:type="dxa"/>
            <w:tcBorders>
              <w:top w:val="nil"/>
              <w:left w:val="nil"/>
              <w:bottom w:val="nil"/>
              <w:right w:val="nil"/>
            </w:tcBorders>
          </w:tcPr>
          <w:p>
            <w:pPr>
              <w:pStyle w:val="0"/>
              <w:jc w:val="both"/>
            </w:pPr>
            <w:r>
              <w:rPr>
                <w:sz w:val="20"/>
              </w:rPr>
              <w:t xml:space="preserve">Артифексова</w:t>
            </w:r>
          </w:p>
          <w:p>
            <w:pPr>
              <w:pStyle w:val="0"/>
              <w:jc w:val="both"/>
            </w:pPr>
            <w:r>
              <w:rPr>
                <w:sz w:val="20"/>
              </w:rPr>
              <w:t xml:space="preserve">Анна Алексеевна</w:t>
            </w:r>
          </w:p>
        </w:tc>
        <w:tc>
          <w:tcPr>
            <w:tcW w:w="6066" w:type="dxa"/>
            <w:tcBorders>
              <w:top w:val="nil"/>
              <w:left w:val="nil"/>
              <w:bottom w:val="nil"/>
              <w:right w:val="nil"/>
            </w:tcBorders>
          </w:tcPr>
          <w:p>
            <w:pPr>
              <w:pStyle w:val="0"/>
              <w:jc w:val="both"/>
            </w:pPr>
            <w:r>
              <w:rPr>
                <w:sz w:val="20"/>
              </w:rPr>
              <w:t xml:space="preserve">- главный внештатный специалист по патологической анатомии, врач-методист государственного бюджетного учреждения здравоохранения Нижегородской области "Медицинский информационно-аналитический центр" (по согласованию)</w:t>
            </w:r>
          </w:p>
        </w:tc>
      </w:tr>
      <w:tr>
        <w:tc>
          <w:tcPr>
            <w:tcW w:w="3005" w:type="dxa"/>
            <w:tcBorders>
              <w:top w:val="nil"/>
              <w:left w:val="nil"/>
              <w:bottom w:val="nil"/>
              <w:right w:val="nil"/>
            </w:tcBorders>
          </w:tcPr>
          <w:p>
            <w:pPr>
              <w:pStyle w:val="0"/>
              <w:jc w:val="both"/>
            </w:pPr>
            <w:r>
              <w:rPr>
                <w:sz w:val="20"/>
              </w:rPr>
              <w:t xml:space="preserve">Демченко</w:t>
            </w:r>
          </w:p>
          <w:p>
            <w:pPr>
              <w:pStyle w:val="0"/>
              <w:jc w:val="both"/>
            </w:pPr>
            <w:r>
              <w:rPr>
                <w:sz w:val="20"/>
              </w:rPr>
              <w:t xml:space="preserve">Александра Анатольевна</w:t>
            </w:r>
          </w:p>
        </w:tc>
        <w:tc>
          <w:tcPr>
            <w:tcW w:w="6066" w:type="dxa"/>
            <w:tcBorders>
              <w:top w:val="nil"/>
              <w:left w:val="nil"/>
              <w:bottom w:val="nil"/>
              <w:right w:val="nil"/>
            </w:tcBorders>
          </w:tcPr>
          <w:p>
            <w:pPr>
              <w:pStyle w:val="0"/>
              <w:jc w:val="both"/>
            </w:pPr>
            <w:r>
              <w:rPr>
                <w:sz w:val="20"/>
              </w:rPr>
              <w:t xml:space="preserve">- начальник отдела развития региональной и муниципальной молодежной политики министерства молодежной политики Нижегородской области</w:t>
            </w:r>
          </w:p>
        </w:tc>
      </w:tr>
      <w:tr>
        <w:tc>
          <w:tcPr>
            <w:tcW w:w="3005" w:type="dxa"/>
            <w:tcBorders>
              <w:top w:val="nil"/>
              <w:left w:val="nil"/>
              <w:bottom w:val="nil"/>
              <w:right w:val="nil"/>
            </w:tcBorders>
          </w:tcPr>
          <w:p>
            <w:pPr>
              <w:pStyle w:val="0"/>
              <w:jc w:val="both"/>
            </w:pPr>
            <w:r>
              <w:rPr>
                <w:sz w:val="20"/>
              </w:rPr>
              <w:t xml:space="preserve">Дрягалова</w:t>
            </w:r>
          </w:p>
          <w:p>
            <w:pPr>
              <w:pStyle w:val="0"/>
              <w:jc w:val="both"/>
            </w:pPr>
            <w:r>
              <w:rPr>
                <w:sz w:val="20"/>
              </w:rPr>
              <w:t xml:space="preserve">Елена Александровна</w:t>
            </w:r>
          </w:p>
        </w:tc>
        <w:tc>
          <w:tcPr>
            <w:tcW w:w="6066" w:type="dxa"/>
            <w:tcBorders>
              <w:top w:val="nil"/>
              <w:left w:val="nil"/>
              <w:bottom w:val="nil"/>
              <w:right w:val="nil"/>
            </w:tcBorders>
          </w:tcPr>
          <w:p>
            <w:pPr>
              <w:pStyle w:val="0"/>
              <w:jc w:val="both"/>
            </w:pPr>
            <w:r>
              <w:rPr>
                <w:sz w:val="20"/>
              </w:rPr>
              <w:t xml:space="preserve">- председатель совета Нижегородского регионального отделения Всероссийской общественной молодежной организации "Всероссийский студенческий корпус спасателей" (по согласованию)</w:t>
            </w:r>
          </w:p>
        </w:tc>
      </w:tr>
      <w:tr>
        <w:tc>
          <w:tcPr>
            <w:tcW w:w="3005" w:type="dxa"/>
            <w:tcBorders>
              <w:top w:val="nil"/>
              <w:left w:val="nil"/>
              <w:bottom w:val="nil"/>
              <w:right w:val="nil"/>
            </w:tcBorders>
          </w:tcPr>
          <w:p>
            <w:pPr>
              <w:pStyle w:val="0"/>
              <w:jc w:val="both"/>
            </w:pPr>
            <w:r>
              <w:rPr>
                <w:sz w:val="20"/>
              </w:rPr>
              <w:t xml:space="preserve">Седых</w:t>
            </w:r>
          </w:p>
          <w:p>
            <w:pPr>
              <w:pStyle w:val="0"/>
              <w:jc w:val="both"/>
            </w:pPr>
            <w:r>
              <w:rPr>
                <w:sz w:val="20"/>
              </w:rPr>
              <w:t xml:space="preserve">Игорь Олегович</w:t>
            </w:r>
          </w:p>
        </w:tc>
        <w:tc>
          <w:tcPr>
            <w:tcW w:w="6066" w:type="dxa"/>
            <w:tcBorders>
              <w:top w:val="nil"/>
              <w:left w:val="nil"/>
              <w:bottom w:val="nil"/>
              <w:right w:val="nil"/>
            </w:tcBorders>
          </w:tcPr>
          <w:p>
            <w:pPr>
              <w:pStyle w:val="0"/>
              <w:jc w:val="both"/>
            </w:pPr>
            <w:r>
              <w:rPr>
                <w:sz w:val="20"/>
              </w:rPr>
              <w:t xml:space="preserve">- министр социальной политики Нижегородской области</w:t>
            </w:r>
          </w:p>
        </w:tc>
      </w:tr>
      <w:tr>
        <w:tc>
          <w:tcPr>
            <w:tcW w:w="3005" w:type="dxa"/>
            <w:tcBorders>
              <w:top w:val="nil"/>
              <w:left w:val="nil"/>
              <w:bottom w:val="nil"/>
              <w:right w:val="nil"/>
            </w:tcBorders>
          </w:tcPr>
          <w:p>
            <w:pPr>
              <w:pStyle w:val="0"/>
              <w:jc w:val="both"/>
            </w:pPr>
            <w:r>
              <w:rPr>
                <w:sz w:val="20"/>
              </w:rPr>
              <w:t xml:space="preserve">Савинов</w:t>
            </w:r>
          </w:p>
          <w:p>
            <w:pPr>
              <w:pStyle w:val="0"/>
              <w:jc w:val="both"/>
            </w:pPr>
            <w:r>
              <w:rPr>
                <w:sz w:val="20"/>
              </w:rPr>
              <w:t xml:space="preserve">Павел Сергеевич</w:t>
            </w:r>
          </w:p>
        </w:tc>
        <w:tc>
          <w:tcPr>
            <w:tcW w:w="6066" w:type="dxa"/>
            <w:tcBorders>
              <w:top w:val="nil"/>
              <w:left w:val="nil"/>
              <w:bottom w:val="nil"/>
              <w:right w:val="nil"/>
            </w:tcBorders>
          </w:tcPr>
          <w:p>
            <w:pPr>
              <w:pStyle w:val="0"/>
              <w:jc w:val="both"/>
            </w:pPr>
            <w:r>
              <w:rPr>
                <w:sz w:val="20"/>
              </w:rPr>
              <w:t xml:space="preserve">- заместитель начальника Управления уголовного розыска Главного управления Министерства внутренних дел Российской Федерации по Нижегородской области (по согласованию)</w:t>
            </w:r>
          </w:p>
        </w:tc>
      </w:tr>
      <w:tr>
        <w:tc>
          <w:tcPr>
            <w:tcW w:w="3005" w:type="dxa"/>
            <w:tcBorders>
              <w:top w:val="nil"/>
              <w:left w:val="nil"/>
              <w:bottom w:val="nil"/>
              <w:right w:val="nil"/>
            </w:tcBorders>
          </w:tcPr>
          <w:p>
            <w:pPr>
              <w:pStyle w:val="0"/>
              <w:jc w:val="both"/>
            </w:pPr>
            <w:r>
              <w:rPr>
                <w:sz w:val="20"/>
              </w:rPr>
              <w:t xml:space="preserve">Симонов</w:t>
            </w:r>
          </w:p>
          <w:p>
            <w:pPr>
              <w:pStyle w:val="0"/>
              <w:jc w:val="both"/>
            </w:pPr>
            <w:r>
              <w:rPr>
                <w:sz w:val="20"/>
              </w:rPr>
              <w:t xml:space="preserve">Алексей Иванович</w:t>
            </w:r>
          </w:p>
        </w:tc>
        <w:tc>
          <w:tcPr>
            <w:tcW w:w="6066" w:type="dxa"/>
            <w:tcBorders>
              <w:top w:val="nil"/>
              <w:left w:val="nil"/>
              <w:bottom w:val="nil"/>
              <w:right w:val="nil"/>
            </w:tcBorders>
          </w:tcPr>
          <w:p>
            <w:pPr>
              <w:pStyle w:val="0"/>
              <w:jc w:val="both"/>
            </w:pPr>
            <w:r>
              <w:rPr>
                <w:sz w:val="20"/>
              </w:rPr>
              <w:t xml:space="preserve">- заместитель министра, начальник управления муниципальной политики министерства внутренней региональной и муниципальной политики Нижегородской области</w:t>
            </w:r>
          </w:p>
        </w:tc>
      </w:tr>
      <w:tr>
        <w:tc>
          <w:tcPr>
            <w:tcW w:w="3005" w:type="dxa"/>
            <w:tcBorders>
              <w:top w:val="nil"/>
              <w:left w:val="nil"/>
              <w:bottom w:val="nil"/>
              <w:right w:val="nil"/>
            </w:tcBorders>
          </w:tcPr>
          <w:p>
            <w:pPr>
              <w:pStyle w:val="0"/>
              <w:jc w:val="both"/>
            </w:pPr>
            <w:r>
              <w:rPr>
                <w:sz w:val="20"/>
              </w:rPr>
              <w:t xml:space="preserve">Созонов</w:t>
            </w:r>
          </w:p>
          <w:p>
            <w:pPr>
              <w:pStyle w:val="0"/>
              <w:jc w:val="both"/>
            </w:pPr>
            <w:r>
              <w:rPr>
                <w:sz w:val="20"/>
              </w:rPr>
              <w:t xml:space="preserve">Михаил Михайлович</w:t>
            </w:r>
          </w:p>
        </w:tc>
        <w:tc>
          <w:tcPr>
            <w:tcW w:w="6066" w:type="dxa"/>
            <w:tcBorders>
              <w:top w:val="nil"/>
              <w:left w:val="nil"/>
              <w:bottom w:val="nil"/>
              <w:right w:val="nil"/>
            </w:tcBorders>
          </w:tcPr>
          <w:p>
            <w:pPr>
              <w:pStyle w:val="0"/>
              <w:jc w:val="both"/>
            </w:pPr>
            <w:r>
              <w:rPr>
                <w:sz w:val="20"/>
              </w:rPr>
              <w:t xml:space="preserve">- главный врач государственного бюджетного учреждения здравоохранения Нижегородской области "Нижегородский территориальный центр медицины катастроф" (по согласованию)</w:t>
            </w:r>
          </w:p>
        </w:tc>
      </w:tr>
      <w:tr>
        <w:tc>
          <w:tcPr>
            <w:tcW w:w="3005" w:type="dxa"/>
            <w:tcBorders>
              <w:top w:val="nil"/>
              <w:left w:val="nil"/>
              <w:bottom w:val="nil"/>
              <w:right w:val="nil"/>
            </w:tcBorders>
          </w:tcPr>
          <w:p>
            <w:pPr>
              <w:pStyle w:val="0"/>
              <w:jc w:val="both"/>
            </w:pPr>
            <w:r>
              <w:rPr>
                <w:sz w:val="20"/>
              </w:rPr>
              <w:t xml:space="preserve">Самоделкина</w:t>
            </w:r>
          </w:p>
          <w:p>
            <w:pPr>
              <w:pStyle w:val="0"/>
              <w:jc w:val="both"/>
            </w:pPr>
            <w:r>
              <w:rPr>
                <w:sz w:val="20"/>
              </w:rPr>
              <w:t xml:space="preserve">Мария Александровна</w:t>
            </w:r>
          </w:p>
        </w:tc>
        <w:tc>
          <w:tcPr>
            <w:tcW w:w="6066" w:type="dxa"/>
            <w:tcBorders>
              <w:top w:val="nil"/>
              <w:left w:val="nil"/>
              <w:bottom w:val="nil"/>
              <w:right w:val="nil"/>
            </w:tcBorders>
          </w:tcPr>
          <w:p>
            <w:pPr>
              <w:pStyle w:val="0"/>
              <w:jc w:val="both"/>
            </w:pPr>
            <w:r>
              <w:rPr>
                <w:sz w:val="20"/>
              </w:rPr>
              <w:t xml:space="preserve">- генеральный директор автономной некоммерческой организации "Волонтерский центр Нижегородской области" (по согласованию)</w:t>
            </w:r>
          </w:p>
        </w:tc>
      </w:tr>
      <w:tr>
        <w:tc>
          <w:tcPr>
            <w:tcW w:w="3005" w:type="dxa"/>
            <w:tcBorders>
              <w:top w:val="nil"/>
              <w:left w:val="nil"/>
              <w:bottom w:val="nil"/>
              <w:right w:val="nil"/>
            </w:tcBorders>
          </w:tcPr>
          <w:p>
            <w:pPr>
              <w:pStyle w:val="0"/>
              <w:jc w:val="both"/>
            </w:pPr>
            <w:r>
              <w:rPr>
                <w:sz w:val="20"/>
              </w:rPr>
              <w:t xml:space="preserve">Шаров</w:t>
            </w:r>
          </w:p>
          <w:p>
            <w:pPr>
              <w:pStyle w:val="0"/>
              <w:jc w:val="both"/>
            </w:pPr>
            <w:r>
              <w:rPr>
                <w:sz w:val="20"/>
              </w:rPr>
              <w:t xml:space="preserve">Илья Николаевич</w:t>
            </w:r>
          </w:p>
        </w:tc>
        <w:tc>
          <w:tcPr>
            <w:tcW w:w="6066" w:type="dxa"/>
            <w:tcBorders>
              <w:top w:val="nil"/>
              <w:left w:val="nil"/>
              <w:bottom w:val="nil"/>
              <w:right w:val="nil"/>
            </w:tcBorders>
          </w:tcPr>
          <w:p>
            <w:pPr>
              <w:pStyle w:val="0"/>
              <w:jc w:val="both"/>
            </w:pPr>
            <w:r>
              <w:rPr>
                <w:sz w:val="20"/>
              </w:rPr>
              <w:t xml:space="preserve">- начальник управления организации пожаротушения и проведения аварийно-спасательных работ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Нижегородской области (по согласованию)</w:t>
            </w:r>
          </w:p>
        </w:tc>
      </w:tr>
      <w:tr>
        <w:tc>
          <w:tcPr>
            <w:tcW w:w="3005" w:type="dxa"/>
            <w:tcBorders>
              <w:top w:val="nil"/>
              <w:left w:val="nil"/>
              <w:bottom w:val="nil"/>
              <w:right w:val="nil"/>
            </w:tcBorders>
          </w:tcPr>
          <w:p>
            <w:pPr>
              <w:pStyle w:val="0"/>
              <w:jc w:val="both"/>
            </w:pPr>
            <w:r>
              <w:rPr>
                <w:sz w:val="20"/>
              </w:rPr>
              <w:t xml:space="preserve">Шеронова</w:t>
            </w:r>
          </w:p>
          <w:p>
            <w:pPr>
              <w:pStyle w:val="0"/>
              <w:jc w:val="both"/>
            </w:pPr>
            <w:r>
              <w:rPr>
                <w:sz w:val="20"/>
              </w:rPr>
              <w:t xml:space="preserve">Ольга Владимировна</w:t>
            </w:r>
          </w:p>
        </w:tc>
        <w:tc>
          <w:tcPr>
            <w:tcW w:w="6066" w:type="dxa"/>
            <w:tcBorders>
              <w:top w:val="nil"/>
              <w:left w:val="nil"/>
              <w:bottom w:val="nil"/>
              <w:right w:val="nil"/>
            </w:tcBorders>
          </w:tcPr>
          <w:p>
            <w:pPr>
              <w:pStyle w:val="0"/>
              <w:jc w:val="both"/>
            </w:pPr>
            <w:r>
              <w:rPr>
                <w:sz w:val="20"/>
              </w:rPr>
              <w:t xml:space="preserve">- начальник отдела контроля страхования профессиональных рисков отделения Фонда пенсионного и социального страхования Российской Федерации по Нижегородской области (по согласованию)</w:t>
            </w:r>
          </w:p>
        </w:tc>
      </w:tr>
      <w:tr>
        <w:tc>
          <w:tcPr>
            <w:tcW w:w="3005" w:type="dxa"/>
            <w:tcBorders>
              <w:top w:val="nil"/>
              <w:left w:val="nil"/>
              <w:bottom w:val="nil"/>
              <w:right w:val="nil"/>
            </w:tcBorders>
          </w:tcPr>
          <w:p>
            <w:pPr>
              <w:pStyle w:val="0"/>
              <w:jc w:val="both"/>
            </w:pPr>
            <w:r>
              <w:rPr>
                <w:sz w:val="20"/>
              </w:rPr>
              <w:t xml:space="preserve">Эделев</w:t>
            </w:r>
          </w:p>
          <w:p>
            <w:pPr>
              <w:pStyle w:val="0"/>
              <w:jc w:val="both"/>
            </w:pPr>
            <w:r>
              <w:rPr>
                <w:sz w:val="20"/>
              </w:rPr>
              <w:t xml:space="preserve">Николай Серафимович</w:t>
            </w:r>
          </w:p>
        </w:tc>
        <w:tc>
          <w:tcPr>
            <w:tcW w:w="6066" w:type="dxa"/>
            <w:tcBorders>
              <w:top w:val="nil"/>
              <w:left w:val="nil"/>
              <w:bottom w:val="nil"/>
              <w:right w:val="nil"/>
            </w:tcBorders>
          </w:tcPr>
          <w:p>
            <w:pPr>
              <w:pStyle w:val="0"/>
              <w:jc w:val="both"/>
            </w:pPr>
            <w:r>
              <w:rPr>
                <w:sz w:val="20"/>
              </w:rPr>
              <w:t xml:space="preserve">- главный внештатный специалист по судебно-медицинской экспертизе, судмедэксперт государственного бюджетного учреждения здравоохранения Нижегородской области "Нижегородское областное бюро судебно-медицинской экспертизы" (по согласованию)</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Указом Губернатора</w:t>
      </w:r>
    </w:p>
    <w:p>
      <w:pPr>
        <w:pStyle w:val="0"/>
        <w:jc w:val="right"/>
      </w:pPr>
      <w:r>
        <w:rPr>
          <w:sz w:val="20"/>
        </w:rPr>
        <w:t xml:space="preserve">Нижегородской области</w:t>
      </w:r>
    </w:p>
    <w:p>
      <w:pPr>
        <w:pStyle w:val="0"/>
        <w:jc w:val="right"/>
      </w:pPr>
      <w:r>
        <w:rPr>
          <w:sz w:val="20"/>
        </w:rPr>
        <w:t xml:space="preserve">от 10 декабря 2024 г. N 242</w:t>
      </w:r>
    </w:p>
    <w:p>
      <w:pPr>
        <w:pStyle w:val="0"/>
        <w:ind w:firstLine="540"/>
        <w:jc w:val="both"/>
      </w:pPr>
      <w:r>
        <w:rPr>
          <w:sz w:val="20"/>
        </w:rPr>
      </w:r>
    </w:p>
    <w:bookmarkStart w:id="112" w:name="P112"/>
    <w:bookmarkEnd w:id="112"/>
    <w:p>
      <w:pPr>
        <w:pStyle w:val="2"/>
        <w:jc w:val="center"/>
      </w:pPr>
      <w:r>
        <w:rPr>
          <w:sz w:val="20"/>
        </w:rPr>
        <w:t xml:space="preserve">ПОЛОЖЕНИЕ</w:t>
      </w:r>
    </w:p>
    <w:p>
      <w:pPr>
        <w:pStyle w:val="2"/>
        <w:jc w:val="center"/>
      </w:pPr>
      <w:r>
        <w:rPr>
          <w:sz w:val="20"/>
        </w:rPr>
        <w:t xml:space="preserve">О КОМИССИИ ПО УСТАНОВЛЕНИЮ ПРИЧИННО-СЛЕДСТВЕННОЙ СВЯЗИ МЕЖДУ</w:t>
      </w:r>
    </w:p>
    <w:p>
      <w:pPr>
        <w:pStyle w:val="2"/>
        <w:jc w:val="center"/>
      </w:pPr>
      <w:r>
        <w:rPr>
          <w:sz w:val="20"/>
        </w:rPr>
        <w:t xml:space="preserve">ПОЛУЧЕНИЕМ ВРЕДА ЖИЗНИ ИЛИ ЗДОРОВЬЮ ДОБРОВОЛЬЦА (ВОЛОНТЕРА)</w:t>
      </w:r>
    </w:p>
    <w:p>
      <w:pPr>
        <w:pStyle w:val="2"/>
        <w:jc w:val="center"/>
      </w:pPr>
      <w:r>
        <w:rPr>
          <w:sz w:val="20"/>
        </w:rPr>
        <w:t xml:space="preserve">И ОСУЩЕСТВЛЕНИЕМ ИМ ВИДА ДОБРОВОЛЬЧЕСКОЙ (ВОЛОНТЕРСКОЙ)</w:t>
      </w:r>
    </w:p>
    <w:p>
      <w:pPr>
        <w:pStyle w:val="2"/>
        <w:jc w:val="center"/>
      </w:pPr>
      <w:r>
        <w:rPr>
          <w:sz w:val="20"/>
        </w:rPr>
        <w:t xml:space="preserve">ДЕЯТЕЛЬНОСТИ, А ТАКЖЕ ПРИЧИННО-СЛЕДСТВЕННОЙ СВЯЗИ МЕЖДУ</w:t>
      </w:r>
    </w:p>
    <w:p>
      <w:pPr>
        <w:pStyle w:val="2"/>
        <w:jc w:val="center"/>
      </w:pPr>
      <w:r>
        <w:rPr>
          <w:sz w:val="20"/>
        </w:rPr>
        <w:t xml:space="preserve">СМЕРТЬЮ (ГИБЕЛЬЮ) ДОБРОВОЛЬЦА (ВОЛОНТЕРА) И ВРЕДОМ ЖИЗНИ</w:t>
      </w:r>
    </w:p>
    <w:p>
      <w:pPr>
        <w:pStyle w:val="2"/>
        <w:jc w:val="center"/>
      </w:pPr>
      <w:r>
        <w:rPr>
          <w:sz w:val="20"/>
        </w:rPr>
        <w:t xml:space="preserve">ИЛИ ЗДОРОВЬЮ ДОБРОВОЛЬЦА (ВОЛОНТЕРА), ПОЛУЧЕННЫМ</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w:t>
      </w:r>
    </w:p>
    <w:p>
      <w:pPr>
        <w:pStyle w:val="2"/>
        <w:jc w:val="center"/>
      </w:pPr>
      <w:r>
        <w:rPr>
          <w:sz w:val="20"/>
        </w:rPr>
        <w:t xml:space="preserve">ИЛИ ЗДОРОВЬЮ ДОБРОВОЛЬЦА (ВОЛОНТЕРА), ПОЛУЧЕННОГО</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w:t>
      </w:r>
    </w:p>
    <w:p>
      <w:pPr>
        <w:pStyle w:val="2"/>
        <w:jc w:val="center"/>
      </w:pPr>
      <w:r>
        <w:rPr>
          <w:sz w:val="20"/>
        </w:rPr>
        <w:t xml:space="preserve">НА ТЕРРИТОРИИ НИЖЕГОРОДСКОЙ ОБЛАСТИ</w:t>
      </w:r>
    </w:p>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Настоящее Положение определяет компетенцию и порядок работы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Нижегородской области (далее соответственно - комиссия, причинно-следственная связь).</w:t>
      </w:r>
    </w:p>
    <w:p>
      <w:pPr>
        <w:pStyle w:val="0"/>
        <w:spacing w:before="200" w:line-rule="auto"/>
        <w:ind w:firstLine="540"/>
        <w:jc w:val="both"/>
      </w:pPr>
      <w:r>
        <w:rPr>
          <w:sz w:val="20"/>
        </w:rPr>
        <w:t xml:space="preserve">1.2. В своей деятельности комиссия руководствуется </w:t>
      </w:r>
      <w:hyperlink w:history="0" r:id="rId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w:history="0" r:id="rId9" w:tooltip="&quot;Устав Нижегородской области&quot; от 30.12.2005 N 219-З (принят постановлением ЗС НО от 22.12.2005 N 1809-III) (ред. от 31.07.2024) {КонсультантПлюс}">
        <w:r>
          <w:rPr>
            <w:sz w:val="20"/>
            <w:color w:val="0000ff"/>
          </w:rPr>
          <w:t xml:space="preserve">Уставом</w:t>
        </w:r>
      </w:hyperlink>
      <w:r>
        <w:rPr>
          <w:sz w:val="20"/>
        </w:rPr>
        <w:t xml:space="preserve"> Нижегородской области, законами Нижегородской области, указами и распоряжениями Губернатора Нижегородской области, постановлениями и распоряжениями Правительства Нижегородской области, а также настоящим Положением.</w:t>
      </w:r>
    </w:p>
    <w:p>
      <w:pPr>
        <w:pStyle w:val="0"/>
        <w:spacing w:before="200" w:line-rule="auto"/>
        <w:ind w:firstLine="540"/>
        <w:jc w:val="both"/>
      </w:pPr>
      <w:r>
        <w:rPr>
          <w:sz w:val="20"/>
        </w:rPr>
        <w:t xml:space="preserve">1.3. Местом проведения заседаний комиссии является Нижегородская область, г. Нижний Новгород, Нижегородский Кремль, корпус 1.</w:t>
      </w:r>
    </w:p>
    <w:p>
      <w:pPr>
        <w:pStyle w:val="0"/>
        <w:spacing w:before="200" w:line-rule="auto"/>
        <w:ind w:firstLine="540"/>
        <w:jc w:val="both"/>
      </w:pPr>
      <w:r>
        <w:rPr>
          <w:sz w:val="20"/>
        </w:rPr>
        <w:t xml:space="preserve">1.4. Комиссия осуществляет свою деятельность во взаимодействии с федеральными органами исполнительной власти, федеральными государственными органами, органами государственной власти Нижегородской области, органами местного самоуправления муниципальных образований Нижегородской области, иными организациями (далее - органы и организации).</w:t>
      </w:r>
    </w:p>
    <w:p>
      <w:pPr>
        <w:pStyle w:val="0"/>
        <w:spacing w:before="200" w:line-rule="auto"/>
        <w:ind w:firstLine="540"/>
        <w:jc w:val="both"/>
      </w:pPr>
      <w:r>
        <w:rPr>
          <w:sz w:val="20"/>
        </w:rPr>
        <w:t xml:space="preserve">1.5. Организационное, правовое и материально-техническое обеспечение деятельности комиссии осуществляет министерство молодежной политики Нижегородской области.</w:t>
      </w:r>
    </w:p>
    <w:p>
      <w:pPr>
        <w:pStyle w:val="0"/>
        <w:ind w:firstLine="540"/>
        <w:jc w:val="both"/>
      </w:pPr>
      <w:r>
        <w:rPr>
          <w:sz w:val="20"/>
        </w:rPr>
      </w:r>
    </w:p>
    <w:p>
      <w:pPr>
        <w:pStyle w:val="2"/>
        <w:outlineLvl w:val="1"/>
        <w:jc w:val="center"/>
      </w:pPr>
      <w:r>
        <w:rPr>
          <w:sz w:val="20"/>
        </w:rPr>
        <w:t xml:space="preserve">2. Задачи и функции комиссии</w:t>
      </w:r>
    </w:p>
    <w:p>
      <w:pPr>
        <w:pStyle w:val="0"/>
        <w:ind w:firstLine="540"/>
        <w:jc w:val="both"/>
      </w:pPr>
      <w:r>
        <w:rPr>
          <w:sz w:val="20"/>
        </w:rPr>
      </w:r>
    </w:p>
    <w:p>
      <w:pPr>
        <w:pStyle w:val="0"/>
        <w:ind w:firstLine="540"/>
        <w:jc w:val="both"/>
      </w:pPr>
      <w:r>
        <w:rPr>
          <w:sz w:val="20"/>
        </w:rPr>
        <w:t xml:space="preserve">2.1. Задачей комиссии является установление причинно-следственной связи.</w:t>
      </w:r>
    </w:p>
    <w:p>
      <w:pPr>
        <w:pStyle w:val="0"/>
        <w:spacing w:before="200" w:line-rule="auto"/>
        <w:ind w:firstLine="540"/>
        <w:jc w:val="both"/>
      </w:pPr>
      <w:r>
        <w:rPr>
          <w:sz w:val="20"/>
        </w:rPr>
        <w:t xml:space="preserve">2.2. Комиссия в соответствии с возложенной на нее задачей осуществляет следующие функции:</w:t>
      </w:r>
    </w:p>
    <w:p>
      <w:pPr>
        <w:pStyle w:val="0"/>
        <w:spacing w:before="200" w:line-rule="auto"/>
        <w:ind w:firstLine="540"/>
        <w:jc w:val="both"/>
      </w:pPr>
      <w:r>
        <w:rPr>
          <w:sz w:val="20"/>
        </w:rPr>
        <w:t xml:space="preserve">1) рассмотрение ходатайств об установлении причинно-следственной связи и документов в порядке, установленном </w:t>
      </w:r>
      <w:hyperlink w:history="0" r:id="rId10"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КонсультантПлюс}">
        <w:r>
          <w:rPr>
            <w:sz w:val="20"/>
            <w:color w:val="0000ff"/>
          </w:rPr>
          <w:t xml:space="preserve">Правилами</w:t>
        </w:r>
      </w:hyperlink>
      <w:r>
        <w:rPr>
          <w:sz w:val="20"/>
        </w:rPr>
        <w:t xml:space="preserve"> установления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утвержденными постановлением Правительства Российской Федерации от 7 марта 2023 г. N 356 (далее - Правила), направленных для рассмотрения в комиссию Федеральным агентством по делам молодежи;</w:t>
      </w:r>
    </w:p>
    <w:p>
      <w:pPr>
        <w:pStyle w:val="0"/>
        <w:spacing w:before="200" w:line-rule="auto"/>
        <w:ind w:firstLine="540"/>
        <w:jc w:val="both"/>
      </w:pPr>
      <w:r>
        <w:rPr>
          <w:sz w:val="20"/>
        </w:rPr>
        <w:t xml:space="preserve">2) подготовка </w:t>
      </w:r>
      <w:hyperlink w:history="0" r:id="rId11"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КонсультантПлюс}">
        <w:r>
          <w:rPr>
            <w:sz w:val="20"/>
            <w:color w:val="0000ff"/>
          </w:rPr>
          <w:t xml:space="preserve">заключений</w:t>
        </w:r>
      </w:hyperlink>
      <w:r>
        <w:rPr>
          <w:sz w:val="20"/>
        </w:rPr>
        <w:t xml:space="preserve"> комиссии по форме, установленной приложением 2 к Правилам.</w:t>
      </w:r>
    </w:p>
    <w:p>
      <w:pPr>
        <w:pStyle w:val="0"/>
        <w:ind w:firstLine="540"/>
        <w:jc w:val="both"/>
      </w:pPr>
      <w:r>
        <w:rPr>
          <w:sz w:val="20"/>
        </w:rPr>
      </w:r>
    </w:p>
    <w:p>
      <w:pPr>
        <w:pStyle w:val="2"/>
        <w:outlineLvl w:val="1"/>
        <w:jc w:val="center"/>
      </w:pPr>
      <w:r>
        <w:rPr>
          <w:sz w:val="20"/>
        </w:rPr>
        <w:t xml:space="preserve">3. Права комиссии</w:t>
      </w:r>
    </w:p>
    <w:p>
      <w:pPr>
        <w:pStyle w:val="0"/>
        <w:ind w:firstLine="540"/>
        <w:jc w:val="both"/>
      </w:pPr>
      <w:r>
        <w:rPr>
          <w:sz w:val="20"/>
        </w:rPr>
      </w:r>
    </w:p>
    <w:p>
      <w:pPr>
        <w:pStyle w:val="0"/>
        <w:ind w:firstLine="540"/>
        <w:jc w:val="both"/>
      </w:pPr>
      <w:r>
        <w:rPr>
          <w:sz w:val="20"/>
        </w:rPr>
        <w:t xml:space="preserve">3.1. Комиссия для решения возложенных на нее задач имеет право:</w:t>
      </w:r>
    </w:p>
    <w:p>
      <w:pPr>
        <w:pStyle w:val="0"/>
        <w:spacing w:before="200" w:line-rule="auto"/>
        <w:ind w:firstLine="540"/>
        <w:jc w:val="both"/>
      </w:pPr>
      <w:r>
        <w:rPr>
          <w:sz w:val="20"/>
        </w:rPr>
        <w:t xml:space="preserve">1) запрашивать и получать необходимые материалы и информацию от органов и организаций путем направления запросов;</w:t>
      </w:r>
    </w:p>
    <w:p>
      <w:pPr>
        <w:pStyle w:val="0"/>
        <w:spacing w:before="200" w:line-rule="auto"/>
        <w:ind w:firstLine="540"/>
        <w:jc w:val="both"/>
      </w:pPr>
      <w:r>
        <w:rPr>
          <w:sz w:val="20"/>
        </w:rPr>
        <w:t xml:space="preserve">2) пользоваться государственными информационными системами в случаях и порядке, которые предусмотрены законодательством Российской Федерации;</w:t>
      </w:r>
    </w:p>
    <w:p>
      <w:pPr>
        <w:pStyle w:val="0"/>
        <w:spacing w:before="200" w:line-rule="auto"/>
        <w:ind w:firstLine="540"/>
        <w:jc w:val="both"/>
      </w:pPr>
      <w:r>
        <w:rPr>
          <w:sz w:val="20"/>
        </w:rPr>
        <w:t xml:space="preserve">3) приглашать для участия в работе должностных лиц и специалистов (экспертов) органов и организаций, не входящих в состав комиссии.</w:t>
      </w:r>
    </w:p>
    <w:p>
      <w:pPr>
        <w:pStyle w:val="0"/>
        <w:ind w:firstLine="540"/>
        <w:jc w:val="both"/>
      </w:pPr>
      <w:r>
        <w:rPr>
          <w:sz w:val="20"/>
        </w:rPr>
      </w:r>
    </w:p>
    <w:p>
      <w:pPr>
        <w:pStyle w:val="2"/>
        <w:outlineLvl w:val="1"/>
        <w:jc w:val="center"/>
      </w:pPr>
      <w:r>
        <w:rPr>
          <w:sz w:val="20"/>
        </w:rPr>
        <w:t xml:space="preserve">4. Состав комиссии</w:t>
      </w:r>
    </w:p>
    <w:p>
      <w:pPr>
        <w:pStyle w:val="0"/>
        <w:ind w:firstLine="540"/>
        <w:jc w:val="both"/>
      </w:pPr>
      <w:r>
        <w:rPr>
          <w:sz w:val="20"/>
        </w:rPr>
      </w:r>
    </w:p>
    <w:p>
      <w:pPr>
        <w:pStyle w:val="0"/>
        <w:ind w:firstLine="540"/>
        <w:jc w:val="both"/>
      </w:pPr>
      <w:r>
        <w:rPr>
          <w:sz w:val="20"/>
        </w:rPr>
        <w:t xml:space="preserve">4.1. Комиссия состоит из председателя комиссии, заместителя председателя комиссии, ответственного секретаря комиссии и членов комиссии.</w:t>
      </w:r>
    </w:p>
    <w:p>
      <w:pPr>
        <w:pStyle w:val="0"/>
        <w:spacing w:before="200" w:line-rule="auto"/>
        <w:ind w:firstLine="540"/>
        <w:jc w:val="both"/>
      </w:pPr>
      <w:r>
        <w:rPr>
          <w:sz w:val="20"/>
        </w:rPr>
        <w:t xml:space="preserve">4.2. В состав комиссии должно входить нечетное количество членов (не менее 7 человек).</w:t>
      </w:r>
    </w:p>
    <w:p>
      <w:pPr>
        <w:pStyle w:val="0"/>
        <w:spacing w:before="200" w:line-rule="auto"/>
        <w:ind w:firstLine="540"/>
        <w:jc w:val="both"/>
      </w:pPr>
      <w:r>
        <w:rPr>
          <w:sz w:val="20"/>
        </w:rPr>
        <w:t xml:space="preserve">4.3. Председатель комиссии:</w:t>
      </w:r>
    </w:p>
    <w:p>
      <w:pPr>
        <w:pStyle w:val="0"/>
        <w:spacing w:before="200" w:line-rule="auto"/>
        <w:ind w:firstLine="540"/>
        <w:jc w:val="both"/>
      </w:pPr>
      <w:r>
        <w:rPr>
          <w:sz w:val="20"/>
        </w:rPr>
        <w:t xml:space="preserve">1) осуществляет общее руководство деятельностью комиссии;</w:t>
      </w:r>
    </w:p>
    <w:p>
      <w:pPr>
        <w:pStyle w:val="0"/>
        <w:spacing w:before="200" w:line-rule="auto"/>
        <w:ind w:firstLine="540"/>
        <w:jc w:val="both"/>
      </w:pPr>
      <w:r>
        <w:rPr>
          <w:sz w:val="20"/>
        </w:rPr>
        <w:t xml:space="preserve">2) организует работу комиссии;</w:t>
      </w:r>
    </w:p>
    <w:p>
      <w:pPr>
        <w:pStyle w:val="0"/>
        <w:spacing w:before="200" w:line-rule="auto"/>
        <w:ind w:firstLine="540"/>
        <w:jc w:val="both"/>
      </w:pPr>
      <w:r>
        <w:rPr>
          <w:sz w:val="20"/>
        </w:rPr>
        <w:t xml:space="preserve">3) принимает решение о созыве заседания комиссии;</w:t>
      </w:r>
    </w:p>
    <w:p>
      <w:pPr>
        <w:pStyle w:val="0"/>
        <w:spacing w:before="200" w:line-rule="auto"/>
        <w:ind w:firstLine="540"/>
        <w:jc w:val="both"/>
      </w:pPr>
      <w:r>
        <w:rPr>
          <w:sz w:val="20"/>
        </w:rPr>
        <w:t xml:space="preserve">4) председательствует на заседаниях комиссии;</w:t>
      </w:r>
    </w:p>
    <w:p>
      <w:pPr>
        <w:pStyle w:val="0"/>
        <w:spacing w:before="200" w:line-rule="auto"/>
        <w:ind w:firstLine="540"/>
        <w:jc w:val="both"/>
      </w:pPr>
      <w:r>
        <w:rPr>
          <w:sz w:val="20"/>
        </w:rPr>
        <w:t xml:space="preserve">5) утверждает повестку заседания комиссии;</w:t>
      </w:r>
    </w:p>
    <w:p>
      <w:pPr>
        <w:pStyle w:val="0"/>
        <w:spacing w:before="200" w:line-rule="auto"/>
        <w:ind w:firstLine="540"/>
        <w:jc w:val="both"/>
      </w:pPr>
      <w:r>
        <w:rPr>
          <w:sz w:val="20"/>
        </w:rPr>
        <w:t xml:space="preserve">6) определяет дату и время проведения заседания комиссии;</w:t>
      </w:r>
    </w:p>
    <w:p>
      <w:pPr>
        <w:pStyle w:val="0"/>
        <w:spacing w:before="200" w:line-rule="auto"/>
        <w:ind w:firstLine="540"/>
        <w:jc w:val="both"/>
      </w:pPr>
      <w:r>
        <w:rPr>
          <w:sz w:val="20"/>
        </w:rPr>
        <w:t xml:space="preserve">7) дает поручения заместителю председателя комиссии, секретарю комиссии, членам комиссии и контролирует их исполнение;</w:t>
      </w:r>
    </w:p>
    <w:p>
      <w:pPr>
        <w:pStyle w:val="0"/>
        <w:spacing w:before="200" w:line-rule="auto"/>
        <w:ind w:firstLine="540"/>
        <w:jc w:val="both"/>
      </w:pPr>
      <w:r>
        <w:rPr>
          <w:sz w:val="20"/>
        </w:rPr>
        <w:t xml:space="preserve">8) подписывает запросы комиссии о предоставлении необходимых материалов и информации;</w:t>
      </w:r>
    </w:p>
    <w:p>
      <w:pPr>
        <w:pStyle w:val="0"/>
        <w:spacing w:before="200" w:line-rule="auto"/>
        <w:ind w:firstLine="540"/>
        <w:jc w:val="both"/>
      </w:pPr>
      <w:r>
        <w:rPr>
          <w:sz w:val="20"/>
        </w:rPr>
        <w:t xml:space="preserve">9) подписывает протокол заседания комиссии и заключение комиссии.</w:t>
      </w:r>
    </w:p>
    <w:p>
      <w:pPr>
        <w:pStyle w:val="0"/>
        <w:spacing w:before="200" w:line-rule="auto"/>
        <w:ind w:firstLine="540"/>
        <w:jc w:val="both"/>
      </w:pPr>
      <w:r>
        <w:rPr>
          <w:sz w:val="20"/>
        </w:rPr>
        <w:t xml:space="preserve">4.4. В период временного отсутствия председателя комиссии его полномочия исполняет заместитель председателя комиссии.</w:t>
      </w:r>
    </w:p>
    <w:p>
      <w:pPr>
        <w:pStyle w:val="0"/>
        <w:spacing w:before="200" w:line-rule="auto"/>
        <w:ind w:firstLine="540"/>
        <w:jc w:val="both"/>
      </w:pPr>
      <w:r>
        <w:rPr>
          <w:sz w:val="20"/>
        </w:rPr>
        <w:t xml:space="preserve">4.5. Ответственный секретарь комиссии:</w:t>
      </w:r>
    </w:p>
    <w:p>
      <w:pPr>
        <w:pStyle w:val="0"/>
        <w:spacing w:before="200" w:line-rule="auto"/>
        <w:ind w:firstLine="540"/>
        <w:jc w:val="both"/>
      </w:pPr>
      <w:r>
        <w:rPr>
          <w:sz w:val="20"/>
        </w:rPr>
        <w:t xml:space="preserve">1) формирует проект повестки заседания комиссии, обеспечивает подготовку необходимых материалов к заседанию комиссии, формирует проект решения комиссии, протокол комиссии;</w:t>
      </w:r>
    </w:p>
    <w:p>
      <w:pPr>
        <w:pStyle w:val="0"/>
        <w:spacing w:before="200" w:line-rule="auto"/>
        <w:ind w:firstLine="540"/>
        <w:jc w:val="both"/>
      </w:pPr>
      <w:r>
        <w:rPr>
          <w:sz w:val="20"/>
        </w:rPr>
        <w:t xml:space="preserve">2) информирует членов комиссии и иных приглашенных на заседание комиссии лиц о дате, времени, месте проведения и повестке заседания комиссии, обеспечивает их необходимыми материалами;</w:t>
      </w:r>
    </w:p>
    <w:p>
      <w:pPr>
        <w:pStyle w:val="0"/>
        <w:spacing w:before="200" w:line-rule="auto"/>
        <w:ind w:firstLine="540"/>
        <w:jc w:val="both"/>
      </w:pPr>
      <w:r>
        <w:rPr>
          <w:sz w:val="20"/>
        </w:rPr>
        <w:t xml:space="preserve">3) оформляет, подписывает и обеспечивает подписание протокола комиссии, оформляет и обеспечивает подписание заключения комиссии;</w:t>
      </w:r>
    </w:p>
    <w:p>
      <w:pPr>
        <w:pStyle w:val="0"/>
        <w:spacing w:before="200" w:line-rule="auto"/>
        <w:ind w:firstLine="540"/>
        <w:jc w:val="both"/>
      </w:pPr>
      <w:r>
        <w:rPr>
          <w:sz w:val="20"/>
        </w:rPr>
        <w:t xml:space="preserve">4) организует выполнение поручений председателя комиссии;</w:t>
      </w:r>
    </w:p>
    <w:p>
      <w:pPr>
        <w:pStyle w:val="0"/>
        <w:spacing w:before="200" w:line-rule="auto"/>
        <w:ind w:firstLine="540"/>
        <w:jc w:val="both"/>
      </w:pPr>
      <w:r>
        <w:rPr>
          <w:sz w:val="20"/>
        </w:rPr>
        <w:t xml:space="preserve">5) осуществляет контроль за исполнением решений, принятых на заседании комиссии;</w:t>
      </w:r>
    </w:p>
    <w:p>
      <w:pPr>
        <w:pStyle w:val="0"/>
        <w:spacing w:before="200" w:line-rule="auto"/>
        <w:ind w:firstLine="540"/>
        <w:jc w:val="both"/>
      </w:pPr>
      <w:r>
        <w:rPr>
          <w:sz w:val="20"/>
        </w:rPr>
        <w:t xml:space="preserve">6) обеспечивает направление подписанного протокола комиссии и заключения комиссии в Федеральное агентство по делам молодежи.</w:t>
      </w:r>
    </w:p>
    <w:p>
      <w:pPr>
        <w:pStyle w:val="0"/>
        <w:spacing w:before="200" w:line-rule="auto"/>
        <w:ind w:firstLine="540"/>
        <w:jc w:val="both"/>
      </w:pPr>
      <w:r>
        <w:rPr>
          <w:sz w:val="20"/>
        </w:rPr>
        <w:t xml:space="preserve">Ответственный секретарь комиссии является членом комиссии.</w:t>
      </w:r>
    </w:p>
    <w:p>
      <w:pPr>
        <w:pStyle w:val="0"/>
        <w:spacing w:before="200" w:line-rule="auto"/>
        <w:ind w:firstLine="540"/>
        <w:jc w:val="both"/>
      </w:pPr>
      <w:r>
        <w:rPr>
          <w:sz w:val="20"/>
        </w:rPr>
        <w:t xml:space="preserve">4.6. Члены комиссии:</w:t>
      </w:r>
    </w:p>
    <w:p>
      <w:pPr>
        <w:pStyle w:val="0"/>
        <w:spacing w:before="200" w:line-rule="auto"/>
        <w:ind w:firstLine="540"/>
        <w:jc w:val="both"/>
      </w:pPr>
      <w:r>
        <w:rPr>
          <w:sz w:val="20"/>
        </w:rPr>
        <w:t xml:space="preserve">1) участвуют в заседании комиссии;</w:t>
      </w:r>
    </w:p>
    <w:p>
      <w:pPr>
        <w:pStyle w:val="0"/>
        <w:spacing w:before="200" w:line-rule="auto"/>
        <w:ind w:firstLine="540"/>
        <w:jc w:val="both"/>
      </w:pPr>
      <w:r>
        <w:rPr>
          <w:sz w:val="20"/>
        </w:rPr>
        <w:t xml:space="preserve">2) участвуют в обсуждении вопросов, вынесенных на заседание комиссии;</w:t>
      </w:r>
    </w:p>
    <w:p>
      <w:pPr>
        <w:pStyle w:val="0"/>
        <w:spacing w:before="200" w:line-rule="auto"/>
        <w:ind w:firstLine="540"/>
        <w:jc w:val="both"/>
      </w:pPr>
      <w:r>
        <w:rPr>
          <w:sz w:val="20"/>
        </w:rPr>
        <w:t xml:space="preserve">3) рассматривают материалы, представленные на заседание комиссии;</w:t>
      </w:r>
    </w:p>
    <w:p>
      <w:pPr>
        <w:pStyle w:val="0"/>
        <w:spacing w:before="200" w:line-rule="auto"/>
        <w:ind w:firstLine="540"/>
        <w:jc w:val="both"/>
      </w:pPr>
      <w:r>
        <w:rPr>
          <w:sz w:val="20"/>
        </w:rPr>
        <w:t xml:space="preserve">4) принимают решения по результатам рассмотрения материалов, представленных на заседание комиссии;</w:t>
      </w:r>
    </w:p>
    <w:p>
      <w:pPr>
        <w:pStyle w:val="0"/>
        <w:spacing w:before="200" w:line-rule="auto"/>
        <w:ind w:firstLine="540"/>
        <w:jc w:val="both"/>
      </w:pPr>
      <w:r>
        <w:rPr>
          <w:sz w:val="20"/>
        </w:rPr>
        <w:t xml:space="preserve">5) подписывают протокол комиссии.</w:t>
      </w:r>
    </w:p>
    <w:p>
      <w:pPr>
        <w:pStyle w:val="0"/>
        <w:spacing w:before="200" w:line-rule="auto"/>
        <w:ind w:firstLine="540"/>
        <w:jc w:val="both"/>
      </w:pPr>
      <w:r>
        <w:rPr>
          <w:sz w:val="20"/>
        </w:rPr>
        <w:t xml:space="preserve">Члены комиссии осуществляют свою деятельность на безвозмездной основе, обладают равными правами при обсуждении рассматриваемых на заседании вопросов и не вправе разглашать сведения, ставшие им известными в ходе работы комиссии.</w:t>
      </w:r>
    </w:p>
    <w:p>
      <w:pPr>
        <w:pStyle w:val="0"/>
        <w:ind w:firstLine="540"/>
        <w:jc w:val="both"/>
      </w:pPr>
      <w:r>
        <w:rPr>
          <w:sz w:val="20"/>
        </w:rPr>
      </w:r>
    </w:p>
    <w:p>
      <w:pPr>
        <w:pStyle w:val="2"/>
        <w:outlineLvl w:val="1"/>
        <w:jc w:val="center"/>
      </w:pPr>
      <w:r>
        <w:rPr>
          <w:sz w:val="20"/>
        </w:rPr>
        <w:t xml:space="preserve">5. Регламент деятельности комиссии</w:t>
      </w:r>
    </w:p>
    <w:p>
      <w:pPr>
        <w:pStyle w:val="0"/>
        <w:ind w:firstLine="540"/>
        <w:jc w:val="both"/>
      </w:pPr>
      <w:r>
        <w:rPr>
          <w:sz w:val="20"/>
        </w:rPr>
      </w:r>
    </w:p>
    <w:p>
      <w:pPr>
        <w:pStyle w:val="0"/>
        <w:ind w:firstLine="540"/>
        <w:jc w:val="both"/>
      </w:pPr>
      <w:r>
        <w:rPr>
          <w:sz w:val="20"/>
        </w:rPr>
        <w:t xml:space="preserve">5.1. Заседания комиссии проводятся в течение 10 календарных дней с даты поступления ходатайства от Федерального агентства по делам молодежи.</w:t>
      </w:r>
    </w:p>
    <w:p>
      <w:pPr>
        <w:pStyle w:val="0"/>
        <w:spacing w:before="200" w:line-rule="auto"/>
        <w:ind w:firstLine="540"/>
        <w:jc w:val="both"/>
      </w:pPr>
      <w:r>
        <w:rPr>
          <w:sz w:val="20"/>
        </w:rPr>
        <w:t xml:space="preserve">5.2. Заседание комиссии считается правомочным, если на нем присутствуют не менее половины ее членов с учетом представленного письменного мнения отсутствующих членов комиссии.</w:t>
      </w:r>
    </w:p>
    <w:p>
      <w:pPr>
        <w:pStyle w:val="0"/>
        <w:spacing w:before="200" w:line-rule="auto"/>
        <w:ind w:firstLine="540"/>
        <w:jc w:val="both"/>
      </w:pPr>
      <w:r>
        <w:rPr>
          <w:sz w:val="20"/>
        </w:rPr>
        <w:t xml:space="preserve">5.3. Решения комиссии принимаются простым большинством голосов от числа присутствующих на заседании комиссии членов комиссии путем открытого голосования с учетом представленного письменного мнения отсутствующих членов комиссии.</w:t>
      </w:r>
    </w:p>
    <w:p>
      <w:pPr>
        <w:pStyle w:val="0"/>
        <w:spacing w:before="200" w:line-rule="auto"/>
        <w:ind w:firstLine="540"/>
        <w:jc w:val="both"/>
      </w:pPr>
      <w:r>
        <w:rPr>
          <w:sz w:val="20"/>
        </w:rPr>
        <w:t xml:space="preserve">5.4. При равенстве голосов решающим является голос председательствующего на заседании комиссии.</w:t>
      </w:r>
    </w:p>
    <w:p>
      <w:pPr>
        <w:pStyle w:val="0"/>
        <w:spacing w:before="200" w:line-rule="auto"/>
        <w:ind w:firstLine="540"/>
        <w:jc w:val="both"/>
      </w:pPr>
      <w:r>
        <w:rPr>
          <w:sz w:val="20"/>
        </w:rPr>
        <w:t xml:space="preserve">5.5. Решения комиссии оформляются:</w:t>
      </w:r>
    </w:p>
    <w:p>
      <w:pPr>
        <w:pStyle w:val="0"/>
        <w:spacing w:before="200" w:line-rule="auto"/>
        <w:ind w:firstLine="540"/>
        <w:jc w:val="both"/>
      </w:pPr>
      <w:r>
        <w:rPr>
          <w:sz w:val="20"/>
        </w:rPr>
        <w:t xml:space="preserve">1) протоколом комиссии, содержащим принятые решения, который подписывается председательствующим на заседании комиссии, всеми членами комиссии, присутствующими на заседании;</w:t>
      </w:r>
    </w:p>
    <w:p>
      <w:pPr>
        <w:pStyle w:val="0"/>
        <w:spacing w:before="200" w:line-rule="auto"/>
        <w:ind w:firstLine="540"/>
        <w:jc w:val="both"/>
      </w:pPr>
      <w:r>
        <w:rPr>
          <w:sz w:val="20"/>
        </w:rPr>
        <w:t xml:space="preserve">2) заключением комиссии, которое подписывается председательствующим на заседании комиссии.</w:t>
      </w:r>
    </w:p>
    <w:p>
      <w:pPr>
        <w:pStyle w:val="0"/>
        <w:spacing w:before="200" w:line-rule="auto"/>
        <w:ind w:firstLine="540"/>
        <w:jc w:val="both"/>
      </w:pPr>
      <w:r>
        <w:rPr>
          <w:sz w:val="20"/>
        </w:rPr>
        <w:t xml:space="preserve">5.6. Подписанное заключение направляется ответственным секретарем комиссии в адрес Федерального агентства по делам молодежи не позднее третьего рабочего дня с даты проведения заседания комиссии, на котором рассматривались соответствующие ходатайство и документы.</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Нижегородской области от 10.12.2024 N 242</w:t>
            <w:br/>
            <w:t>"О создании комиссии по установлению причинно-следственной св...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45336" TargetMode = "External"/>
	<Relationship Id="rId8" Type="http://schemas.openxmlformats.org/officeDocument/2006/relationships/hyperlink" Target="https://login.consultant.ru/link/?req=doc&amp;base=LAW&amp;n=2875" TargetMode = "External"/>
	<Relationship Id="rId9" Type="http://schemas.openxmlformats.org/officeDocument/2006/relationships/hyperlink" Target="https://login.consultant.ru/link/?req=doc&amp;base=RLAW187&amp;n=299037" TargetMode = "External"/>
	<Relationship Id="rId10" Type="http://schemas.openxmlformats.org/officeDocument/2006/relationships/hyperlink" Target="https://login.consultant.ru/link/?req=doc&amp;base=LAW&amp;n=445336&amp;dst=100066" TargetMode = "External"/>
	<Relationship Id="rId11" Type="http://schemas.openxmlformats.org/officeDocument/2006/relationships/hyperlink" Target="https://login.consultant.ru/link/?req=doc&amp;base=LAW&amp;n=445336&amp;dst=10009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Нижегородской области от 10.12.2024 N 242
"О создании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dc:title>
  <dcterms:created xsi:type="dcterms:W3CDTF">2025-01-08T09:38:01Z</dcterms:created>
</cp:coreProperties>
</file>