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культуры Новгородской области от 07.03.2023 N 1</w:t>
              <w:br/>
              <w:t xml:space="preserve">"Об утверждении Порядка предоставления субсидий социально ориентированным некоммерческим организациям на выполнение работ по подготовке информационно-аналитических материалов"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марта 2023 г. N 1</w:t>
      </w:r>
    </w:p>
    <w:p>
      <w:pPr>
        <w:pStyle w:val="2"/>
        <w:jc w:val="center"/>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НА ВЫПОЛНЕНИЕ</w:t>
      </w:r>
    </w:p>
    <w:p>
      <w:pPr>
        <w:pStyle w:val="2"/>
        <w:jc w:val="center"/>
      </w:pPr>
      <w:r>
        <w:rPr>
          <w:sz w:val="20"/>
        </w:rPr>
        <w:t xml:space="preserve">РАБОТ ПО ПОДГОТОВКЕ ИНФОРМАЦИОННО-АНАЛИТИЧЕСКИХ МАТЕРИАЛОВ</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78</w:t>
        </w:r>
      </w:hyperlink>
      <w:r>
        <w:rPr>
          <w:sz w:val="20"/>
        </w:rPr>
        <w:t xml:space="preserve">,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78.1</w:t>
        </w:r>
      </w:hyperlink>
      <w:r>
        <w:rPr>
          <w:sz w:val="20"/>
        </w:rPr>
        <w:t xml:space="preserve"> Бюджетного кодекса Российской Федерации, </w:t>
      </w:r>
      <w:hyperlink w:history="0" r:id="rId9" w:tooltip="Постановление Правительства Новгородской области от 12.07.2019 N 271 (ред. от 17.11.2022) &quot;О государственной программе Новгородской области &quot;Развитие культуры и архивного дела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12.07.2019 N 271 "О государственной программе Новгородской области "Развитие культуры и архивного дела Новгородской области на 2019 - 2024 годы" министерство культуры Новгородской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28"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на выполнение работ по подготовке информационно-аналитических материалов.</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Министр культуры</w:t>
      </w:r>
    </w:p>
    <w:p>
      <w:pPr>
        <w:pStyle w:val="0"/>
        <w:jc w:val="right"/>
      </w:pPr>
      <w:r>
        <w:rPr>
          <w:sz w:val="20"/>
        </w:rPr>
        <w:t xml:space="preserve">Новгородской области</w:t>
      </w:r>
    </w:p>
    <w:p>
      <w:pPr>
        <w:pStyle w:val="0"/>
        <w:jc w:val="right"/>
      </w:pPr>
      <w:r>
        <w:rPr>
          <w:sz w:val="20"/>
        </w:rPr>
        <w:t xml:space="preserve">И.И.ПЕТРОВА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культуры</w:t>
      </w:r>
    </w:p>
    <w:p>
      <w:pPr>
        <w:pStyle w:val="0"/>
        <w:jc w:val="right"/>
      </w:pPr>
      <w:r>
        <w:rPr>
          <w:sz w:val="20"/>
        </w:rPr>
        <w:t xml:space="preserve">Новгородской области</w:t>
      </w:r>
    </w:p>
    <w:p>
      <w:pPr>
        <w:pStyle w:val="0"/>
        <w:jc w:val="right"/>
      </w:pPr>
      <w:r>
        <w:rPr>
          <w:sz w:val="20"/>
        </w:rPr>
        <w:t xml:space="preserve">от 07.03.2023 N 1</w:t>
      </w:r>
    </w:p>
    <w:p>
      <w:pPr>
        <w:pStyle w:val="0"/>
        <w:jc w:val="both"/>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НА ВЫПОЛНЕНИЕ РАБОТ</w:t>
      </w:r>
    </w:p>
    <w:p>
      <w:pPr>
        <w:pStyle w:val="2"/>
        <w:jc w:val="center"/>
      </w:pPr>
      <w:r>
        <w:rPr>
          <w:sz w:val="20"/>
        </w:rPr>
        <w:t xml:space="preserve">ПО ПОДГОТОВКЕ ИНФОРМАЦИОННО-АНАЛИТИЧЕСКИХ МАТЕРИАЛОВ</w:t>
      </w:r>
    </w:p>
    <w:p>
      <w:pPr>
        <w:pStyle w:val="0"/>
        <w:jc w:val="both"/>
      </w:pPr>
      <w:r>
        <w:rPr>
          <w:sz w:val="20"/>
        </w:rPr>
      </w:r>
    </w:p>
    <w:bookmarkStart w:id="33" w:name="P33"/>
    <w:bookmarkEnd w:id="33"/>
    <w:p>
      <w:pPr>
        <w:pStyle w:val="0"/>
        <w:ind w:firstLine="540"/>
        <w:jc w:val="both"/>
      </w:pPr>
      <w:r>
        <w:rPr>
          <w:sz w:val="20"/>
        </w:rPr>
        <w:t xml:space="preserve">1. Настоящий Порядок определяет правила предоставления субсидий социально ориентированным некоммерческим организациям, не являющимся государственными (муниципальными) учреждениями (далее СОНКО), в целях выполнения работ по подготовке информационно-аналитических материалов (далее субсидия).</w:t>
      </w:r>
    </w:p>
    <w:p>
      <w:pPr>
        <w:pStyle w:val="0"/>
        <w:spacing w:before="200" w:line-rule="auto"/>
        <w:ind w:firstLine="540"/>
        <w:jc w:val="both"/>
      </w:pPr>
      <w:r>
        <w:rPr>
          <w:sz w:val="20"/>
        </w:rPr>
        <w:t xml:space="preserve">Субсидии предоставляются за счет средств областного бюджета в соответствии с </w:t>
      </w:r>
      <w:hyperlink w:history="0" r:id="rId10" w:tooltip="Постановление Правительства Новгородской области от 12.07.2019 N 271 (ред. от 17.11.2022) &quot;О государственной программе Новгородской области &quot;Развитие культуры и архивного дела Новгородской области на 2019 - 2024 годы&quot; {КонсультантПлюс}">
        <w:r>
          <w:rPr>
            <w:sz w:val="20"/>
            <w:color w:val="0000ff"/>
          </w:rPr>
          <w:t xml:space="preserve">мероприятиями</w:t>
        </w:r>
      </w:hyperlink>
      <w:r>
        <w:rPr>
          <w:sz w:val="20"/>
        </w:rPr>
        <w:t xml:space="preserve"> государственной программы Новгородской области "Развитие культуры и архивного дела Новгородской области на 2019 - 2024 годы", утвержденной постановлением Правительства Новгородской области от 12.07.2019 N 271 (далее государственная программа).</w:t>
      </w:r>
    </w:p>
    <w:bookmarkStart w:id="35" w:name="P35"/>
    <w:bookmarkEnd w:id="35"/>
    <w:p>
      <w:pPr>
        <w:pStyle w:val="0"/>
        <w:spacing w:before="200" w:line-rule="auto"/>
        <w:ind w:firstLine="540"/>
        <w:jc w:val="both"/>
      </w:pPr>
      <w:r>
        <w:rPr>
          <w:sz w:val="20"/>
        </w:rPr>
        <w:t xml:space="preserve">2. Министерство культуры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текущий финансовый год и на плановый период.</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 (в разделе единого портала) сведений о субсидиях не позднее 15-го рабочего дня, следующего за днем принятия закона об областном бюджете (закона о внесении изменений в закон об областном бюджете).</w:t>
      </w:r>
    </w:p>
    <w:bookmarkStart w:id="37" w:name="P37"/>
    <w:bookmarkEnd w:id="37"/>
    <w:p>
      <w:pPr>
        <w:pStyle w:val="0"/>
        <w:spacing w:before="200" w:line-rule="auto"/>
        <w:ind w:firstLine="540"/>
        <w:jc w:val="both"/>
      </w:pPr>
      <w:r>
        <w:rPr>
          <w:sz w:val="20"/>
        </w:rPr>
        <w:t xml:space="preserve">3. Субсидии предоставляются СОНКО, зарегистрированным в установленном Федеральным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порядке и осуществляющим на территории Новгородской области в соответствии с учредительными документами виды деятельности, предусмотренные </w:t>
      </w:r>
      <w:hyperlink w:history="0" r:id="rId1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3" w:tooltip="Областной закон Новгородской области от 31.01.2011 N 927-ОЗ (ред. от 28.06.2021) &quo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quot; (принят Постановлением Новгородской областной Думы от 26.01.2011 N 1705-ОД) {КонсультантПлюс}">
        <w:r>
          <w:rPr>
            <w:sz w:val="20"/>
            <w:color w:val="0000ff"/>
          </w:rPr>
          <w:t xml:space="preserve">статьей 5</w:t>
        </w:r>
      </w:hyperlink>
      <w:r>
        <w:rPr>
          <w:sz w:val="20"/>
        </w:rPr>
        <w:t xml:space="preserve"> областного закона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p>
    <w:bookmarkStart w:id="38" w:name="P38"/>
    <w:bookmarkEnd w:id="38"/>
    <w:p>
      <w:pPr>
        <w:pStyle w:val="0"/>
        <w:spacing w:before="200" w:line-rule="auto"/>
        <w:ind w:firstLine="540"/>
        <w:jc w:val="both"/>
      </w:pPr>
      <w:r>
        <w:rPr>
          <w:sz w:val="20"/>
        </w:rPr>
        <w:t xml:space="preserve">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w:t>
      </w:r>
    </w:p>
    <w:p>
      <w:pPr>
        <w:pStyle w:val="0"/>
        <w:spacing w:before="200" w:line-rule="auto"/>
        <w:ind w:firstLine="540"/>
        <w:jc w:val="both"/>
      </w:pPr>
      <w:r>
        <w:rPr>
          <w:sz w:val="20"/>
        </w:rPr>
        <w:t xml:space="preserve">"Жертвы политических репрессий Новгородской области";</w:t>
      </w:r>
    </w:p>
    <w:p>
      <w:pPr>
        <w:pStyle w:val="0"/>
        <w:spacing w:before="200" w:line-rule="auto"/>
        <w:ind w:firstLine="540"/>
        <w:jc w:val="both"/>
      </w:pPr>
      <w:r>
        <w:rPr>
          <w:sz w:val="20"/>
        </w:rPr>
        <w:t xml:space="preserve">"Факты, связанные с историей Новгорода XVIII - XX веков";</w:t>
      </w:r>
    </w:p>
    <w:p>
      <w:pPr>
        <w:pStyle w:val="0"/>
        <w:spacing w:before="200" w:line-rule="auto"/>
        <w:ind w:firstLine="540"/>
        <w:jc w:val="both"/>
      </w:pPr>
      <w:r>
        <w:rPr>
          <w:sz w:val="20"/>
        </w:rPr>
        <w:t xml:space="preserve">"Писатели и поэты Новгородской области".</w:t>
      </w:r>
    </w:p>
    <w:p>
      <w:pPr>
        <w:pStyle w:val="0"/>
        <w:spacing w:before="200" w:line-rule="auto"/>
        <w:ind w:firstLine="540"/>
        <w:jc w:val="both"/>
      </w:pPr>
      <w:r>
        <w:rPr>
          <w:sz w:val="20"/>
        </w:rPr>
        <w:t xml:space="preserve">Результатом предоставления субсидии является своевременное и в полном объеме (100 %) выполнение работ по подготовке информационно-аналитических материалов по темам, указанным в настоящем пункте, по состоянию на 31 декабря текущего финансового года.</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подготовленных информационно-аналитических материалов по состоянию на 31 декабря текущего финансового года.</w:t>
      </w:r>
    </w:p>
    <w:p>
      <w:pPr>
        <w:pStyle w:val="0"/>
        <w:spacing w:before="200" w:line-rule="auto"/>
        <w:ind w:firstLine="540"/>
        <w:jc w:val="both"/>
      </w:pPr>
      <w:r>
        <w:rPr>
          <w:sz w:val="20"/>
        </w:rPr>
        <w:t xml:space="preserve">5. В целях предоставления субсидий министерство ежегодно проводит отбор путем проведения конкурса СОНКО на право получения субсидий в текущем финансовом году (далее - конкурс) для определения получателя субсидий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Министерство принимает решение о проведении конкурса путем издания приказа о проведении конкурса.</w:t>
      </w:r>
    </w:p>
    <w:p>
      <w:pPr>
        <w:pStyle w:val="0"/>
        <w:spacing w:before="200" w:line-rule="auto"/>
        <w:ind w:firstLine="540"/>
        <w:jc w:val="both"/>
      </w:pPr>
      <w:r>
        <w:rPr>
          <w:sz w:val="20"/>
        </w:rPr>
        <w:t xml:space="preserve">Министерство не позднее одного календарного дня до даты начала приема заявок на участие в конкурсе (далее заявка) обеспечивает размещение на едином портале, а также на официальном сайте министерства в информационно-телекоммуникационной сети "Интернет" объявления о проведении конкурса с указанием:</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даты начала подачи или окончания приема предложений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результаты предоставления субсидии и их характеристики (показатели, необходимые для достижения результатов предоставления субсидии) (далее характеристика);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требований к СОНКО в соответствии с </w:t>
      </w:r>
      <w:hyperlink w:history="0" w:anchor="P60" w:tooltip="6. Заявку на участие в конкурсе может подать СОНКО, соответствующая на 1-е число месяца, предшествующего месяцу, в котором планируется проведение конкурса, следующим требованиям:">
        <w:r>
          <w:rPr>
            <w:sz w:val="20"/>
            <w:color w:val="0000ff"/>
          </w:rPr>
          <w:t xml:space="preserve">пунктом 6</w:t>
        </w:r>
      </w:hyperlink>
      <w:r>
        <w:rPr>
          <w:sz w:val="20"/>
        </w:rPr>
        <w:t xml:space="preserve"> настоящего Порядка и перечня документов, представляемых СОНКО для подтверждения их соответствия указанным требованиям, в соответствии с </w:t>
      </w:r>
      <w:hyperlink w:history="0" w:anchor="P67" w:tooltip="7. Для участия в конкурсе СОНКО (далее заявитель) представляет в министерство заявку на бумажном носителе по форме согласно приложению N 1 к настоящему Порядку.">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порядка подачи заявок СОНКО и требований, предъявляемых к форме и содержанию заявок, подаваемых СОНКО;</w:t>
      </w:r>
    </w:p>
    <w:p>
      <w:pPr>
        <w:pStyle w:val="0"/>
        <w:spacing w:before="200" w:line-rule="auto"/>
        <w:ind w:firstLine="540"/>
        <w:jc w:val="both"/>
      </w:pPr>
      <w:r>
        <w:rPr>
          <w:sz w:val="20"/>
        </w:rPr>
        <w:t xml:space="preserve">порядка отзыва заявок СОНКО, порядка возврата заявок СОНКО, определяющего в том числе основания для возврата заявок СОНКО, порядка внесения изменений в заявки СОНКО;</w:t>
      </w:r>
    </w:p>
    <w:p>
      <w:pPr>
        <w:pStyle w:val="0"/>
        <w:spacing w:before="200" w:line-rule="auto"/>
        <w:ind w:firstLine="540"/>
        <w:jc w:val="both"/>
      </w:pPr>
      <w:r>
        <w:rPr>
          <w:sz w:val="20"/>
        </w:rPr>
        <w:t xml:space="preserve">правил рассмотрения и оценки заявок СОНКО в соответствии с </w:t>
      </w:r>
      <w:hyperlink w:history="0" w:anchor="P98" w:tooltip="11. Министерство в течение 5 рабочих дней со дня окончания срока приема заявок проверяет представленные заявителем документы и принимает решение о допуске или об отказе в допуске заявителя к участию в конкурсе, которое оформляется приказом министерства.">
        <w:r>
          <w:rPr>
            <w:sz w:val="20"/>
            <w:color w:val="0000ff"/>
          </w:rPr>
          <w:t xml:space="preserve">пунктами 11</w:t>
        </w:r>
      </w:hyperlink>
      <w:r>
        <w:rPr>
          <w:sz w:val="20"/>
        </w:rPr>
        <w:t xml:space="preserve"> - </w:t>
      </w:r>
      <w:hyperlink w:history="0" w:anchor="P137" w:tooltip="17. В течение 14 календарных дней со дня принятия решения о предоставлении субсидии или об отказе в предоставлении субсидии министерство:">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СОНКО разъяснений положений объявления о проведении конкурса, даты начала и окончания сроков такого предоставления;</w:t>
      </w:r>
    </w:p>
    <w:p>
      <w:pPr>
        <w:pStyle w:val="0"/>
        <w:spacing w:before="200" w:line-rule="auto"/>
        <w:ind w:firstLine="540"/>
        <w:jc w:val="both"/>
      </w:pPr>
      <w:r>
        <w:rPr>
          <w:sz w:val="20"/>
        </w:rPr>
        <w:t xml:space="preserve">срока, в течение которого СОНКО - победители конкурса должны подписать соглашение о предоставлении субсидии (далее соглашение);</w:t>
      </w:r>
    </w:p>
    <w:p>
      <w:pPr>
        <w:pStyle w:val="0"/>
        <w:spacing w:before="200" w:line-rule="auto"/>
        <w:ind w:firstLine="540"/>
        <w:jc w:val="both"/>
      </w:pPr>
      <w:r>
        <w:rPr>
          <w:sz w:val="20"/>
        </w:rPr>
        <w:t xml:space="preserve">условий признания СОНКО - победителей конкурса уклонившимися от заключения соглашения;</w:t>
      </w:r>
    </w:p>
    <w:p>
      <w:pPr>
        <w:pStyle w:val="0"/>
        <w:spacing w:before="200" w:line-rule="auto"/>
        <w:ind w:firstLine="540"/>
        <w:jc w:val="both"/>
      </w:pPr>
      <w:r>
        <w:rPr>
          <w:sz w:val="20"/>
        </w:rPr>
        <w:t xml:space="preserve">дата размещения результатов конкурса на официальном сайте министерства в информационно-телекоммуникационной сети "Интернет" (с размещением указателя страницы сайта на едином портале).</w:t>
      </w:r>
    </w:p>
    <w:bookmarkStart w:id="60" w:name="P60"/>
    <w:bookmarkEnd w:id="60"/>
    <w:p>
      <w:pPr>
        <w:pStyle w:val="0"/>
        <w:spacing w:before="200" w:line-rule="auto"/>
        <w:ind w:firstLine="540"/>
        <w:jc w:val="both"/>
      </w:pPr>
      <w:r>
        <w:rPr>
          <w:sz w:val="20"/>
        </w:rPr>
        <w:t xml:space="preserve">6. Заявку на участие в конкурсе может подать СОНКО, соответствующая на 1-е число месяца, предшествующего месяцу, в котором планируется проведение конкурса, следующим требованиям:</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является получателем средств из областного бюджета в соответствии с иными правовыми актами области на цели, указанные в </w:t>
      </w:r>
      <w:hyperlink w:history="0" w:anchor="P33" w:tooltip="1. Настоящий Порядок определяет правила предоставления субсидий социально ориентированным некоммерческим организациям, не являющимся государственными (муниципальными) учреждениями (далее СОНКО), в целях выполнения работ по подготовке информационно-аналитических материалов (далее субсид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(неурегулированная) задолженность по денежным обязательствам перед Новгородской областью;</w:t>
      </w:r>
    </w:p>
    <w:p>
      <w:pPr>
        <w:pStyle w:val="0"/>
        <w:spacing w:before="200" w:line-rule="auto"/>
        <w:ind w:firstLine="540"/>
        <w:jc w:val="both"/>
      </w:pPr>
      <w:r>
        <w:rPr>
          <w:sz w:val="20"/>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bookmarkStart w:id="67" w:name="P67"/>
    <w:bookmarkEnd w:id="67"/>
    <w:p>
      <w:pPr>
        <w:pStyle w:val="0"/>
        <w:spacing w:before="200" w:line-rule="auto"/>
        <w:ind w:firstLine="540"/>
        <w:jc w:val="both"/>
      </w:pPr>
      <w:r>
        <w:rPr>
          <w:sz w:val="20"/>
        </w:rPr>
        <w:t xml:space="preserve">7. Для участия в конкурсе СОНКО (далее заявитель) представляет в министерство </w:t>
      </w:r>
      <w:hyperlink w:history="0" w:anchor="P221" w:tooltip="ЗАЯВКА">
        <w:r>
          <w:rPr>
            <w:sz w:val="20"/>
            <w:color w:val="0000ff"/>
          </w:rPr>
          <w:t xml:space="preserve">заявку</w:t>
        </w:r>
      </w:hyperlink>
      <w:r>
        <w:rPr>
          <w:sz w:val="20"/>
        </w:rPr>
        <w:t xml:space="preserve"> на бумажном носителе по форме согласно приложению N 1 к настоящему Порядку.</w:t>
      </w:r>
    </w:p>
    <w:p>
      <w:pPr>
        <w:pStyle w:val="0"/>
        <w:spacing w:before="200" w:line-rule="auto"/>
        <w:ind w:firstLine="540"/>
        <w:jc w:val="both"/>
      </w:pPr>
      <w:r>
        <w:rPr>
          <w:sz w:val="20"/>
        </w:rPr>
        <w:t xml:space="preserve">К заявке прилагаются следующие документы:</w:t>
      </w:r>
    </w:p>
    <w:bookmarkStart w:id="69" w:name="P69"/>
    <w:bookmarkEnd w:id="69"/>
    <w:p>
      <w:pPr>
        <w:pStyle w:val="0"/>
        <w:spacing w:before="200" w:line-rule="auto"/>
        <w:ind w:firstLine="540"/>
        <w:jc w:val="both"/>
      </w:pPr>
      <w:r>
        <w:rPr>
          <w:sz w:val="20"/>
        </w:rPr>
        <w:t xml:space="preserve">копии учредительных документов заявителя;</w:t>
      </w:r>
    </w:p>
    <w:p>
      <w:pPr>
        <w:pStyle w:val="0"/>
        <w:spacing w:before="200" w:line-rule="auto"/>
        <w:ind w:firstLine="540"/>
        <w:jc w:val="both"/>
      </w:pPr>
      <w:r>
        <w:rPr>
          <w:sz w:val="20"/>
        </w:rPr>
        <w:t xml:space="preserve">копия документа о назначении руководителя заявителя;</w:t>
      </w:r>
    </w:p>
    <w:p>
      <w:pPr>
        <w:pStyle w:val="0"/>
        <w:spacing w:before="200" w:line-rule="auto"/>
        <w:ind w:firstLine="540"/>
        <w:jc w:val="both"/>
      </w:pPr>
      <w:r>
        <w:rPr>
          <w:sz w:val="20"/>
        </w:rPr>
        <w:t xml:space="preserve">копия документа, удостоверяющего личность руководителя заявителя;</w:t>
      </w:r>
    </w:p>
    <w:p>
      <w:pPr>
        <w:pStyle w:val="0"/>
        <w:spacing w:before="200" w:line-rule="auto"/>
        <w:ind w:firstLine="540"/>
        <w:jc w:val="both"/>
      </w:pPr>
      <w:r>
        <w:rPr>
          <w:sz w:val="20"/>
        </w:rPr>
        <w:t xml:space="preserve">доверенность (копия доверенности) на осуществление действий от имени заявителя, заверенная печатью заявителя (при наличии) и подписанная руководителем заявителя или уполномоченным руководителем заявителя лицом (в случае подачи заявки уполномоченным представителем заявителя);</w:t>
      </w:r>
    </w:p>
    <w:p>
      <w:pPr>
        <w:pStyle w:val="0"/>
        <w:spacing w:before="200" w:line-rule="auto"/>
        <w:ind w:firstLine="540"/>
        <w:jc w:val="both"/>
      </w:pPr>
      <w:r>
        <w:rPr>
          <w:sz w:val="20"/>
        </w:rPr>
        <w:t xml:space="preserve">копия документа, удостоверяющего личность уполномоченного представителя заявителя (в случае подачи заявки уполномоченным представителем заявителя);</w:t>
      </w:r>
    </w:p>
    <w:p>
      <w:pPr>
        <w:pStyle w:val="0"/>
        <w:spacing w:before="200" w:line-rule="auto"/>
        <w:ind w:firstLine="540"/>
        <w:jc w:val="both"/>
      </w:pPr>
      <w:r>
        <w:rPr>
          <w:sz w:val="20"/>
        </w:rPr>
        <w:t xml:space="preserve">подписанная руководителем заявителя или уполномоченным руководителем заявителя лицом смета проекта, включающая статьи расходов, обоснование-расчет затрат, планируемых на реализацию плана реализации проекта;</w:t>
      </w:r>
    </w:p>
    <w:p>
      <w:pPr>
        <w:pStyle w:val="0"/>
        <w:spacing w:before="200" w:line-rule="auto"/>
        <w:ind w:firstLine="540"/>
        <w:jc w:val="both"/>
      </w:pPr>
      <w:r>
        <w:rPr>
          <w:sz w:val="20"/>
        </w:rPr>
        <w:t xml:space="preserve">подписанный руководителем заявителя или уполномоченным руководителем заявителя лицом план реализации проекта;</w:t>
      </w:r>
    </w:p>
    <w:p>
      <w:pPr>
        <w:pStyle w:val="0"/>
        <w:spacing w:before="200" w:line-rule="auto"/>
        <w:ind w:firstLine="540"/>
        <w:jc w:val="both"/>
      </w:pPr>
      <w:r>
        <w:rPr>
          <w:sz w:val="20"/>
        </w:rPr>
        <w:t xml:space="preserve">презентация к проекту, оформленная в электронном виде либо распечатанная на бумажном носителе в цветном варианте;</w:t>
      </w:r>
    </w:p>
    <w:bookmarkStart w:id="77" w:name="P77"/>
    <w:bookmarkEnd w:id="77"/>
    <w:p>
      <w:pPr>
        <w:pStyle w:val="0"/>
        <w:spacing w:before="200" w:line-rule="auto"/>
        <w:ind w:firstLine="540"/>
        <w:jc w:val="both"/>
      </w:pPr>
      <w:r>
        <w:rPr>
          <w:sz w:val="20"/>
        </w:rPr>
        <w:t xml:space="preserve">подписанное руководителем заявителя или уполномоченным руководителем заявителя лицом гарантийное письмо с указанием объема предполагаемых поступлений из иных источников на реализацию проекта (при привлечении иных источников на реализацию проекта).</w:t>
      </w:r>
    </w:p>
    <w:p>
      <w:pPr>
        <w:pStyle w:val="0"/>
        <w:spacing w:before="200" w:line-rule="auto"/>
        <w:ind w:firstLine="540"/>
        <w:jc w:val="both"/>
      </w:pPr>
      <w:r>
        <w:rPr>
          <w:sz w:val="20"/>
        </w:rPr>
        <w:t xml:space="preserve">Каждый заявитель вправе подать не более одной заявки на участие в конкурсе.</w:t>
      </w:r>
    </w:p>
    <w:p>
      <w:pPr>
        <w:pStyle w:val="0"/>
        <w:spacing w:before="200" w:line-rule="auto"/>
        <w:ind w:firstLine="540"/>
        <w:jc w:val="both"/>
      </w:pPr>
      <w:r>
        <w:rPr>
          <w:sz w:val="20"/>
        </w:rPr>
        <w:t xml:space="preserve">Заявка и прилагаемые к ней документы должны быть прошиты, пронумерованы и скреплены печатью заявителя (при наличии). Копии документов должны быть заверены заявителем.</w:t>
      </w:r>
    </w:p>
    <w:p>
      <w:pPr>
        <w:pStyle w:val="0"/>
        <w:spacing w:before="200" w:line-rule="auto"/>
        <w:ind w:firstLine="540"/>
        <w:jc w:val="both"/>
      </w:pPr>
      <w:r>
        <w:rPr>
          <w:sz w:val="20"/>
        </w:rPr>
        <w:t xml:space="preserve">Наличие в представленных документах исправлений, не позволяющих однозначно истолковать их содержание, не допускается.</w:t>
      </w:r>
    </w:p>
    <w:p>
      <w:pPr>
        <w:pStyle w:val="0"/>
        <w:spacing w:before="200" w:line-rule="auto"/>
        <w:ind w:firstLine="540"/>
        <w:jc w:val="both"/>
      </w:pPr>
      <w:r>
        <w:rPr>
          <w:sz w:val="20"/>
        </w:rPr>
        <w:t xml:space="preserve">Заявитель несет ответственность за полноту и достоверность представляемых сведений.</w:t>
      </w:r>
    </w:p>
    <w:p>
      <w:pPr>
        <w:pStyle w:val="0"/>
        <w:spacing w:before="200" w:line-rule="auto"/>
        <w:ind w:firstLine="540"/>
        <w:jc w:val="both"/>
      </w:pPr>
      <w:r>
        <w:rPr>
          <w:sz w:val="20"/>
        </w:rPr>
        <w:t xml:space="preserve">Заявитель вправе представить по собственной инициативе:</w:t>
      </w:r>
    </w:p>
    <w:bookmarkStart w:id="83" w:name="P83"/>
    <w:bookmarkEnd w:id="83"/>
    <w:p>
      <w:pPr>
        <w:pStyle w:val="0"/>
        <w:spacing w:before="200" w:line-rule="auto"/>
        <w:ind w:firstLine="540"/>
        <w:jc w:val="both"/>
      </w:pPr>
      <w:r>
        <w:rPr>
          <w:sz w:val="20"/>
        </w:rPr>
        <w:t xml:space="preserve">справку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заявки;</w:t>
      </w:r>
    </w:p>
    <w:bookmarkStart w:id="84" w:name="P84"/>
    <w:bookmarkEnd w:id="84"/>
    <w:p>
      <w:pPr>
        <w:pStyle w:val="0"/>
        <w:spacing w:before="200" w:line-rule="auto"/>
        <w:ind w:firstLine="540"/>
        <w:jc w:val="both"/>
      </w:pPr>
      <w:r>
        <w:rPr>
          <w:sz w:val="20"/>
        </w:rPr>
        <w:t xml:space="preserve">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В случае если заявителем не представлены документы, указанные в </w:t>
      </w:r>
      <w:hyperlink w:history="0" w:anchor="P83" w:tooltip="справку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ки;">
        <w:r>
          <w:rPr>
            <w:sz w:val="20"/>
            <w:color w:val="0000ff"/>
          </w:rPr>
          <w:t xml:space="preserve">семнадцатом</w:t>
        </w:r>
      </w:hyperlink>
      <w:r>
        <w:rPr>
          <w:sz w:val="20"/>
        </w:rPr>
        <w:t xml:space="preserve">, </w:t>
      </w:r>
      <w:hyperlink w:history="0" w:anchor="P84" w:tooltip="выписку из Единого государственного реестра юридических лиц, выданную не ранее чем за 30 календарных дней до дня подачи заявки.">
        <w:r>
          <w:rPr>
            <w:sz w:val="20"/>
            <w:color w:val="0000ff"/>
          </w:rPr>
          <w:t xml:space="preserve">восемнадцатом абзацах</w:t>
        </w:r>
      </w:hyperlink>
      <w:r>
        <w:rPr>
          <w:sz w:val="20"/>
        </w:rPr>
        <w:t xml:space="preserve">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о наличии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w:t>
      </w:r>
    </w:p>
    <w:p>
      <w:pPr>
        <w:pStyle w:val="0"/>
        <w:spacing w:before="200" w:line-rule="auto"/>
        <w:ind w:firstLine="540"/>
        <w:jc w:val="both"/>
      </w:pPr>
      <w:r>
        <w:rPr>
          <w:sz w:val="20"/>
        </w:rPr>
        <w:t xml:space="preserve">Срок формирования и направления межведомственного запроса не должен превышать 3 рабочих дней со дня регистрации заявки.</w:t>
      </w:r>
    </w:p>
    <w:p>
      <w:pPr>
        <w:pStyle w:val="0"/>
        <w:spacing w:before="200" w:line-rule="auto"/>
        <w:ind w:firstLine="540"/>
        <w:jc w:val="both"/>
      </w:pPr>
      <w:r>
        <w:rPr>
          <w:sz w:val="20"/>
        </w:rPr>
        <w:t xml:space="preserve">8. Заявитель вправе отозвать свою заявку в любое время до даты окончания приема заявок.</w:t>
      </w:r>
    </w:p>
    <w:p>
      <w:pPr>
        <w:pStyle w:val="0"/>
        <w:spacing w:before="200" w:line-rule="auto"/>
        <w:ind w:firstLine="540"/>
        <w:jc w:val="both"/>
      </w:pPr>
      <w:r>
        <w:rPr>
          <w:sz w:val="20"/>
        </w:rPr>
        <w:t xml:space="preserve">Уведомление об отзыве заявки подается заявителем в министерство в бумажном виде.</w:t>
      </w:r>
    </w:p>
    <w:p>
      <w:pPr>
        <w:pStyle w:val="0"/>
        <w:spacing w:before="200" w:line-rule="auto"/>
        <w:ind w:firstLine="540"/>
        <w:jc w:val="both"/>
      </w:pPr>
      <w:r>
        <w:rPr>
          <w:sz w:val="20"/>
        </w:rPr>
        <w:t xml:space="preserve">Уведомление должно быть подписано руководителем заявителя или должностным лицом, уполномоченным руководителем заявителя на подписание уведомления, и скреплено печатью заявителя (при наличии).</w:t>
      </w:r>
    </w:p>
    <w:p>
      <w:pPr>
        <w:pStyle w:val="0"/>
        <w:spacing w:before="200" w:line-rule="auto"/>
        <w:ind w:firstLine="540"/>
        <w:jc w:val="both"/>
      </w:pPr>
      <w:r>
        <w:rPr>
          <w:sz w:val="20"/>
        </w:rPr>
        <w:t xml:space="preserve">Уведомление регистрируется в журнале регистрации заявок с проставлением отметки о регистрации в день его поступления.</w:t>
      </w:r>
    </w:p>
    <w:p>
      <w:pPr>
        <w:pStyle w:val="0"/>
        <w:spacing w:before="200" w:line-rule="auto"/>
        <w:ind w:firstLine="540"/>
        <w:jc w:val="both"/>
      </w:pPr>
      <w:r>
        <w:rPr>
          <w:sz w:val="20"/>
        </w:rPr>
        <w:t xml:space="preserve">Если уведомление об отзыве заявки не соответствует указанным в настоящем пункте требованиям, заявка такого заявителя не считается отозванной.</w:t>
      </w:r>
    </w:p>
    <w:p>
      <w:pPr>
        <w:pStyle w:val="0"/>
        <w:spacing w:before="200" w:line-rule="auto"/>
        <w:ind w:firstLine="540"/>
        <w:jc w:val="both"/>
      </w:pPr>
      <w:r>
        <w:rPr>
          <w:sz w:val="20"/>
        </w:rPr>
        <w:t xml:space="preserve">Отозванные заявки и документы возвращаются заявителю почтовым отправлением или лично в течение 5 рабочих дней со дня регистрации уведомления об отзыве заявки.</w:t>
      </w:r>
    </w:p>
    <w:p>
      <w:pPr>
        <w:pStyle w:val="0"/>
        <w:spacing w:before="200" w:line-rule="auto"/>
        <w:ind w:firstLine="540"/>
        <w:jc w:val="both"/>
      </w:pPr>
      <w:r>
        <w:rPr>
          <w:sz w:val="20"/>
        </w:rPr>
        <w:t xml:space="preserve">9. Заявитель вправе изменить поданную им заявку в любое время до даты окончания приема заявок.</w:t>
      </w:r>
    </w:p>
    <w:p>
      <w:pPr>
        <w:pStyle w:val="0"/>
        <w:spacing w:before="200" w:line-rule="auto"/>
        <w:ind w:firstLine="540"/>
        <w:jc w:val="both"/>
      </w:pPr>
      <w:r>
        <w:rPr>
          <w:sz w:val="20"/>
        </w:rPr>
        <w:t xml:space="preserve">Измененные заявки должны быть оформлены в соответствии с требованиями, предъявляемыми настоящим Порядком к оформлению заявок.</w:t>
      </w:r>
    </w:p>
    <w:p>
      <w:pPr>
        <w:pStyle w:val="0"/>
        <w:spacing w:before="200" w:line-rule="auto"/>
        <w:ind w:firstLine="540"/>
        <w:jc w:val="both"/>
      </w:pPr>
      <w:r>
        <w:rPr>
          <w:sz w:val="20"/>
        </w:rPr>
        <w:t xml:space="preserve">Измененные заявки подаются в адрес министерства в бумажном виде и регистрируются в журнале регистрации заявок министерства с проставлением отметки о регистрации в день их поступления.</w:t>
      </w:r>
    </w:p>
    <w:p>
      <w:pPr>
        <w:pStyle w:val="0"/>
        <w:spacing w:before="200" w:line-rule="auto"/>
        <w:ind w:firstLine="540"/>
        <w:jc w:val="both"/>
      </w:pPr>
      <w:r>
        <w:rPr>
          <w:sz w:val="20"/>
        </w:rPr>
        <w:t xml:space="preserve">10. Министерство принимает и регистрирует поступившие заявки в день их поступления в журнале регистрации заявок. Запись о регистрации должна включать регистрационный номер заявки, дату и время приема заявок и документов.</w:t>
      </w:r>
    </w:p>
    <w:p>
      <w:pPr>
        <w:pStyle w:val="0"/>
        <w:spacing w:before="200" w:line-rule="auto"/>
        <w:ind w:firstLine="540"/>
        <w:jc w:val="both"/>
      </w:pPr>
      <w:r>
        <w:rPr>
          <w:sz w:val="20"/>
        </w:rPr>
        <w:t xml:space="preserve">Журнал регистрации заявок должен быть пронумерован, прошит и скреплен печатью министерства.</w:t>
      </w:r>
    </w:p>
    <w:bookmarkStart w:id="98" w:name="P98"/>
    <w:bookmarkEnd w:id="98"/>
    <w:p>
      <w:pPr>
        <w:pStyle w:val="0"/>
        <w:spacing w:before="200" w:line-rule="auto"/>
        <w:ind w:firstLine="540"/>
        <w:jc w:val="both"/>
      </w:pPr>
      <w:r>
        <w:rPr>
          <w:sz w:val="20"/>
        </w:rPr>
        <w:t xml:space="preserve">11. Министерство в течение 5 рабочих дней со дня окончания срока приема заявок проверяет представленные заявителем документы и принимает решение о допуске или об отказе в допуске заявителя к участию в конкурсе, которое оформляется приказом министерства.</w:t>
      </w:r>
    </w:p>
    <w:p>
      <w:pPr>
        <w:pStyle w:val="0"/>
        <w:spacing w:before="200" w:line-rule="auto"/>
        <w:ind w:firstLine="540"/>
        <w:jc w:val="both"/>
      </w:pPr>
      <w:r>
        <w:rPr>
          <w:sz w:val="20"/>
        </w:rPr>
        <w:t xml:space="preserve">Основаниями для принятия решения об отказе в допуске заявителей к участию в конкурсе являются:</w:t>
      </w:r>
    </w:p>
    <w:p>
      <w:pPr>
        <w:pStyle w:val="0"/>
        <w:spacing w:before="200" w:line-rule="auto"/>
        <w:ind w:firstLine="540"/>
        <w:jc w:val="both"/>
      </w:pPr>
      <w:r>
        <w:rPr>
          <w:sz w:val="20"/>
        </w:rPr>
        <w:t xml:space="preserve">несоответствие проекта теме, определенной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несоответствие заявителя категории, определенной в </w:t>
      </w:r>
      <w:hyperlink w:history="0" w:anchor="P37" w:tooltip="3. Субсидии предоставляются СОНКО, зарегистрированным в установленном Федеральным законом от 12 января 1996 года N 7-ФЗ &quot;О некоммерческих организациях&quot; порядке и осуществляющим на территории Новгородской области в соответствии с учредительными документами виды деятельности, предусмотренные статьей 31.1 Федерального закона от 12 января 1996 года N 7-ФЗ &quot;О некоммерческих организациях&quot;, статьей 5 областного закона от 31.01.2011 N 927-ОЗ &quot;О поддержке социально ориентированных некоммерческих организаций, а т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несоответствие заявителя требованиям, установленным </w:t>
      </w:r>
      <w:hyperlink w:history="0" w:anchor="P60" w:tooltip="6. Заявку на участие в конкурсе может подать СОНКО, соответствующая на 1-е число месяца, предшествующего месяцу, в котором планируется проведение конкурса, следующим требованиям:">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заявителем заявки и документов требованиям, определенным </w:t>
      </w:r>
      <w:hyperlink w:history="0" w:anchor="P67" w:tooltip="7. Для участия в конкурсе СОНКО (далее заявитель) представляет в министерство заявку на бумажном носителе по форме согласно приложению N 1 к настоящему Порядку.">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69" w:tooltip="копии учредительных документов заявителя;">
        <w:r>
          <w:rPr>
            <w:sz w:val="20"/>
            <w:color w:val="0000ff"/>
          </w:rPr>
          <w:t xml:space="preserve">третьим</w:t>
        </w:r>
      </w:hyperlink>
      <w:r>
        <w:rPr>
          <w:sz w:val="20"/>
        </w:rPr>
        <w:t xml:space="preserve"> - </w:t>
      </w:r>
      <w:hyperlink w:history="0" w:anchor="P77" w:tooltip="подписанное руководителем заявителя или уполномоченным руководителем заявителя лицом гарантийное письмо с указанием объема предполагаемых поступлений из иных источников на реализацию проекта (при привлечении иных источников на реализацию проекта).">
        <w:r>
          <w:rPr>
            <w:sz w:val="20"/>
            <w:color w:val="0000ff"/>
          </w:rPr>
          <w:t xml:space="preserve">одиннадцатым абзацами пункта 7</w:t>
        </w:r>
      </w:hyperlink>
      <w:r>
        <w:rPr>
          <w:sz w:val="20"/>
        </w:rPr>
        <w:t xml:space="preserve"> настоящего Порядка;</w:t>
      </w:r>
    </w:p>
    <w:p>
      <w:pPr>
        <w:pStyle w:val="0"/>
        <w:spacing w:before="200" w:line-rule="auto"/>
        <w:ind w:firstLine="540"/>
        <w:jc w:val="both"/>
      </w:pPr>
      <w:r>
        <w:rPr>
          <w:sz w:val="20"/>
        </w:rPr>
        <w:t xml:space="preserve">подача заявки после даты окончания приема заявок и (или) времени, определенных для подачи заявок;</w:t>
      </w:r>
    </w:p>
    <w:p>
      <w:pPr>
        <w:pStyle w:val="0"/>
        <w:spacing w:before="200" w:line-rule="auto"/>
        <w:ind w:firstLine="540"/>
        <w:jc w:val="both"/>
      </w:pPr>
      <w:r>
        <w:rPr>
          <w:sz w:val="20"/>
        </w:rPr>
        <w:t xml:space="preserve">недостоверность представленной заявителем информации, в том числе информации о месте нахождения и адресе заявителя.</w:t>
      </w:r>
    </w:p>
    <w:p>
      <w:pPr>
        <w:pStyle w:val="0"/>
        <w:spacing w:before="200" w:line-rule="auto"/>
        <w:ind w:firstLine="540"/>
        <w:jc w:val="both"/>
      </w:pPr>
      <w:r>
        <w:rPr>
          <w:sz w:val="20"/>
        </w:rPr>
        <w:t xml:space="preserve">Министерство уведомляет заявителей в течение 5 рабочих дней со дня принятия решения о допуске или об отказе в допуске к участию в конкурсе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12. Заявители, в отношении которых министерством принято решение о допуске к участию в конкурсе, далее именуются участниками конкурса.</w:t>
      </w:r>
    </w:p>
    <w:p>
      <w:pPr>
        <w:pStyle w:val="0"/>
        <w:spacing w:before="200" w:line-rule="auto"/>
        <w:ind w:firstLine="540"/>
        <w:jc w:val="both"/>
      </w:pPr>
      <w:r>
        <w:rPr>
          <w:sz w:val="20"/>
        </w:rPr>
        <w:t xml:space="preserve">13. Министерство направляет заявки участников конкурса и прилагаемые к ним документы на рассмотрение в конкурсную комиссию, созданную приказом министерства (далее комиссия), не позднее 2 рабочих дней со дня принятия решения о допуске заявителей к участию в конкурсе.</w:t>
      </w:r>
    </w:p>
    <w:p>
      <w:pPr>
        <w:pStyle w:val="0"/>
        <w:spacing w:before="200" w:line-rule="auto"/>
        <w:ind w:firstLine="540"/>
        <w:jc w:val="both"/>
      </w:pPr>
      <w:r>
        <w:rPr>
          <w:sz w:val="20"/>
        </w:rPr>
        <w:t xml:space="preserve">14. Общее количество членов комиссии составляет 9 человек.</w:t>
      </w:r>
    </w:p>
    <w:p>
      <w:pPr>
        <w:pStyle w:val="0"/>
        <w:spacing w:before="200" w:line-rule="auto"/>
        <w:ind w:firstLine="540"/>
        <w:jc w:val="both"/>
      </w:pPr>
      <w:r>
        <w:rPr>
          <w:sz w:val="20"/>
        </w:rPr>
        <w:t xml:space="preserve">В состав комиссии входят представители министерства, органов исполнительной власти Новгородской области, представители общественных и иных организаций. Включение в состав комиссии представителей участников конкурса не допускается.</w:t>
      </w:r>
    </w:p>
    <w:p>
      <w:pPr>
        <w:pStyle w:val="0"/>
        <w:spacing w:before="200" w:line-rule="auto"/>
        <w:ind w:firstLine="540"/>
        <w:jc w:val="both"/>
      </w:pPr>
      <w:r>
        <w:rPr>
          <w:sz w:val="20"/>
        </w:rPr>
        <w:t xml:space="preserve">Персональный состав комиссии утверждается приказом министерства.</w:t>
      </w:r>
    </w:p>
    <w:p>
      <w:pPr>
        <w:pStyle w:val="0"/>
        <w:spacing w:before="200" w:line-rule="auto"/>
        <w:ind w:firstLine="540"/>
        <w:jc w:val="both"/>
      </w:pPr>
      <w:r>
        <w:rPr>
          <w:sz w:val="20"/>
        </w:rPr>
        <w:t xml:space="preserve">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комиссии, секретарь комиссии и члены комиссии осуществляют свою деятельность на общественных началах.</w:t>
      </w:r>
    </w:p>
    <w:p>
      <w:pPr>
        <w:pStyle w:val="0"/>
        <w:spacing w:before="200" w:line-rule="auto"/>
        <w:ind w:firstLine="540"/>
        <w:jc w:val="both"/>
      </w:pPr>
      <w:r>
        <w:rPr>
          <w:sz w:val="20"/>
        </w:rPr>
        <w:t xml:space="preserve">Председатель комиссии организует работу комиссии и ведет ее заседания. В случае отсутствия председателя комиссии его обязанности исполняет заместитель председателя комиссии.</w:t>
      </w:r>
    </w:p>
    <w:p>
      <w:pPr>
        <w:pStyle w:val="0"/>
        <w:spacing w:before="200" w:line-rule="auto"/>
        <w:ind w:firstLine="540"/>
        <w:jc w:val="both"/>
      </w:pPr>
      <w:r>
        <w:rPr>
          <w:sz w:val="20"/>
        </w:rPr>
        <w:t xml:space="preserve">Секретарь комиссии обеспечивает подготовку заседаний комиссии, извещает членов комиссии не менее чем за 2 рабочих дня до дня проведения заседания комиссии о дате, времени и месте проведения заседания комиссии, оформляет протокол заседания комиссии не позднее 5 рабочих дней со дня проведения заседания комиссии.</w:t>
      </w:r>
    </w:p>
    <w:p>
      <w:pPr>
        <w:pStyle w:val="0"/>
        <w:spacing w:before="200" w:line-rule="auto"/>
        <w:ind w:firstLine="540"/>
        <w:jc w:val="both"/>
      </w:pPr>
      <w:r>
        <w:rPr>
          <w:sz w:val="20"/>
        </w:rPr>
        <w:t xml:space="preserve">В случае отсутствия секретаря комиссии (отпуск, временная нетрудоспособность, командировка) его обязанности возлагаются председателем комиссии либо лицом, исполняющим обязанности председателя комиссии, на одного из членов комиссии.</w:t>
      </w:r>
    </w:p>
    <w:p>
      <w:pPr>
        <w:pStyle w:val="0"/>
        <w:spacing w:before="200" w:line-rule="auto"/>
        <w:ind w:firstLine="540"/>
        <w:jc w:val="both"/>
      </w:pPr>
      <w:r>
        <w:rPr>
          <w:sz w:val="20"/>
        </w:rPr>
        <w:t xml:space="preserve">Заседание комиссии является правомочным, если на нем присутствует не менее 3/4 ее членов, в том числе посредством системы видео-конференц-связи с применением информационно-телекоммуникационной сети "Интернет".</w:t>
      </w:r>
    </w:p>
    <w:p>
      <w:pPr>
        <w:pStyle w:val="0"/>
        <w:spacing w:before="200" w:line-rule="auto"/>
        <w:ind w:firstLine="540"/>
        <w:jc w:val="both"/>
      </w:pPr>
      <w:r>
        <w:rPr>
          <w:sz w:val="20"/>
        </w:rPr>
        <w:t xml:space="preserve">15. Комиссия не позднее 15 рабочих дней со дня окончания срока приема заявок с прилагаемыми документами осуществляет оценку проектов по следующим критериям:</w:t>
      </w:r>
    </w:p>
    <w:p>
      <w:pPr>
        <w:pStyle w:val="0"/>
        <w:spacing w:before="200" w:line-rule="auto"/>
        <w:ind w:firstLine="540"/>
        <w:jc w:val="both"/>
      </w:pPr>
      <w:r>
        <w:rPr>
          <w:sz w:val="20"/>
        </w:rPr>
        <w:t xml:space="preserve">соответствие проекта заявленной теме, указанной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 - 5 баллов;</w:t>
      </w:r>
    </w:p>
    <w:p>
      <w:pPr>
        <w:pStyle w:val="0"/>
        <w:spacing w:before="200" w:line-rule="auto"/>
        <w:ind w:firstLine="540"/>
        <w:jc w:val="both"/>
      </w:pPr>
      <w:r>
        <w:rPr>
          <w:sz w:val="20"/>
        </w:rPr>
        <w:t xml:space="preserve">качество подготовки проекта - не более 5 баллов;</w:t>
      </w:r>
    </w:p>
    <w:p>
      <w:pPr>
        <w:pStyle w:val="0"/>
        <w:spacing w:before="200" w:line-rule="auto"/>
        <w:ind w:firstLine="540"/>
        <w:jc w:val="both"/>
      </w:pPr>
      <w:r>
        <w:rPr>
          <w:sz w:val="20"/>
        </w:rPr>
        <w:t xml:space="preserve">аргументированность и полнота содержания проекта - не более 5 баллов;</w:t>
      </w:r>
    </w:p>
    <w:p>
      <w:pPr>
        <w:pStyle w:val="0"/>
        <w:spacing w:before="200" w:line-rule="auto"/>
        <w:ind w:firstLine="540"/>
        <w:jc w:val="both"/>
      </w:pPr>
      <w:r>
        <w:rPr>
          <w:sz w:val="20"/>
        </w:rPr>
        <w:t xml:space="preserve">результативность проекта - не более 5 баллов;</w:t>
      </w:r>
    </w:p>
    <w:p>
      <w:pPr>
        <w:pStyle w:val="0"/>
        <w:spacing w:before="200" w:line-rule="auto"/>
        <w:ind w:firstLine="540"/>
        <w:jc w:val="both"/>
      </w:pPr>
      <w:r>
        <w:rPr>
          <w:sz w:val="20"/>
        </w:rPr>
        <w:t xml:space="preserve">оригинальность проекта - не более 5 баллов.</w:t>
      </w:r>
    </w:p>
    <w:p>
      <w:pPr>
        <w:pStyle w:val="0"/>
        <w:spacing w:before="200" w:line-rule="auto"/>
        <w:ind w:firstLine="540"/>
        <w:jc w:val="both"/>
      </w:pPr>
      <w:r>
        <w:rPr>
          <w:sz w:val="20"/>
        </w:rPr>
        <w:t xml:space="preserve">Каждым членом комиссии в отношении каждого проекта составляется оценочный </w:t>
      </w:r>
      <w:hyperlink w:history="0" w:anchor="P330" w:tooltip="ОЦЕНОЧНЫЙ ЛИСТ ПРОЕКТА">
        <w:r>
          <w:rPr>
            <w:sz w:val="20"/>
            <w:color w:val="0000ff"/>
          </w:rPr>
          <w:t xml:space="preserve">лист</w:t>
        </w:r>
      </w:hyperlink>
      <w:r>
        <w:rPr>
          <w:sz w:val="20"/>
        </w:rPr>
        <w:t xml:space="preserve"> проекта по форме согласно приложению N 2 к настоящему Порядку.</w:t>
      </w:r>
    </w:p>
    <w:p>
      <w:pPr>
        <w:pStyle w:val="0"/>
        <w:spacing w:before="200" w:line-rule="auto"/>
        <w:ind w:firstLine="540"/>
        <w:jc w:val="both"/>
      </w:pPr>
      <w:r>
        <w:rPr>
          <w:sz w:val="20"/>
        </w:rPr>
        <w:t xml:space="preserve">На основании оценочных листов проектов, составленных членами комиссии, путем суммирования присужденных баллов участникам конкурса присваиваются порядковые номера, начиная с участника конкурса, получившего наибольшее количество баллов.</w:t>
      </w:r>
    </w:p>
    <w:p>
      <w:pPr>
        <w:pStyle w:val="0"/>
        <w:spacing w:before="200" w:line-rule="auto"/>
        <w:ind w:firstLine="540"/>
        <w:jc w:val="both"/>
      </w:pPr>
      <w:r>
        <w:rPr>
          <w:sz w:val="20"/>
        </w:rPr>
        <w:t xml:space="preserve">Победителями конкурса признаются участники конкурса, набравшие наибольшую сумму баллов по каждой теме проекта, указанной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При равном количестве баллов по результатам конкурса у двух и более участников конкурса победителем конкурса признается участник конкурса, подавший заявку ранее.</w:t>
      </w:r>
    </w:p>
    <w:p>
      <w:pPr>
        <w:pStyle w:val="0"/>
        <w:spacing w:before="200" w:line-rule="auto"/>
        <w:ind w:firstLine="540"/>
        <w:jc w:val="both"/>
      </w:pPr>
      <w:r>
        <w:rPr>
          <w:sz w:val="20"/>
        </w:rPr>
        <w:t xml:space="preserve">В случае если по одной из тем проекта, указанных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 не поданы заявки, конкурс по данной теме проекта признается решением комиссии несостоявшимся.</w:t>
      </w:r>
    </w:p>
    <w:p>
      <w:pPr>
        <w:pStyle w:val="0"/>
        <w:spacing w:before="200" w:line-rule="auto"/>
        <w:ind w:firstLine="540"/>
        <w:jc w:val="both"/>
      </w:pPr>
      <w:r>
        <w:rPr>
          <w:sz w:val="20"/>
        </w:rPr>
        <w:t xml:space="preserve">В случае если подана единственная заявка по теме проекта, указанной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 участник конкурса решением комиссии признается победителем по такой теме проекта.</w:t>
      </w:r>
    </w:p>
    <w:p>
      <w:pPr>
        <w:pStyle w:val="0"/>
        <w:spacing w:before="200" w:line-rule="auto"/>
        <w:ind w:firstLine="540"/>
        <w:jc w:val="both"/>
      </w:pPr>
      <w:r>
        <w:rPr>
          <w:sz w:val="20"/>
        </w:rPr>
        <w:t xml:space="preserve">16. Результаты конкурса и решение об определении участников - победителей конкурса оформляются протоколом заседания комиссии, который подписывается председательствующим на заседании комиссии и секретарем комиссии в течение 5 рабочих дней со дня проведения заседания комиссии.</w:t>
      </w:r>
    </w:p>
    <w:p>
      <w:pPr>
        <w:pStyle w:val="0"/>
        <w:spacing w:before="200" w:line-rule="auto"/>
        <w:ind w:firstLine="540"/>
        <w:jc w:val="both"/>
      </w:pPr>
      <w:r>
        <w:rPr>
          <w:sz w:val="20"/>
        </w:rPr>
        <w:t xml:space="preserve">Протокол заседания комиссии в течение 2 рабочих дней со дня его подписания передается секретарем комиссии в министерство.</w:t>
      </w:r>
    </w:p>
    <w:p>
      <w:pPr>
        <w:pStyle w:val="0"/>
        <w:spacing w:before="200" w:line-rule="auto"/>
        <w:ind w:firstLine="540"/>
        <w:jc w:val="both"/>
      </w:pPr>
      <w:r>
        <w:rPr>
          <w:sz w:val="20"/>
        </w:rPr>
        <w:t xml:space="preserve">На основании протокола заседания комиссии в течение 5 рабочих дней со дня его поступления министерство принимает решение в форме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отсутствие участника конкурса в решении комиссии об определении участников - победителей конкурса;</w:t>
      </w:r>
    </w:p>
    <w:p>
      <w:pPr>
        <w:pStyle w:val="0"/>
        <w:spacing w:before="200" w:line-rule="auto"/>
        <w:ind w:firstLine="540"/>
        <w:jc w:val="both"/>
      </w:pPr>
      <w:r>
        <w:rPr>
          <w:sz w:val="20"/>
        </w:rPr>
        <w:t xml:space="preserve">несоответствие представленных участником конкурса документов требованиям, определенным </w:t>
      </w:r>
      <w:hyperlink w:history="0" w:anchor="P67" w:tooltip="7. Для участия в конкурсе СОНКО (далее заявитель) представляет в министерство заявку на бумажном носителе по форме согласно приложению N 1 к настоящему Порядку.">
        <w:r>
          <w:rPr>
            <w:sz w:val="20"/>
            <w:color w:val="0000ff"/>
          </w:rPr>
          <w:t xml:space="preserve">пунктом 7</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69" w:tooltip="копии учредительных документов заявителя;">
        <w:r>
          <w:rPr>
            <w:sz w:val="20"/>
            <w:color w:val="0000ff"/>
          </w:rPr>
          <w:t xml:space="preserve">третьим</w:t>
        </w:r>
      </w:hyperlink>
      <w:r>
        <w:rPr>
          <w:sz w:val="20"/>
        </w:rPr>
        <w:t xml:space="preserve"> - </w:t>
      </w:r>
      <w:hyperlink w:history="0" w:anchor="P77" w:tooltip="подписанное руководителем заявителя или уполномоченным руководителем заявителя лицом гарантийное письмо с указанием объема предполагаемых поступлений из иных источников на реализацию проекта (при привлечении иных источников на реализацию проекта).">
        <w:r>
          <w:rPr>
            <w:sz w:val="20"/>
            <w:color w:val="0000ff"/>
          </w:rPr>
          <w:t xml:space="preserve">одиннадцатым абзацами пункта 7</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участником конкурса информации.</w:t>
      </w:r>
    </w:p>
    <w:bookmarkStart w:id="137" w:name="P137"/>
    <w:bookmarkEnd w:id="137"/>
    <w:p>
      <w:pPr>
        <w:pStyle w:val="0"/>
        <w:spacing w:before="200" w:line-rule="auto"/>
        <w:ind w:firstLine="540"/>
        <w:jc w:val="both"/>
      </w:pPr>
      <w:r>
        <w:rPr>
          <w:sz w:val="20"/>
        </w:rPr>
        <w:t xml:space="preserve">17. В течение 14 календарных дней со дня принятия решения о предоставлении субсидии или об отказе в предоставлении субсидии министерство:</w:t>
      </w:r>
    </w:p>
    <w:p>
      <w:pPr>
        <w:pStyle w:val="0"/>
        <w:spacing w:before="200" w:line-rule="auto"/>
        <w:ind w:firstLine="540"/>
        <w:jc w:val="both"/>
      </w:pPr>
      <w:r>
        <w:rPr>
          <w:sz w:val="20"/>
        </w:rPr>
        <w:t xml:space="preserve">уведомляет участников конкурса о принятом решении путем направления копии приказа о предоставлении субсидии или об отказе в предоставлении субсидии любым доступным способом, позволяющим подтвердить получение уведомления;</w:t>
      </w:r>
    </w:p>
    <w:p>
      <w:pPr>
        <w:pStyle w:val="0"/>
        <w:spacing w:before="200" w:line-rule="auto"/>
        <w:ind w:firstLine="540"/>
        <w:jc w:val="both"/>
      </w:pPr>
      <w:r>
        <w:rPr>
          <w:sz w:val="20"/>
        </w:rPr>
        <w:t xml:space="preserve">размещает информацию о результатах рассмотрения заявок на едином портале, а также на официальном сайте министерства в информационно-телекоммуникационной сети "Интернет",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проектов, присвоенные проектам значения по каждому из предусмотренных критериев оценки проектов, принятое на основании результатов оценки проектов решение о присвоении участникам конкурса порядковых номеров;</w:t>
      </w:r>
    </w:p>
    <w:p>
      <w:pPr>
        <w:pStyle w:val="0"/>
        <w:spacing w:before="200" w:line-rule="auto"/>
        <w:ind w:firstLine="540"/>
        <w:jc w:val="both"/>
      </w:pPr>
      <w:r>
        <w:rPr>
          <w:sz w:val="20"/>
        </w:rPr>
        <w:t xml:space="preserve">наименование участников (участника) конкурса - получателей (получателя) субсидии, с которыми (которым) заключается соглашение, и размер предоставляемой им (ему) субсидии.</w:t>
      </w:r>
    </w:p>
    <w:p>
      <w:pPr>
        <w:pStyle w:val="0"/>
        <w:spacing w:before="200" w:line-rule="auto"/>
        <w:ind w:firstLine="540"/>
        <w:jc w:val="both"/>
      </w:pPr>
      <w:r>
        <w:rPr>
          <w:sz w:val="20"/>
        </w:rPr>
        <w:t xml:space="preserve">18. Участник конкурса вправе обжаловать решение министерства в соответствии с законодательством Российской Федерации.</w:t>
      </w:r>
    </w:p>
    <w:p>
      <w:pPr>
        <w:pStyle w:val="0"/>
        <w:spacing w:before="200" w:line-rule="auto"/>
        <w:ind w:firstLine="540"/>
        <w:jc w:val="both"/>
      </w:pPr>
      <w:r>
        <w:rPr>
          <w:sz w:val="20"/>
        </w:rPr>
        <w:t xml:space="preserve">19. Распределение субсидии участникам - победителям конкурса (далее получатель субсидии) осуществляется в следующем порядке:</w:t>
      </w:r>
    </w:p>
    <w:p>
      <w:pPr>
        <w:pStyle w:val="0"/>
        <w:spacing w:before="200" w:line-rule="auto"/>
        <w:ind w:firstLine="540"/>
        <w:jc w:val="both"/>
      </w:pPr>
      <w:r>
        <w:rPr>
          <w:sz w:val="20"/>
        </w:rPr>
        <w:t xml:space="preserve">по теме проекта "Жертвы политических репрессий Новгородской области" субсидия предоставляется в объеме запрашиваемой суммы субсидии, но не более 64,7 % от общего объема субсидии, предусмотренного государственной программой;</w:t>
      </w:r>
    </w:p>
    <w:p>
      <w:pPr>
        <w:pStyle w:val="0"/>
        <w:spacing w:before="200" w:line-rule="auto"/>
        <w:ind w:firstLine="540"/>
        <w:jc w:val="both"/>
      </w:pPr>
      <w:r>
        <w:rPr>
          <w:sz w:val="20"/>
        </w:rPr>
        <w:t xml:space="preserve">по теме проекта "Факты, связанные с историей Новгорода XVIII - XX веков" субсидия предоставляется в объеме запрашиваемой суммы субсидии, но не более 24,1 % от общего объема субсидии, предусмотренного государственной программой;</w:t>
      </w:r>
    </w:p>
    <w:p>
      <w:pPr>
        <w:pStyle w:val="0"/>
        <w:spacing w:before="200" w:line-rule="auto"/>
        <w:ind w:firstLine="540"/>
        <w:jc w:val="both"/>
      </w:pPr>
      <w:r>
        <w:rPr>
          <w:sz w:val="20"/>
        </w:rPr>
        <w:t xml:space="preserve">по теме проекта "Писатели и поэты Новгородской области" субсидия предоставляется в объеме запрашиваемой суммы субсидии, но не более 11,2 % от общего объема субсидии, предусмотренного государственной программой.</w:t>
      </w:r>
    </w:p>
    <w:p>
      <w:pPr>
        <w:pStyle w:val="0"/>
        <w:spacing w:before="200" w:line-rule="auto"/>
        <w:ind w:firstLine="540"/>
        <w:jc w:val="both"/>
      </w:pPr>
      <w:r>
        <w:rPr>
          <w:sz w:val="20"/>
        </w:rPr>
        <w:t xml:space="preserve">20. В течение 5 календарных дней со дня направления уведомления участникам конкурса в соответствии с </w:t>
      </w:r>
      <w:hyperlink w:history="0" w:anchor="P137" w:tooltip="17. В течение 14 календарных дней со дня принятия решения о предоставлении субсидии или об отказе в предоставлении субсидии министерство:">
        <w:r>
          <w:rPr>
            <w:sz w:val="20"/>
            <w:color w:val="0000ff"/>
          </w:rPr>
          <w:t xml:space="preserve">пунктом 17</w:t>
        </w:r>
      </w:hyperlink>
      <w:r>
        <w:rPr>
          <w:sz w:val="20"/>
        </w:rPr>
        <w:t xml:space="preserve"> настоящего Порядка министерство направляет получателям субсидии подписанное со стороны министерства соглашение в двух экземплярах.</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главным распорядителем бюджетных средств, предоставившим субсидию, проверок соблюдения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получателем субсидии и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35" w:tooltip="2. Министерство культуры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текущий финансовый год и на плановый период.">
        <w:r>
          <w:rPr>
            <w:sz w:val="20"/>
            <w:color w:val="0000ff"/>
          </w:rPr>
          <w:t xml:space="preserve">пункте 2</w:t>
        </w:r>
      </w:hyperlink>
      <w:r>
        <w:rPr>
          <w:sz w:val="20"/>
        </w:rPr>
        <w:t xml:space="preserve"> настоящего Порядка, в текущем финансовом году,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сроки и форма представления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порядок и сроки возврата субсидии (остатков субсидии) в областной бюджет в случае образования не использованного в отчетном финансовом году остатка субсидии и отсутствия решения министерства, принятого по согласованию с министерством финансов Новгородской области, о наличии потребности в указанных средствах;</w:t>
      </w:r>
    </w:p>
    <w:p>
      <w:pPr>
        <w:pStyle w:val="0"/>
        <w:spacing w:before="200" w:line-rule="auto"/>
        <w:ind w:firstLine="540"/>
        <w:jc w:val="both"/>
      </w:pPr>
      <w:r>
        <w:rPr>
          <w:sz w:val="20"/>
        </w:rPr>
        <w:t xml:space="preserve">порядок и сроки представления отчетности о достижении значений результатов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значения результата предоставления субсидии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21. Субсидии предоставляются в пределах лимитов бюджетных обязательств, доведенных министерству как получателю средств областного бюджета на цели, указанные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 в текущем финансовом году. В случае уменьшения лимитов бюджетных обязательств, предусмотренных на указанные цели, размер субсидии каждому получателю субсидии подлежит сокращению пропорционально утвержденным лимитам бюджетных обязательств.</w:t>
      </w:r>
    </w:p>
    <w:bookmarkStart w:id="160" w:name="P160"/>
    <w:bookmarkEnd w:id="160"/>
    <w:p>
      <w:pPr>
        <w:pStyle w:val="0"/>
        <w:spacing w:before="200" w:line-rule="auto"/>
        <w:ind w:firstLine="540"/>
        <w:jc w:val="both"/>
      </w:pPr>
      <w:r>
        <w:rPr>
          <w:sz w:val="20"/>
        </w:rPr>
        <w:t xml:space="preserve">22. Подписанный экземпляр соглашения возвращается получателем субсидии в министерство в течение 7 календарных дней со дня получения соглашения.</w:t>
      </w:r>
    </w:p>
    <w:p>
      <w:pPr>
        <w:pStyle w:val="0"/>
        <w:spacing w:before="200" w:line-rule="auto"/>
        <w:ind w:firstLine="540"/>
        <w:jc w:val="both"/>
      </w:pPr>
      <w:r>
        <w:rPr>
          <w:sz w:val="20"/>
        </w:rPr>
        <w:t xml:space="preserve">23. В случаях неполучения от получателя субсидии подписанного экземпляра соглашения в срок, предусмотренный </w:t>
      </w:r>
      <w:hyperlink w:history="0" w:anchor="P160" w:tooltip="22. Подписанный экземпляр соглашения возвращается получателем субсидии в министерство в течение 7 календарных дней со дня получения соглашения.">
        <w:r>
          <w:rPr>
            <w:sz w:val="20"/>
            <w:color w:val="0000ff"/>
          </w:rPr>
          <w:t xml:space="preserve">пунктом 22</w:t>
        </w:r>
      </w:hyperlink>
      <w:r>
        <w:rPr>
          <w:sz w:val="20"/>
        </w:rPr>
        <w:t xml:space="preserve"> настоящего Порядка, или получения от получателя субсидии письменного отказа от подписания соглашения министерством принимается решение об отмене ранее принятого решения о предоставлении субсидии, которое оформляется приказом министерства. Решение принимается в течение 5 календарных дней со дня истечения срока представления соглашения или получения от получателя субсидии письменного отказа от подписания соглашения. Министерство направляет получателю субсидии уведомление почтовым отправлением или иным способом, обеспечивающим подтверждение получения уведомления о принятом решении, в течение 5 рабочих дней со дня его принятия.</w:t>
      </w:r>
    </w:p>
    <w:p>
      <w:pPr>
        <w:pStyle w:val="0"/>
        <w:spacing w:before="200" w:line-rule="auto"/>
        <w:ind w:firstLine="540"/>
        <w:jc w:val="both"/>
      </w:pPr>
      <w:r>
        <w:rPr>
          <w:sz w:val="20"/>
        </w:rPr>
        <w:t xml:space="preserve">Одновременно с принятием решения об отмене ранее принятого решения о предоставлении субсидии министерство принимает решение о предоставлении субсидии участникам конкурса, которым комиссией присвоены порядковые номера после порядковых номеров победителей конкурса в порядке убывания суммарного количества присвоенных участникам конкурса баллов. Принятое решение оформляется приказом министерства. Министерство направляет участнику конкурса уведомление о принятом решении в течение 5 рабочих дней со дня его принятия почтовым отправлением или иным способом, обеспечивающим подтверждение получения уведомления о принятом решении.</w:t>
      </w:r>
    </w:p>
    <w:p>
      <w:pPr>
        <w:pStyle w:val="0"/>
        <w:spacing w:before="200" w:line-rule="auto"/>
        <w:ind w:firstLine="540"/>
        <w:jc w:val="both"/>
      </w:pPr>
      <w:r>
        <w:rPr>
          <w:sz w:val="20"/>
        </w:rPr>
        <w:t xml:space="preserve">24. В случае получения подписанного экземпляра соглашения перечисление субсидии получателю субсидии осуществляется министерством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течение 10 календарных дней со дня поступления денежных средств на лицевой счет министерства, открытый в Управлении Федерального казначейства по Новгородской области.</w:t>
      </w:r>
    </w:p>
    <w:bookmarkStart w:id="164" w:name="P164"/>
    <w:bookmarkEnd w:id="164"/>
    <w:p>
      <w:pPr>
        <w:pStyle w:val="0"/>
        <w:spacing w:before="200" w:line-rule="auto"/>
        <w:ind w:firstLine="540"/>
        <w:jc w:val="both"/>
      </w:pPr>
      <w:r>
        <w:rPr>
          <w:sz w:val="20"/>
        </w:rPr>
        <w:t xml:space="preserve">В период действия соглашения в него могут быть внесены изменения путем заключения дополнительного соглашения к нему.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направившую, о согласии заключения дополнительного соглашения либо направляет мотивированный отказ от заключения дополнительного соглашения.</w:t>
      </w:r>
    </w:p>
    <w:p>
      <w:pPr>
        <w:pStyle w:val="0"/>
        <w:spacing w:before="200" w:line-rule="auto"/>
        <w:ind w:firstLine="540"/>
        <w:jc w:val="both"/>
      </w:pPr>
      <w:r>
        <w:rPr>
          <w:sz w:val="20"/>
        </w:rPr>
        <w:t xml:space="preserve">При наличии согласия сторон о заключении дополнительного соглашения стороны заключают дополнительное соглашение не позднее 10 календарных дней со дня окончания срока, указанного во </w:t>
      </w:r>
      <w:hyperlink w:history="0" w:anchor="P164" w:tooltip="В период действия соглашения в него могут быть внесены изменения путем заключения дополнительного соглашения к нему.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5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
        <w:r>
          <w:rPr>
            <w:sz w:val="20"/>
            <w:color w:val="0000ff"/>
          </w:rPr>
          <w:t xml:space="preserve">втором абзаце</w:t>
        </w:r>
      </w:hyperlink>
      <w:r>
        <w:rPr>
          <w:sz w:val="20"/>
        </w:rPr>
        <w:t xml:space="preserve"> настоящего пункта.</w:t>
      </w:r>
    </w:p>
    <w:p>
      <w:pPr>
        <w:pStyle w:val="0"/>
        <w:spacing w:before="200" w:line-rule="auto"/>
        <w:ind w:firstLine="540"/>
        <w:jc w:val="both"/>
      </w:pPr>
      <w:r>
        <w:rPr>
          <w:sz w:val="20"/>
        </w:rPr>
        <w:t xml:space="preserve">Типовая форма соглашения, дополнительного соглашения к нему утверждается приказом министерства финансов Новгородской области.</w:t>
      </w:r>
    </w:p>
    <w:p>
      <w:pPr>
        <w:pStyle w:val="0"/>
        <w:spacing w:before="200" w:line-rule="auto"/>
        <w:ind w:firstLine="540"/>
        <w:jc w:val="both"/>
      </w:pPr>
      <w:r>
        <w:rPr>
          <w:sz w:val="20"/>
        </w:rPr>
        <w:t xml:space="preserve">Перечисление субсидий по решениям, принятым в текущем финансовом году, заканчивается 31 декабря текущего финансового года.</w:t>
      </w:r>
    </w:p>
    <w:p>
      <w:pPr>
        <w:pStyle w:val="0"/>
        <w:spacing w:before="200" w:line-rule="auto"/>
        <w:ind w:firstLine="540"/>
        <w:jc w:val="both"/>
      </w:pPr>
      <w:r>
        <w:rPr>
          <w:sz w:val="20"/>
        </w:rPr>
        <w:t xml:space="preserve">25. При реализации заявленного для получения субсидии проекта получатель субсидии вправе направлять средства субсидии на следующие виды расходов:</w:t>
      </w:r>
    </w:p>
    <w:p>
      <w:pPr>
        <w:pStyle w:val="0"/>
        <w:spacing w:before="200" w:line-rule="auto"/>
        <w:ind w:firstLine="540"/>
        <w:jc w:val="both"/>
      </w:pPr>
      <w:r>
        <w:rPr>
          <w:sz w:val="20"/>
        </w:rPr>
        <w:t xml:space="preserve">оплата труда лицам, привлекаемым к реализации проекта;</w:t>
      </w:r>
    </w:p>
    <w:p>
      <w:pPr>
        <w:pStyle w:val="0"/>
        <w:spacing w:before="200" w:line-rule="auto"/>
        <w:ind w:firstLine="540"/>
        <w:jc w:val="both"/>
      </w:pPr>
      <w:r>
        <w:rPr>
          <w:sz w:val="20"/>
        </w:rPr>
        <w:t xml:space="preserve">оплата услуг связи, почтовых, банковских услуг, услуг предоставления доступа к информационно-телекоммуникационной сети "Интернет", приобретение канцелярских принадлежностей, приобретение компьютерной и оргтехники в целях реализации проекта;</w:t>
      </w:r>
    </w:p>
    <w:p>
      <w:pPr>
        <w:pStyle w:val="0"/>
        <w:spacing w:before="200" w:line-rule="auto"/>
        <w:ind w:firstLine="540"/>
        <w:jc w:val="both"/>
      </w:pPr>
      <w:r>
        <w:rPr>
          <w:sz w:val="20"/>
        </w:rPr>
        <w:t xml:space="preserve">аренда помещений, транспорта, аппаратуры, необходимых для реализации заявленного проекта;</w:t>
      </w:r>
    </w:p>
    <w:p>
      <w:pPr>
        <w:pStyle w:val="0"/>
        <w:spacing w:before="200" w:line-rule="auto"/>
        <w:ind w:firstLine="540"/>
        <w:jc w:val="both"/>
      </w:pPr>
      <w:r>
        <w:rPr>
          <w:sz w:val="20"/>
        </w:rPr>
        <w:t xml:space="preserve">оплата договоров, предметом которых являются организация и (или) проведение мероприятий, необходимых для заявленного проекта, услуги по тиражированию, оплата издательских и типографских услуг для реализации проекта;</w:t>
      </w:r>
    </w:p>
    <w:p>
      <w:pPr>
        <w:pStyle w:val="0"/>
        <w:spacing w:before="200" w:line-rule="auto"/>
        <w:ind w:firstLine="540"/>
        <w:jc w:val="both"/>
      </w:pPr>
      <w:r>
        <w:rPr>
          <w:sz w:val="20"/>
        </w:rPr>
        <w:t xml:space="preserve">оплата услуг, выполненных сторонними исполнителями в целях реализации проекта;</w:t>
      </w:r>
    </w:p>
    <w:p>
      <w:pPr>
        <w:pStyle w:val="0"/>
        <w:spacing w:before="200" w:line-rule="auto"/>
        <w:ind w:firstLine="540"/>
        <w:jc w:val="both"/>
      </w:pPr>
      <w:r>
        <w:rPr>
          <w:sz w:val="20"/>
        </w:rPr>
        <w:t xml:space="preserve">подготовка и издание информационных материалов в целях реализации проекта.</w:t>
      </w:r>
    </w:p>
    <w:p>
      <w:pPr>
        <w:pStyle w:val="0"/>
        <w:spacing w:before="200" w:line-rule="auto"/>
        <w:ind w:firstLine="540"/>
        <w:jc w:val="both"/>
      </w:pPr>
      <w:r>
        <w:rPr>
          <w:sz w:val="20"/>
        </w:rPr>
        <w:t xml:space="preserve">26. При реализации заявленных для получения субсидии проектов получателю субсидии запрещается направлять средства субсидии на следующие виды расходов:</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планом реализации проекта;</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оказание материальной помощи;</w:t>
      </w:r>
    </w:p>
    <w:p>
      <w:pPr>
        <w:pStyle w:val="0"/>
        <w:spacing w:before="200" w:line-rule="auto"/>
        <w:ind w:firstLine="540"/>
        <w:jc w:val="both"/>
      </w:pPr>
      <w:r>
        <w:rPr>
          <w:sz w:val="20"/>
        </w:rPr>
        <w:t xml:space="preserve">расходы на поддержку политических партий и кампаний;</w:t>
      </w:r>
    </w:p>
    <w:p>
      <w:pPr>
        <w:pStyle w:val="0"/>
        <w:spacing w:before="200" w:line-rule="auto"/>
        <w:ind w:firstLine="540"/>
        <w:jc w:val="both"/>
      </w:pPr>
      <w:r>
        <w:rPr>
          <w:sz w:val="20"/>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27. Получатель субсидии представляет в министерство не позднее 25 января года, следующего за годом предоставления субсидии,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определенной соглашением.</w:t>
      </w:r>
    </w:p>
    <w:p>
      <w:pPr>
        <w:pStyle w:val="0"/>
        <w:spacing w:before="200" w:line-rule="auto"/>
        <w:ind w:firstLine="540"/>
        <w:jc w:val="both"/>
      </w:pPr>
      <w:r>
        <w:rPr>
          <w:sz w:val="20"/>
        </w:rPr>
        <w:t xml:space="preserve">Получатель субсидии представляет в министерство ежеквартально до 10 числа месяца, следующего за отчетным кварталом, отчет об осуществлении расходов, источником финансового обеспечения которых является субсидия, по форме, определенной соглашением. К отчету прилагаются заверенные получателем субсидии копии договоров, платежных поручений, счетов и иных документов, подтверждающих затраты получателя субсидии на реализацию проекта.</w:t>
      </w:r>
    </w:p>
    <w:p>
      <w:pPr>
        <w:pStyle w:val="0"/>
        <w:spacing w:before="200" w:line-rule="auto"/>
        <w:ind w:firstLine="540"/>
        <w:jc w:val="both"/>
      </w:pPr>
      <w:r>
        <w:rPr>
          <w:sz w:val="20"/>
        </w:rPr>
        <w:t xml:space="preserve">28. В отношении организаций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Министерством - проверки соблюдения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проводит мониторинг достижения результата предоставления субсидии, указанного в </w:t>
      </w:r>
      <w:hyperlink w:history="0" w:anchor="P38" w:tooltip="4. Субсидии предоставляются СОНКО на финансовое обеспечение части затрат в связи с выполнением работ по подготовке информационно-аналитических материалов (далее проект) по следующим темам:">
        <w:r>
          <w:rPr>
            <w:sz w:val="20"/>
            <w:color w:val="0000ff"/>
          </w:rPr>
          <w:t xml:space="preserve">пункте 4</w:t>
        </w:r>
      </w:hyperlink>
      <w:r>
        <w:rPr>
          <w:sz w:val="20"/>
        </w:rPr>
        <w:t xml:space="preserve"> настоящего Порядка,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Субсидия подлежит возврату в областной бюджет:</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w:t>
      </w:r>
    </w:p>
    <w:p>
      <w:pPr>
        <w:pStyle w:val="0"/>
        <w:spacing w:before="200" w:line-rule="auto"/>
        <w:ind w:firstLine="540"/>
        <w:jc w:val="both"/>
      </w:pPr>
      <w:r>
        <w:rPr>
          <w:sz w:val="20"/>
        </w:rPr>
        <w:t xml:space="preserve">в случае недостижения в отчетном финансовом году значений результата предоставления субсидии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в случае отсутствия решения министерства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субсидии.</w:t>
      </w:r>
    </w:p>
    <w:p>
      <w:pPr>
        <w:pStyle w:val="0"/>
        <w:spacing w:before="200" w:line-rule="auto"/>
        <w:ind w:firstLine="540"/>
        <w:jc w:val="both"/>
      </w:pPr>
      <w:r>
        <w:rPr>
          <w:sz w:val="20"/>
        </w:rPr>
        <w:t xml:space="preserve">На основании:</w:t>
      </w:r>
    </w:p>
    <w:p>
      <w:pPr>
        <w:pStyle w:val="0"/>
        <w:spacing w:before="200" w:line-rule="auto"/>
        <w:ind w:firstLine="540"/>
        <w:jc w:val="both"/>
      </w:pPr>
      <w:r>
        <w:rPr>
          <w:sz w:val="20"/>
        </w:rPr>
        <w:t xml:space="preserve">требования министерства - не позднее десятого рабочего дня со дня получения его получателем субсидии;</w:t>
      </w:r>
    </w:p>
    <w:p>
      <w:pPr>
        <w:pStyle w:val="0"/>
        <w:spacing w:before="200" w:line-rule="auto"/>
        <w:ind w:firstLine="540"/>
        <w:jc w:val="both"/>
      </w:pPr>
      <w:r>
        <w:rPr>
          <w:sz w:val="20"/>
        </w:rPr>
        <w:t xml:space="preserve">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требование о возврате субсидии в областной бюджет в письменной форме направляется министерством получателю субсидии в течение 5 рабочих дней со дня выявления нарушения министерством.</w:t>
      </w:r>
    </w:p>
    <w:p>
      <w:pPr>
        <w:pStyle w:val="0"/>
        <w:spacing w:before="200" w:line-rule="auto"/>
        <w:ind w:firstLine="540"/>
        <w:jc w:val="both"/>
      </w:pPr>
      <w:r>
        <w:rPr>
          <w:sz w:val="20"/>
        </w:rPr>
        <w:t xml:space="preserve">В случае недостижения в отчетном финансовом году значений результата предоставления субсидии и показателя, необходимого для достижения результата предоставления субсидии, требование о возврате субсидии в областной бюджет в письменной форме направляется министерством получателю субсидии не позднее 15 февраля следующего финансового года.</w:t>
      </w:r>
    </w:p>
    <w:p>
      <w:pPr>
        <w:pStyle w:val="0"/>
        <w:spacing w:before="200" w:line-rule="auto"/>
        <w:ind w:firstLine="540"/>
        <w:jc w:val="both"/>
      </w:pPr>
      <w:r>
        <w:rPr>
          <w:sz w:val="20"/>
        </w:rPr>
        <w:t xml:space="preserve">В случае отсутствия решения министерства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субсидии, требование о возврате субсидии в областной бюджет в письменной форме направляется министерством получателю субсидии не позднее 15 февраля следующего финансового года.</w:t>
      </w:r>
    </w:p>
    <w:p>
      <w:pPr>
        <w:pStyle w:val="0"/>
        <w:spacing w:before="200" w:line-rule="auto"/>
        <w:ind w:firstLine="540"/>
        <w:jc w:val="both"/>
      </w:pPr>
      <w:r>
        <w:rPr>
          <w:sz w:val="20"/>
        </w:rPr>
        <w:t xml:space="preserve">Требование о возврате субсидии в областной бюджет в письменной форме направляется министерством иному лицу в течение 10 рабочих дней со дня выявления нарушения министерством.</w:t>
      </w:r>
    </w:p>
    <w:p>
      <w:pPr>
        <w:pStyle w:val="0"/>
        <w:spacing w:before="200" w:line-rule="auto"/>
        <w:ind w:firstLine="540"/>
        <w:jc w:val="both"/>
      </w:pPr>
      <w:r>
        <w:rPr>
          <w:sz w:val="20"/>
        </w:rPr>
        <w:t xml:space="preserve">Возврат денежных средств в областной бюджет осуществляется получателем субсидии, иным лицом в добровольном порядке или по решению суда на расчетный счет, указанный в требовании.</w:t>
      </w:r>
    </w:p>
    <w:p>
      <w:pPr>
        <w:pStyle w:val="0"/>
        <w:spacing w:before="200" w:line-rule="auto"/>
        <w:ind w:firstLine="540"/>
        <w:jc w:val="both"/>
      </w:pPr>
      <w:r>
        <w:rPr>
          <w:sz w:val="20"/>
        </w:rPr>
        <w:t xml:space="preserve">Получатель субсидии, иное лицо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pPr>
        <w:pStyle w:val="0"/>
        <w:spacing w:before="200" w:line-rule="auto"/>
        <w:ind w:firstLine="540"/>
        <w:jc w:val="both"/>
      </w:pPr>
      <w:r>
        <w:rPr>
          <w:sz w:val="20"/>
        </w:rPr>
        <w:t xml:space="preserve">Основанием для освобождения получателей субсидий от применения мер ответственности является документально подтвержденное наступление следующих обстоятельств непреодолимой силы, то есть чрезвычайных и непредотвратимых при данных условиях обстоятельств, препятствующих исполнению соответствующих обязательств.</w:t>
      </w:r>
    </w:p>
    <w:p>
      <w:pPr>
        <w:pStyle w:val="0"/>
        <w:spacing w:before="200" w:line-rule="auto"/>
        <w:ind w:firstLine="540"/>
        <w:jc w:val="both"/>
      </w:pPr>
      <w:r>
        <w:rPr>
          <w:sz w:val="20"/>
        </w:rPr>
        <w:t xml:space="preserve">29. Контроль за целевым использованием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выполнение работ по подготовке</w:t>
      </w:r>
    </w:p>
    <w:p>
      <w:pPr>
        <w:pStyle w:val="0"/>
        <w:jc w:val="right"/>
      </w:pPr>
      <w:r>
        <w:rPr>
          <w:sz w:val="20"/>
        </w:rPr>
        <w:t xml:space="preserve">информационно-аналитических материалов</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686"/>
        <w:gridCol w:w="687"/>
        <w:gridCol w:w="357"/>
        <w:gridCol w:w="651"/>
        <w:gridCol w:w="1020"/>
        <w:gridCol w:w="995"/>
        <w:gridCol w:w="705"/>
        <w:gridCol w:w="1022"/>
        <w:gridCol w:w="654"/>
        <w:gridCol w:w="1587"/>
      </w:tblGrid>
      <w:tr>
        <w:tblPrEx>
          <w:tblBorders>
            <w:insideV w:val="nil"/>
            <w:insideH w:val="nil"/>
          </w:tblBorders>
        </w:tblPrEx>
        <w:tc>
          <w:tcPr>
            <w:gridSpan w:val="7"/>
            <w:tcW w:w="5076" w:type="dxa"/>
            <w:tcBorders>
              <w:top w:val="nil"/>
              <w:bottom w:val="nil"/>
            </w:tcBorders>
          </w:tcPr>
          <w:p>
            <w:pPr>
              <w:pStyle w:val="0"/>
            </w:pPr>
            <w:r>
              <w:rPr>
                <w:sz w:val="20"/>
              </w:rPr>
              <w:t xml:space="preserve">На бланке социально ориентированной</w:t>
            </w:r>
          </w:p>
          <w:p>
            <w:pPr>
              <w:pStyle w:val="0"/>
            </w:pPr>
            <w:r>
              <w:rPr>
                <w:sz w:val="20"/>
              </w:rPr>
              <w:t xml:space="preserve">некоммерческой организации</w:t>
            </w:r>
          </w:p>
          <w:p>
            <w:pPr>
              <w:pStyle w:val="0"/>
            </w:pPr>
            <w:r>
              <w:rPr>
                <w:sz w:val="20"/>
              </w:rPr>
              <w:t xml:space="preserve">(при наличии)</w:t>
            </w:r>
          </w:p>
        </w:tc>
        <w:tc>
          <w:tcPr>
            <w:gridSpan w:val="4"/>
            <w:tcW w:w="3968" w:type="dxa"/>
            <w:tcBorders>
              <w:top w:val="nil"/>
              <w:bottom w:val="nil"/>
            </w:tcBorders>
          </w:tcPr>
          <w:p>
            <w:pPr>
              <w:pStyle w:val="0"/>
              <w:jc w:val="right"/>
            </w:pPr>
            <w:r>
              <w:rPr>
                <w:sz w:val="20"/>
              </w:rPr>
              <w:t xml:space="preserve">Министерство культуры</w:t>
            </w:r>
          </w:p>
          <w:p>
            <w:pPr>
              <w:pStyle w:val="0"/>
              <w:jc w:val="right"/>
            </w:pPr>
            <w:r>
              <w:rPr>
                <w:sz w:val="20"/>
              </w:rPr>
              <w:t xml:space="preserve">Новгородской области</w:t>
            </w:r>
          </w:p>
        </w:tc>
      </w:tr>
      <w:tr>
        <w:tblPrEx>
          <w:tblBorders>
            <w:insideH w:val="nil"/>
          </w:tblBorders>
        </w:tblPrEx>
        <w:tc>
          <w:tcPr>
            <w:gridSpan w:val="11"/>
            <w:tcW w:w="9044" w:type="dxa"/>
            <w:tcBorders>
              <w:top w:val="nil"/>
              <w:left w:val="nil"/>
              <w:bottom w:val="nil"/>
              <w:right w:val="nil"/>
            </w:tcBorders>
          </w:tcPr>
          <w:bookmarkStart w:id="221" w:name="P221"/>
          <w:bookmarkEnd w:id="221"/>
          <w:p>
            <w:pPr>
              <w:pStyle w:val="0"/>
              <w:jc w:val="center"/>
            </w:pPr>
            <w:r>
              <w:rPr>
                <w:sz w:val="20"/>
              </w:rPr>
              <w:t xml:space="preserve">ЗАЯВКА</w:t>
            </w:r>
          </w:p>
        </w:tc>
      </w:tr>
      <w:tr>
        <w:tblPrEx>
          <w:tblBorders>
            <w:insideV w:val="nil"/>
            <w:insideH w:val="nil"/>
          </w:tblBorders>
        </w:tblPrEx>
        <w:tc>
          <w:tcPr>
            <w:gridSpan w:val="2"/>
            <w:tcW w:w="1366" w:type="dxa"/>
            <w:tcBorders>
              <w:top w:val="nil"/>
              <w:bottom w:val="nil"/>
            </w:tcBorders>
          </w:tcPr>
          <w:p>
            <w:pPr>
              <w:pStyle w:val="0"/>
            </w:pPr>
            <w:r>
              <w:rPr>
                <w:sz w:val="20"/>
              </w:rPr>
              <w:t xml:space="preserve">на участие</w:t>
            </w:r>
          </w:p>
        </w:tc>
        <w:tc>
          <w:tcPr>
            <w:gridSpan w:val="9"/>
            <w:tcW w:w="7678" w:type="dxa"/>
            <w:tcBorders>
              <w:top w:val="nil"/>
            </w:tcBorders>
          </w:tcPr>
          <w:p>
            <w:pPr>
              <w:pStyle w:val="0"/>
            </w:pPr>
            <w:r>
              <w:rPr>
                <w:sz w:val="20"/>
              </w:rPr>
            </w:r>
          </w:p>
        </w:tc>
      </w:tr>
      <w:tr>
        <w:tblPrEx>
          <w:tblBorders>
            <w:insideV w:val="nil"/>
            <w:insideH w:val="nil"/>
          </w:tblBorders>
        </w:tblPrEx>
        <w:tc>
          <w:tcPr>
            <w:gridSpan w:val="2"/>
            <w:tcW w:w="1366" w:type="dxa"/>
            <w:tcBorders>
              <w:top w:val="nil"/>
              <w:bottom w:val="nil"/>
            </w:tcBorders>
          </w:tcPr>
          <w:p>
            <w:pPr>
              <w:pStyle w:val="0"/>
            </w:pPr>
            <w:r>
              <w:rPr>
                <w:sz w:val="20"/>
              </w:rPr>
            </w:r>
          </w:p>
        </w:tc>
        <w:tc>
          <w:tcPr>
            <w:gridSpan w:val="9"/>
            <w:tcW w:w="7678" w:type="dxa"/>
            <w:tcBorders>
              <w:bottom w:val="nil"/>
            </w:tcBorders>
          </w:tcPr>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tc>
      </w:tr>
      <w:tr>
        <w:tblPrEx>
          <w:tblBorders>
            <w:insideH w:val="nil"/>
          </w:tblBorders>
        </w:tblPrEx>
        <w:tc>
          <w:tcPr>
            <w:gridSpan w:val="11"/>
            <w:tcW w:w="9044" w:type="dxa"/>
            <w:tcBorders>
              <w:top w:val="nil"/>
              <w:left w:val="nil"/>
              <w:bottom w:val="nil"/>
              <w:right w:val="nil"/>
            </w:tcBorders>
          </w:tcPr>
          <w:p>
            <w:pPr>
              <w:pStyle w:val="0"/>
              <w:jc w:val="both"/>
            </w:pPr>
            <w:r>
              <w:rPr>
                <w:sz w:val="20"/>
              </w:rPr>
              <w:t xml:space="preserve">в конкурсе социально ориентированных некоммерческих организаций в целях получения субсидии на выполнение работ по подготовке</w:t>
            </w:r>
          </w:p>
        </w:tc>
      </w:tr>
      <w:tr>
        <w:tblPrEx>
          <w:tblBorders>
            <w:insideV w:val="nil"/>
            <w:insideH w:val="nil"/>
          </w:tblBorders>
        </w:tblPrEx>
        <w:tc>
          <w:tcPr>
            <w:gridSpan w:val="8"/>
            <w:tcW w:w="5781" w:type="dxa"/>
            <w:tcBorders>
              <w:top w:val="nil"/>
              <w:bottom w:val="nil"/>
            </w:tcBorders>
          </w:tcPr>
          <w:p>
            <w:pPr>
              <w:pStyle w:val="0"/>
            </w:pPr>
            <w:r>
              <w:rPr>
                <w:sz w:val="20"/>
              </w:rPr>
              <w:t xml:space="preserve">информационно-аналитических материалов по теме</w:t>
            </w:r>
          </w:p>
        </w:tc>
        <w:tc>
          <w:tcPr>
            <w:gridSpan w:val="3"/>
            <w:tcW w:w="3263" w:type="dxa"/>
            <w:tcBorders>
              <w:top w:val="nil"/>
            </w:tcBorders>
          </w:tcPr>
          <w:p>
            <w:pPr>
              <w:pStyle w:val="0"/>
            </w:pPr>
            <w:r>
              <w:rPr>
                <w:sz w:val="20"/>
              </w:rPr>
            </w:r>
          </w:p>
        </w:tc>
      </w:tr>
      <w:tr>
        <w:tblPrEx>
          <w:tblBorders>
            <w:insideH w:val="nil"/>
          </w:tblBorders>
        </w:tblPrEx>
        <w:tc>
          <w:tcPr>
            <w:gridSpan w:val="11"/>
            <w:tcW w:w="9044"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tcPr>
          <w:p>
            <w:pPr>
              <w:pStyle w:val="0"/>
              <w:jc w:val="center"/>
            </w:pPr>
            <w:r>
              <w:rPr>
                <w:sz w:val="20"/>
              </w:rPr>
              <w:t xml:space="preserve">N п/п</w:t>
            </w:r>
          </w:p>
        </w:tc>
        <w:tc>
          <w:tcPr>
            <w:gridSpan w:val="8"/>
            <w:tcW w:w="6123" w:type="dxa"/>
            <w:vAlign w:val="center"/>
          </w:tcPr>
          <w:p>
            <w:pPr>
              <w:pStyle w:val="0"/>
              <w:jc w:val="center"/>
            </w:pPr>
            <w:r>
              <w:rPr>
                <w:sz w:val="20"/>
              </w:rPr>
              <w:t xml:space="preserve">Наименование представляемых сведений</w:t>
            </w:r>
          </w:p>
        </w:tc>
        <w:tc>
          <w:tcPr>
            <w:gridSpan w:val="2"/>
            <w:tcW w:w="2241" w:type="dxa"/>
            <w:vAlign w:val="center"/>
          </w:tcPr>
          <w:p>
            <w:pPr>
              <w:pStyle w:val="0"/>
              <w:jc w:val="center"/>
            </w:pPr>
            <w:r>
              <w:rPr>
                <w:sz w:val="20"/>
              </w:rPr>
              <w:t xml:space="preserve">Представляемые сведения</w:t>
            </w:r>
          </w:p>
        </w:tc>
      </w:tr>
      <w:tr>
        <w:tblPrEx>
          <w:tblBorders>
            <w:left w:val="single" w:sz="4"/>
            <w:right w:val="single" w:sz="4"/>
          </w:tblBorders>
        </w:tblPrEx>
        <w:tc>
          <w:tcPr>
            <w:tcW w:w="680" w:type="dxa"/>
          </w:tcPr>
          <w:p>
            <w:pPr>
              <w:pStyle w:val="0"/>
              <w:jc w:val="center"/>
            </w:pPr>
            <w:r>
              <w:rPr>
                <w:sz w:val="20"/>
              </w:rPr>
              <w:t xml:space="preserve">1.</w:t>
            </w:r>
          </w:p>
        </w:tc>
        <w:tc>
          <w:tcPr>
            <w:gridSpan w:val="10"/>
            <w:tcW w:w="8364" w:type="dxa"/>
          </w:tcPr>
          <w:p>
            <w:pPr>
              <w:pStyle w:val="0"/>
            </w:pPr>
            <w:r>
              <w:rPr>
                <w:sz w:val="20"/>
              </w:rPr>
              <w:t xml:space="preserve">Сведения о социально ориентированной некоммерческой организации (далее СОНКО)</w:t>
            </w:r>
          </w:p>
        </w:tc>
      </w:tr>
      <w:tr>
        <w:tblPrEx>
          <w:tblBorders>
            <w:left w:val="single" w:sz="4"/>
            <w:right w:val="single" w:sz="4"/>
          </w:tblBorders>
        </w:tblPrEx>
        <w:tc>
          <w:tcPr>
            <w:tcW w:w="680" w:type="dxa"/>
          </w:tcPr>
          <w:p>
            <w:pPr>
              <w:pStyle w:val="0"/>
              <w:jc w:val="center"/>
            </w:pPr>
            <w:r>
              <w:rPr>
                <w:sz w:val="20"/>
              </w:rPr>
              <w:t xml:space="preserve">1.1.</w:t>
            </w:r>
          </w:p>
        </w:tc>
        <w:tc>
          <w:tcPr>
            <w:gridSpan w:val="8"/>
            <w:tcW w:w="6123" w:type="dxa"/>
          </w:tcPr>
          <w:p>
            <w:pPr>
              <w:pStyle w:val="0"/>
            </w:pPr>
            <w:r>
              <w:rPr>
                <w:sz w:val="20"/>
              </w:rPr>
              <w:t xml:space="preserve">Наименование (полное, сокращенное)</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1.2.</w:t>
            </w:r>
          </w:p>
        </w:tc>
        <w:tc>
          <w:tcPr>
            <w:gridSpan w:val="8"/>
            <w:tcW w:w="6123" w:type="dxa"/>
          </w:tcPr>
          <w:p>
            <w:pPr>
              <w:pStyle w:val="0"/>
            </w:pPr>
            <w:r>
              <w:rPr>
                <w:sz w:val="20"/>
              </w:rPr>
              <w:t xml:space="preserve">Организационно-правовая форма</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1.3.</w:t>
            </w:r>
          </w:p>
        </w:tc>
        <w:tc>
          <w:tcPr>
            <w:gridSpan w:val="8"/>
            <w:tcW w:w="6123" w:type="dxa"/>
          </w:tcPr>
          <w:p>
            <w:pPr>
              <w:pStyle w:val="0"/>
            </w:pPr>
            <w:r>
              <w:rPr>
                <w:sz w:val="20"/>
              </w:rPr>
              <w:t xml:space="preserve">Адрес, место нахождения</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1.4.</w:t>
            </w:r>
          </w:p>
        </w:tc>
        <w:tc>
          <w:tcPr>
            <w:gridSpan w:val="8"/>
            <w:tcW w:w="6123" w:type="dxa"/>
          </w:tcPr>
          <w:p>
            <w:pPr>
              <w:pStyle w:val="0"/>
            </w:pPr>
            <w:r>
              <w:rPr>
                <w:sz w:val="20"/>
              </w:rPr>
              <w:t xml:space="preserve">Должность, фамилия, имя, отчество (при наличии) руководителя СОНКО</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w:t>
            </w:r>
          </w:p>
        </w:tc>
        <w:tc>
          <w:tcPr>
            <w:gridSpan w:val="10"/>
            <w:tcW w:w="8364" w:type="dxa"/>
          </w:tcPr>
          <w:p>
            <w:pPr>
              <w:pStyle w:val="0"/>
            </w:pPr>
            <w:r>
              <w:rPr>
                <w:sz w:val="20"/>
              </w:rPr>
              <w:t xml:space="preserve">Контактная информация</w:t>
            </w:r>
          </w:p>
        </w:tc>
      </w:tr>
      <w:tr>
        <w:tblPrEx>
          <w:tblBorders>
            <w:left w:val="single" w:sz="4"/>
            <w:right w:val="single" w:sz="4"/>
          </w:tblBorders>
        </w:tblPrEx>
        <w:tc>
          <w:tcPr>
            <w:tcW w:w="680" w:type="dxa"/>
          </w:tcPr>
          <w:p>
            <w:pPr>
              <w:pStyle w:val="0"/>
              <w:jc w:val="center"/>
            </w:pPr>
            <w:r>
              <w:rPr>
                <w:sz w:val="20"/>
              </w:rPr>
              <w:t xml:space="preserve">2.1.</w:t>
            </w:r>
          </w:p>
        </w:tc>
        <w:tc>
          <w:tcPr>
            <w:gridSpan w:val="8"/>
            <w:tcW w:w="6123" w:type="dxa"/>
          </w:tcPr>
          <w:p>
            <w:pPr>
              <w:pStyle w:val="0"/>
            </w:pPr>
            <w:r>
              <w:rPr>
                <w:sz w:val="20"/>
              </w:rPr>
              <w:t xml:space="preserve">Номер контактного телефона СОНКО</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2.2.</w:t>
            </w:r>
          </w:p>
        </w:tc>
        <w:tc>
          <w:tcPr>
            <w:gridSpan w:val="8"/>
            <w:tcW w:w="6123" w:type="dxa"/>
          </w:tcPr>
          <w:p>
            <w:pPr>
              <w:pStyle w:val="0"/>
            </w:pPr>
            <w:r>
              <w:rPr>
                <w:sz w:val="20"/>
              </w:rPr>
              <w:t xml:space="preserve">Адрес сайта СОНКО в информационно-телекоммуникационной сети "Интернет" (при наличии)</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2.3.</w:t>
            </w:r>
          </w:p>
        </w:tc>
        <w:tc>
          <w:tcPr>
            <w:gridSpan w:val="8"/>
            <w:tcW w:w="6123" w:type="dxa"/>
          </w:tcPr>
          <w:p>
            <w:pPr>
              <w:pStyle w:val="0"/>
            </w:pPr>
            <w:r>
              <w:rPr>
                <w:sz w:val="20"/>
              </w:rPr>
              <w:t xml:space="preserve">Адрес электронной почты (при наличии)</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2.4.</w:t>
            </w:r>
          </w:p>
        </w:tc>
        <w:tc>
          <w:tcPr>
            <w:gridSpan w:val="8"/>
            <w:tcW w:w="6123" w:type="dxa"/>
          </w:tcPr>
          <w:p>
            <w:pPr>
              <w:pStyle w:val="0"/>
            </w:pPr>
            <w:r>
              <w:rPr>
                <w:sz w:val="20"/>
              </w:rPr>
              <w:t xml:space="preserve">Сведения о контактном лице СОНКО (должность, фамилия, имя, отчество (при наличии), номер контактного телефона, адрес электронной почты (при наличии))</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w:t>
            </w:r>
          </w:p>
        </w:tc>
        <w:tc>
          <w:tcPr>
            <w:gridSpan w:val="10"/>
            <w:tcW w:w="8364" w:type="dxa"/>
          </w:tcPr>
          <w:p>
            <w:pPr>
              <w:pStyle w:val="0"/>
            </w:pPr>
            <w:r>
              <w:rPr>
                <w:sz w:val="20"/>
              </w:rPr>
              <w:t xml:space="preserve">Реквизиты СОНКО</w:t>
            </w:r>
          </w:p>
        </w:tc>
      </w:tr>
      <w:tr>
        <w:tblPrEx>
          <w:tblBorders>
            <w:left w:val="single" w:sz="4"/>
            <w:right w:val="single" w:sz="4"/>
          </w:tblBorders>
        </w:tblPrEx>
        <w:tc>
          <w:tcPr>
            <w:tcW w:w="680" w:type="dxa"/>
          </w:tcPr>
          <w:p>
            <w:pPr>
              <w:pStyle w:val="0"/>
              <w:jc w:val="center"/>
            </w:pPr>
            <w:r>
              <w:rPr>
                <w:sz w:val="20"/>
              </w:rPr>
              <w:t xml:space="preserve">3.1.</w:t>
            </w:r>
          </w:p>
        </w:tc>
        <w:tc>
          <w:tcPr>
            <w:gridSpan w:val="8"/>
            <w:tcW w:w="6123" w:type="dxa"/>
          </w:tcPr>
          <w:p>
            <w:pPr>
              <w:pStyle w:val="0"/>
            </w:pPr>
            <w:r>
              <w:rPr>
                <w:sz w:val="20"/>
              </w:rPr>
              <w:t xml:space="preserve">ИНН</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3.2.</w:t>
            </w:r>
          </w:p>
        </w:tc>
        <w:tc>
          <w:tcPr>
            <w:gridSpan w:val="8"/>
            <w:tcW w:w="6123" w:type="dxa"/>
          </w:tcPr>
          <w:p>
            <w:pPr>
              <w:pStyle w:val="0"/>
            </w:pPr>
            <w:r>
              <w:rPr>
                <w:sz w:val="20"/>
              </w:rPr>
              <w:t xml:space="preserve">БИК</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3.3.</w:t>
            </w:r>
          </w:p>
        </w:tc>
        <w:tc>
          <w:tcPr>
            <w:gridSpan w:val="8"/>
            <w:tcW w:w="6123" w:type="dxa"/>
          </w:tcPr>
          <w:p>
            <w:pPr>
              <w:pStyle w:val="0"/>
            </w:pPr>
            <w:r>
              <w:rPr>
                <w:sz w:val="20"/>
              </w:rPr>
              <w:t xml:space="preserve">ОГРН</w:t>
            </w:r>
          </w:p>
        </w:tc>
        <w:tc>
          <w:tcPr>
            <w:gridSpan w:val="2"/>
            <w:tcW w:w="2241" w:type="dxa"/>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3.4.</w:t>
            </w:r>
          </w:p>
        </w:tc>
        <w:tc>
          <w:tcPr>
            <w:gridSpan w:val="8"/>
            <w:tcW w:w="6123" w:type="dxa"/>
          </w:tcPr>
          <w:p>
            <w:pPr>
              <w:pStyle w:val="0"/>
            </w:pPr>
            <w:r>
              <w:rPr>
                <w:sz w:val="20"/>
              </w:rPr>
              <w:t xml:space="preserve">Сведения о расчетном или корреспондентском счете, открытом в учреждении Центрального банка Российской Федерации или кредитной организации</w:t>
            </w:r>
          </w:p>
        </w:tc>
        <w:tc>
          <w:tcPr>
            <w:gridSpan w:val="2"/>
            <w:tcW w:w="2241" w:type="dxa"/>
          </w:tcPr>
          <w:p>
            <w:pPr>
              <w:pStyle w:val="0"/>
            </w:pPr>
            <w:r>
              <w:rPr>
                <w:sz w:val="20"/>
              </w:rPr>
            </w:r>
          </w:p>
        </w:tc>
      </w:tr>
      <w:tr>
        <w:tblPrEx>
          <w:tblBorders>
            <w:insideH w:val="nil"/>
          </w:tblBorders>
        </w:tblPrEx>
        <w:tc>
          <w:tcPr>
            <w:gridSpan w:val="11"/>
            <w:tcW w:w="9044" w:type="dxa"/>
            <w:tcBorders>
              <w:left w:val="nil"/>
              <w:bottom w:val="nil"/>
              <w:right w:val="nil"/>
            </w:tcBorders>
          </w:tcPr>
          <w:p>
            <w:pPr>
              <w:pStyle w:val="0"/>
            </w:pPr>
            <w:r>
              <w:rPr>
                <w:sz w:val="20"/>
              </w:rPr>
            </w:r>
          </w:p>
        </w:tc>
      </w:tr>
      <w:tr>
        <w:tblPrEx>
          <w:tblBorders>
            <w:insideH w:val="nil"/>
          </w:tblBorders>
        </w:tblPrEx>
        <w:tc>
          <w:tcPr>
            <w:gridSpan w:val="11"/>
            <w:tcW w:w="9044" w:type="dxa"/>
            <w:tcBorders>
              <w:top w:val="nil"/>
              <w:left w:val="nil"/>
              <w:bottom w:val="nil"/>
              <w:right w:val="nil"/>
            </w:tcBorders>
          </w:tcPr>
          <w:p>
            <w:pPr>
              <w:pStyle w:val="0"/>
              <w:ind w:firstLine="283"/>
              <w:jc w:val="both"/>
            </w:pPr>
            <w:r>
              <w:rPr>
                <w:sz w:val="20"/>
              </w:rPr>
              <w:t xml:space="preserve">СОНКО дает согласие на публикацию (размещение) в информационно-телекоммуникационной сети "Интернет" информации о СОНКО, о данной заявке на участие в отборе СОНКО на получение субсидии, иной информации о СОНКО, связанной с данным отбором, а также о проведении отбора и его результатах.</w:t>
            </w:r>
          </w:p>
          <w:p>
            <w:pPr>
              <w:pStyle w:val="0"/>
              <w:ind w:firstLine="283"/>
              <w:jc w:val="both"/>
            </w:pPr>
            <w:r>
              <w:rPr>
                <w:sz w:val="20"/>
              </w:rPr>
              <w:t xml:space="preserve">По состоянию на _________ (дата подачи заявки и документов):</w:t>
            </w:r>
          </w:p>
          <w:p>
            <w:pPr>
              <w:pStyle w:val="0"/>
              <w:ind w:firstLine="283"/>
              <w:jc w:val="both"/>
            </w:pPr>
            <w:r>
              <w:rPr>
                <w:sz w:val="20"/>
              </w:rPr>
              <w:t xml:space="preserve">СОНКО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ind w:firstLine="283"/>
              <w:jc w:val="both"/>
            </w:pPr>
            <w:r>
              <w:rPr>
                <w:sz w:val="20"/>
              </w:rPr>
              <w:t xml:space="preserve">СОНКО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СОНКО не является получателем средств из областного бюджета в соответствии с иными правовыми актами области на цели, указанные в </w:t>
            </w:r>
            <w:hyperlink w:history="0" w:anchor="P33" w:tooltip="1. Настоящий Порядок определяет правила предоставления субсидий социально ориентированным некоммерческим организациям, не являющимся государственными (муниципальными) учреждениями (далее СОНКО), в целях выполнения работ по подготовке информационно-аналитических материалов (далее субсидия).">
              <w:r>
                <w:rPr>
                  <w:sz w:val="20"/>
                  <w:color w:val="0000ff"/>
                </w:rPr>
                <w:t xml:space="preserve">пункте 1</w:t>
              </w:r>
            </w:hyperlink>
            <w:r>
              <w:rPr>
                <w:sz w:val="20"/>
              </w:rPr>
              <w:t xml:space="preserve"> Порядка предоставления субсидий социально ориентированным некоммерческим организациям на выполнение работ по подготовке информационно-аналитических материалов, утверждаемого постановлением министерства культуры Новгородской области;</w:t>
            </w:r>
          </w:p>
          <w:p>
            <w:pPr>
              <w:pStyle w:val="0"/>
              <w:ind w:firstLine="283"/>
              <w:jc w:val="both"/>
            </w:pPr>
            <w:r>
              <w:rPr>
                <w:sz w:val="20"/>
              </w:rPr>
              <w:t xml:space="preserve">у СОНКО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Новгородской областью;</w:t>
            </w:r>
          </w:p>
          <w:p>
            <w:pPr>
              <w:pStyle w:val="0"/>
              <w:ind w:firstLine="283"/>
              <w:jc w:val="both"/>
            </w:pPr>
            <w:r>
              <w:rPr>
                <w:sz w:val="20"/>
              </w:rPr>
              <w:t xml:space="preserve">у СОНКО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СОНКО обязуется включить в договоры, заключаемые с использованием средств субсидии с иными лицами, положения:</w:t>
            </w:r>
          </w:p>
          <w:p>
            <w:pPr>
              <w:pStyle w:val="0"/>
              <w:ind w:firstLine="283"/>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 согласии иных лиц на осуществление в отношении их министерством культуры Новгородской области и органами государственного финансового контроля проверок соблюдения условий, целей и порядка предоставления субсидии;</w:t>
            </w:r>
          </w:p>
          <w:p>
            <w:pPr>
              <w:pStyle w:val="0"/>
              <w:ind w:firstLine="283"/>
              <w:jc w:val="both"/>
            </w:pPr>
            <w:r>
              <w:rPr>
                <w:sz w:val="20"/>
              </w:rPr>
              <w:t xml:space="preserve">об обязательстве иных лиц по возврату полученных средств в областной бюджет в соответствии с Порядком предоставления субсидий социально ориентированным некоммерческим организациям на выполнение работ по подготовке информационно-аналитических материалов, утверждаемым постановлением Правительства Новгородской области, в случае нарушения условий, установленных при предоставлении субсидии, выявленного в том числе по фактам проверок, проведенных министерством культуры Новгородской области и (или) органами государственного финансового контроля.</w:t>
            </w:r>
          </w:p>
          <w:p>
            <w:pPr>
              <w:pStyle w:val="0"/>
              <w:ind w:firstLine="283"/>
              <w:jc w:val="both"/>
            </w:pPr>
            <w:r>
              <w:rPr>
                <w:sz w:val="20"/>
              </w:rPr>
              <w:t xml:space="preserve">Достоверность и полноту сведений, содержащихся в прилагаемых документах, подтверждаю.</w:t>
            </w:r>
          </w:p>
        </w:tc>
      </w:tr>
      <w:tr>
        <w:tblPrEx>
          <w:tblBorders>
            <w:insideV w:val="nil"/>
            <w:insideH w:val="nil"/>
          </w:tblBorders>
        </w:tblPrEx>
        <w:tc>
          <w:tcPr>
            <w:gridSpan w:val="3"/>
            <w:tcW w:w="2053" w:type="dxa"/>
            <w:tcBorders>
              <w:top w:val="nil"/>
              <w:bottom w:val="nil"/>
            </w:tcBorders>
          </w:tcPr>
          <w:p>
            <w:pPr>
              <w:pStyle w:val="0"/>
            </w:pPr>
            <w:r>
              <w:rPr>
                <w:sz w:val="20"/>
              </w:rPr>
              <w:t xml:space="preserve">Приложение</w:t>
            </w:r>
          </w:p>
        </w:tc>
        <w:tc>
          <w:tcPr>
            <w:tcW w:w="357" w:type="dxa"/>
            <w:tcBorders>
              <w:top w:val="nil"/>
              <w:bottom w:val="nil"/>
            </w:tcBorders>
          </w:tcPr>
          <w:p>
            <w:pPr>
              <w:pStyle w:val="0"/>
            </w:pPr>
            <w:r>
              <w:rPr>
                <w:sz w:val="20"/>
              </w:rPr>
              <w:t xml:space="preserve">1.</w:t>
            </w:r>
          </w:p>
        </w:tc>
        <w:tc>
          <w:tcPr>
            <w:gridSpan w:val="7"/>
            <w:tcW w:w="6634" w:type="dxa"/>
            <w:tcBorders>
              <w:top w:val="nil"/>
            </w:tcBorders>
          </w:tcPr>
          <w:p>
            <w:pPr>
              <w:pStyle w:val="0"/>
            </w:pPr>
            <w:r>
              <w:rPr>
                <w:sz w:val="20"/>
              </w:rPr>
            </w:r>
          </w:p>
        </w:tc>
      </w:tr>
      <w:tr>
        <w:tblPrEx>
          <w:tblBorders>
            <w:insideV w:val="nil"/>
            <w:insideH w:val="nil"/>
          </w:tblBorders>
        </w:tblPrEx>
        <w:tc>
          <w:tcPr>
            <w:gridSpan w:val="3"/>
            <w:tcW w:w="2053" w:type="dxa"/>
            <w:tcBorders>
              <w:top w:val="nil"/>
              <w:bottom w:val="nil"/>
            </w:tcBorders>
          </w:tcPr>
          <w:p>
            <w:pPr>
              <w:pStyle w:val="0"/>
            </w:pPr>
            <w:r>
              <w:rPr>
                <w:sz w:val="20"/>
              </w:rPr>
              <w:t xml:space="preserve">&lt;*&gt;</w:t>
            </w:r>
          </w:p>
        </w:tc>
        <w:tc>
          <w:tcPr>
            <w:tcW w:w="357" w:type="dxa"/>
            <w:tcBorders>
              <w:top w:val="nil"/>
              <w:bottom w:val="nil"/>
            </w:tcBorders>
          </w:tcPr>
          <w:p>
            <w:pPr>
              <w:pStyle w:val="0"/>
            </w:pPr>
            <w:r>
              <w:rPr>
                <w:sz w:val="20"/>
              </w:rPr>
              <w:t xml:space="preserve">2.</w:t>
            </w:r>
          </w:p>
        </w:tc>
        <w:tc>
          <w:tcPr>
            <w:gridSpan w:val="7"/>
            <w:tcW w:w="6634" w:type="dxa"/>
          </w:tcPr>
          <w:p>
            <w:pPr>
              <w:pStyle w:val="0"/>
            </w:pPr>
            <w:r>
              <w:rPr>
                <w:sz w:val="20"/>
              </w:rPr>
            </w:r>
          </w:p>
        </w:tc>
      </w:tr>
      <w:tr>
        <w:tblPrEx>
          <w:tblBorders>
            <w:insideV w:val="nil"/>
            <w:insideH w:val="nil"/>
          </w:tblBorders>
        </w:tblPrEx>
        <w:tc>
          <w:tcPr>
            <w:gridSpan w:val="3"/>
            <w:tcW w:w="2053" w:type="dxa"/>
            <w:tcBorders>
              <w:top w:val="nil"/>
              <w:bottom w:val="nil"/>
            </w:tcBorders>
          </w:tcPr>
          <w:p>
            <w:pPr>
              <w:pStyle w:val="0"/>
            </w:pPr>
            <w:r>
              <w:rPr>
                <w:sz w:val="20"/>
              </w:rPr>
            </w:r>
          </w:p>
        </w:tc>
        <w:tc>
          <w:tcPr>
            <w:tcW w:w="357" w:type="dxa"/>
            <w:tcBorders>
              <w:top w:val="nil"/>
              <w:bottom w:val="nil"/>
            </w:tcBorders>
          </w:tcPr>
          <w:p>
            <w:pPr>
              <w:pStyle w:val="0"/>
            </w:pPr>
            <w:r>
              <w:rPr>
                <w:sz w:val="20"/>
              </w:rPr>
              <w:t xml:space="preserve">3.</w:t>
            </w:r>
          </w:p>
        </w:tc>
        <w:tc>
          <w:tcPr>
            <w:gridSpan w:val="7"/>
            <w:tcW w:w="6634" w:type="dxa"/>
          </w:tcPr>
          <w:p>
            <w:pPr>
              <w:pStyle w:val="0"/>
            </w:pPr>
            <w:r>
              <w:rPr>
                <w:sz w:val="20"/>
              </w:rPr>
            </w:r>
          </w:p>
        </w:tc>
      </w:tr>
      <w:tr>
        <w:tblPrEx>
          <w:tblBorders>
            <w:insideH w:val="nil"/>
          </w:tblBorders>
        </w:tblPrEx>
        <w:tc>
          <w:tcPr>
            <w:gridSpan w:val="11"/>
            <w:tcW w:w="904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К заявке должны быть приложены документы в соответствии с </w:t>
            </w:r>
            <w:hyperlink w:history="0" w:anchor="P67" w:tooltip="7. Для участия в конкурсе СОНКО (далее заявитель) представляет в министерство заявку на бумажном носителе по форме согласно приложению N 1 к настоящему Порядку.">
              <w:r>
                <w:rPr>
                  <w:sz w:val="20"/>
                  <w:color w:val="0000ff"/>
                </w:rPr>
                <w:t xml:space="preserve">пунктом 7</w:t>
              </w:r>
            </w:hyperlink>
            <w:r>
              <w:rPr>
                <w:sz w:val="20"/>
              </w:rPr>
              <w:t xml:space="preserve"> Порядка предоставления субсидий социально ориентированным некоммерческим организациям на выполнение работ по подготовке информационно-аналитических материалов, утверждаемого постановлением министерства культуры Новгородской области.</w:t>
            </w:r>
          </w:p>
        </w:tc>
      </w:tr>
      <w:tr>
        <w:tblPrEx>
          <w:tblBorders>
            <w:insideH w:val="nil"/>
          </w:tblBorders>
        </w:tblPrEx>
        <w:tc>
          <w:tcPr>
            <w:gridSpan w:val="11"/>
            <w:tcW w:w="9044" w:type="dxa"/>
            <w:tcBorders>
              <w:top w:val="nil"/>
              <w:left w:val="nil"/>
              <w:bottom w:val="nil"/>
              <w:right w:val="nil"/>
            </w:tcBorders>
          </w:tcPr>
          <w:p>
            <w:pPr>
              <w:pStyle w:val="0"/>
            </w:pPr>
            <w:r>
              <w:rPr>
                <w:sz w:val="20"/>
              </w:rPr>
            </w:r>
          </w:p>
        </w:tc>
      </w:tr>
      <w:tr>
        <w:tblPrEx>
          <w:tblBorders>
            <w:insideV w:val="nil"/>
            <w:insideH w:val="nil"/>
          </w:tblBorders>
        </w:tblPrEx>
        <w:tc>
          <w:tcPr>
            <w:gridSpan w:val="6"/>
            <w:tcW w:w="4081" w:type="dxa"/>
            <w:tcBorders>
              <w:top w:val="nil"/>
              <w:bottom w:val="nil"/>
            </w:tcBorders>
          </w:tcPr>
          <w:p>
            <w:pPr>
              <w:pStyle w:val="0"/>
            </w:pPr>
            <w:r>
              <w:rPr>
                <w:sz w:val="20"/>
              </w:rPr>
              <w:t xml:space="preserve">Руководитель СОНКО</w:t>
            </w:r>
          </w:p>
          <w:p>
            <w:pPr>
              <w:pStyle w:val="0"/>
            </w:pPr>
            <w:r>
              <w:rPr>
                <w:sz w:val="20"/>
              </w:rPr>
              <w:t xml:space="preserve">или уполномоченное лицо</w:t>
            </w:r>
          </w:p>
        </w:tc>
        <w:tc>
          <w:tcPr>
            <w:gridSpan w:val="4"/>
            <w:tcW w:w="3376" w:type="dxa"/>
            <w:tcBorders>
              <w:top w:val="nil"/>
            </w:tcBorders>
          </w:tcPr>
          <w:p>
            <w:pPr>
              <w:pStyle w:val="0"/>
            </w:pPr>
            <w:r>
              <w:rPr>
                <w:sz w:val="20"/>
              </w:rPr>
            </w:r>
          </w:p>
        </w:tc>
        <w:tc>
          <w:tcPr>
            <w:tcW w:w="1587"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6"/>
            <w:tcW w:w="4081" w:type="dxa"/>
            <w:tcBorders>
              <w:top w:val="nil"/>
              <w:bottom w:val="nil"/>
            </w:tcBorders>
          </w:tcPr>
          <w:p>
            <w:pPr>
              <w:pStyle w:val="0"/>
            </w:pPr>
            <w:r>
              <w:rPr>
                <w:sz w:val="20"/>
              </w:rPr>
            </w:r>
          </w:p>
        </w:tc>
        <w:tc>
          <w:tcPr>
            <w:gridSpan w:val="4"/>
            <w:tcW w:w="3376" w:type="dxa"/>
            <w:tcBorders>
              <w:bottom w:val="nil"/>
            </w:tcBorders>
          </w:tcPr>
          <w:p>
            <w:pPr>
              <w:pStyle w:val="0"/>
              <w:jc w:val="center"/>
            </w:pPr>
            <w:r>
              <w:rPr>
                <w:sz w:val="20"/>
              </w:rPr>
              <w:t xml:space="preserve">(подпись)</w:t>
            </w:r>
          </w:p>
        </w:tc>
        <w:tc>
          <w:tcPr>
            <w:tcW w:w="1587" w:type="dxa"/>
            <w:tcBorders>
              <w:top w:val="nil"/>
              <w:bottom w:val="nil"/>
            </w:tcBorders>
          </w:tcPr>
          <w:p>
            <w:pPr>
              <w:pStyle w:val="0"/>
            </w:pPr>
            <w:r>
              <w:rPr>
                <w:sz w:val="20"/>
              </w:rPr>
            </w:r>
          </w:p>
        </w:tc>
      </w:tr>
      <w:tr>
        <w:tblPrEx>
          <w:tblBorders>
            <w:insideV w:val="nil"/>
            <w:insideH w:val="nil"/>
          </w:tblBorders>
        </w:tblPrEx>
        <w:tc>
          <w:tcPr>
            <w:gridSpan w:val="5"/>
            <w:tcW w:w="3061" w:type="dxa"/>
            <w:tcBorders>
              <w:top w:val="nil"/>
              <w:bottom w:val="nil"/>
            </w:tcBorders>
          </w:tcPr>
          <w:p>
            <w:pPr>
              <w:pStyle w:val="0"/>
            </w:pPr>
            <w:r>
              <w:rPr>
                <w:sz w:val="20"/>
              </w:rPr>
            </w:r>
          </w:p>
        </w:tc>
        <w:tc>
          <w:tcPr>
            <w:gridSpan w:val="2"/>
            <w:tcW w:w="2015" w:type="dxa"/>
            <w:tcBorders>
              <w:top w:val="nil"/>
              <w:bottom w:val="nil"/>
            </w:tcBorders>
          </w:tcPr>
          <w:p>
            <w:pPr>
              <w:pStyle w:val="0"/>
              <w:jc w:val="center"/>
            </w:pPr>
            <w:r>
              <w:rPr>
                <w:sz w:val="20"/>
              </w:rPr>
              <w:t xml:space="preserve">М.П.</w:t>
            </w:r>
          </w:p>
          <w:p>
            <w:pPr>
              <w:pStyle w:val="0"/>
              <w:jc w:val="center"/>
            </w:pPr>
            <w:r>
              <w:rPr>
                <w:sz w:val="20"/>
              </w:rPr>
              <w:t xml:space="preserve">(при наличии)</w:t>
            </w:r>
          </w:p>
        </w:tc>
        <w:tc>
          <w:tcPr>
            <w:gridSpan w:val="3"/>
            <w:tcW w:w="2381" w:type="dxa"/>
            <w:tcBorders>
              <w:top w:val="nil"/>
              <w:bottom w:val="nil"/>
            </w:tcBorders>
          </w:tcPr>
          <w:p>
            <w:pPr>
              <w:pStyle w:val="0"/>
            </w:pPr>
            <w:r>
              <w:rPr>
                <w:sz w:val="20"/>
              </w:rPr>
            </w:r>
          </w:p>
        </w:tc>
        <w:tc>
          <w:tcPr>
            <w:tcW w:w="1587" w:type="dxa"/>
            <w:tcBorders>
              <w:top w:val="nil"/>
              <w:bottom w:val="nil"/>
            </w:tcBorders>
          </w:tcPr>
          <w:p>
            <w:pPr>
              <w:pStyle w:val="0"/>
            </w:pPr>
            <w:r>
              <w:rPr>
                <w:sz w:val="20"/>
              </w:rPr>
            </w:r>
          </w:p>
        </w:tc>
      </w:tr>
      <w:tr>
        <w:tblPrEx>
          <w:tblBorders>
            <w:insideH w:val="nil"/>
          </w:tblBorders>
        </w:tblPrEx>
        <w:tc>
          <w:tcPr>
            <w:gridSpan w:val="11"/>
            <w:tcW w:w="9044" w:type="dxa"/>
            <w:tcBorders>
              <w:top w:val="nil"/>
              <w:left w:val="nil"/>
              <w:bottom w:val="nil"/>
              <w:right w:val="nil"/>
            </w:tcBorders>
          </w:tcPr>
          <w:p>
            <w:pPr>
              <w:pStyle w:val="0"/>
            </w:pPr>
            <w:r>
              <w:rPr>
                <w:sz w:val="20"/>
              </w:rPr>
              <w:t xml:space="preserve">"___" _______________ 20___ года</w:t>
            </w:r>
          </w:p>
        </w:tc>
      </w:tr>
      <w:tr>
        <w:tblPrEx>
          <w:tblBorders>
            <w:insideH w:val="nil"/>
          </w:tblBorders>
        </w:tblPrEx>
        <w:tc>
          <w:tcPr>
            <w:gridSpan w:val="11"/>
            <w:tcW w:w="9044" w:type="dxa"/>
            <w:tcBorders>
              <w:top w:val="nil"/>
              <w:left w:val="nil"/>
              <w:bottom w:val="nil"/>
              <w:right w:val="nil"/>
            </w:tcBorders>
          </w:tcPr>
          <w:p>
            <w:pPr>
              <w:pStyle w:val="0"/>
            </w:pPr>
            <w:r>
              <w:rPr>
                <w:sz w:val="20"/>
              </w:rPr>
            </w:r>
          </w:p>
        </w:tc>
      </w:tr>
      <w:tr>
        <w:tblPrEx>
          <w:tblBorders>
            <w:insideH w:val="nil"/>
          </w:tblBorders>
        </w:tblPrEx>
        <w:tc>
          <w:tcPr>
            <w:gridSpan w:val="11"/>
            <w:tcW w:w="9044" w:type="dxa"/>
            <w:tcBorders>
              <w:top w:val="nil"/>
              <w:left w:val="nil"/>
              <w:bottom w:val="nil"/>
              <w:right w:val="nil"/>
            </w:tcBorders>
          </w:tcPr>
          <w:p>
            <w:pPr>
              <w:pStyle w:val="0"/>
            </w:pPr>
            <w:r>
              <w:rPr>
                <w:sz w:val="20"/>
              </w:rPr>
              <w:t xml:space="preserve">Дата и время принятия заявки:</w:t>
            </w:r>
          </w:p>
        </w:tc>
      </w:tr>
      <w:tr>
        <w:tblPrEx>
          <w:tblBorders>
            <w:insideH w:val="nil"/>
          </w:tblBorders>
        </w:tblPrEx>
        <w:tc>
          <w:tcPr>
            <w:gridSpan w:val="11"/>
            <w:tcW w:w="9044" w:type="dxa"/>
            <w:tcBorders>
              <w:top w:val="nil"/>
              <w:left w:val="nil"/>
              <w:bottom w:val="nil"/>
              <w:right w:val="nil"/>
            </w:tcBorders>
          </w:tcPr>
          <w:p>
            <w:pPr>
              <w:pStyle w:val="0"/>
            </w:pPr>
            <w:r>
              <w:rPr>
                <w:sz w:val="20"/>
              </w:rPr>
              <w:t xml:space="preserve">"___" _______________ 20___ года _____ часов _____ минут.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выполнение работ по подготовке</w:t>
      </w:r>
    </w:p>
    <w:p>
      <w:pPr>
        <w:pStyle w:val="0"/>
        <w:jc w:val="right"/>
      </w:pPr>
      <w:r>
        <w:rPr>
          <w:sz w:val="20"/>
        </w:rPr>
        <w:t xml:space="preserve">информационно-аналитических материалов</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510"/>
        <w:gridCol w:w="1757"/>
        <w:gridCol w:w="680"/>
        <w:gridCol w:w="1077"/>
        <w:gridCol w:w="1020"/>
        <w:gridCol w:w="1361"/>
        <w:gridCol w:w="794"/>
        <w:gridCol w:w="794"/>
        <w:gridCol w:w="1077"/>
      </w:tblGrid>
      <w:tr>
        <w:tblPrEx>
          <w:tblBorders>
            <w:insideH w:val="nil"/>
          </w:tblBorders>
        </w:tblPrEx>
        <w:tc>
          <w:tcPr>
            <w:gridSpan w:val="9"/>
            <w:tcW w:w="9070" w:type="dxa"/>
            <w:tcBorders>
              <w:top w:val="nil"/>
              <w:left w:val="nil"/>
              <w:bottom w:val="nil"/>
              <w:right w:val="nil"/>
            </w:tcBorders>
          </w:tcPr>
          <w:bookmarkStart w:id="330" w:name="P330"/>
          <w:bookmarkEnd w:id="330"/>
          <w:p>
            <w:pPr>
              <w:pStyle w:val="0"/>
              <w:jc w:val="center"/>
            </w:pPr>
            <w:r>
              <w:rPr>
                <w:sz w:val="20"/>
              </w:rPr>
              <w:t xml:space="preserve">ОЦЕНОЧНЫЙ ЛИСТ ПРОЕКТА</w:t>
            </w:r>
          </w:p>
          <w:p>
            <w:pPr>
              <w:pStyle w:val="0"/>
              <w:jc w:val="center"/>
            </w:pPr>
            <w:r>
              <w:rPr>
                <w:sz w:val="20"/>
              </w:rPr>
              <w:t xml:space="preserve">_____________________________________________</w:t>
            </w:r>
          </w:p>
          <w:p>
            <w:pPr>
              <w:pStyle w:val="0"/>
              <w:jc w:val="center"/>
            </w:pPr>
            <w:r>
              <w:rPr>
                <w:sz w:val="20"/>
              </w:rPr>
              <w:t xml:space="preserve">(Ф.И.О. члена конкурсной комиссии)</w:t>
            </w:r>
          </w:p>
        </w:tc>
      </w:tr>
      <w:tr>
        <w:tblPrEx>
          <w:tblBorders>
            <w:insideH w:val="nil"/>
          </w:tblBorders>
        </w:tblPrEx>
        <w:tc>
          <w:tcPr>
            <w:gridSpan w:val="9"/>
            <w:tcW w:w="9070" w:type="dxa"/>
            <w:tcBorders>
              <w:top w:val="nil"/>
              <w:left w:val="nil"/>
              <w:right w:val="nil"/>
            </w:tcBorders>
          </w:tcPr>
          <w:p>
            <w:pPr>
              <w:pStyle w:val="0"/>
            </w:pPr>
            <w:r>
              <w:rPr>
                <w:sz w:val="20"/>
              </w:rPr>
            </w:r>
          </w:p>
        </w:tc>
      </w:tr>
      <w:tr>
        <w:tblPrEx>
          <w:tblBorders>
            <w:left w:val="single" w:sz="4"/>
            <w:right w:val="single" w:sz="4"/>
          </w:tblBorders>
        </w:tblPrEx>
        <w:tc>
          <w:tcPr>
            <w:tcW w:w="510"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социально ориентированной некоммерческой организации</w:t>
            </w:r>
          </w:p>
        </w:tc>
        <w:tc>
          <w:tcPr>
            <w:tcW w:w="680" w:type="dxa"/>
            <w:vAlign w:val="center"/>
            <w:vMerge w:val="restart"/>
          </w:tcPr>
          <w:p>
            <w:pPr>
              <w:pStyle w:val="0"/>
              <w:jc w:val="center"/>
            </w:pPr>
            <w:r>
              <w:rPr>
                <w:sz w:val="20"/>
              </w:rPr>
              <w:t xml:space="preserve">Тема проекта</w:t>
            </w:r>
          </w:p>
        </w:tc>
        <w:tc>
          <w:tcPr>
            <w:gridSpan w:val="5"/>
            <w:tcW w:w="5046" w:type="dxa"/>
            <w:vAlign w:val="center"/>
          </w:tcPr>
          <w:p>
            <w:pPr>
              <w:pStyle w:val="0"/>
              <w:jc w:val="center"/>
            </w:pPr>
            <w:r>
              <w:rPr>
                <w:sz w:val="20"/>
              </w:rPr>
              <w:t xml:space="preserve">Наименование критерия</w:t>
            </w:r>
          </w:p>
        </w:tc>
        <w:tc>
          <w:tcPr>
            <w:tcW w:w="1077" w:type="dxa"/>
            <w:vAlign w:val="center"/>
            <w:vMerge w:val="restart"/>
          </w:tcPr>
          <w:p>
            <w:pPr>
              <w:pStyle w:val="0"/>
              <w:jc w:val="center"/>
            </w:pPr>
            <w:r>
              <w:rPr>
                <w:sz w:val="20"/>
              </w:rPr>
              <w:t xml:space="preserve">Сумма баллов по всем критериям</w:t>
            </w:r>
          </w:p>
        </w:tc>
      </w:tr>
      <w:tr>
        <w:tblPrEx>
          <w:tblBorders>
            <w:left w:val="single" w:sz="4"/>
            <w:right w:val="single" w:sz="4"/>
          </w:tblBorders>
        </w:tblPrEx>
        <w:tc>
          <w:tcPr>
            <w:vMerge w:val="continue"/>
          </w:tcPr>
          <w:p/>
        </w:tc>
        <w:tc>
          <w:tcPr>
            <w:vMerge w:val="continue"/>
          </w:tcPr>
          <w:p/>
        </w:tc>
        <w:tc>
          <w:tcPr>
            <w:vMerge w:val="continue"/>
          </w:tcPr>
          <w:p/>
        </w:tc>
        <w:tc>
          <w:tcPr>
            <w:tcW w:w="1077" w:type="dxa"/>
            <w:vAlign w:val="center"/>
          </w:tcPr>
          <w:p>
            <w:pPr>
              <w:pStyle w:val="0"/>
              <w:jc w:val="center"/>
            </w:pPr>
            <w:r>
              <w:rPr>
                <w:sz w:val="20"/>
              </w:rPr>
              <w:t xml:space="preserve">соответствие проекта заявленной теме</w:t>
            </w:r>
          </w:p>
        </w:tc>
        <w:tc>
          <w:tcPr>
            <w:tcW w:w="1020" w:type="dxa"/>
            <w:vAlign w:val="center"/>
          </w:tcPr>
          <w:p>
            <w:pPr>
              <w:pStyle w:val="0"/>
              <w:jc w:val="center"/>
            </w:pPr>
            <w:r>
              <w:rPr>
                <w:sz w:val="20"/>
              </w:rPr>
              <w:t xml:space="preserve">качество подготовки проекта</w:t>
            </w:r>
          </w:p>
        </w:tc>
        <w:tc>
          <w:tcPr>
            <w:tcW w:w="1361" w:type="dxa"/>
            <w:vAlign w:val="center"/>
          </w:tcPr>
          <w:p>
            <w:pPr>
              <w:pStyle w:val="0"/>
              <w:jc w:val="center"/>
            </w:pPr>
            <w:r>
              <w:rPr>
                <w:sz w:val="20"/>
              </w:rPr>
              <w:t xml:space="preserve">аргументированность и полнота содержания проекта</w:t>
            </w:r>
          </w:p>
        </w:tc>
        <w:tc>
          <w:tcPr>
            <w:tcW w:w="794" w:type="dxa"/>
            <w:vAlign w:val="center"/>
          </w:tcPr>
          <w:p>
            <w:pPr>
              <w:pStyle w:val="0"/>
              <w:jc w:val="center"/>
            </w:pPr>
            <w:r>
              <w:rPr>
                <w:sz w:val="20"/>
              </w:rPr>
              <w:t xml:space="preserve">результативность проекта</w:t>
            </w:r>
          </w:p>
        </w:tc>
        <w:tc>
          <w:tcPr>
            <w:tcW w:w="794" w:type="dxa"/>
            <w:vAlign w:val="center"/>
          </w:tcPr>
          <w:p>
            <w:pPr>
              <w:pStyle w:val="0"/>
              <w:jc w:val="center"/>
            </w:pPr>
            <w:r>
              <w:rPr>
                <w:sz w:val="20"/>
              </w:rPr>
              <w:t xml:space="preserve">оригинальность проекта</w:t>
            </w:r>
          </w:p>
        </w:tc>
        <w:tc>
          <w:tcPr>
            <w:vMerge w:val="continue"/>
          </w:tcPr>
          <w:p/>
        </w:tc>
      </w:tr>
      <w:tr>
        <w:tblPrEx>
          <w:tblBorders>
            <w:left w:val="single" w:sz="4"/>
            <w:right w:val="single" w:sz="4"/>
          </w:tblBorders>
        </w:tblPrEx>
        <w:tc>
          <w:tcPr>
            <w:tcW w:w="510" w:type="dxa"/>
          </w:tcPr>
          <w:p>
            <w:pPr>
              <w:pStyle w:val="0"/>
            </w:pPr>
            <w:r>
              <w:rPr>
                <w:sz w:val="20"/>
              </w:rPr>
            </w:r>
          </w:p>
        </w:tc>
        <w:tc>
          <w:tcPr>
            <w:tcW w:w="1757"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r>
      <w:tr>
        <w:tblPrEx>
          <w:tblBorders>
            <w:left w:val="single" w:sz="4"/>
            <w:right w:val="single" w:sz="4"/>
          </w:tblBorders>
        </w:tblPrEx>
        <w:tc>
          <w:tcPr>
            <w:tcW w:w="510" w:type="dxa"/>
          </w:tcPr>
          <w:p>
            <w:pPr>
              <w:pStyle w:val="0"/>
            </w:pPr>
            <w:r>
              <w:rPr>
                <w:sz w:val="20"/>
              </w:rPr>
            </w:r>
          </w:p>
        </w:tc>
        <w:tc>
          <w:tcPr>
            <w:tcW w:w="1757"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r>
      <w:tr>
        <w:tblPrEx>
          <w:tblBorders>
            <w:left w:val="single" w:sz="4"/>
            <w:right w:val="single" w:sz="4"/>
          </w:tblBorders>
        </w:tblPrEx>
        <w:tc>
          <w:tcPr>
            <w:tcW w:w="510" w:type="dxa"/>
          </w:tcPr>
          <w:p>
            <w:pPr>
              <w:pStyle w:val="0"/>
            </w:pPr>
            <w:r>
              <w:rPr>
                <w:sz w:val="20"/>
              </w:rPr>
            </w:r>
          </w:p>
        </w:tc>
        <w:tc>
          <w:tcPr>
            <w:tcW w:w="1757"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77" w:type="dxa"/>
          </w:tcPr>
          <w:p>
            <w:pPr>
              <w:pStyle w:val="0"/>
            </w:pPr>
            <w:r>
              <w:rPr>
                <w:sz w:val="20"/>
              </w:rPr>
            </w:r>
          </w:p>
        </w:tc>
      </w:tr>
      <w:tr>
        <w:tblPrEx>
          <w:tblBorders>
            <w:insideH w:val="nil"/>
          </w:tblBorders>
        </w:tblPrEx>
        <w:tc>
          <w:tcPr>
            <w:gridSpan w:val="9"/>
            <w:tcW w:w="9070" w:type="dxa"/>
            <w:tcBorders>
              <w:left w:val="nil"/>
              <w:bottom w:val="nil"/>
              <w:right w:val="nil"/>
            </w:tcBorders>
          </w:tcPr>
          <w:p>
            <w:pPr>
              <w:pStyle w:val="0"/>
            </w:pPr>
            <w:r>
              <w:rPr>
                <w:sz w:val="20"/>
              </w:rPr>
            </w:r>
          </w:p>
        </w:tc>
      </w:tr>
      <w:tr>
        <w:tblPrEx>
          <w:tblBorders>
            <w:insideV w:val="nil"/>
            <w:insideH w:val="nil"/>
          </w:tblBorders>
        </w:tblPrEx>
        <w:tc>
          <w:tcPr>
            <w:gridSpan w:val="4"/>
            <w:tcW w:w="4024" w:type="dxa"/>
            <w:tcBorders>
              <w:top w:val="nil"/>
              <w:bottom w:val="nil"/>
            </w:tcBorders>
          </w:tcPr>
          <w:p>
            <w:pPr>
              <w:pStyle w:val="0"/>
            </w:pPr>
            <w:r>
              <w:rPr>
                <w:sz w:val="20"/>
              </w:rPr>
            </w:r>
          </w:p>
        </w:tc>
        <w:tc>
          <w:tcPr>
            <w:gridSpan w:val="3"/>
            <w:tcW w:w="3175" w:type="dxa"/>
            <w:tcBorders>
              <w:top w:val="nil"/>
            </w:tcBorders>
          </w:tcPr>
          <w:p>
            <w:pPr>
              <w:pStyle w:val="0"/>
            </w:pPr>
            <w:r>
              <w:rPr>
                <w:sz w:val="20"/>
              </w:rPr>
            </w:r>
          </w:p>
        </w:tc>
        <w:tc>
          <w:tcPr>
            <w:gridSpan w:val="2"/>
            <w:tcW w:w="1871"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4024" w:type="dxa"/>
            <w:tcBorders>
              <w:top w:val="nil"/>
              <w:bottom w:val="nil"/>
            </w:tcBorders>
          </w:tcPr>
          <w:p>
            <w:pPr>
              <w:pStyle w:val="0"/>
            </w:pPr>
            <w:r>
              <w:rPr>
                <w:sz w:val="20"/>
              </w:rPr>
            </w:r>
          </w:p>
        </w:tc>
        <w:tc>
          <w:tcPr>
            <w:gridSpan w:val="3"/>
            <w:tcW w:w="3175" w:type="dxa"/>
            <w:tcBorders>
              <w:bottom w:val="nil"/>
            </w:tcBorders>
          </w:tcPr>
          <w:p>
            <w:pPr>
              <w:pStyle w:val="0"/>
              <w:jc w:val="center"/>
            </w:pPr>
            <w:r>
              <w:rPr>
                <w:sz w:val="20"/>
              </w:rPr>
              <w:t xml:space="preserve">(подпись)</w:t>
            </w:r>
          </w:p>
        </w:tc>
        <w:tc>
          <w:tcPr>
            <w:gridSpan w:val="2"/>
            <w:tcW w:w="1871" w:type="dxa"/>
            <w:tcBorders>
              <w:top w:val="nil"/>
              <w:bottom w:val="nil"/>
            </w:tcBorders>
          </w:tcPr>
          <w:p>
            <w:pPr>
              <w:pStyle w:val="0"/>
            </w:pPr>
            <w:r>
              <w:rPr>
                <w:sz w:val="20"/>
              </w:rPr>
            </w:r>
          </w:p>
        </w:tc>
      </w:tr>
      <w:tr>
        <w:tblPrEx>
          <w:tblBorders>
            <w:insideH w:val="nil"/>
          </w:tblBorders>
        </w:tblPrEx>
        <w:tc>
          <w:tcPr>
            <w:gridSpan w:val="9"/>
            <w:tcW w:w="9070" w:type="dxa"/>
            <w:tcBorders>
              <w:top w:val="nil"/>
              <w:left w:val="nil"/>
              <w:bottom w:val="nil"/>
              <w:right w:val="nil"/>
            </w:tcBorders>
          </w:tcPr>
          <w:p>
            <w:pPr>
              <w:pStyle w:val="0"/>
            </w:pPr>
            <w:r>
              <w:rPr>
                <w:sz w:val="20"/>
              </w:rPr>
              <w:t xml:space="preserve">"___" _______________ 20___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культуры Новгородской области от 07.03.2023 N 1</w:t>
            <w:br/>
            <w:t>"Об утверждении Порядка предоставления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537F4335C171CDFB1289EEC5DB60F155FEE24B72BA857C9FB1B3A3E8831888947FCA8F5CC9F4D9790EFB427D4B82A659566D23E0D96888s9E7K" TargetMode = "External"/>
	<Relationship Id="rId8" Type="http://schemas.openxmlformats.org/officeDocument/2006/relationships/hyperlink" Target="consultantplus://offline/ref=4C537F4335C171CDFB1289EEC5DB60F155FEE24B72BA857C9FB1B3A3E8831888947FCA8F5CC9F3D0770EFB427D4B82A659566D23E0D96888s9E7K" TargetMode = "External"/>
	<Relationship Id="rId9" Type="http://schemas.openxmlformats.org/officeDocument/2006/relationships/hyperlink" Target="consultantplus://offline/ref=4C537F4335C171CDFB1297E3D3B73FF955F6BE4470BA8D28C0E6B5F4B7D31EDDD43FCCDA0D8EA2DD7102B1133F008DA75Cs4EBK" TargetMode = "External"/>
	<Relationship Id="rId10" Type="http://schemas.openxmlformats.org/officeDocument/2006/relationships/hyperlink" Target="consultantplus://offline/ref=4C537F4335C171CDFB1297E3D3B73FF955F6BE4470BA8D28C0E6B5F4B7D31EDDD43FCCDA1F8EFAD17002AC103E15DBF61A1D6024F9C5688C8AF1C4CCs4E7K" TargetMode = "External"/>
	<Relationship Id="rId11" Type="http://schemas.openxmlformats.org/officeDocument/2006/relationships/hyperlink" Target="consultantplus://offline/ref=4C537F4335C171CDFB1289EEC5DB60F155FEE44170B2857C9FB1B3A3E8831888867F92835DCDE9D0761BAD133Bs1EDK" TargetMode = "External"/>
	<Relationship Id="rId12" Type="http://schemas.openxmlformats.org/officeDocument/2006/relationships/hyperlink" Target="consultantplus://offline/ref=4C537F4335C171CDFB1289EEC5DB60F155FEE44170B2857C9FB1B3A3E8831888947FCA8F5FCEFC842141FA1E381991A758566F25FCsDE8K" TargetMode = "External"/>
	<Relationship Id="rId13" Type="http://schemas.openxmlformats.org/officeDocument/2006/relationships/hyperlink" Target="consultantplus://offline/ref=4C537F4335C171CDFB1297E3D3B73FF955F6BE4478BF8B29C6EEE8FEBF8A12DFD33093CD18C7F6D07005AC10324ADEE30B456C22E0DB6E9496F3C6sCEDK" TargetMode = "External"/>
	<Relationship Id="rId14" Type="http://schemas.openxmlformats.org/officeDocument/2006/relationships/hyperlink" Target="consultantplus://offline/ref=4C537F4335C171CDFB1289EEC5DB60F155FEE24B72BA857C9FB1B3A3E8831888947FCA8D5BCAF3DB2454EB46341F88B95E4E7327FED9s6EBK" TargetMode = "External"/>
	<Relationship Id="rId15" Type="http://schemas.openxmlformats.org/officeDocument/2006/relationships/hyperlink" Target="consultantplus://offline/ref=4C537F4335C171CDFB1289EEC5DB60F155FEE24B72BA857C9FB1B3A3E8831888947FCA8D5BC8F5DB2454EB46341F88B95E4E7327FED9s6EBK" TargetMode = "External"/>
	<Relationship Id="rId16" Type="http://schemas.openxmlformats.org/officeDocument/2006/relationships/hyperlink" Target="consultantplus://offline/ref=4C537F4335C171CDFB1289EEC5DB60F155FEE24B72BA857C9FB1B3A3E8831888947FCA8D5BCAF3DB2454EB46341F88B95E4E7327FED9s6EBK" TargetMode = "External"/>
	<Relationship Id="rId17" Type="http://schemas.openxmlformats.org/officeDocument/2006/relationships/hyperlink" Target="consultantplus://offline/ref=4C537F4335C171CDFB1289EEC5DB60F155FEE24B72BA857C9FB1B3A3E8831888947FCA8D5BC8F5DB2454EB46341F88B95E4E7327FED9s6E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культуры Новгородской области от 07.03.2023 N 1
"Об утверждении Порядка предоставления субсидий социально ориентированным некоммерческим организациям на выполнение работ по подготовке информационно-аналитических материалов"</dc:title>
  <dcterms:created xsi:type="dcterms:W3CDTF">2023-06-17T10:04:43Z</dcterms:created>
</cp:coreProperties>
</file>