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Новгородской области от 12.05.2022 N 251</w:t>
              <w:br/>
              <w:t xml:space="preserve">(ред. от 12.12.2025)</w:t>
              <w:br/>
              <w:t xml:space="preserve">"Об утверждении Порядка принятия главными распорядителями средств областного бюджета решений о наличии потребности в не использованных в отчетном финансовом году остатках субсидий, в том числе грантов в форме субсидий, предоставленных некоммерческим организациям на финансовое обеспечение их затрат, или возврате указанных средств при отсутствии в них потребности"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02.01.2026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НОВГОРОДСКОЙ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12 мая 2022 г. N 251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ПРИНЯТИЯ ГЛАВНЫМИ РАСПОРЯДИТЕЛЯМИ</w:t>
      </w:r>
    </w:p>
    <w:p>
      <w:pPr>
        <w:pStyle w:val="2"/>
        <w:jc w:val="center"/>
      </w:pPr>
      <w:r>
        <w:rPr>
          <w:sz w:val="20"/>
        </w:rPr>
        <w:t xml:space="preserve">СРЕДСТВ ОБЛАСТНОГО БЮДЖЕТА РЕШЕНИЙ О НАЛИЧИИ ПОТРЕБНОСТИ</w:t>
      </w:r>
    </w:p>
    <w:p>
      <w:pPr>
        <w:pStyle w:val="2"/>
        <w:jc w:val="center"/>
      </w:pPr>
      <w:r>
        <w:rPr>
          <w:sz w:val="20"/>
        </w:rPr>
        <w:t xml:space="preserve">В НЕ ИСПОЛЬЗОВАННЫХ В ОТЧЕТНОМ ФИНАНСОВОМ ГОДУ ОСТАТКАХ</w:t>
      </w:r>
    </w:p>
    <w:p>
      <w:pPr>
        <w:pStyle w:val="2"/>
        <w:jc w:val="center"/>
      </w:pPr>
      <w:r>
        <w:rPr>
          <w:sz w:val="20"/>
        </w:rPr>
        <w:t xml:space="preserve">СУБСИДИЙ, В ТОМ ЧИСЛЕ ГРАНТОВ В ФОРМЕ СУБСИДИЙ,</w:t>
      </w:r>
    </w:p>
    <w:p>
      <w:pPr>
        <w:pStyle w:val="2"/>
        <w:jc w:val="center"/>
      </w:pPr>
      <w:r>
        <w:rPr>
          <w:sz w:val="20"/>
        </w:rPr>
        <w:t xml:space="preserve">ПРЕДОСТАВЛЕННЫХ НЕКОММЕРЧЕСКИМ ОРГАНИЗАЦИЯМ НА ФИНАНСОВОЕ</w:t>
      </w:r>
    </w:p>
    <w:p>
      <w:pPr>
        <w:pStyle w:val="2"/>
        <w:jc w:val="center"/>
      </w:pPr>
      <w:r>
        <w:rPr>
          <w:sz w:val="20"/>
        </w:rPr>
        <w:t xml:space="preserve">ОБЕСПЕЧЕНИЕ ИХ ЗАТРАТ, ИЛИ ВОЗВРАТЕ УКАЗАННЫХ СРЕДСТВ</w:t>
      </w:r>
    </w:p>
    <w:p>
      <w:pPr>
        <w:pStyle w:val="2"/>
        <w:jc w:val="center"/>
      </w:pPr>
      <w:r>
        <w:rPr>
          <w:sz w:val="20"/>
        </w:rPr>
        <w:t xml:space="preserve">ПРИ ОТСУТСТВИИ В НИХ ПОТРЕБНОСТИ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Новгородской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29.11.2024 </w:t>
            </w:r>
            <w:hyperlink w:history="0" r:id="rId8" w:tooltip="Постановление Правительства Новгородской области от 29.11.2024 N 579 &quot;О внесении изменений в некоторые постановления Правительства Новгородской области&quot; {КонсультантПлюс}">
              <w:r>
                <w:rPr>
                  <w:sz w:val="20"/>
                  <w:color w:val="0000ff"/>
                </w:rPr>
                <w:t xml:space="preserve">N 579</w:t>
              </w:r>
            </w:hyperlink>
            <w:r>
              <w:rPr>
                <w:sz w:val="20"/>
                <w:color w:val="392c69"/>
              </w:rPr>
              <w:t xml:space="preserve">, от 12.12.2025 </w:t>
            </w:r>
            <w:hyperlink w:history="0" r:id="rId9" w:tooltip="Постановление Правительства Новгородской области от 12.12.2025 N 468 &quot;О внесении изменений в некоторые постановления Правительства Новгородской области&quot; {КонсультантПлюс}">
              <w:r>
                <w:rPr>
                  <w:sz w:val="20"/>
                  <w:color w:val="0000ff"/>
                </w:rPr>
                <w:t xml:space="preserve">N 468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10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пунктами 2</w:t>
        </w:r>
      </w:hyperlink>
      <w:r>
        <w:rPr>
          <w:sz w:val="20"/>
        </w:rPr>
        <w:t xml:space="preserve">, </w:t>
      </w:r>
      <w:hyperlink w:history="0" r:id="rId11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4 статьи 78.1</w:t>
        </w:r>
      </w:hyperlink>
      <w:r>
        <w:rPr>
          <w:sz w:val="20"/>
        </w:rPr>
        <w:t xml:space="preserve"> Бюджетного кодекса Российской Федерации, </w:t>
      </w:r>
      <w:hyperlink w:history="0" r:id="rId12" w:tooltip="Постановление Правительства РФ от 25.10.2023 N 1780 (ред. от 25.12.2025) &quot;Об утверждении Правил предоставления из бюджетов бюджетной системы Российской Федерации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&quot; ------------ Недействующая редакция {КонсультантПлюс}">
        <w:r>
          <w:rPr>
            <w:sz w:val="20"/>
            <w:color w:val="0000ff"/>
          </w:rPr>
          <w:t xml:space="preserve">подпунктом г) пункта 25</w:t>
        </w:r>
      </w:hyperlink>
      <w:r>
        <w:rPr>
          <w:sz w:val="20"/>
        </w:rPr>
        <w:t xml:space="preserve"> Правил предоставления из бюджетов бюджетной системы Российской Федерации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утвержденных постановлением Правительства Российской Федерации от 25 октября 2023 года N 1780, Правительство Новгородской области постановляет: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Новгородской области от 29.11.2024 </w:t>
      </w:r>
      <w:hyperlink w:history="0" r:id="rId13" w:tooltip="Постановление Правительства Новгородской области от 29.11.2024 N 579 &quot;О внесении изменений в некоторые постановления Правительства Новгородской области&quot; {КонсультантПлюс}">
        <w:r>
          <w:rPr>
            <w:sz w:val="20"/>
            <w:color w:val="0000ff"/>
          </w:rPr>
          <w:t xml:space="preserve">N 579</w:t>
        </w:r>
      </w:hyperlink>
      <w:r>
        <w:rPr>
          <w:sz w:val="20"/>
        </w:rPr>
        <w:t xml:space="preserve">, от 12.12.2025 </w:t>
      </w:r>
      <w:hyperlink w:history="0" r:id="rId14" w:tooltip="Постановление Правительства Новгородской области от 12.12.2025 N 468 &quot;О внесении изменений в некоторые постановления Правительства Новгородской области&quot; {КонсультантПлюс}">
        <w:r>
          <w:rPr>
            <w:sz w:val="20"/>
            <w:color w:val="0000ff"/>
          </w:rPr>
          <w:t xml:space="preserve">N 468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34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принятия главными распорядителями средств областного бюджета решений о наличии потребности в не использованных в отчетном финансовом году остатках субсидий, в том числе грантов в форме субсидий, предоставленных некоммерческим организациям на финансовое обеспечение их затрат, или возврате указанных средств при отсутствии в них потребности.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Разместить постановление на "Официальном интернет-портале правовой информации" (</w:t>
      </w:r>
      <w:hyperlink w:history="0" r:id="rId15">
        <w:r>
          <w:rPr>
            <w:sz w:val="20"/>
            <w:color w:val="0000ff"/>
          </w:rPr>
          <w:t xml:space="preserve">www.pravo.gov.ru</w:t>
        </w:r>
      </w:hyperlink>
      <w:r>
        <w:rPr>
          <w:sz w:val="20"/>
        </w:rPr>
        <w:t xml:space="preserve">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Новгородской области</w:t>
      </w:r>
    </w:p>
    <w:p>
      <w:pPr>
        <w:pStyle w:val="0"/>
        <w:jc w:val="right"/>
      </w:pPr>
      <w:r>
        <w:rPr>
          <w:sz w:val="20"/>
        </w:rPr>
        <w:t xml:space="preserve">А.С.НИКИТИН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Новгородской области</w:t>
      </w:r>
    </w:p>
    <w:p>
      <w:pPr>
        <w:pStyle w:val="0"/>
        <w:jc w:val="right"/>
      </w:pPr>
      <w:r>
        <w:rPr>
          <w:sz w:val="20"/>
        </w:rPr>
        <w:t xml:space="preserve">от 12.05.2022 N 251</w:t>
      </w:r>
    </w:p>
    <w:p>
      <w:pPr>
        <w:pStyle w:val="0"/>
        <w:jc w:val="both"/>
      </w:pPr>
      <w:r>
        <w:rPr>
          <w:sz w:val="20"/>
        </w:rPr>
      </w:r>
    </w:p>
    <w:bookmarkStart w:id="34" w:name="P34"/>
    <w:bookmarkEnd w:id="34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ПРИНЯТИЯ ГЛАВНЫМИ РАСПОРЯДИТЕЛЯМИ СРЕДСТВ ОБЛАСТНОГО БЮДЖЕТА</w:t>
      </w:r>
    </w:p>
    <w:p>
      <w:pPr>
        <w:pStyle w:val="2"/>
        <w:jc w:val="center"/>
      </w:pPr>
      <w:r>
        <w:rPr>
          <w:sz w:val="20"/>
        </w:rPr>
        <w:t xml:space="preserve">РЕШЕНИЙ О НАЛИЧИИ ПОТРЕБНОСТИ В НЕ ИСПОЛЬЗОВАННЫХ В ОТЧЕТНОМ</w:t>
      </w:r>
    </w:p>
    <w:p>
      <w:pPr>
        <w:pStyle w:val="2"/>
        <w:jc w:val="center"/>
      </w:pPr>
      <w:r>
        <w:rPr>
          <w:sz w:val="20"/>
        </w:rPr>
        <w:t xml:space="preserve">ФИНАНСОВОМ ГОДУ ОСТАТКАХ СУБСИДИЙ, В ТОМ ЧИСЛЕ ГРАНТОВ</w:t>
      </w:r>
    </w:p>
    <w:p>
      <w:pPr>
        <w:pStyle w:val="2"/>
        <w:jc w:val="center"/>
      </w:pPr>
      <w:r>
        <w:rPr>
          <w:sz w:val="20"/>
        </w:rPr>
        <w:t xml:space="preserve">В ФОРМЕ СУБСИДИЙ, ПРЕДОСТАВЛЕННЫХ НЕКОММЕРЧЕСКИМ</w:t>
      </w:r>
    </w:p>
    <w:p>
      <w:pPr>
        <w:pStyle w:val="2"/>
        <w:jc w:val="center"/>
      </w:pPr>
      <w:r>
        <w:rPr>
          <w:sz w:val="20"/>
        </w:rPr>
        <w:t xml:space="preserve">ОРГАНИЗАЦИЯМ НА ФИНАНСОВОЕ ОБЕСПЕЧЕНИЕ ИХ ЗАТРАТ, ИЛИ</w:t>
      </w:r>
    </w:p>
    <w:p>
      <w:pPr>
        <w:pStyle w:val="2"/>
        <w:jc w:val="center"/>
      </w:pPr>
      <w:r>
        <w:rPr>
          <w:sz w:val="20"/>
        </w:rPr>
        <w:t xml:space="preserve">ВОЗВРАТЕ УКАЗАННЫХ СРЕДСТВ ПРИ ОТСУТСТВИИ В НИХ ПОТРЕБНОСТИ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регулирует отношения, связанные с принятием главными распорядителями средств областного бюджета решений о наличии потребности в не использованных в отчетном финансовом году остатках субсидий, в том числе грантов в форме субсидий, предоставленных некоммерческим организациям на финансовое обеспечение их затрат (далее субсидия, получатель субсидии, решение о наличии потребности в остатках субсидии), или решений о возврате указанных средств при отсутствии в них потребности (далее решение о возврате остатков субсидии).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Настоящий Порядок не распространяется на правоотношения, связанные с принятием главными распорядителями средств областного бюджета решений о наличии потребности в не использованных в отчетном финансовом году остатках субсидий социально ориентированным некоммерческим организациям Новгородской области, не являющимся государственными учреждениями, реализующим общественно полезные программы.</w:t>
      </w:r>
    </w:p>
    <w:bookmarkStart w:id="44" w:name="P44"/>
    <w:bookmarkEnd w:id="4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 целях принятия решения о наличии потребности в остатках субсидии получатель субсидии представляет главному распорядителю средств областного бюджета, предоставившему субсидию (далее главный распорядитель), на бумажном и электронном носителях следующие документы: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 Ходатайство в произвольной форме, подписанное руководителем получателя субсидии или уполномоченным им лицом, содержащее: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наименование получателя субсидии;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цели предоставления субсидии;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размер остатков субсидии с указанием сумм, в отношении которых подтверждается наличие потребности в направлении их на те же цели, на которые была предоставлена субсидия;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обоснование потребности в использовании остатков субсидии в текущем финансовом году на те же цели, на которые была предоставлена субсидия;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причины образования остатков субсидии;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реквизиты документов (соглашений, договоров, контрактов), на основании которых получателем субсидии приняты обязательства;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</w:t>
      </w:r>
      <w:hyperlink w:history="0" w:anchor="P93" w:tooltip="СВЕДЕНИЯ">
        <w:r>
          <w:rPr>
            <w:sz w:val="20"/>
            <w:color w:val="0000ff"/>
          </w:rPr>
          <w:t xml:space="preserve">Сведения</w:t>
        </w:r>
      </w:hyperlink>
      <w:r>
        <w:rPr>
          <w:sz w:val="20"/>
        </w:rPr>
        <w:t xml:space="preserve"> об остатках субсидий, в том числе грантов в форме субсидий, предоставленных некоммерческим организациям на финансовое обеспечение их затрат, по форме согласно приложению к настоящему Порядку;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 Копии соглашений, договоров, контрактов, на основании которых приняты обязательства, заверенные получателем субсидии.</w:t>
      </w:r>
    </w:p>
    <w:bookmarkStart w:id="54" w:name="P54"/>
    <w:bookmarkEnd w:id="5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Получатель субсидии представляет главному распорядителю документы, указанные в </w:t>
      </w:r>
      <w:hyperlink w:history="0" w:anchor="P44" w:tooltip="2. В целях принятия решения о наличии потребности в остатках субсидии получатель субсидии представляет главному распорядителю средств областного бюджета, предоставившему субсидию (далее главный распорядитель), на бумажном и электронном носителях следующие документы: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Порядка, до 25 мая года, следующего за отчетным финансовым годом.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Главный распорядитель регистрирует документы, представленные получателем субсидии, в системе электронного документооборота органов исполнительной власти Новгородской области (далее СЭД ОИВ Новгородской области) в день их поступления.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Главный распорядитель в течение 20 рабочих дней со дня регистрации в СЭД ОИВ Новгородской области документов, представленных получателем субсидии, рассматривает их и подготавливает в форме приказа проект решения о наличии потребности в остатках субсидии или проект решения о возврате остатков субсидии. Проект решения о наличии потребности в остатках субсидии подготавливается главным распорядителем при отсутствии оснований для подготовки проекта решения о возврате остатков субсидии, предусмотренных </w:t>
      </w:r>
      <w:hyperlink w:history="0" w:anchor="P57" w:tooltip="6. Основаниями для подготовки главным распорядителем проекта решения о возврате остатков субсидии являются:">
        <w:r>
          <w:rPr>
            <w:sz w:val="20"/>
            <w:color w:val="0000ff"/>
          </w:rPr>
          <w:t xml:space="preserve">пунктом 6</w:t>
        </w:r>
      </w:hyperlink>
      <w:r>
        <w:rPr>
          <w:sz w:val="20"/>
        </w:rPr>
        <w:t xml:space="preserve"> настоящего Порядка.</w:t>
      </w:r>
    </w:p>
    <w:bookmarkStart w:id="57" w:name="P57"/>
    <w:bookmarkEnd w:id="5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Основаниями для подготовки главным распорядителем проекта решения о возврате остатков субсидии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6.1. Непредставление или представление не в полном объеме документов, предусмотренных </w:t>
      </w:r>
      <w:hyperlink w:history="0" w:anchor="P44" w:tooltip="2. В целях принятия решения о наличии потребности в остатках субсидии получатель субсидии представляет главному распорядителю средств областного бюджета, предоставившему субсидию (далее главный распорядитель), на бумажном и электронном носителях следующие документы:">
        <w:r>
          <w:rPr>
            <w:sz w:val="20"/>
            <w:color w:val="0000ff"/>
          </w:rPr>
          <w:t xml:space="preserve">пунктом 2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6.2. Несоответствие представленных документов требованиям, установленным </w:t>
      </w:r>
      <w:hyperlink w:history="0" w:anchor="P44" w:tooltip="2. В целях принятия решения о наличии потребности в остатках субсидии получатель субсидии представляет главному распорядителю средств областного бюджета, предоставившему субсидию (далее главный распорядитель), на бумажном и электронном носителях следующие документы:">
        <w:r>
          <w:rPr>
            <w:sz w:val="20"/>
            <w:color w:val="0000ff"/>
          </w:rPr>
          <w:t xml:space="preserve">пунктом 2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6.3. Нарушение указанного в </w:t>
      </w:r>
      <w:hyperlink w:history="0" w:anchor="P54" w:tooltip="3. Получатель субсидии представляет главному распорядителю документы, указанные в пункте 2 настоящего Порядка, до 25 мая года, следующего за отчетным финансовым годом.">
        <w:r>
          <w:rPr>
            <w:sz w:val="20"/>
            <w:color w:val="0000ff"/>
          </w:rPr>
          <w:t xml:space="preserve">пункте 3</w:t>
        </w:r>
      </w:hyperlink>
      <w:r>
        <w:rPr>
          <w:sz w:val="20"/>
        </w:rPr>
        <w:t xml:space="preserve"> настоящего Порядка срока представления документов, предусмотренных </w:t>
      </w:r>
      <w:hyperlink w:history="0" w:anchor="P44" w:tooltip="2. В целях принятия решения о наличии потребности в остатках субсидии получатель субсидии представляет главному распорядителю средств областного бюджета, предоставившему субсидию (далее главный распорядитель), на бумажном и электронном носителях следующие документы:">
        <w:r>
          <w:rPr>
            <w:sz w:val="20"/>
            <w:color w:val="0000ff"/>
          </w:rPr>
          <w:t xml:space="preserve">пунктом 2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6.4. Несоответствие предмета договора, соглашения или контракта, на основании которого получателем субсидии принято обязательство, целям предоставления субсидии;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6.5. В случае заключения договора, соглашения или контракта, на основании которого получателем субсидии принято обязательство, после 31 декабря отчетного финансового года - в отношении получателя субсидии, соглашение о предоставлении субсидии с которым заключено до 1 ноября отчетного финансового года;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6.6. В случае заключения договора, соглашения или контракта, на основании которого получателем субсидии принято обязательство, после 1 апреля года, следующего за отчетным финансовым годом, - в отношении получателя субсидии, соглашение о предоставлении субсидии с которым заключено с 1 ноября по 31 декабря отчетного финансового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Проект решения о наличии потребности в остатках субсидии или проект решения о возврате остатков субсидии подлежит согласованию с министерством финансов Новгородской области (далее министерство финансов).</w:t>
      </w:r>
    </w:p>
    <w:bookmarkStart w:id="65" w:name="P65"/>
    <w:bookmarkEnd w:id="6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Главный распорядитель не позднее 5 рабочих дней со дня подготовки проекта решения о наличии потребности в остатках субсидии или проекта решения о возврате остатков субсидии направляет его в министерство финансов посредством СЭД ОИВ Новгородской области с приложением пояснительной записки к указанному проекту и документов, указанных в </w:t>
      </w:r>
      <w:hyperlink w:history="0" w:anchor="P44" w:tooltip="2. В целях принятия решения о наличии потребности в остатках субсидии получатель субсидии представляет главному распорядителю средств областного бюджета, предоставившему субсидию (далее главный распорядитель), на бумажном и электронном носителях следующие документы: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Министерство финансов в течение 7 рабочих дней со дня поступления проекта решения о наличии потребности в остатках субсидии или проекта решения о возврате остатков субсидии и документов, указанных в </w:t>
      </w:r>
      <w:hyperlink w:history="0" w:anchor="P65" w:tooltip="8. Главный распорядитель не позднее 5 рабочих дней со дня подготовки проекта решения о наличии потребности в остатках субсидии или проекта решения о возврате остатков субсидии направляет его в министерство финансов посредством СЭД ОИВ Новгородской области с приложением пояснительной записки к указанному проекту и документов, указанных в пункте 2 настоящего Порядка.">
        <w:r>
          <w:rPr>
            <w:sz w:val="20"/>
            <w:color w:val="0000ff"/>
          </w:rPr>
          <w:t xml:space="preserve">пункте 8</w:t>
        </w:r>
      </w:hyperlink>
      <w:r>
        <w:rPr>
          <w:sz w:val="20"/>
        </w:rPr>
        <w:t xml:space="preserve"> настоящего Порядка, рассматривает их и проставляет в СЭД ОИВ Новгородской области соответствующую отметку о согласовании или отметку о наличии заключения, содержащего причины несогласования проекта решения.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Министерство финансов проставляет отметку о наличии заключения, содержащего причины несогласования проекта решения о наличии потребности в остатках субсидии, в случае превышения размера остатков субсидии, указанного в ходатайстве, над размером неисполненных обязательств.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Министерство финансов проставляет отметку о наличии заключения, содержащего причины несогласования проекта решения о возврате остатков субсидии, в случае несоответствия размера остатков субсидии, указанного в ходатайстве, фактическому размеру остатков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В случае согласования министерством финансов проекта решения о наличии потребности в остатках субсидии главный распорядитель в течение 3 рабочих дней со дня проставления министерством финансов отметки о его согласовании принимает решение о наличии потребности в остатках субсидии и направляет его получателю субсидии любым способом, позволяющим подтвердить его получение.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В случае несогласования министерством финансов проекта решения о наличии потребности в остатках субсидии главный распорядитель в течение 3 рабочих дней со дня проставления министерством финансов отметки о наличии заключения, содержащего причины несогласования проекта решения, направляет получателю субсидии соответствующую информацию с указанием причин несогласования министерством финансов проекта решения о наличии потребности в остатках субсидии любым способом, позволяющим подтвердить ее получение.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В случае согласования министерством финансов проекта решения о возврате остатков субсидии главный распорядитель в течение 3 рабочих дней со дня проставления министерством финансов отметки о его согласовании направляет получателю субсидии информацию с указанием обоснования принятия указанного решения любым способом, позволяющим подтвердить ее получение.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В случае несогласования министерством финансов проекта решения о возврате остатков субсидии главный распорядитель в течение 3 рабочих дней со дня проставления министерством финансов отметки о наличии заключения, содержащего причины несогласования проекта решения, направляет получателю субсидии информацию с указанием обоснования подготовки проекта решения о возврате остатков субсидии и причин его несогласования министерством финансов любым способом, позволяющим подтвердить ее получение.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Получатель субсидии вправе повторно подать документы, предусмотренные </w:t>
      </w:r>
      <w:hyperlink w:history="0" w:anchor="P44" w:tooltip="2. В целях принятия решения о наличии потребности в остатках субсидии получатель субсидии представляет главному распорядителю средств областного бюджета, предоставившему субсидию (далее главный распорядитель), на бумажном и электронном носителях следующие документы:">
        <w:r>
          <w:rPr>
            <w:sz w:val="20"/>
            <w:color w:val="0000ff"/>
          </w:rPr>
          <w:t xml:space="preserve">пунктом 2</w:t>
        </w:r>
      </w:hyperlink>
      <w:r>
        <w:rPr>
          <w:sz w:val="20"/>
        </w:rPr>
        <w:t xml:space="preserve"> настоящего Порядка, в целях принятия решения о наличии потребности в остатках субсидии в соответствии с настоящим Порядком.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Порядку</w:t>
      </w:r>
    </w:p>
    <w:p>
      <w:pPr>
        <w:pStyle w:val="0"/>
        <w:jc w:val="right"/>
      </w:pPr>
      <w:r>
        <w:rPr>
          <w:sz w:val="20"/>
        </w:rPr>
        <w:t xml:space="preserve">принятия главными распорядителями</w:t>
      </w:r>
    </w:p>
    <w:p>
      <w:pPr>
        <w:pStyle w:val="0"/>
        <w:jc w:val="right"/>
      </w:pPr>
      <w:r>
        <w:rPr>
          <w:sz w:val="20"/>
        </w:rPr>
        <w:t xml:space="preserve">средств областного бюджета решений</w:t>
      </w:r>
    </w:p>
    <w:p>
      <w:pPr>
        <w:pStyle w:val="0"/>
        <w:jc w:val="right"/>
      </w:pPr>
      <w:r>
        <w:rPr>
          <w:sz w:val="20"/>
        </w:rPr>
        <w:t xml:space="preserve">о наличии потребности в не</w:t>
      </w:r>
    </w:p>
    <w:p>
      <w:pPr>
        <w:pStyle w:val="0"/>
        <w:jc w:val="right"/>
      </w:pPr>
      <w:r>
        <w:rPr>
          <w:sz w:val="20"/>
        </w:rPr>
        <w:t xml:space="preserve">использованных в отчетном</w:t>
      </w:r>
    </w:p>
    <w:p>
      <w:pPr>
        <w:pStyle w:val="0"/>
        <w:jc w:val="right"/>
      </w:pPr>
      <w:r>
        <w:rPr>
          <w:sz w:val="20"/>
        </w:rPr>
        <w:t xml:space="preserve">финансовом году остатках субсидий,</w:t>
      </w:r>
    </w:p>
    <w:p>
      <w:pPr>
        <w:pStyle w:val="0"/>
        <w:jc w:val="right"/>
      </w:pPr>
      <w:r>
        <w:rPr>
          <w:sz w:val="20"/>
        </w:rPr>
        <w:t xml:space="preserve">в том числе грантов в форме</w:t>
      </w:r>
    </w:p>
    <w:p>
      <w:pPr>
        <w:pStyle w:val="0"/>
        <w:jc w:val="right"/>
      </w:pPr>
      <w:r>
        <w:rPr>
          <w:sz w:val="20"/>
        </w:rPr>
        <w:t xml:space="preserve">субсидий, предоставленных</w:t>
      </w:r>
    </w:p>
    <w:p>
      <w:pPr>
        <w:pStyle w:val="0"/>
        <w:jc w:val="right"/>
      </w:pPr>
      <w:r>
        <w:rPr>
          <w:sz w:val="20"/>
        </w:rPr>
        <w:t xml:space="preserve">некоммерческим организациям на</w:t>
      </w:r>
    </w:p>
    <w:p>
      <w:pPr>
        <w:pStyle w:val="0"/>
        <w:jc w:val="right"/>
      </w:pPr>
      <w:r>
        <w:rPr>
          <w:sz w:val="20"/>
        </w:rPr>
        <w:t xml:space="preserve">финансовое обеспечение их затрат,</w:t>
      </w:r>
    </w:p>
    <w:p>
      <w:pPr>
        <w:pStyle w:val="0"/>
        <w:jc w:val="right"/>
      </w:pPr>
      <w:r>
        <w:rPr>
          <w:sz w:val="20"/>
        </w:rPr>
        <w:t xml:space="preserve">или возврате указанных средств</w:t>
      </w:r>
    </w:p>
    <w:p>
      <w:pPr>
        <w:pStyle w:val="0"/>
        <w:jc w:val="right"/>
      </w:pPr>
      <w:r>
        <w:rPr>
          <w:sz w:val="20"/>
        </w:rPr>
        <w:t xml:space="preserve">при отсутствии в них потребности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690"/>
        <w:gridCol w:w="330"/>
        <w:gridCol w:w="1020"/>
        <w:gridCol w:w="1362"/>
        <w:gridCol w:w="340"/>
        <w:gridCol w:w="1022"/>
        <w:gridCol w:w="1359"/>
        <w:gridCol w:w="342"/>
        <w:gridCol w:w="678"/>
        <w:gridCol w:w="1248"/>
      </w:tblGrid>
      <w:tr>
        <w:tblPrEx>
          <w:tblBorders>
            <w:insideH w:val="nil"/>
          </w:tblBorders>
        </w:tblPrEx>
        <w:tc>
          <w:tcPr>
            <w:gridSpan w:val="11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93" w:name="P93"/>
          <w:bookmarkEnd w:id="93"/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об остатках субсидий, в том числе грантов в форме субсидий,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предоставленных некоммерческим организациям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на финансовое обеспечение их затрат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1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Наименование получателя субсидии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1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Наименование субсидии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1"/>
            <w:tcW w:w="9071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single" w:sz="4"/>
            <w:right w:val="single" w:sz="4"/>
          </w:tblBorders>
        </w:tblPrEx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gridSpan w:val="2"/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Номер и дата соглашения о предоставлении субсидии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Правовой акт, регулирующий порядок предоставления субсидии</w:t>
            </w:r>
          </w:p>
        </w:tc>
        <w:tc>
          <w:tcPr>
            <w:gridSpan w:val="2"/>
            <w:tcW w:w="170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бюджетной классификации Российской Федерации, по которому были осуществлены расходы по предоставлению субсидии</w:t>
            </w:r>
          </w:p>
        </w:tc>
        <w:tc>
          <w:tcPr>
            <w:gridSpan w:val="2"/>
            <w:tcW w:w="238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Аналитический код, используемый Федеральным казначейством в целях санкционирования операций с целевыми расходами (при наличии)</w:t>
            </w:r>
          </w:p>
        </w:tc>
        <w:tc>
          <w:tcPr>
            <w:gridSpan w:val="2"/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Сумма предоставленной субсидии (руб. &lt;*&gt;)</w:t>
            </w:r>
          </w:p>
        </w:tc>
        <w:tc>
          <w:tcPr>
            <w:tcW w:w="124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Потребность в неиспользованном остатке субсидии (руб. &lt;*&gt;)</w:t>
            </w:r>
          </w:p>
        </w:tc>
      </w:tr>
      <w:tr>
        <w:tblPrEx>
          <w:tblBorders>
            <w:left w:val="single" w:sz="4"/>
            <w:right w:val="single" w:sz="4"/>
          </w:tblBorders>
        </w:tblPrEx>
        <w:tc>
          <w:tcPr>
            <w:tcW w:w="680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020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20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702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238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020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8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single" w:sz="4"/>
            <w:right w:val="single" w:sz="4"/>
          </w:tblBorders>
        </w:tblPrEx>
        <w:tc>
          <w:tcPr>
            <w:tcW w:w="680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020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20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702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238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020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8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single" w:sz="4"/>
            <w:right w:val="single" w:sz="4"/>
          </w:tblBorders>
        </w:tblPrEx>
        <w:tc>
          <w:tcPr>
            <w:tcW w:w="680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020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ИТОГО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702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238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020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8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11"/>
            <w:tcW w:w="907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11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--------------------------------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&lt;*&gt; Сумма указывается до копеек после запятой.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1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V w:val="nil"/>
            <w:insideH w:val="nil"/>
          </w:tblBorders>
        </w:tblPrEx>
        <w:tc>
          <w:tcPr>
            <w:gridSpan w:val="5"/>
            <w:tcW w:w="4082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Руководитель получателя субсидии</w:t>
            </w:r>
          </w:p>
          <w:p>
            <w:pPr>
              <w:pStyle w:val="0"/>
            </w:pPr>
            <w:r>
              <w:rPr>
                <w:sz w:val="20"/>
              </w:rPr>
              <w:t xml:space="preserve">(или уполномоченное им лицо)</w:t>
            </w:r>
          </w:p>
        </w:tc>
        <w:tc>
          <w:tcPr>
            <w:gridSpan w:val="4"/>
            <w:tcW w:w="3063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926" w:type="dxa"/>
            <w:vAlign w:val="bottom"/>
            <w:tcBorders>
              <w:top w:val="nil"/>
              <w:bottom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И.О.Фамилия</w:t>
            </w:r>
          </w:p>
        </w:tc>
      </w:tr>
      <w:tr>
        <w:tblPrEx>
          <w:tblBorders>
            <w:insideV w:val="nil"/>
            <w:insideH w:val="nil"/>
          </w:tblBorders>
        </w:tblPrEx>
        <w:tc>
          <w:tcPr>
            <w:gridSpan w:val="5"/>
            <w:tcW w:w="4082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3063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  <w:tc>
          <w:tcPr>
            <w:gridSpan w:val="2"/>
            <w:tcW w:w="192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V w:val="nil"/>
            <w:insideH w:val="nil"/>
          </w:tblBorders>
        </w:tblPrEx>
        <w:tc>
          <w:tcPr>
            <w:gridSpan w:val="4"/>
            <w:tcW w:w="272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2724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М.П.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(при наличии)</w:t>
            </w:r>
          </w:p>
        </w:tc>
        <w:tc>
          <w:tcPr>
            <w:gridSpan w:val="2"/>
            <w:tcW w:w="1701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92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V w:val="nil"/>
            <w:insideH w:val="nil"/>
          </w:tblBorders>
        </w:tblPrEx>
        <w:tc>
          <w:tcPr>
            <w:gridSpan w:val="5"/>
            <w:tcW w:w="4082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Исполнитель</w:t>
            </w:r>
          </w:p>
        </w:tc>
        <w:tc>
          <w:tcPr>
            <w:gridSpan w:val="4"/>
            <w:tcW w:w="3063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926" w:type="dxa"/>
            <w:vAlign w:val="bottom"/>
            <w:tcBorders>
              <w:top w:val="nil"/>
              <w:bottom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И.О.Фамилия</w:t>
            </w:r>
          </w:p>
        </w:tc>
      </w:tr>
      <w:tr>
        <w:tblPrEx>
          <w:tblBorders>
            <w:insideV w:val="nil"/>
            <w:insideH w:val="nil"/>
          </w:tblBorders>
        </w:tblPrEx>
        <w:tc>
          <w:tcPr>
            <w:gridSpan w:val="5"/>
            <w:tcW w:w="4082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3063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  <w:tc>
          <w:tcPr>
            <w:gridSpan w:val="2"/>
            <w:tcW w:w="192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V w:val="nil"/>
            <w:insideH w:val="nil"/>
          </w:tblBorders>
        </w:tblPrEx>
        <w:tc>
          <w:tcPr>
            <w:gridSpan w:val="2"/>
            <w:tcW w:w="137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Телефон</w:t>
            </w:r>
          </w:p>
        </w:tc>
        <w:tc>
          <w:tcPr>
            <w:gridSpan w:val="3"/>
            <w:tcW w:w="271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4989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11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"___" _______________ 20___ года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Новгородской области от 12.05.2022 N 251</w:t>
            <w:br/>
            <w:t>(ред. от 12.12.2025)</w:t>
            <w:br/>
            <w:t>"Об утверждении Порядка принят...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154&amp;n=114397&amp;dst=100006" TargetMode = "External"/><Relationship Id="rId9" Type="http://schemas.openxmlformats.org/officeDocument/2006/relationships/hyperlink" Target="https://login.consultant.ru/link/?req=doc&amp;base=RLAW154&amp;n=118939&amp;dst=100006" TargetMode = "External"/><Relationship Id="rId10" Type="http://schemas.openxmlformats.org/officeDocument/2006/relationships/hyperlink" Target="https://login.consultant.ru/link/?req=doc&amp;base=LAW&amp;n=520154&amp;dst=7460" TargetMode = "External"/><Relationship Id="rId11" Type="http://schemas.openxmlformats.org/officeDocument/2006/relationships/hyperlink" Target="https://login.consultant.ru/link/?req=doc&amp;base=LAW&amp;n=520154&amp;dst=7188" TargetMode = "External"/><Relationship Id="rId12" Type="http://schemas.openxmlformats.org/officeDocument/2006/relationships/hyperlink" Target="https://login.consultant.ru/link/?req=doc&amp;base=LAW&amp;n=522975&amp;dst=100156" TargetMode = "External"/><Relationship Id="rId13" Type="http://schemas.openxmlformats.org/officeDocument/2006/relationships/hyperlink" Target="https://login.consultant.ru/link/?req=doc&amp;base=RLAW154&amp;n=114397&amp;dst=100006" TargetMode = "External"/><Relationship Id="rId14" Type="http://schemas.openxmlformats.org/officeDocument/2006/relationships/hyperlink" Target="https://login.consultant.ru/link/?req=doc&amp;base=RLAW154&amp;n=118939&amp;dst=100006" TargetMode = "External"/><Relationship Id="rId15" Type="http://schemas.openxmlformats.org/officeDocument/2006/relationships/hyperlink" Target="www.pravo.gov.ru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Новгородской области от 12.05.2022 N 251
(ред. от 12.12.2025)
"Об утверждении Порядка принятия главными распорядителями средств областного бюджета решений о наличии потребности в не использованных в отчетном финансовом году остатках субсидий, в том числе грантов в форме субсидий, предоставленных некоммерческим организациям на финансовое обеспечение их затрат, или возврате указанных средств при отсутствии в них потребности"</dc:title>
  <dcterms:created xsi:type="dcterms:W3CDTF">2026-01-02T13:21:03Z</dcterms:created>
</cp:coreProperties>
</file>