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Новгородской области от 06.06.2024 N 364-рг</w:t>
              <w:br/>
              <w:t xml:space="preserve">"Об утверждении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2024 год"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28.12.2024</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НОВГОРОДСКОЙ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6 июня 2024 г. N 364-рг</w:t>
      </w:r>
    </w:p>
    <w:p>
      <w:pPr>
        <w:pStyle w:val="2"/>
        <w:jc w:val="center"/>
      </w:pPr>
      <w:r>
        <w:rPr>
          <w:sz w:val="20"/>
        </w:rPr>
      </w:r>
    </w:p>
    <w:p>
      <w:pPr>
        <w:pStyle w:val="2"/>
        <w:jc w:val="center"/>
      </w:pPr>
      <w:r>
        <w:rPr>
          <w:sz w:val="20"/>
        </w:rPr>
        <w:t xml:space="preserve">ОБ УТВЕРЖДЕНИИ РАСПРЕДЕЛЕНИЯ СУБСИДИЙ БЮДЖЕТАМ МУНИЦИПАЛЬНЫХ</w:t>
      </w:r>
    </w:p>
    <w:p>
      <w:pPr>
        <w:pStyle w:val="2"/>
        <w:jc w:val="center"/>
      </w:pPr>
      <w:r>
        <w:rPr>
          <w:sz w:val="20"/>
        </w:rPr>
        <w:t xml:space="preserve">РАЙОНОВ, МУНИЦИПАЛЬНЫХ ОКРУГОВ, ГОРОДСКОГО ОКРУГА</w:t>
      </w:r>
    </w:p>
    <w:p>
      <w:pPr>
        <w:pStyle w:val="2"/>
        <w:jc w:val="center"/>
      </w:pPr>
      <w:r>
        <w:rPr>
          <w:sz w:val="20"/>
        </w:rPr>
        <w:t xml:space="preserve">НОВГОРОДСКОЙ ОБЛАСТИ НА РЕАЛИЗАЦИЮ МУНИЦИПАЛЬНЫХ ПРОГРАММ</w:t>
      </w:r>
    </w:p>
    <w:p>
      <w:pPr>
        <w:pStyle w:val="2"/>
        <w:jc w:val="center"/>
      </w:pPr>
      <w:r>
        <w:rPr>
          <w:sz w:val="20"/>
        </w:rPr>
        <w:t xml:space="preserve">(ПОДПРОГРАММ, РАЗДЕЛОВ, МЕРОПРИЯТИЙ ПРОГРАММ) ПОДДЕРЖКИ</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НА 2024 ГОД</w:t>
      </w:r>
    </w:p>
    <w:p>
      <w:pPr>
        <w:pStyle w:val="0"/>
        <w:ind w:firstLine="540"/>
        <w:jc w:val="both"/>
      </w:pPr>
      <w:r>
        <w:rPr>
          <w:sz w:val="20"/>
        </w:rPr>
      </w:r>
    </w:p>
    <w:p>
      <w:pPr>
        <w:pStyle w:val="0"/>
        <w:ind w:firstLine="540"/>
        <w:jc w:val="both"/>
      </w:pPr>
      <w:r>
        <w:rPr>
          <w:sz w:val="20"/>
        </w:rPr>
        <w:t xml:space="preserve">В соответствии с </w:t>
      </w:r>
      <w:hyperlink w:history="0" r:id="rId7" w:tooltip="Областной закон Новгородской области от 06.03.2009 N 482-ОЗ (ред. от 02.05.2023) &quot;О межбюджетных отношениях в Новгородской области&quot; (принят Постановлением Новгородской областной Думы от 25.02.2009 N 950-ОД) (вместе с &quot;Методикой расчета дотаций на выравнивание бюджетной обеспеченности поселений&quot;, &quot;Методикой расчета дотаций на выравнивание бюджетной обеспеченности муниципальных районов (городского округа)&quot;, &quot;Методикой расчета дотаций на выравнивание бюджетной обеспеченности поселений из бюджета муниципального ------------ Недействующая редакция {КонсультантПлюс}">
        <w:r>
          <w:rPr>
            <w:sz w:val="20"/>
            <w:color w:val="0000ff"/>
          </w:rPr>
          <w:t xml:space="preserve">частью 2 статьи 7</w:t>
        </w:r>
      </w:hyperlink>
      <w:r>
        <w:rPr>
          <w:sz w:val="20"/>
        </w:rPr>
        <w:t xml:space="preserve"> областного закона от 06.03.2009 N 482-ОЗ "О межбюджетных отношениях в Новгородской области", </w:t>
      </w:r>
      <w:hyperlink w:history="0" r:id="rId8" w:tooltip="Постановление Правительства Новгородской области от 25.12.2023 N 600 (ред. от 20.05.2024) &quot;О государственной программе Новгородской области &quot;Развитие системы местного самоуправления, институтов гражданского общества и реализация государственной национальной политики на территории Новгородской области&quot; (вместе со &quot;Стратегическими приоритетами государственной программы Новгородской области &quot;Развитие системы местного самоуправления, институтов гражданского общества и реализация государственной национальной пол ------------ Недействующая редакция {КонсультантПлюс}">
        <w:r>
          <w:rPr>
            <w:sz w:val="20"/>
            <w:color w:val="0000ff"/>
          </w:rPr>
          <w:t xml:space="preserve">Порядком</w:t>
        </w:r>
      </w:hyperlink>
      <w:r>
        <w:rPr>
          <w:sz w:val="20"/>
        </w:rPr>
        <w:t xml:space="preserve"> предоставления 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утвержденным постановлением Правительства Новгородской области от 25.12.2023 N 600 "О государственной программе Новгородской области "Развитие системы местного самоуправления, институтов гражданского общества и реализация государственной национальной политики на территории Новгородской области":</w:t>
      </w:r>
    </w:p>
    <w:p>
      <w:pPr>
        <w:pStyle w:val="0"/>
        <w:spacing w:before="200" w:line-rule="auto"/>
        <w:ind w:firstLine="540"/>
        <w:jc w:val="both"/>
      </w:pPr>
      <w:r>
        <w:rPr>
          <w:sz w:val="20"/>
        </w:rPr>
        <w:t xml:space="preserve">1. Утвердить прилагаемое </w:t>
      </w:r>
      <w:hyperlink w:history="0" w:anchor="P29" w:tooltip="РАСПРЕДЕЛЕНИЕ">
        <w:r>
          <w:rPr>
            <w:sz w:val="20"/>
            <w:color w:val="0000ff"/>
          </w:rPr>
          <w:t xml:space="preserve">распределение</w:t>
        </w:r>
      </w:hyperlink>
      <w:r>
        <w:rPr>
          <w:sz w:val="20"/>
        </w:rPr>
        <w:t xml:space="preserve">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2024 год.</w:t>
      </w:r>
    </w:p>
    <w:p>
      <w:pPr>
        <w:pStyle w:val="0"/>
        <w:spacing w:before="200" w:line-rule="auto"/>
        <w:ind w:firstLine="540"/>
        <w:jc w:val="both"/>
      </w:pPr>
      <w:r>
        <w:rPr>
          <w:sz w:val="20"/>
        </w:rPr>
        <w:t xml:space="preserve">2. Опубликовать распоряжение на "Официальном интернет-портале правовой информации" (</w:t>
      </w:r>
      <w:hyperlink w:history="0" r:id="rId9">
        <w:r>
          <w:rPr>
            <w:sz w:val="20"/>
            <w:color w:val="0000ff"/>
          </w:rPr>
          <w:t xml:space="preserve">www.pravo.gov.ru</w:t>
        </w:r>
      </w:hyperlink>
      <w:r>
        <w:rPr>
          <w:sz w:val="20"/>
        </w:rPr>
        <w:t xml:space="preserve">).</w:t>
      </w:r>
    </w:p>
    <w:p>
      <w:pPr>
        <w:pStyle w:val="0"/>
        <w:ind w:firstLine="540"/>
        <w:jc w:val="both"/>
      </w:pPr>
      <w:r>
        <w:rPr>
          <w:sz w:val="20"/>
        </w:rPr>
      </w:r>
    </w:p>
    <w:p>
      <w:pPr>
        <w:pStyle w:val="0"/>
        <w:jc w:val="right"/>
      </w:pPr>
      <w:r>
        <w:rPr>
          <w:sz w:val="20"/>
        </w:rPr>
        <w:t xml:space="preserve">Губернатор Новгородской области</w:t>
      </w:r>
    </w:p>
    <w:p>
      <w:pPr>
        <w:pStyle w:val="0"/>
        <w:jc w:val="right"/>
      </w:pPr>
      <w:r>
        <w:rPr>
          <w:sz w:val="20"/>
        </w:rPr>
        <w:t xml:space="preserve">А.С.НИКИТИН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Правительства Новгородской области</w:t>
      </w:r>
    </w:p>
    <w:p>
      <w:pPr>
        <w:pStyle w:val="0"/>
        <w:jc w:val="right"/>
      </w:pPr>
      <w:r>
        <w:rPr>
          <w:sz w:val="20"/>
        </w:rPr>
        <w:t xml:space="preserve">от 06.06.2024 N 364-рг</w:t>
      </w:r>
    </w:p>
    <w:p>
      <w:pPr>
        <w:pStyle w:val="0"/>
        <w:ind w:firstLine="540"/>
        <w:jc w:val="both"/>
      </w:pPr>
      <w:r>
        <w:rPr>
          <w:sz w:val="20"/>
        </w:rPr>
      </w:r>
    </w:p>
    <w:bookmarkStart w:id="29" w:name="P29"/>
    <w:bookmarkEnd w:id="29"/>
    <w:p>
      <w:pPr>
        <w:pStyle w:val="2"/>
        <w:jc w:val="center"/>
      </w:pPr>
      <w:r>
        <w:rPr>
          <w:sz w:val="20"/>
        </w:rPr>
        <w:t xml:space="preserve">РАСПРЕДЕЛЕНИЕ</w:t>
      </w:r>
    </w:p>
    <w:p>
      <w:pPr>
        <w:pStyle w:val="2"/>
        <w:jc w:val="center"/>
      </w:pPr>
      <w:r>
        <w:rPr>
          <w:sz w:val="20"/>
        </w:rPr>
        <w:t xml:space="preserve">СУБСИДИЙ БЮДЖЕТАМ МУНИЦИПАЛЬНЫХ РАЙОНОВ, МУНИЦИПАЛЬНЫХ</w:t>
      </w:r>
    </w:p>
    <w:p>
      <w:pPr>
        <w:pStyle w:val="2"/>
        <w:jc w:val="center"/>
      </w:pPr>
      <w:r>
        <w:rPr>
          <w:sz w:val="20"/>
        </w:rPr>
        <w:t xml:space="preserve">ОКРУГОВ, ГОРОДСКОГО ОКРУГА НОВГОРОДСКОЙ ОБЛАСТИ</w:t>
      </w:r>
    </w:p>
    <w:p>
      <w:pPr>
        <w:pStyle w:val="2"/>
        <w:jc w:val="center"/>
      </w:pPr>
      <w:r>
        <w:rPr>
          <w:sz w:val="20"/>
        </w:rPr>
        <w:t xml:space="preserve">НА РЕАЛИЗАЦИЮ МУНИЦИПАЛЬНЫХ ПРОГРАММ (ПОДПРОГРАММ, РАЗДЕЛОВ,</w:t>
      </w:r>
    </w:p>
    <w:p>
      <w:pPr>
        <w:pStyle w:val="2"/>
        <w:jc w:val="center"/>
      </w:pPr>
      <w:r>
        <w:rPr>
          <w:sz w:val="20"/>
        </w:rPr>
        <w:t xml:space="preserve">МЕРОПРИЯТИЙ ПРОГРАММ) ПОДДЕРЖКИ СОЦИАЛЬНО ОРИЕНТИРОВАННЫХ</w:t>
      </w:r>
    </w:p>
    <w:p>
      <w:pPr>
        <w:pStyle w:val="2"/>
        <w:jc w:val="center"/>
      </w:pPr>
      <w:r>
        <w:rPr>
          <w:sz w:val="20"/>
        </w:rPr>
        <w:t xml:space="preserve">НЕКОММЕРЧЕСКИХ ОРГАНИЗАЦИЙ НА 2024 ГОД</w:t>
      </w:r>
    </w:p>
    <w:p>
      <w:pPr>
        <w:pStyle w:val="2"/>
        <w:jc w:val="center"/>
      </w:pPr>
      <w:r>
        <w:rPr>
          <w:sz w:val="20"/>
        </w:rPr>
        <w:t xml:space="preserve">10 06 24 3 05 71660 520</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9"/>
        <w:gridCol w:w="6521"/>
        <w:gridCol w:w="1814"/>
      </w:tblGrid>
      <w:tr>
        <w:tc>
          <w:tcPr>
            <w:tcW w:w="709" w:type="dxa"/>
            <w:vAlign w:val="center"/>
          </w:tcPr>
          <w:p>
            <w:pPr>
              <w:pStyle w:val="0"/>
              <w:jc w:val="center"/>
            </w:pPr>
            <w:r>
              <w:rPr>
                <w:sz w:val="20"/>
              </w:rPr>
              <w:t xml:space="preserve">N п/п</w:t>
            </w:r>
          </w:p>
        </w:tc>
        <w:tc>
          <w:tcPr>
            <w:tcW w:w="6521" w:type="dxa"/>
            <w:vAlign w:val="center"/>
          </w:tcPr>
          <w:p>
            <w:pPr>
              <w:pStyle w:val="0"/>
              <w:jc w:val="center"/>
            </w:pPr>
            <w:r>
              <w:rPr>
                <w:sz w:val="20"/>
              </w:rPr>
              <w:t xml:space="preserve">Наименование муниципального района, муниципального округа, городского округа Новгородской области</w:t>
            </w:r>
          </w:p>
        </w:tc>
        <w:tc>
          <w:tcPr>
            <w:tcW w:w="1814" w:type="dxa"/>
            <w:vAlign w:val="center"/>
          </w:tcPr>
          <w:p>
            <w:pPr>
              <w:pStyle w:val="0"/>
              <w:jc w:val="center"/>
            </w:pPr>
            <w:r>
              <w:rPr>
                <w:sz w:val="20"/>
              </w:rPr>
              <w:t xml:space="preserve">Сумма (руб.)</w:t>
            </w:r>
          </w:p>
        </w:tc>
      </w:tr>
      <w:tr>
        <w:tc>
          <w:tcPr>
            <w:tcW w:w="709" w:type="dxa"/>
          </w:tcPr>
          <w:p>
            <w:pPr>
              <w:pStyle w:val="0"/>
              <w:jc w:val="center"/>
            </w:pPr>
            <w:r>
              <w:rPr>
                <w:sz w:val="20"/>
              </w:rPr>
              <w:t xml:space="preserve">1.</w:t>
            </w:r>
          </w:p>
        </w:tc>
        <w:tc>
          <w:tcPr>
            <w:tcW w:w="6521" w:type="dxa"/>
          </w:tcPr>
          <w:p>
            <w:pPr>
              <w:pStyle w:val="0"/>
            </w:pPr>
            <w:r>
              <w:rPr>
                <w:sz w:val="20"/>
              </w:rPr>
              <w:t xml:space="preserve">Боровичский</w:t>
            </w:r>
          </w:p>
        </w:tc>
        <w:tc>
          <w:tcPr>
            <w:tcW w:w="1814" w:type="dxa"/>
          </w:tcPr>
          <w:p>
            <w:pPr>
              <w:pStyle w:val="0"/>
            </w:pPr>
            <w:r>
              <w:rPr>
                <w:sz w:val="20"/>
              </w:rPr>
              <w:t xml:space="preserve">391500,00</w:t>
            </w:r>
          </w:p>
        </w:tc>
      </w:tr>
      <w:tr>
        <w:tc>
          <w:tcPr>
            <w:tcW w:w="709" w:type="dxa"/>
          </w:tcPr>
          <w:p>
            <w:pPr>
              <w:pStyle w:val="0"/>
              <w:jc w:val="center"/>
            </w:pPr>
            <w:r>
              <w:rPr>
                <w:sz w:val="20"/>
              </w:rPr>
              <w:t xml:space="preserve">2.</w:t>
            </w:r>
          </w:p>
        </w:tc>
        <w:tc>
          <w:tcPr>
            <w:tcW w:w="6521" w:type="dxa"/>
          </w:tcPr>
          <w:p>
            <w:pPr>
              <w:pStyle w:val="0"/>
            </w:pPr>
            <w:r>
              <w:rPr>
                <w:sz w:val="20"/>
              </w:rPr>
              <w:t xml:space="preserve">Валдайский</w:t>
            </w:r>
          </w:p>
        </w:tc>
        <w:tc>
          <w:tcPr>
            <w:tcW w:w="1814" w:type="dxa"/>
          </w:tcPr>
          <w:p>
            <w:pPr>
              <w:pStyle w:val="0"/>
            </w:pPr>
            <w:r>
              <w:rPr>
                <w:sz w:val="20"/>
              </w:rPr>
              <w:t xml:space="preserve">48900,00</w:t>
            </w:r>
          </w:p>
        </w:tc>
      </w:tr>
      <w:tr>
        <w:tc>
          <w:tcPr>
            <w:tcW w:w="709" w:type="dxa"/>
          </w:tcPr>
          <w:p>
            <w:pPr>
              <w:pStyle w:val="0"/>
              <w:jc w:val="center"/>
            </w:pPr>
            <w:r>
              <w:rPr>
                <w:sz w:val="20"/>
              </w:rPr>
              <w:t xml:space="preserve">3.</w:t>
            </w:r>
          </w:p>
        </w:tc>
        <w:tc>
          <w:tcPr>
            <w:tcW w:w="6521" w:type="dxa"/>
          </w:tcPr>
          <w:p>
            <w:pPr>
              <w:pStyle w:val="0"/>
            </w:pPr>
            <w:r>
              <w:rPr>
                <w:sz w:val="20"/>
              </w:rPr>
              <w:t xml:space="preserve">Великий Новгород</w:t>
            </w:r>
          </w:p>
        </w:tc>
        <w:tc>
          <w:tcPr>
            <w:tcW w:w="1814" w:type="dxa"/>
          </w:tcPr>
          <w:p>
            <w:pPr>
              <w:pStyle w:val="0"/>
            </w:pPr>
            <w:r>
              <w:rPr>
                <w:sz w:val="20"/>
              </w:rPr>
              <w:t xml:space="preserve">978700,00</w:t>
            </w:r>
          </w:p>
        </w:tc>
      </w:tr>
      <w:tr>
        <w:tc>
          <w:tcPr>
            <w:tcW w:w="709" w:type="dxa"/>
          </w:tcPr>
          <w:p>
            <w:pPr>
              <w:pStyle w:val="0"/>
              <w:jc w:val="center"/>
            </w:pPr>
            <w:r>
              <w:rPr>
                <w:sz w:val="20"/>
              </w:rPr>
              <w:t xml:space="preserve">4.</w:t>
            </w:r>
          </w:p>
        </w:tc>
        <w:tc>
          <w:tcPr>
            <w:tcW w:w="6521" w:type="dxa"/>
          </w:tcPr>
          <w:p>
            <w:pPr>
              <w:pStyle w:val="0"/>
            </w:pPr>
            <w:r>
              <w:rPr>
                <w:sz w:val="20"/>
              </w:rPr>
              <w:t xml:space="preserve">Новгородский</w:t>
            </w:r>
          </w:p>
        </w:tc>
        <w:tc>
          <w:tcPr>
            <w:tcW w:w="1814" w:type="dxa"/>
          </w:tcPr>
          <w:p>
            <w:pPr>
              <w:pStyle w:val="0"/>
            </w:pPr>
            <w:r>
              <w:rPr>
                <w:sz w:val="20"/>
              </w:rPr>
              <w:t xml:space="preserve">244700,00</w:t>
            </w:r>
          </w:p>
        </w:tc>
      </w:tr>
      <w:tr>
        <w:tc>
          <w:tcPr>
            <w:tcW w:w="709" w:type="dxa"/>
          </w:tcPr>
          <w:p>
            <w:pPr>
              <w:pStyle w:val="0"/>
              <w:jc w:val="center"/>
            </w:pPr>
            <w:r>
              <w:rPr>
                <w:sz w:val="20"/>
              </w:rPr>
              <w:t xml:space="preserve">5.</w:t>
            </w:r>
          </w:p>
        </w:tc>
        <w:tc>
          <w:tcPr>
            <w:tcW w:w="6521" w:type="dxa"/>
          </w:tcPr>
          <w:p>
            <w:pPr>
              <w:pStyle w:val="0"/>
            </w:pPr>
            <w:r>
              <w:rPr>
                <w:sz w:val="20"/>
              </w:rPr>
              <w:t xml:space="preserve">Пестовский</w:t>
            </w:r>
          </w:p>
        </w:tc>
        <w:tc>
          <w:tcPr>
            <w:tcW w:w="1814" w:type="dxa"/>
          </w:tcPr>
          <w:p>
            <w:pPr>
              <w:pStyle w:val="0"/>
            </w:pPr>
            <w:r>
              <w:rPr>
                <w:sz w:val="20"/>
              </w:rPr>
              <w:t xml:space="preserve">48900,00</w:t>
            </w:r>
          </w:p>
        </w:tc>
      </w:tr>
      <w:tr>
        <w:tc>
          <w:tcPr>
            <w:tcW w:w="709" w:type="dxa"/>
          </w:tcPr>
          <w:p>
            <w:pPr>
              <w:pStyle w:val="0"/>
              <w:jc w:val="center"/>
            </w:pPr>
            <w:r>
              <w:rPr>
                <w:sz w:val="20"/>
              </w:rPr>
              <w:t xml:space="preserve">6.</w:t>
            </w:r>
          </w:p>
        </w:tc>
        <w:tc>
          <w:tcPr>
            <w:tcW w:w="6521" w:type="dxa"/>
          </w:tcPr>
          <w:p>
            <w:pPr>
              <w:pStyle w:val="0"/>
            </w:pPr>
            <w:r>
              <w:rPr>
                <w:sz w:val="20"/>
              </w:rPr>
              <w:t xml:space="preserve">Старорусский</w:t>
            </w:r>
          </w:p>
        </w:tc>
        <w:tc>
          <w:tcPr>
            <w:tcW w:w="1814" w:type="dxa"/>
          </w:tcPr>
          <w:p>
            <w:pPr>
              <w:pStyle w:val="0"/>
            </w:pPr>
            <w:r>
              <w:rPr>
                <w:sz w:val="20"/>
              </w:rPr>
              <w:t xml:space="preserve">489400,00</w:t>
            </w:r>
          </w:p>
        </w:tc>
      </w:tr>
      <w:tr>
        <w:tc>
          <w:tcPr>
            <w:tcW w:w="709" w:type="dxa"/>
          </w:tcPr>
          <w:p>
            <w:pPr>
              <w:pStyle w:val="0"/>
              <w:jc w:val="center"/>
            </w:pPr>
            <w:r>
              <w:rPr>
                <w:sz w:val="20"/>
              </w:rPr>
              <w:t xml:space="preserve">7.</w:t>
            </w:r>
          </w:p>
        </w:tc>
        <w:tc>
          <w:tcPr>
            <w:tcW w:w="6521" w:type="dxa"/>
          </w:tcPr>
          <w:p>
            <w:pPr>
              <w:pStyle w:val="0"/>
            </w:pPr>
            <w:r>
              <w:rPr>
                <w:sz w:val="20"/>
              </w:rPr>
              <w:t xml:space="preserve">Хвойнинский</w:t>
            </w:r>
          </w:p>
        </w:tc>
        <w:tc>
          <w:tcPr>
            <w:tcW w:w="1814" w:type="dxa"/>
          </w:tcPr>
          <w:p>
            <w:pPr>
              <w:pStyle w:val="0"/>
            </w:pPr>
            <w:r>
              <w:rPr>
                <w:sz w:val="20"/>
              </w:rPr>
              <w:t xml:space="preserve">97900,00</w:t>
            </w:r>
          </w:p>
        </w:tc>
      </w:tr>
      <w:tr>
        <w:tc>
          <w:tcPr>
            <w:tcW w:w="709" w:type="dxa"/>
          </w:tcPr>
          <w:p>
            <w:pPr>
              <w:pStyle w:val="0"/>
            </w:pPr>
            <w:r>
              <w:rPr>
                <w:sz w:val="20"/>
              </w:rPr>
            </w:r>
          </w:p>
        </w:tc>
        <w:tc>
          <w:tcPr>
            <w:tcW w:w="6521" w:type="dxa"/>
          </w:tcPr>
          <w:p>
            <w:pPr>
              <w:pStyle w:val="0"/>
            </w:pPr>
            <w:r>
              <w:rPr>
                <w:sz w:val="20"/>
              </w:rPr>
              <w:t xml:space="preserve">ИТОГО</w:t>
            </w:r>
          </w:p>
        </w:tc>
        <w:tc>
          <w:tcPr>
            <w:tcW w:w="1814" w:type="dxa"/>
          </w:tcPr>
          <w:p>
            <w:pPr>
              <w:pStyle w:val="0"/>
            </w:pPr>
            <w:r>
              <w:rPr>
                <w:sz w:val="20"/>
              </w:rPr>
              <w:t xml:space="preserve">2300000,00</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Новгородской области от 06.06.2024 N 364-рг</w:t>
            <w:br/>
            <w:t>"Об утверждении распределения субсидий бюджетам 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54&amp;n=106072&amp;dst=100535" TargetMode = "External"/>
	<Relationship Id="rId8" Type="http://schemas.openxmlformats.org/officeDocument/2006/relationships/hyperlink" Target="https://login.consultant.ru/link/?req=doc&amp;base=RLAW154&amp;n=111650&amp;dst=101606" TargetMode = "External"/>
	<Relationship Id="rId9" Type="http://schemas.openxmlformats.org/officeDocument/2006/relationships/hyperlink" Target="www.pravo.gov.ru"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Новгородской области от 06.06.2024 N 364-рг
"Об утверждении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2024 год"</dc:title>
  <dcterms:created xsi:type="dcterms:W3CDTF">2024-12-28T08:31:50Z</dcterms:created>
</cp:coreProperties>
</file>