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Правительства Новгородской области от 03.07.2025 N 386-рг</w:t>
              <w:br/>
              <w:t xml:space="preserve">"Об утверждении распределения субсидий бюджетам муниципальных районов, муниципальных округов, городского округа Новгородской области на реализацию муниципальных программ (подпрограмм, разделов, мероприятий программ) поддержки социально ориентированных некоммерческих организаций на 2025 год"</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НОВГОРОДСКОЙ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3 июля 2025 г. N 386-рг</w:t>
      </w:r>
    </w:p>
    <w:p>
      <w:pPr>
        <w:pStyle w:val="2"/>
        <w:jc w:val="center"/>
      </w:pPr>
      <w:r>
        <w:rPr>
          <w:sz w:val="20"/>
        </w:rPr>
      </w:r>
    </w:p>
    <w:p>
      <w:pPr>
        <w:pStyle w:val="2"/>
        <w:jc w:val="center"/>
      </w:pPr>
      <w:r>
        <w:rPr>
          <w:sz w:val="20"/>
        </w:rPr>
        <w:t xml:space="preserve">ОБ УТВЕРЖДЕНИИ РАСПРЕДЕЛЕНИЯ СУБСИДИЙ БЮДЖЕТАМ МУНИЦИПАЛЬНЫХ</w:t>
      </w:r>
    </w:p>
    <w:p>
      <w:pPr>
        <w:pStyle w:val="2"/>
        <w:jc w:val="center"/>
      </w:pPr>
      <w:r>
        <w:rPr>
          <w:sz w:val="20"/>
        </w:rPr>
        <w:t xml:space="preserve">РАЙОНОВ, МУНИЦИПАЛЬНЫХ ОКРУГОВ, ГОРОДСКОГО ОКРУГА</w:t>
      </w:r>
    </w:p>
    <w:p>
      <w:pPr>
        <w:pStyle w:val="2"/>
        <w:jc w:val="center"/>
      </w:pPr>
      <w:r>
        <w:rPr>
          <w:sz w:val="20"/>
        </w:rPr>
        <w:t xml:space="preserve">НОВГОРОДСКОЙ ОБЛАСТИ НА РЕАЛИЗАЦИЮ МУНИЦИПАЛЬНЫХ ПРОГРАММ</w:t>
      </w:r>
    </w:p>
    <w:p>
      <w:pPr>
        <w:pStyle w:val="2"/>
        <w:jc w:val="center"/>
      </w:pPr>
      <w:r>
        <w:rPr>
          <w:sz w:val="20"/>
        </w:rPr>
        <w:t xml:space="preserve">(ПОДПРОГРАММ, РАЗДЕЛОВ, МЕРОПРИЯТИЙ ПРОГРАММ) ПОДДЕРЖКИ</w:t>
      </w:r>
    </w:p>
    <w:p>
      <w:pPr>
        <w:pStyle w:val="2"/>
        <w:jc w:val="center"/>
      </w:pPr>
      <w:r>
        <w:rPr>
          <w:sz w:val="20"/>
        </w:rPr>
        <w:t xml:space="preserve">СОЦИАЛЬНО ОРИЕНТИРОВАННЫХ НЕКОММЕРЧЕСКИХ ОРГАНИЗАЦИЙ</w:t>
      </w:r>
    </w:p>
    <w:p>
      <w:pPr>
        <w:pStyle w:val="2"/>
        <w:jc w:val="center"/>
      </w:pPr>
      <w:r>
        <w:rPr>
          <w:sz w:val="20"/>
        </w:rPr>
        <w:t xml:space="preserve">НА 2025 ГОД</w:t>
      </w:r>
    </w:p>
    <w:p>
      <w:pPr>
        <w:pStyle w:val="0"/>
        <w:jc w:val="both"/>
      </w:pPr>
      <w:r>
        <w:rPr>
          <w:sz w:val="20"/>
        </w:rPr>
      </w:r>
    </w:p>
    <w:p>
      <w:pPr>
        <w:pStyle w:val="0"/>
        <w:ind w:firstLine="540"/>
        <w:jc w:val="both"/>
      </w:pPr>
      <w:r>
        <w:rPr>
          <w:sz w:val="20"/>
        </w:rPr>
        <w:t xml:space="preserve">В соответствии с </w:t>
      </w:r>
      <w:hyperlink w:history="0" r:id="rId8" w:tooltip="Областной закон Новгородской области от 06.03.2009 N 482-ОЗ (ред. от 02.12.2024) &quot;О межбюджетных отношениях в Новгородской области&quot; (принят Постановлением Новгородской областной Думы от 25.02.2009 N 950-ОД) (вместе с &quot;Методикой расчета дотаций на выравнивание бюджетной обеспеченности поселений&quot;, &quot;Методикой расчета дотаций на выравнивание бюджетной обеспеченности муниципальных районов (городского округа)&quot;, &quot;Методикой расчета дотаций на выравнивание бюджетной обеспеченности поселений из бюджета муниципального ------------ Недействующая редакция {КонсультантПлюс}">
        <w:r>
          <w:rPr>
            <w:sz w:val="20"/>
            <w:color w:val="0000ff"/>
          </w:rPr>
          <w:t xml:space="preserve">частью 2 статьи 7</w:t>
        </w:r>
      </w:hyperlink>
      <w:r>
        <w:rPr>
          <w:sz w:val="20"/>
        </w:rPr>
        <w:t xml:space="preserve"> областного закона от 06.03.2009 N 482-ОЗ "О межбюджетных отношениях в Новгородской области", </w:t>
      </w:r>
      <w:hyperlink w:history="0" r:id="rId9" w:tooltip="Постановление Правительства Новгородской области от 25.12.2023 N 600 (ред. от 20.05.2025) &quot;О государственной программе Новгородской области &quot;Развитие системы местного самоуправления, институтов гражданского общества и реализация государственной национальной политики на территории Новгородской области&quot; (вместе со &quot;Стратегическими приоритетами государственной программы Новгородской области &quot;Развитие системы местного самоуправления, институтов гражданского общества и реализация государственной национальной пол ------------ Недействующая редакция {КонсультантПлюс}">
        <w:r>
          <w:rPr>
            <w:sz w:val="20"/>
            <w:color w:val="0000ff"/>
          </w:rPr>
          <w:t xml:space="preserve">Порядком</w:t>
        </w:r>
      </w:hyperlink>
      <w:r>
        <w:rPr>
          <w:sz w:val="20"/>
        </w:rPr>
        <w:t xml:space="preserve"> предоставления и распределения субсидий бюджетам муниципальных районов, муниципальных округов, городского округа Новгородской области на реализацию муниципальных программ (подпрограмм, разделов, мероприятий программ) поддержки социально ориентированных некоммерческих организаций, утвержденным постановлением Правительства Новгородской области от 25.12.2023 N 600 "О государственной программе Новгородской области "Развитие системы местного самоуправления, институтов гражданского общества и реализация государственной национальной политики на территории Новгородской области":</w:t>
      </w:r>
    </w:p>
    <w:p>
      <w:pPr>
        <w:pStyle w:val="0"/>
        <w:spacing w:before="200" w:lineRule="auto"/>
        <w:ind w:firstLine="540"/>
        <w:jc w:val="both"/>
      </w:pPr>
      <w:r>
        <w:rPr>
          <w:sz w:val="20"/>
        </w:rPr>
        <w:t xml:space="preserve">1. Утвердить прилагаемое </w:t>
      </w:r>
      <w:hyperlink w:history="0" w:anchor="P30" w:tooltip="РАСПРЕДЕЛЕНИЕ">
        <w:r>
          <w:rPr>
            <w:sz w:val="20"/>
            <w:color w:val="0000ff"/>
          </w:rPr>
          <w:t xml:space="preserve">распределение</w:t>
        </w:r>
      </w:hyperlink>
      <w:r>
        <w:rPr>
          <w:sz w:val="20"/>
        </w:rPr>
        <w:t xml:space="preserve"> субсидий бюджетам муниципальных районов, муниципальных округов, городского округа Новгородской области на реализацию муниципальных программ (подпрограмм, разделов, мероприятий программ) поддержки социально ориентированных некоммерческих организаций на 2025 год.</w:t>
      </w:r>
    </w:p>
    <w:p>
      <w:pPr>
        <w:pStyle w:val="0"/>
        <w:spacing w:before="200" w:lineRule="auto"/>
        <w:ind w:firstLine="540"/>
        <w:jc w:val="both"/>
      </w:pPr>
      <w:r>
        <w:rPr>
          <w:sz w:val="20"/>
        </w:rPr>
        <w:t xml:space="preserve">2. Опубликовать распоряжение на "Официальном интернет-портале правовой информации" (</w:t>
      </w:r>
      <w:hyperlink w:history="0" r:id="rId10">
        <w:r>
          <w:rPr>
            <w:sz w:val="20"/>
            <w:color w:val="0000ff"/>
          </w:rPr>
          <w:t xml:space="preserve">www.pravo.gov.ru</w:t>
        </w:r>
      </w:hyperlink>
      <w:r>
        <w:rPr>
          <w:sz w:val="20"/>
        </w:rPr>
        <w:t xml:space="preserve">).</w:t>
      </w:r>
    </w:p>
    <w:p>
      <w:pPr>
        <w:pStyle w:val="0"/>
        <w:jc w:val="both"/>
      </w:pPr>
      <w:r>
        <w:rPr>
          <w:sz w:val="20"/>
        </w:rPr>
      </w:r>
    </w:p>
    <w:p>
      <w:pPr>
        <w:pStyle w:val="0"/>
        <w:jc w:val="right"/>
      </w:pPr>
      <w:r>
        <w:rPr>
          <w:sz w:val="20"/>
        </w:rPr>
        <w:t xml:space="preserve">Временно исполняющий обязанности</w:t>
      </w:r>
    </w:p>
    <w:p>
      <w:pPr>
        <w:pStyle w:val="0"/>
        <w:jc w:val="right"/>
      </w:pPr>
      <w:r>
        <w:rPr>
          <w:sz w:val="20"/>
        </w:rPr>
        <w:t xml:space="preserve">Губернатора Новгородской области</w:t>
      </w:r>
    </w:p>
    <w:p>
      <w:pPr>
        <w:pStyle w:val="0"/>
        <w:jc w:val="right"/>
      </w:pPr>
      <w:r>
        <w:rPr>
          <w:sz w:val="20"/>
        </w:rPr>
        <w:t xml:space="preserve">А.В.ДРОНОВ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w:t>
      </w:r>
    </w:p>
    <w:p>
      <w:pPr>
        <w:pStyle w:val="0"/>
        <w:jc w:val="right"/>
      </w:pPr>
      <w:r>
        <w:rPr>
          <w:sz w:val="20"/>
        </w:rPr>
        <w:t xml:space="preserve">Правительства Новгородской области</w:t>
      </w:r>
    </w:p>
    <w:p>
      <w:pPr>
        <w:pStyle w:val="0"/>
        <w:jc w:val="right"/>
      </w:pPr>
      <w:r>
        <w:rPr>
          <w:sz w:val="20"/>
        </w:rPr>
        <w:t xml:space="preserve">от 03.07.2025 N 386-рг</w:t>
      </w:r>
    </w:p>
    <w:p>
      <w:pPr>
        <w:pStyle w:val="0"/>
        <w:jc w:val="both"/>
      </w:pPr>
      <w:r>
        <w:rPr>
          <w:sz w:val="20"/>
        </w:rPr>
      </w:r>
    </w:p>
    <w:bookmarkStart w:id="30" w:name="P30"/>
    <w:bookmarkEnd w:id="30"/>
    <w:p>
      <w:pPr>
        <w:pStyle w:val="2"/>
        <w:jc w:val="center"/>
      </w:pPr>
      <w:r>
        <w:rPr>
          <w:sz w:val="20"/>
        </w:rPr>
        <w:t xml:space="preserve">РАСПРЕДЕЛЕНИЕ</w:t>
      </w:r>
    </w:p>
    <w:p>
      <w:pPr>
        <w:pStyle w:val="2"/>
        <w:jc w:val="center"/>
      </w:pPr>
      <w:r>
        <w:rPr>
          <w:sz w:val="20"/>
        </w:rPr>
        <w:t xml:space="preserve">СУБСИДИЙ БЮДЖЕТАМ МУНИЦИПАЛЬНЫХ РАЙОНОВ, МУНИЦИПАЛЬНЫХ</w:t>
      </w:r>
    </w:p>
    <w:p>
      <w:pPr>
        <w:pStyle w:val="2"/>
        <w:jc w:val="center"/>
      </w:pPr>
      <w:r>
        <w:rPr>
          <w:sz w:val="20"/>
        </w:rPr>
        <w:t xml:space="preserve">ОКРУГОВ, ГОРОДСКОГО ОКРУГА НОВГОРОДСКОЙ ОБЛАСТИ</w:t>
      </w:r>
    </w:p>
    <w:p>
      <w:pPr>
        <w:pStyle w:val="2"/>
        <w:jc w:val="center"/>
      </w:pPr>
      <w:r>
        <w:rPr>
          <w:sz w:val="20"/>
        </w:rPr>
        <w:t xml:space="preserve">НА РЕАЛИЗАЦИЮ МУНИЦИПАЛЬНЫХ ПРОГРАММ (ПОДПРОГРАММ, РАЗДЕЛОВ,</w:t>
      </w:r>
    </w:p>
    <w:p>
      <w:pPr>
        <w:pStyle w:val="2"/>
        <w:jc w:val="center"/>
      </w:pPr>
      <w:r>
        <w:rPr>
          <w:sz w:val="20"/>
        </w:rPr>
        <w:t xml:space="preserve">МЕРОПРИЯТИЙ ПРОГРАММ) ПОДДЕРЖКИ СОЦИАЛЬНО ОРИЕНТИРОВАННЫХ</w:t>
      </w:r>
    </w:p>
    <w:p>
      <w:pPr>
        <w:pStyle w:val="2"/>
        <w:jc w:val="center"/>
      </w:pPr>
      <w:r>
        <w:rPr>
          <w:sz w:val="20"/>
        </w:rPr>
        <w:t xml:space="preserve">НЕКОММЕРЧЕСКИХ ОРГАНИЗАЦИЙ НА 2025 ГОД</w:t>
      </w:r>
    </w:p>
    <w:p>
      <w:pPr>
        <w:pStyle w:val="2"/>
        <w:jc w:val="center"/>
      </w:pPr>
      <w:r>
        <w:rPr>
          <w:sz w:val="20"/>
        </w:rPr>
        <w:t xml:space="preserve">10 06 24 3 01 71660 520</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09"/>
        <w:gridCol w:w="6803"/>
        <w:gridCol w:w="1531"/>
      </w:tblGrid>
      <w:tr>
        <w:tc>
          <w:tcPr>
            <w:tcW w:w="709" w:type="dxa"/>
            <w:vAlign w:val="center"/>
          </w:tcPr>
          <w:p>
            <w:pPr>
              <w:pStyle w:val="0"/>
              <w:jc w:val="center"/>
            </w:pPr>
            <w:r>
              <w:rPr>
                <w:sz w:val="20"/>
              </w:rPr>
              <w:t xml:space="preserve">N п/п</w:t>
            </w:r>
          </w:p>
        </w:tc>
        <w:tc>
          <w:tcPr>
            <w:tcW w:w="6803" w:type="dxa"/>
            <w:vAlign w:val="center"/>
          </w:tcPr>
          <w:p>
            <w:pPr>
              <w:pStyle w:val="0"/>
              <w:jc w:val="center"/>
            </w:pPr>
            <w:r>
              <w:rPr>
                <w:sz w:val="20"/>
              </w:rPr>
              <w:t xml:space="preserve">Наименование муниципального района, муниципального округа, городского округа Новгородской области</w:t>
            </w:r>
          </w:p>
        </w:tc>
        <w:tc>
          <w:tcPr>
            <w:tcW w:w="1531" w:type="dxa"/>
            <w:vAlign w:val="center"/>
          </w:tcPr>
          <w:p>
            <w:pPr>
              <w:pStyle w:val="0"/>
              <w:jc w:val="center"/>
            </w:pPr>
            <w:r>
              <w:rPr>
                <w:sz w:val="20"/>
              </w:rPr>
              <w:t xml:space="preserve">Сумма (руб.)</w:t>
            </w:r>
          </w:p>
        </w:tc>
      </w:tr>
      <w:tr>
        <w:tc>
          <w:tcPr>
            <w:tcW w:w="709" w:type="dxa"/>
          </w:tcPr>
          <w:p>
            <w:pPr>
              <w:pStyle w:val="0"/>
              <w:jc w:val="center"/>
            </w:pPr>
            <w:r>
              <w:rPr>
                <w:sz w:val="20"/>
              </w:rPr>
              <w:t xml:space="preserve">1.</w:t>
            </w:r>
          </w:p>
        </w:tc>
        <w:tc>
          <w:tcPr>
            <w:tcW w:w="6803" w:type="dxa"/>
          </w:tcPr>
          <w:p>
            <w:pPr>
              <w:pStyle w:val="0"/>
            </w:pPr>
            <w:r>
              <w:rPr>
                <w:sz w:val="20"/>
              </w:rPr>
              <w:t xml:space="preserve">Боровичский</w:t>
            </w:r>
          </w:p>
        </w:tc>
        <w:tc>
          <w:tcPr>
            <w:tcW w:w="1531" w:type="dxa"/>
          </w:tcPr>
          <w:p>
            <w:pPr>
              <w:pStyle w:val="0"/>
            </w:pPr>
            <w:r>
              <w:rPr>
                <w:sz w:val="20"/>
              </w:rPr>
              <w:t xml:space="preserve">500000,00</w:t>
            </w:r>
          </w:p>
        </w:tc>
      </w:tr>
      <w:tr>
        <w:tc>
          <w:tcPr>
            <w:tcW w:w="709" w:type="dxa"/>
          </w:tcPr>
          <w:p>
            <w:pPr>
              <w:pStyle w:val="0"/>
              <w:jc w:val="center"/>
            </w:pPr>
            <w:r>
              <w:rPr>
                <w:sz w:val="20"/>
              </w:rPr>
              <w:t xml:space="preserve">2.</w:t>
            </w:r>
          </w:p>
        </w:tc>
        <w:tc>
          <w:tcPr>
            <w:tcW w:w="6803" w:type="dxa"/>
          </w:tcPr>
          <w:p>
            <w:pPr>
              <w:pStyle w:val="0"/>
            </w:pPr>
            <w:r>
              <w:rPr>
                <w:sz w:val="20"/>
              </w:rPr>
              <w:t xml:space="preserve">Валдайский</w:t>
            </w:r>
          </w:p>
        </w:tc>
        <w:tc>
          <w:tcPr>
            <w:tcW w:w="1531" w:type="dxa"/>
          </w:tcPr>
          <w:p>
            <w:pPr>
              <w:pStyle w:val="0"/>
            </w:pPr>
            <w:r>
              <w:rPr>
                <w:sz w:val="20"/>
              </w:rPr>
              <w:t xml:space="preserve">50000,00</w:t>
            </w:r>
          </w:p>
        </w:tc>
      </w:tr>
      <w:tr>
        <w:tc>
          <w:tcPr>
            <w:tcW w:w="709" w:type="dxa"/>
          </w:tcPr>
          <w:p>
            <w:pPr>
              <w:pStyle w:val="0"/>
              <w:jc w:val="center"/>
            </w:pPr>
            <w:r>
              <w:rPr>
                <w:sz w:val="20"/>
              </w:rPr>
              <w:t xml:space="preserve">3.</w:t>
            </w:r>
          </w:p>
        </w:tc>
        <w:tc>
          <w:tcPr>
            <w:tcW w:w="6803" w:type="dxa"/>
          </w:tcPr>
          <w:p>
            <w:pPr>
              <w:pStyle w:val="0"/>
            </w:pPr>
            <w:r>
              <w:rPr>
                <w:sz w:val="20"/>
              </w:rPr>
              <w:t xml:space="preserve">Великий Новгород</w:t>
            </w:r>
          </w:p>
        </w:tc>
        <w:tc>
          <w:tcPr>
            <w:tcW w:w="1531" w:type="dxa"/>
          </w:tcPr>
          <w:p>
            <w:pPr>
              <w:pStyle w:val="0"/>
            </w:pPr>
            <w:r>
              <w:rPr>
                <w:sz w:val="20"/>
              </w:rPr>
              <w:t xml:space="preserve">500000,00</w:t>
            </w:r>
          </w:p>
        </w:tc>
      </w:tr>
      <w:tr>
        <w:tc>
          <w:tcPr>
            <w:tcW w:w="709" w:type="dxa"/>
          </w:tcPr>
          <w:p>
            <w:pPr>
              <w:pStyle w:val="0"/>
              <w:jc w:val="center"/>
            </w:pPr>
            <w:r>
              <w:rPr>
                <w:sz w:val="20"/>
              </w:rPr>
              <w:t xml:space="preserve">4.</w:t>
            </w:r>
          </w:p>
        </w:tc>
        <w:tc>
          <w:tcPr>
            <w:tcW w:w="6803" w:type="dxa"/>
          </w:tcPr>
          <w:p>
            <w:pPr>
              <w:pStyle w:val="0"/>
            </w:pPr>
            <w:r>
              <w:rPr>
                <w:sz w:val="20"/>
              </w:rPr>
              <w:t xml:space="preserve">Маловишерский</w:t>
            </w:r>
          </w:p>
        </w:tc>
        <w:tc>
          <w:tcPr>
            <w:tcW w:w="1531" w:type="dxa"/>
          </w:tcPr>
          <w:p>
            <w:pPr>
              <w:pStyle w:val="0"/>
            </w:pPr>
            <w:r>
              <w:rPr>
                <w:sz w:val="20"/>
              </w:rPr>
              <w:t xml:space="preserve">50000,00</w:t>
            </w:r>
          </w:p>
        </w:tc>
      </w:tr>
      <w:tr>
        <w:tc>
          <w:tcPr>
            <w:tcW w:w="709" w:type="dxa"/>
          </w:tcPr>
          <w:p>
            <w:pPr>
              <w:pStyle w:val="0"/>
              <w:jc w:val="center"/>
            </w:pPr>
            <w:r>
              <w:rPr>
                <w:sz w:val="20"/>
              </w:rPr>
              <w:t xml:space="preserve">5.</w:t>
            </w:r>
          </w:p>
        </w:tc>
        <w:tc>
          <w:tcPr>
            <w:tcW w:w="6803" w:type="dxa"/>
          </w:tcPr>
          <w:p>
            <w:pPr>
              <w:pStyle w:val="0"/>
            </w:pPr>
            <w:r>
              <w:rPr>
                <w:sz w:val="20"/>
              </w:rPr>
              <w:t xml:space="preserve">Мошенской</w:t>
            </w:r>
          </w:p>
        </w:tc>
        <w:tc>
          <w:tcPr>
            <w:tcW w:w="1531" w:type="dxa"/>
          </w:tcPr>
          <w:p>
            <w:pPr>
              <w:pStyle w:val="0"/>
            </w:pPr>
            <w:r>
              <w:rPr>
                <w:sz w:val="20"/>
              </w:rPr>
              <w:t xml:space="preserve">50000,00</w:t>
            </w:r>
          </w:p>
        </w:tc>
      </w:tr>
      <w:tr>
        <w:tc>
          <w:tcPr>
            <w:tcW w:w="709" w:type="dxa"/>
          </w:tcPr>
          <w:p>
            <w:pPr>
              <w:pStyle w:val="0"/>
              <w:jc w:val="center"/>
            </w:pPr>
            <w:r>
              <w:rPr>
                <w:sz w:val="20"/>
              </w:rPr>
              <w:t xml:space="preserve">6.</w:t>
            </w:r>
          </w:p>
        </w:tc>
        <w:tc>
          <w:tcPr>
            <w:tcW w:w="6803" w:type="dxa"/>
          </w:tcPr>
          <w:p>
            <w:pPr>
              <w:pStyle w:val="0"/>
            </w:pPr>
            <w:r>
              <w:rPr>
                <w:sz w:val="20"/>
              </w:rPr>
              <w:t xml:space="preserve">Новгородский</w:t>
            </w:r>
          </w:p>
        </w:tc>
        <w:tc>
          <w:tcPr>
            <w:tcW w:w="1531" w:type="dxa"/>
          </w:tcPr>
          <w:p>
            <w:pPr>
              <w:pStyle w:val="0"/>
            </w:pPr>
            <w:r>
              <w:rPr>
                <w:sz w:val="20"/>
              </w:rPr>
              <w:t xml:space="preserve">250000,00</w:t>
            </w:r>
          </w:p>
        </w:tc>
      </w:tr>
      <w:tr>
        <w:tc>
          <w:tcPr>
            <w:tcW w:w="709" w:type="dxa"/>
          </w:tcPr>
          <w:p>
            <w:pPr>
              <w:pStyle w:val="0"/>
              <w:jc w:val="center"/>
            </w:pPr>
            <w:r>
              <w:rPr>
                <w:sz w:val="20"/>
              </w:rPr>
              <w:t xml:space="preserve">7.</w:t>
            </w:r>
          </w:p>
        </w:tc>
        <w:tc>
          <w:tcPr>
            <w:tcW w:w="6803" w:type="dxa"/>
          </w:tcPr>
          <w:p>
            <w:pPr>
              <w:pStyle w:val="0"/>
            </w:pPr>
            <w:r>
              <w:rPr>
                <w:sz w:val="20"/>
              </w:rPr>
              <w:t xml:space="preserve">Окуловский</w:t>
            </w:r>
          </w:p>
        </w:tc>
        <w:tc>
          <w:tcPr>
            <w:tcW w:w="1531" w:type="dxa"/>
          </w:tcPr>
          <w:p>
            <w:pPr>
              <w:pStyle w:val="0"/>
            </w:pPr>
            <w:r>
              <w:rPr>
                <w:sz w:val="20"/>
              </w:rPr>
              <w:t xml:space="preserve">20000,00</w:t>
            </w:r>
          </w:p>
        </w:tc>
      </w:tr>
      <w:tr>
        <w:tc>
          <w:tcPr>
            <w:tcW w:w="709" w:type="dxa"/>
          </w:tcPr>
          <w:p>
            <w:pPr>
              <w:pStyle w:val="0"/>
              <w:jc w:val="center"/>
            </w:pPr>
            <w:r>
              <w:rPr>
                <w:sz w:val="20"/>
              </w:rPr>
              <w:t xml:space="preserve">8.</w:t>
            </w:r>
          </w:p>
        </w:tc>
        <w:tc>
          <w:tcPr>
            <w:tcW w:w="6803" w:type="dxa"/>
          </w:tcPr>
          <w:p>
            <w:pPr>
              <w:pStyle w:val="0"/>
            </w:pPr>
            <w:r>
              <w:rPr>
                <w:sz w:val="20"/>
              </w:rPr>
              <w:t xml:space="preserve">Парфинский</w:t>
            </w:r>
          </w:p>
        </w:tc>
        <w:tc>
          <w:tcPr>
            <w:tcW w:w="1531" w:type="dxa"/>
          </w:tcPr>
          <w:p>
            <w:pPr>
              <w:pStyle w:val="0"/>
            </w:pPr>
            <w:r>
              <w:rPr>
                <w:sz w:val="20"/>
              </w:rPr>
              <w:t xml:space="preserve">60000,00</w:t>
            </w:r>
          </w:p>
        </w:tc>
      </w:tr>
      <w:tr>
        <w:tc>
          <w:tcPr>
            <w:tcW w:w="709" w:type="dxa"/>
          </w:tcPr>
          <w:p>
            <w:pPr>
              <w:pStyle w:val="0"/>
              <w:jc w:val="center"/>
            </w:pPr>
            <w:r>
              <w:rPr>
                <w:sz w:val="20"/>
              </w:rPr>
              <w:t xml:space="preserve">9.</w:t>
            </w:r>
          </w:p>
        </w:tc>
        <w:tc>
          <w:tcPr>
            <w:tcW w:w="6803" w:type="dxa"/>
          </w:tcPr>
          <w:p>
            <w:pPr>
              <w:pStyle w:val="0"/>
            </w:pPr>
            <w:r>
              <w:rPr>
                <w:sz w:val="20"/>
              </w:rPr>
              <w:t xml:space="preserve">Пестовский</w:t>
            </w:r>
          </w:p>
        </w:tc>
        <w:tc>
          <w:tcPr>
            <w:tcW w:w="1531" w:type="dxa"/>
          </w:tcPr>
          <w:p>
            <w:pPr>
              <w:pStyle w:val="0"/>
            </w:pPr>
            <w:r>
              <w:rPr>
                <w:sz w:val="20"/>
              </w:rPr>
              <w:t xml:space="preserve">200000,00</w:t>
            </w:r>
          </w:p>
        </w:tc>
      </w:tr>
      <w:tr>
        <w:tc>
          <w:tcPr>
            <w:tcW w:w="709" w:type="dxa"/>
          </w:tcPr>
          <w:p>
            <w:pPr>
              <w:pStyle w:val="0"/>
              <w:jc w:val="center"/>
            </w:pPr>
            <w:r>
              <w:rPr>
                <w:sz w:val="20"/>
              </w:rPr>
              <w:t xml:space="preserve">10.</w:t>
            </w:r>
          </w:p>
        </w:tc>
        <w:tc>
          <w:tcPr>
            <w:tcW w:w="6803" w:type="dxa"/>
          </w:tcPr>
          <w:p>
            <w:pPr>
              <w:pStyle w:val="0"/>
            </w:pPr>
            <w:r>
              <w:rPr>
                <w:sz w:val="20"/>
              </w:rPr>
              <w:t xml:space="preserve">Старорусский</w:t>
            </w:r>
          </w:p>
        </w:tc>
        <w:tc>
          <w:tcPr>
            <w:tcW w:w="1531" w:type="dxa"/>
          </w:tcPr>
          <w:p>
            <w:pPr>
              <w:pStyle w:val="0"/>
            </w:pPr>
            <w:r>
              <w:rPr>
                <w:sz w:val="20"/>
              </w:rPr>
              <w:t xml:space="preserve">500000,00</w:t>
            </w:r>
          </w:p>
        </w:tc>
      </w:tr>
      <w:tr>
        <w:tc>
          <w:tcPr>
            <w:tcW w:w="709" w:type="dxa"/>
          </w:tcPr>
          <w:p>
            <w:pPr>
              <w:pStyle w:val="0"/>
              <w:jc w:val="center"/>
            </w:pPr>
            <w:r>
              <w:rPr>
                <w:sz w:val="20"/>
              </w:rPr>
              <w:t xml:space="preserve">11.</w:t>
            </w:r>
          </w:p>
        </w:tc>
        <w:tc>
          <w:tcPr>
            <w:tcW w:w="6803" w:type="dxa"/>
          </w:tcPr>
          <w:p>
            <w:pPr>
              <w:pStyle w:val="0"/>
            </w:pPr>
            <w:r>
              <w:rPr>
                <w:sz w:val="20"/>
              </w:rPr>
              <w:t xml:space="preserve">Хвойнинский</w:t>
            </w:r>
          </w:p>
        </w:tc>
        <w:tc>
          <w:tcPr>
            <w:tcW w:w="1531" w:type="dxa"/>
          </w:tcPr>
          <w:p>
            <w:pPr>
              <w:pStyle w:val="0"/>
            </w:pPr>
            <w:r>
              <w:rPr>
                <w:sz w:val="20"/>
              </w:rPr>
              <w:t xml:space="preserve">100000,00</w:t>
            </w:r>
          </w:p>
        </w:tc>
      </w:tr>
      <w:tr>
        <w:tc>
          <w:tcPr>
            <w:tcW w:w="709" w:type="dxa"/>
          </w:tcPr>
          <w:p>
            <w:pPr>
              <w:pStyle w:val="0"/>
              <w:jc w:val="center"/>
            </w:pPr>
            <w:r>
              <w:rPr>
                <w:sz w:val="20"/>
              </w:rPr>
              <w:t xml:space="preserve">12.</w:t>
            </w:r>
          </w:p>
        </w:tc>
        <w:tc>
          <w:tcPr>
            <w:tcW w:w="6803" w:type="dxa"/>
          </w:tcPr>
          <w:p>
            <w:pPr>
              <w:pStyle w:val="0"/>
            </w:pPr>
            <w:r>
              <w:rPr>
                <w:sz w:val="20"/>
              </w:rPr>
              <w:t xml:space="preserve">Чудовский</w:t>
            </w:r>
          </w:p>
        </w:tc>
        <w:tc>
          <w:tcPr>
            <w:tcW w:w="1531" w:type="dxa"/>
          </w:tcPr>
          <w:p>
            <w:pPr>
              <w:pStyle w:val="0"/>
            </w:pPr>
            <w:r>
              <w:rPr>
                <w:sz w:val="20"/>
              </w:rPr>
              <w:t xml:space="preserve">60000,00</w:t>
            </w:r>
          </w:p>
        </w:tc>
      </w:tr>
      <w:tr>
        <w:tc>
          <w:tcPr>
            <w:tcW w:w="709" w:type="dxa"/>
          </w:tcPr>
          <w:p>
            <w:pPr>
              <w:pStyle w:val="0"/>
            </w:pPr>
            <w:r>
              <w:rPr>
                <w:sz w:val="20"/>
              </w:rPr>
            </w:r>
          </w:p>
        </w:tc>
        <w:tc>
          <w:tcPr>
            <w:tcW w:w="6803" w:type="dxa"/>
          </w:tcPr>
          <w:p>
            <w:pPr>
              <w:pStyle w:val="0"/>
            </w:pPr>
            <w:r>
              <w:rPr>
                <w:sz w:val="20"/>
              </w:rPr>
              <w:t xml:space="preserve">ИТОГО</w:t>
            </w:r>
          </w:p>
        </w:tc>
        <w:tc>
          <w:tcPr>
            <w:tcW w:w="1531" w:type="dxa"/>
          </w:tcPr>
          <w:p>
            <w:pPr>
              <w:pStyle w:val="0"/>
            </w:pPr>
            <w:r>
              <w:rPr>
                <w:sz w:val="20"/>
              </w:rPr>
              <w:t xml:space="preserve">2340000,00</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Новгородской области от 03.07.2025 N 386-рг</w:t>
            <w:br/>
            <w:t>"Об утверждении распределения субсидий бюджетам 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54&amp;n=114506&amp;dst=100535" TargetMode = "External"/><Relationship Id="rId9" Type="http://schemas.openxmlformats.org/officeDocument/2006/relationships/hyperlink" Target="https://login.consultant.ru/link/?req=doc&amp;base=RLAW154&amp;n=116621&amp;dst=101606" TargetMode = "External"/><Relationship Id="rId10" Type="http://schemas.openxmlformats.org/officeDocument/2006/relationships/hyperlink" Target="www.pravo.gov.ru"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Новгородской области от 03.07.2025 N 386-рг
"Об утверждении распределения субсидий бюджетам муниципальных районов, муниципальных округов, городского округа Новгородской области на реализацию муниципальных программ (подпрограмм, разделов, мероприятий программ) поддержки социально ориентированных некоммерческих организаций на 2025 год"</dc:title>
  <dcterms:created xsi:type="dcterms:W3CDTF">2026-01-02T13:48:34Z</dcterms:created>
</cp:coreProperties>
</file>