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13.07.2015 N 263-п</w:t>
              <w:br/>
              <w:t xml:space="preserve">(ред. от 23.05.2023)</w:t>
              <w:br/>
              <w:t xml:space="preserve">"Об утверждении государственной программы Новосибирской области "Развитие государственной молодежной политики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июля 2015 г. N 263-п</w:t>
      </w:r>
    </w:p>
    <w:p>
      <w:pPr>
        <w:pStyle w:val="2"/>
        <w:jc w:val="center"/>
      </w:pPr>
      <w:r>
        <w:rPr>
          <w:sz w:val="20"/>
        </w:rPr>
      </w:r>
    </w:p>
    <w:p>
      <w:pPr>
        <w:pStyle w:val="2"/>
        <w:jc w:val="center"/>
      </w:pPr>
      <w:r>
        <w:rPr>
          <w:sz w:val="20"/>
        </w:rPr>
        <w:t xml:space="preserve">ОБ УТВЕРЖДЕНИИ ГОСУДАРСТВЕННОЙ ПРОГРАММЫ НОВОСИБИРСКОЙ</w:t>
      </w:r>
    </w:p>
    <w:p>
      <w:pPr>
        <w:pStyle w:val="2"/>
        <w:jc w:val="center"/>
      </w:pPr>
      <w:r>
        <w:rPr>
          <w:sz w:val="20"/>
        </w:rPr>
        <w:t xml:space="preserve">ОБЛАСТИ "РАЗВИТИЕ ГОСУДАРСТВЕННОЙ МОЛОДЕЖНОЙ</w:t>
      </w:r>
    </w:p>
    <w:p>
      <w:pPr>
        <w:pStyle w:val="2"/>
        <w:jc w:val="center"/>
      </w:pPr>
      <w:r>
        <w:rPr>
          <w:sz w:val="20"/>
        </w:rPr>
        <w:t xml:space="preserve">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11.04.2016 </w:t>
            </w:r>
            <w:hyperlink w:history="0" r:id="rId7"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N 101-п</w:t>
              </w:r>
            </w:hyperlink>
            <w:r>
              <w:rPr>
                <w:sz w:val="20"/>
                <w:color w:val="392c69"/>
              </w:rPr>
              <w:t xml:space="preserve">, от 27.12.2016 </w:t>
            </w:r>
            <w:hyperlink w:history="0" r:id="rId8"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color w:val="392c69"/>
              </w:rPr>
              <w:t xml:space="preserve">, от 15.02.2017 </w:t>
            </w:r>
            <w:hyperlink w:history="0" r:id="rId9" w:tooltip="Постановление Правительства Новосибирской области от 15.02.2017 N 42-п &quot;О внесении изменений в постановление Правительства Новосибирской области от 13.07.2015 N 263-п&quot; {КонсультантПлюс}">
              <w:r>
                <w:rPr>
                  <w:sz w:val="20"/>
                  <w:color w:val="0000ff"/>
                </w:rPr>
                <w:t xml:space="preserve">N 42-п</w:t>
              </w:r>
            </w:hyperlink>
            <w:r>
              <w:rPr>
                <w:sz w:val="20"/>
                <w:color w:val="392c69"/>
              </w:rPr>
              <w:t xml:space="preserve">,</w:t>
            </w:r>
          </w:p>
          <w:p>
            <w:pPr>
              <w:pStyle w:val="0"/>
              <w:jc w:val="center"/>
            </w:pPr>
            <w:r>
              <w:rPr>
                <w:sz w:val="20"/>
                <w:color w:val="392c69"/>
              </w:rPr>
              <w:t xml:space="preserve">от 24.07.2017 </w:t>
            </w:r>
            <w:hyperlink w:history="0" r:id="rId10" w:tooltip="Постановление Правительства Новосибирской области от 24.07.2017 N 278-п &quot;О внесении изменений в постановление Правительства Новосибирской области от 13.07.2015 N 263-п&quot; {КонсультантПлюс}">
              <w:r>
                <w:rPr>
                  <w:sz w:val="20"/>
                  <w:color w:val="0000ff"/>
                </w:rPr>
                <w:t xml:space="preserve">N 278-п</w:t>
              </w:r>
            </w:hyperlink>
            <w:r>
              <w:rPr>
                <w:sz w:val="20"/>
                <w:color w:val="392c69"/>
              </w:rPr>
              <w:t xml:space="preserve">, от 19.12.2017 </w:t>
            </w:r>
            <w:hyperlink w:history="0" r:id="rId11" w:tooltip="Постановление Правительства Новосибирской области от 19.12.2017 N 447-п &quot;О внесении изменений в постановление Правительства Новосибирской области от 13.07.2015 N 263-п&quot; {КонсультантПлюс}">
              <w:r>
                <w:rPr>
                  <w:sz w:val="20"/>
                  <w:color w:val="0000ff"/>
                </w:rPr>
                <w:t xml:space="preserve">N 447-п</w:t>
              </w:r>
            </w:hyperlink>
            <w:r>
              <w:rPr>
                <w:sz w:val="20"/>
                <w:color w:val="392c69"/>
              </w:rPr>
              <w:t xml:space="preserve">, от 21.03.2018 </w:t>
            </w:r>
            <w:hyperlink w:history="0" r:id="rId12"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N 100-п</w:t>
              </w:r>
            </w:hyperlink>
            <w:r>
              <w:rPr>
                <w:sz w:val="20"/>
                <w:color w:val="392c69"/>
              </w:rPr>
              <w:t xml:space="preserve">,</w:t>
            </w:r>
          </w:p>
          <w:p>
            <w:pPr>
              <w:pStyle w:val="0"/>
              <w:jc w:val="center"/>
            </w:pPr>
            <w:r>
              <w:rPr>
                <w:sz w:val="20"/>
                <w:color w:val="392c69"/>
              </w:rPr>
              <w:t xml:space="preserve">от 21.08.2018 </w:t>
            </w:r>
            <w:hyperlink w:history="0" r:id="rId13"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color w:val="392c69"/>
              </w:rPr>
              <w:t xml:space="preserve">, от 16.04.2019 </w:t>
            </w:r>
            <w:hyperlink w:history="0" r:id="rId14" w:tooltip="Постановление Правительства Новосибирской области от 16.04.2019 N 139-п &quot;О внесении изменений в постановление Правительства Новосибирской области от 13.07.2015 N 263-п&quot; {КонсультантПлюс}">
              <w:r>
                <w:rPr>
                  <w:sz w:val="20"/>
                  <w:color w:val="0000ff"/>
                </w:rPr>
                <w:t xml:space="preserve">N 139-п</w:t>
              </w:r>
            </w:hyperlink>
            <w:r>
              <w:rPr>
                <w:sz w:val="20"/>
                <w:color w:val="392c69"/>
              </w:rPr>
              <w:t xml:space="preserve">, от 28.05.2019 </w:t>
            </w:r>
            <w:hyperlink w:history="0" r:id="rId15"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N 205-п</w:t>
              </w:r>
            </w:hyperlink>
            <w:r>
              <w:rPr>
                <w:sz w:val="20"/>
                <w:color w:val="392c69"/>
              </w:rPr>
              <w:t xml:space="preserve">,</w:t>
            </w:r>
          </w:p>
          <w:p>
            <w:pPr>
              <w:pStyle w:val="0"/>
              <w:jc w:val="center"/>
            </w:pPr>
            <w:r>
              <w:rPr>
                <w:sz w:val="20"/>
                <w:color w:val="392c69"/>
              </w:rPr>
              <w:t xml:space="preserve">от 26.05.2020 </w:t>
            </w:r>
            <w:hyperlink w:history="0" r:id="rId16"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N 189-п</w:t>
              </w:r>
            </w:hyperlink>
            <w:r>
              <w:rPr>
                <w:sz w:val="20"/>
                <w:color w:val="392c69"/>
              </w:rPr>
              <w:t xml:space="preserve">, от 27.04.2021 </w:t>
            </w:r>
            <w:hyperlink w:history="0" r:id="rId17"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N 146-п</w:t>
              </w:r>
            </w:hyperlink>
            <w:r>
              <w:rPr>
                <w:sz w:val="20"/>
                <w:color w:val="392c69"/>
              </w:rPr>
              <w:t xml:space="preserve">, от 30.11.2021 </w:t>
            </w:r>
            <w:hyperlink w:history="0" r:id="rId18" w:tooltip="Постановление Правительства Новосибирской области от 30.11.2021 N 482-п &quot;О внесении изменений в постановление Правительства Новосибирской области от 13.07.2015 N 263-п&quot; {КонсультантПлюс}">
              <w:r>
                <w:rPr>
                  <w:sz w:val="20"/>
                  <w:color w:val="0000ff"/>
                </w:rPr>
                <w:t xml:space="preserve">N 482-п</w:t>
              </w:r>
            </w:hyperlink>
            <w:r>
              <w:rPr>
                <w:sz w:val="20"/>
                <w:color w:val="392c69"/>
              </w:rPr>
              <w:t xml:space="preserve">,</w:t>
            </w:r>
          </w:p>
          <w:p>
            <w:pPr>
              <w:pStyle w:val="0"/>
              <w:jc w:val="center"/>
            </w:pPr>
            <w:r>
              <w:rPr>
                <w:sz w:val="20"/>
                <w:color w:val="392c69"/>
              </w:rPr>
              <w:t xml:space="preserve">от 29.03.2022 </w:t>
            </w:r>
            <w:hyperlink w:history="0" r:id="rId19" w:tooltip="Постановление Правительства Новосибирской области от 29.03.2022 N 127-п &quot;О внесении изменений в постановление Правительства Новосибирской области от 13.07.2015 N 263-п&quot; {КонсультантПлюс}">
              <w:r>
                <w:rPr>
                  <w:sz w:val="20"/>
                  <w:color w:val="0000ff"/>
                </w:rPr>
                <w:t xml:space="preserve">N 127-п</w:t>
              </w:r>
            </w:hyperlink>
            <w:r>
              <w:rPr>
                <w:sz w:val="20"/>
                <w:color w:val="392c69"/>
              </w:rPr>
              <w:t xml:space="preserve">, от 29.03.2023 </w:t>
            </w:r>
            <w:hyperlink w:history="0" r:id="rId20"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N 134-п</w:t>
              </w:r>
            </w:hyperlink>
            <w:r>
              <w:rPr>
                <w:sz w:val="20"/>
                <w:color w:val="392c69"/>
              </w:rPr>
              <w:t xml:space="preserve">, от 23.05.2023 </w:t>
            </w:r>
            <w:hyperlink w:history="0" r:id="rId21" w:tooltip="Постановление Правительства Новосибирской области от 23.05.2023 N 218-п &quot;О внесении изменений в постановление Правительства Новосибирской области от 13.07.2015 N 263-п&quot; {КонсультантПлюс}">
              <w:r>
                <w:rPr>
                  <w:sz w:val="20"/>
                  <w:color w:val="0000ff"/>
                </w:rPr>
                <w:t xml:space="preserve">N 218-п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22" w:tooltip="Постановление Правительства Новосибирской области от 28.03.2014 N 125-п (ред. от 14.11.2022) &quot;О Порядке принятия решений о разработке государственных программ Новосибирской области, а также формирования и реализации указанных программ&quot; {КонсультантПлюс}">
        <w:r>
          <w:rPr>
            <w:sz w:val="20"/>
            <w:color w:val="0000ff"/>
          </w:rPr>
          <w:t xml:space="preserve">Порядком</w:t>
        </w:r>
      </w:hyperlink>
      <w:r>
        <w:rPr>
          <w:sz w:val="20"/>
        </w:rPr>
        <w:t xml:space="preserve"> принятия решений о разработке государственных программ Новосибирской области, а также формирования и реализации указанных программ, утвержденным постановлением Правительства Новосибирской области от 28.03.2014 N 125-п, в целях повышения эффективности государственной молодежной политики Новосибирской области Правительство Новосибирской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государственную </w:t>
      </w:r>
      <w:hyperlink w:history="0" w:anchor="P41" w:tooltip="ГОСУДАРСТВЕННАЯ ПРОГРАММА">
        <w:r>
          <w:rPr>
            <w:sz w:val="20"/>
            <w:color w:val="0000ff"/>
          </w:rPr>
          <w:t xml:space="preserve">программу</w:t>
        </w:r>
      </w:hyperlink>
      <w:r>
        <w:rPr>
          <w:sz w:val="20"/>
        </w:rPr>
        <w:t xml:space="preserve"> Новосибирской области "Развитие государственной молодежной политики Новосибирской области";</w:t>
      </w:r>
    </w:p>
    <w:p>
      <w:pPr>
        <w:pStyle w:val="0"/>
        <w:jc w:val="both"/>
      </w:pPr>
      <w:r>
        <w:rPr>
          <w:sz w:val="20"/>
        </w:rPr>
        <w:t xml:space="preserve">(в ред. </w:t>
      </w:r>
      <w:hyperlink w:history="0" r:id="rId23"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28.05.2019 N 205-п)</w:t>
      </w:r>
    </w:p>
    <w:p>
      <w:pPr>
        <w:pStyle w:val="0"/>
        <w:spacing w:before="200" w:line-rule="auto"/>
        <w:ind w:firstLine="540"/>
        <w:jc w:val="both"/>
      </w:pPr>
      <w:r>
        <w:rPr>
          <w:sz w:val="20"/>
        </w:rPr>
        <w:t xml:space="preserve">2) </w:t>
      </w:r>
      <w:hyperlink w:history="0" w:anchor="P2271" w:tooltip="ПОРЯДОК">
        <w:r>
          <w:rPr>
            <w:sz w:val="20"/>
            <w:color w:val="0000ff"/>
          </w:rPr>
          <w:t xml:space="preserve">Порядок</w:t>
        </w:r>
      </w:hyperlink>
      <w:r>
        <w:rPr>
          <w:sz w:val="20"/>
        </w:rPr>
        <w:t xml:space="preserve"> финансирования из областного бюджета Новосибирской области с учетом субсидий из федерального бюджета мероприятий, предусмотренных государственной программой Новосибирской области "Развитие государственной молодежной политики Новосибирской области".</w:t>
      </w:r>
    </w:p>
    <w:p>
      <w:pPr>
        <w:pStyle w:val="0"/>
        <w:jc w:val="both"/>
      </w:pPr>
      <w:r>
        <w:rPr>
          <w:sz w:val="20"/>
        </w:rPr>
        <w:t xml:space="preserve">(в ред. постановлений Правительства Новосибирской области от 27.12.2016 </w:t>
      </w:r>
      <w:hyperlink w:history="0" r:id="rId24"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 от 28.05.2019 </w:t>
      </w:r>
      <w:hyperlink w:history="0" r:id="rId25"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N 205-п</w:t>
        </w:r>
      </w:hyperlink>
      <w:r>
        <w:rPr>
          <w:sz w:val="20"/>
        </w:rPr>
        <w:t xml:space="preserve">)</w:t>
      </w:r>
    </w:p>
    <w:p>
      <w:pPr>
        <w:pStyle w:val="0"/>
        <w:spacing w:before="200" w:line-rule="auto"/>
        <w:ind w:firstLine="540"/>
        <w:jc w:val="both"/>
      </w:pPr>
      <w:r>
        <w:rPr>
          <w:sz w:val="20"/>
        </w:rPr>
        <w:t xml:space="preserve">1.1. Установить </w:t>
      </w:r>
      <w:hyperlink w:history="0" w:anchor="P2312" w:tooltip="ПОРЯДОК">
        <w:r>
          <w:rPr>
            <w:sz w:val="20"/>
            <w:color w:val="0000ff"/>
          </w:rPr>
          <w:t xml:space="preserve">Порядок</w:t>
        </w:r>
      </w:hyperlink>
      <w:r>
        <w:rPr>
          <w:sz w:val="20"/>
        </w:rPr>
        <w:t xml:space="preserve"> предоставления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 согласно приложению N 2 к настоящему постановлению.</w:t>
      </w:r>
    </w:p>
    <w:p>
      <w:pPr>
        <w:pStyle w:val="0"/>
        <w:jc w:val="both"/>
      </w:pPr>
      <w:r>
        <w:rPr>
          <w:sz w:val="20"/>
        </w:rPr>
        <w:t xml:space="preserve">(п. 1.1 введен </w:t>
      </w:r>
      <w:hyperlink w:history="0" r:id="rId26" w:tooltip="Постановление Правительства Новосибирской области от 23.05.2023 N 218-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23.05.2023 N 218-п)</w:t>
      </w:r>
    </w:p>
    <w:p>
      <w:pPr>
        <w:pStyle w:val="0"/>
        <w:spacing w:before="200" w:line-rule="auto"/>
        <w:ind w:firstLine="540"/>
        <w:jc w:val="both"/>
      </w:pPr>
      <w:r>
        <w:rPr>
          <w:sz w:val="20"/>
        </w:rPr>
        <w:t xml:space="preserve">2. Настоящее постановление вступает в силу с 1 января 2016 года.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Новосибирской области Нелюбова С.А.</w:t>
      </w:r>
    </w:p>
    <w:p>
      <w:pPr>
        <w:pStyle w:val="0"/>
        <w:jc w:val="both"/>
      </w:pPr>
      <w:r>
        <w:rPr>
          <w:sz w:val="20"/>
        </w:rPr>
        <w:t xml:space="preserve">(в ред. постановлений Правительства Новосибирской области от 21.08.2018 </w:t>
      </w:r>
      <w:hyperlink w:history="0" r:id="rId27"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rPr>
        <w:t xml:space="preserve">, от 16.04.2019 </w:t>
      </w:r>
      <w:hyperlink w:history="0" r:id="rId28" w:tooltip="Постановление Правительства Новосибирской области от 16.04.2019 N 139-п &quot;О внесении изменений в постановление Правительства Новосибирской области от 13.07.2015 N 263-п&quot; {КонсультантПлюс}">
        <w:r>
          <w:rPr>
            <w:sz w:val="20"/>
            <w:color w:val="0000ff"/>
          </w:rPr>
          <w:t xml:space="preserve">N 139-п</w:t>
        </w:r>
      </w:hyperlink>
      <w:r>
        <w:rPr>
          <w:sz w:val="20"/>
        </w:rPr>
        <w:t xml:space="preserve">)</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В.Ф.ГОРОДЕЦКИЙ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13.07.2015 N 263-п</w:t>
      </w:r>
    </w:p>
    <w:p>
      <w:pPr>
        <w:pStyle w:val="0"/>
        <w:ind w:firstLine="540"/>
        <w:jc w:val="both"/>
      </w:pPr>
      <w:r>
        <w:rPr>
          <w:sz w:val="20"/>
        </w:rPr>
      </w:r>
    </w:p>
    <w:bookmarkStart w:id="41" w:name="P41"/>
    <w:bookmarkEnd w:id="41"/>
    <w:p>
      <w:pPr>
        <w:pStyle w:val="2"/>
        <w:jc w:val="center"/>
      </w:pPr>
      <w:r>
        <w:rPr>
          <w:sz w:val="20"/>
        </w:rPr>
        <w:t xml:space="preserve">ГОСУДАРСТВЕННАЯ ПРОГРАММА</w:t>
      </w:r>
    </w:p>
    <w:p>
      <w:pPr>
        <w:pStyle w:val="2"/>
        <w:jc w:val="center"/>
      </w:pPr>
      <w:r>
        <w:rPr>
          <w:sz w:val="20"/>
        </w:rPr>
        <w:t xml:space="preserve">НОВОСИБИРСКОЙ ОБЛАСТИ "РАЗВИТИЕ ГОСУДАРСТВЕННОЙ</w:t>
      </w:r>
    </w:p>
    <w:p>
      <w:pPr>
        <w:pStyle w:val="2"/>
        <w:jc w:val="center"/>
      </w:pPr>
      <w:r>
        <w:rPr>
          <w:sz w:val="20"/>
        </w:rPr>
        <w:t xml:space="preserve">МОЛОДЕЖНОЙ 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11.04.2016 </w:t>
            </w:r>
            <w:hyperlink w:history="0" r:id="rId29"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N 101-п</w:t>
              </w:r>
            </w:hyperlink>
            <w:r>
              <w:rPr>
                <w:sz w:val="20"/>
                <w:color w:val="392c69"/>
              </w:rPr>
              <w:t xml:space="preserve">, от 27.12.2016 </w:t>
            </w:r>
            <w:hyperlink w:history="0" r:id="rId30"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color w:val="392c69"/>
              </w:rPr>
              <w:t xml:space="preserve">, от 15.02.2017 </w:t>
            </w:r>
            <w:hyperlink w:history="0" r:id="rId31" w:tooltip="Постановление Правительства Новосибирской области от 15.02.2017 N 42-п &quot;О внесении изменений в постановление Правительства Новосибирской области от 13.07.2015 N 263-п&quot; {КонсультантПлюс}">
              <w:r>
                <w:rPr>
                  <w:sz w:val="20"/>
                  <w:color w:val="0000ff"/>
                </w:rPr>
                <w:t xml:space="preserve">N 42-п</w:t>
              </w:r>
            </w:hyperlink>
            <w:r>
              <w:rPr>
                <w:sz w:val="20"/>
                <w:color w:val="392c69"/>
              </w:rPr>
              <w:t xml:space="preserve">,</w:t>
            </w:r>
          </w:p>
          <w:p>
            <w:pPr>
              <w:pStyle w:val="0"/>
              <w:jc w:val="center"/>
            </w:pPr>
            <w:r>
              <w:rPr>
                <w:sz w:val="20"/>
                <w:color w:val="392c69"/>
              </w:rPr>
              <w:t xml:space="preserve">от 24.07.2017 </w:t>
            </w:r>
            <w:hyperlink w:history="0" r:id="rId32" w:tooltip="Постановление Правительства Новосибирской области от 24.07.2017 N 278-п &quot;О внесении изменений в постановление Правительства Новосибирской области от 13.07.2015 N 263-п&quot; {КонсультантПлюс}">
              <w:r>
                <w:rPr>
                  <w:sz w:val="20"/>
                  <w:color w:val="0000ff"/>
                </w:rPr>
                <w:t xml:space="preserve">N 278-п</w:t>
              </w:r>
            </w:hyperlink>
            <w:r>
              <w:rPr>
                <w:sz w:val="20"/>
                <w:color w:val="392c69"/>
              </w:rPr>
              <w:t xml:space="preserve">, от 19.12.2017 </w:t>
            </w:r>
            <w:hyperlink w:history="0" r:id="rId33" w:tooltip="Постановление Правительства Новосибирской области от 19.12.2017 N 447-п &quot;О внесении изменений в постановление Правительства Новосибирской области от 13.07.2015 N 263-п&quot; {КонсультантПлюс}">
              <w:r>
                <w:rPr>
                  <w:sz w:val="20"/>
                  <w:color w:val="0000ff"/>
                </w:rPr>
                <w:t xml:space="preserve">N 447-п</w:t>
              </w:r>
            </w:hyperlink>
            <w:r>
              <w:rPr>
                <w:sz w:val="20"/>
                <w:color w:val="392c69"/>
              </w:rPr>
              <w:t xml:space="preserve">, от 21.03.2018 </w:t>
            </w:r>
            <w:hyperlink w:history="0" r:id="rId34"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N 100-п</w:t>
              </w:r>
            </w:hyperlink>
            <w:r>
              <w:rPr>
                <w:sz w:val="20"/>
                <w:color w:val="392c69"/>
              </w:rPr>
              <w:t xml:space="preserve">,</w:t>
            </w:r>
          </w:p>
          <w:p>
            <w:pPr>
              <w:pStyle w:val="0"/>
              <w:jc w:val="center"/>
            </w:pPr>
            <w:r>
              <w:rPr>
                <w:sz w:val="20"/>
                <w:color w:val="392c69"/>
              </w:rPr>
              <w:t xml:space="preserve">от 21.08.2018 </w:t>
            </w:r>
            <w:hyperlink w:history="0" r:id="rId35"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color w:val="392c69"/>
              </w:rPr>
              <w:t xml:space="preserve">, от 16.04.2019 </w:t>
            </w:r>
            <w:hyperlink w:history="0" r:id="rId36" w:tooltip="Постановление Правительства Новосибирской области от 16.04.2019 N 139-п &quot;О внесении изменений в постановление Правительства Новосибирской области от 13.07.2015 N 263-п&quot; {КонсультантПлюс}">
              <w:r>
                <w:rPr>
                  <w:sz w:val="20"/>
                  <w:color w:val="0000ff"/>
                </w:rPr>
                <w:t xml:space="preserve">N 139-п</w:t>
              </w:r>
            </w:hyperlink>
            <w:r>
              <w:rPr>
                <w:sz w:val="20"/>
                <w:color w:val="392c69"/>
              </w:rPr>
              <w:t xml:space="preserve">, от 28.05.2019 </w:t>
            </w:r>
            <w:hyperlink w:history="0" r:id="rId37"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N 205-п</w:t>
              </w:r>
            </w:hyperlink>
            <w:r>
              <w:rPr>
                <w:sz w:val="20"/>
                <w:color w:val="392c69"/>
              </w:rPr>
              <w:t xml:space="preserve">,</w:t>
            </w:r>
          </w:p>
          <w:p>
            <w:pPr>
              <w:pStyle w:val="0"/>
              <w:jc w:val="center"/>
            </w:pPr>
            <w:r>
              <w:rPr>
                <w:sz w:val="20"/>
                <w:color w:val="392c69"/>
              </w:rPr>
              <w:t xml:space="preserve">от 26.05.2020 </w:t>
            </w:r>
            <w:hyperlink w:history="0" r:id="rId38"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N 189-п</w:t>
              </w:r>
            </w:hyperlink>
            <w:r>
              <w:rPr>
                <w:sz w:val="20"/>
                <w:color w:val="392c69"/>
              </w:rPr>
              <w:t xml:space="preserve">, от 27.04.2021 </w:t>
            </w:r>
            <w:hyperlink w:history="0" r:id="rId39"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N 146-п</w:t>
              </w:r>
            </w:hyperlink>
            <w:r>
              <w:rPr>
                <w:sz w:val="20"/>
                <w:color w:val="392c69"/>
              </w:rPr>
              <w:t xml:space="preserve">, от 30.11.2021 </w:t>
            </w:r>
            <w:hyperlink w:history="0" r:id="rId40" w:tooltip="Постановление Правительства Новосибирской области от 30.11.2021 N 482-п &quot;О внесении изменений в постановление Правительства Новосибирской области от 13.07.2015 N 263-п&quot; {КонсультантПлюс}">
              <w:r>
                <w:rPr>
                  <w:sz w:val="20"/>
                  <w:color w:val="0000ff"/>
                </w:rPr>
                <w:t xml:space="preserve">N 482-п</w:t>
              </w:r>
            </w:hyperlink>
            <w:r>
              <w:rPr>
                <w:sz w:val="20"/>
                <w:color w:val="392c69"/>
              </w:rPr>
              <w:t xml:space="preserve">,</w:t>
            </w:r>
          </w:p>
          <w:p>
            <w:pPr>
              <w:pStyle w:val="0"/>
              <w:jc w:val="center"/>
            </w:pPr>
            <w:r>
              <w:rPr>
                <w:sz w:val="20"/>
                <w:color w:val="392c69"/>
              </w:rPr>
              <w:t xml:space="preserve">от 29.03.2022 </w:t>
            </w:r>
            <w:hyperlink w:history="0" r:id="rId41" w:tooltip="Постановление Правительства Новосибирской области от 29.03.2022 N 127-п &quot;О внесении изменений в постановление Правительства Новосибирской области от 13.07.2015 N 263-п&quot; {КонсультантПлюс}">
              <w:r>
                <w:rPr>
                  <w:sz w:val="20"/>
                  <w:color w:val="0000ff"/>
                </w:rPr>
                <w:t xml:space="preserve">N 127-п</w:t>
              </w:r>
            </w:hyperlink>
            <w:r>
              <w:rPr>
                <w:sz w:val="20"/>
                <w:color w:val="392c69"/>
              </w:rPr>
              <w:t xml:space="preserve">, от 29.03.2023 </w:t>
            </w:r>
            <w:hyperlink w:history="0" r:id="rId42"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ПАСПОРТ</w:t>
      </w:r>
    </w:p>
    <w:p>
      <w:pPr>
        <w:pStyle w:val="2"/>
        <w:jc w:val="center"/>
      </w:pPr>
      <w:r>
        <w:rPr>
          <w:sz w:val="20"/>
        </w:rPr>
        <w:t xml:space="preserve">государственной программы Новосибирской области "Развитие</w:t>
      </w:r>
    </w:p>
    <w:p>
      <w:pPr>
        <w:pStyle w:val="2"/>
        <w:jc w:val="center"/>
      </w:pPr>
      <w:r>
        <w:rPr>
          <w:sz w:val="20"/>
        </w:rPr>
        <w:t xml:space="preserve">государственной молодежной политики Новосибирской области"</w:t>
      </w:r>
    </w:p>
    <w:p>
      <w:pPr>
        <w:pStyle w:val="0"/>
        <w:jc w:val="center"/>
      </w:pPr>
      <w:r>
        <w:rPr>
          <w:sz w:val="20"/>
        </w:rPr>
        <w:t xml:space="preserve">(в ред. </w:t>
      </w:r>
      <w:hyperlink w:history="0" r:id="rId43"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w:t>
      </w:r>
    </w:p>
    <w:p>
      <w:pPr>
        <w:pStyle w:val="0"/>
        <w:jc w:val="center"/>
      </w:pPr>
      <w:r>
        <w:rPr>
          <w:sz w:val="20"/>
        </w:rPr>
        <w:t xml:space="preserve">от 28.05.2019 N 205-п)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blPrEx>
          <w:tblBorders>
            <w:insideH w:val="nil"/>
          </w:tblBorders>
        </w:tblPrEx>
        <w:tc>
          <w:tcPr>
            <w:tcW w:w="1984" w:type="dxa"/>
            <w:tcBorders>
              <w:bottom w:val="nil"/>
            </w:tcBorders>
          </w:tcPr>
          <w:p>
            <w:pPr>
              <w:pStyle w:val="0"/>
            </w:pPr>
            <w:r>
              <w:rPr>
                <w:sz w:val="20"/>
              </w:rPr>
              <w:t xml:space="preserve">Наименование государственной программы</w:t>
            </w:r>
          </w:p>
        </w:tc>
        <w:tc>
          <w:tcPr>
            <w:tcW w:w="7087" w:type="dxa"/>
            <w:tcBorders>
              <w:bottom w:val="nil"/>
            </w:tcBorders>
          </w:tcPr>
          <w:p>
            <w:pPr>
              <w:pStyle w:val="0"/>
              <w:jc w:val="both"/>
            </w:pPr>
            <w:r>
              <w:rPr>
                <w:sz w:val="20"/>
              </w:rPr>
              <w:t xml:space="preserve">Государственная программа Новосибирской области "Развитие государственной молодежной политики Новосибирской области" (далее - государственная программа)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4"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28.05.2019 N 205-п)</w:t>
            </w:r>
          </w:p>
        </w:tc>
      </w:tr>
      <w:tr>
        <w:tblPrEx>
          <w:tblBorders>
            <w:insideH w:val="nil"/>
          </w:tblBorders>
        </w:tblPrEx>
        <w:tc>
          <w:tcPr>
            <w:tcW w:w="1984" w:type="dxa"/>
            <w:tcBorders>
              <w:bottom w:val="nil"/>
            </w:tcBorders>
          </w:tcPr>
          <w:p>
            <w:pPr>
              <w:pStyle w:val="0"/>
            </w:pPr>
            <w:r>
              <w:rPr>
                <w:sz w:val="20"/>
              </w:rPr>
              <w:t xml:space="preserve">Разработчики государственной программы</w:t>
            </w:r>
          </w:p>
        </w:tc>
        <w:tc>
          <w:tcPr>
            <w:tcW w:w="7087" w:type="dxa"/>
            <w:tcBorders>
              <w:bottom w:val="nil"/>
            </w:tcBorders>
          </w:tcPr>
          <w:p>
            <w:pPr>
              <w:pStyle w:val="0"/>
              <w:jc w:val="both"/>
            </w:pPr>
            <w:r>
              <w:rPr>
                <w:sz w:val="20"/>
              </w:rPr>
              <w:t xml:space="preserve">Министерство региональной политики Новосибирской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5"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21.03.2018 N 100-п)</w:t>
            </w:r>
          </w:p>
        </w:tc>
      </w:tr>
      <w:tr>
        <w:tblPrEx>
          <w:tblBorders>
            <w:insideH w:val="nil"/>
          </w:tblBorders>
        </w:tblPrEx>
        <w:tc>
          <w:tcPr>
            <w:tcW w:w="1984" w:type="dxa"/>
            <w:tcBorders>
              <w:bottom w:val="nil"/>
            </w:tcBorders>
          </w:tcPr>
          <w:p>
            <w:pPr>
              <w:pStyle w:val="0"/>
            </w:pPr>
            <w:r>
              <w:rPr>
                <w:sz w:val="20"/>
              </w:rPr>
              <w:t xml:space="preserve">Государственный заказчик (государственный заказчик-координатор) государственной программы</w:t>
            </w:r>
          </w:p>
        </w:tc>
        <w:tc>
          <w:tcPr>
            <w:tcW w:w="7087" w:type="dxa"/>
            <w:tcBorders>
              <w:bottom w:val="nil"/>
            </w:tcBorders>
          </w:tcPr>
          <w:p>
            <w:pPr>
              <w:pStyle w:val="0"/>
              <w:jc w:val="both"/>
            </w:pPr>
            <w:r>
              <w:rPr>
                <w:sz w:val="20"/>
              </w:rPr>
              <w:t xml:space="preserve">Министерство образования Новосибирской области (далее - Министерство)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6"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21.08.2018 N 356-п)</w:t>
            </w:r>
          </w:p>
        </w:tc>
      </w:tr>
      <w:tr>
        <w:tblPrEx>
          <w:tblBorders>
            <w:insideH w:val="nil"/>
          </w:tblBorders>
        </w:tblPrEx>
        <w:tc>
          <w:tcPr>
            <w:tcW w:w="1984" w:type="dxa"/>
            <w:tcBorders>
              <w:bottom w:val="nil"/>
            </w:tcBorders>
          </w:tcPr>
          <w:p>
            <w:pPr>
              <w:pStyle w:val="0"/>
            </w:pPr>
            <w:r>
              <w:rPr>
                <w:sz w:val="20"/>
              </w:rPr>
              <w:t xml:space="preserve">Руководитель государственной программы</w:t>
            </w:r>
          </w:p>
        </w:tc>
        <w:tc>
          <w:tcPr>
            <w:tcW w:w="7087" w:type="dxa"/>
            <w:tcBorders>
              <w:bottom w:val="nil"/>
            </w:tcBorders>
          </w:tcPr>
          <w:p>
            <w:pPr>
              <w:pStyle w:val="0"/>
              <w:jc w:val="both"/>
            </w:pPr>
            <w:r>
              <w:rPr>
                <w:sz w:val="20"/>
              </w:rPr>
              <w:t xml:space="preserve">Министр образования Новосибирской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Новосибирской области от 21.03.2018 </w:t>
            </w:r>
            <w:hyperlink w:history="0" r:id="rId47"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N 100-п</w:t>
              </w:r>
            </w:hyperlink>
            <w:r>
              <w:rPr>
                <w:sz w:val="20"/>
              </w:rPr>
              <w:t xml:space="preserve">, от 21.08.2018 </w:t>
            </w:r>
            <w:hyperlink w:history="0" r:id="rId48"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rPr>
              <w:t xml:space="preserve">, от 16.04.2019 </w:t>
            </w:r>
            <w:hyperlink w:history="0" r:id="rId49" w:tooltip="Постановление Правительства Новосибирской области от 16.04.2019 N 139-п &quot;О внесении изменений в постановление Правительства Новосибирской области от 13.07.2015 N 263-п&quot; {КонсультантПлюс}">
              <w:r>
                <w:rPr>
                  <w:sz w:val="20"/>
                  <w:color w:val="0000ff"/>
                </w:rPr>
                <w:t xml:space="preserve">N 139-п</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Исполнители подпрограмм государственной программы, мероприятий государственной программы</w:t>
            </w:r>
          </w:p>
        </w:tc>
        <w:tc>
          <w:tcPr>
            <w:tcW w:w="7087" w:type="dxa"/>
            <w:tcBorders>
              <w:bottom w:val="nil"/>
            </w:tcBorders>
          </w:tcPr>
          <w:p>
            <w:pPr>
              <w:pStyle w:val="0"/>
              <w:jc w:val="both"/>
            </w:pPr>
            <w:r>
              <w:rPr>
                <w:sz w:val="20"/>
              </w:rPr>
              <w:t xml:space="preserve">министерство труда и социального развития Новосибирской области;</w:t>
            </w:r>
          </w:p>
          <w:p>
            <w:pPr>
              <w:pStyle w:val="0"/>
              <w:jc w:val="both"/>
            </w:pPr>
            <w:r>
              <w:rPr>
                <w:sz w:val="20"/>
              </w:rPr>
              <w:t xml:space="preserve">государственные учреждения Новосибирской области, подведомственные министерству образования Новосибирской области (далее - Учреждения);</w:t>
            </w:r>
          </w:p>
          <w:p>
            <w:pPr>
              <w:pStyle w:val="0"/>
              <w:jc w:val="both"/>
            </w:pPr>
            <w:r>
              <w:rPr>
                <w:sz w:val="20"/>
              </w:rPr>
              <w:t xml:space="preserve">юридические лица, привлекаемые в соответствии с действующим законодательством</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0"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29.03.2023 N 134-п)</w:t>
            </w:r>
          </w:p>
        </w:tc>
      </w:tr>
      <w:tr>
        <w:tc>
          <w:tcPr>
            <w:tcW w:w="1984" w:type="dxa"/>
          </w:tcPr>
          <w:p>
            <w:pPr>
              <w:pStyle w:val="0"/>
            </w:pPr>
            <w:r>
              <w:rPr>
                <w:sz w:val="20"/>
              </w:rPr>
              <w:t xml:space="preserve">Цель и задачи государственной программы</w:t>
            </w:r>
          </w:p>
        </w:tc>
        <w:tc>
          <w:tcPr>
            <w:tcW w:w="7087" w:type="dxa"/>
          </w:tcPr>
          <w:p>
            <w:pPr>
              <w:pStyle w:val="0"/>
              <w:jc w:val="both"/>
            </w:pPr>
            <w:r>
              <w:rPr>
                <w:sz w:val="20"/>
              </w:rPr>
              <w:t xml:space="preserve">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p>
            <w:pPr>
              <w:pStyle w:val="0"/>
              <w:jc w:val="both"/>
            </w:pPr>
            <w:r>
              <w:rPr>
                <w:sz w:val="20"/>
              </w:rPr>
              <w:t xml:space="preserve">Задачи государственной программы:</w:t>
            </w:r>
          </w:p>
          <w:p>
            <w:pPr>
              <w:pStyle w:val="0"/>
              <w:jc w:val="both"/>
            </w:pPr>
            <w:r>
              <w:rPr>
                <w:sz w:val="20"/>
              </w:rPr>
              <w:t xml:space="preserve">1. Вовлечение молодежи в социальную, экономическую, общественно-политическую и культурную жизнь общества.</w:t>
            </w:r>
          </w:p>
          <w:p>
            <w:pPr>
              <w:pStyle w:val="0"/>
              <w:jc w:val="both"/>
            </w:pPr>
            <w:r>
              <w:rPr>
                <w:sz w:val="20"/>
              </w:rPr>
              <w:t xml:space="preserve">2. Повышение эффективности деятельности в сфере молодежной политики</w:t>
            </w:r>
          </w:p>
        </w:tc>
      </w:tr>
      <w:tr>
        <w:tc>
          <w:tcPr>
            <w:tcW w:w="1984" w:type="dxa"/>
          </w:tcPr>
          <w:p>
            <w:pPr>
              <w:pStyle w:val="0"/>
            </w:pPr>
            <w:r>
              <w:rPr>
                <w:sz w:val="20"/>
              </w:rPr>
              <w:t xml:space="preserve">Перечень подпрограмм государственной программы</w:t>
            </w:r>
          </w:p>
        </w:tc>
        <w:tc>
          <w:tcPr>
            <w:tcW w:w="7087" w:type="dxa"/>
          </w:tcPr>
          <w:p>
            <w:pPr>
              <w:pStyle w:val="0"/>
              <w:jc w:val="both"/>
            </w:pPr>
            <w:r>
              <w:rPr>
                <w:sz w:val="20"/>
              </w:rPr>
              <w:t xml:space="preserve">Подпрограммы не выделяются</w:t>
            </w:r>
          </w:p>
        </w:tc>
      </w:tr>
      <w:tr>
        <w:tblPrEx>
          <w:tblBorders>
            <w:insideH w:val="nil"/>
          </w:tblBorders>
        </w:tblPrEx>
        <w:tc>
          <w:tcPr>
            <w:tcW w:w="1984" w:type="dxa"/>
            <w:tcBorders>
              <w:bottom w:val="nil"/>
            </w:tcBorders>
          </w:tcPr>
          <w:p>
            <w:pPr>
              <w:pStyle w:val="0"/>
            </w:pPr>
            <w:r>
              <w:rPr>
                <w:sz w:val="20"/>
              </w:rPr>
              <w:t xml:space="preserve">Сроки (этапы) реализации государственной программы</w:t>
            </w:r>
          </w:p>
        </w:tc>
        <w:tc>
          <w:tcPr>
            <w:tcW w:w="7087" w:type="dxa"/>
            <w:tcBorders>
              <w:bottom w:val="nil"/>
            </w:tcBorders>
          </w:tcPr>
          <w:p>
            <w:pPr>
              <w:pStyle w:val="0"/>
              <w:jc w:val="both"/>
            </w:pPr>
            <w:r>
              <w:rPr>
                <w:sz w:val="20"/>
              </w:rPr>
              <w:t xml:space="preserve">Период реализации государственной программы: 2016 - 2025 годы.</w:t>
            </w:r>
          </w:p>
          <w:p>
            <w:pPr>
              <w:pStyle w:val="0"/>
              <w:jc w:val="both"/>
            </w:pPr>
            <w:r>
              <w:rPr>
                <w:sz w:val="20"/>
              </w:rPr>
              <w:t xml:space="preserve">Этапы реализации государственной программы не выделяются</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Новосибирской области от 26.05.2020 </w:t>
            </w:r>
            <w:hyperlink w:history="0" r:id="rId51"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N 189-п</w:t>
              </w:r>
            </w:hyperlink>
            <w:r>
              <w:rPr>
                <w:sz w:val="20"/>
              </w:rPr>
              <w:t xml:space="preserve">, от 29.03.2023 </w:t>
            </w:r>
            <w:hyperlink w:history="0" r:id="rId52"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N 134-п</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Объемы финансирования государственной программы</w:t>
            </w:r>
          </w:p>
        </w:tc>
        <w:tc>
          <w:tcPr>
            <w:tcW w:w="7087" w:type="dxa"/>
            <w:tcBorders>
              <w:bottom w:val="nil"/>
            </w:tcBorders>
          </w:tcPr>
          <w:p>
            <w:pPr>
              <w:pStyle w:val="0"/>
              <w:jc w:val="both"/>
            </w:pPr>
            <w:r>
              <w:rPr>
                <w:sz w:val="20"/>
              </w:rPr>
              <w:t xml:space="preserve">Финансирование осуществляется из областного бюджета Новосибирской области с учетом субсидии из федерального бюджета.</w:t>
            </w:r>
          </w:p>
          <w:p>
            <w:pPr>
              <w:pStyle w:val="0"/>
              <w:jc w:val="both"/>
            </w:pPr>
            <w:r>
              <w:rPr>
                <w:sz w:val="20"/>
              </w:rPr>
              <w:t xml:space="preserve">Общий объем финансирования государственной программы составляет 1586604,3 тыс. рублей.</w:t>
            </w:r>
          </w:p>
          <w:p>
            <w:pPr>
              <w:pStyle w:val="0"/>
              <w:jc w:val="both"/>
            </w:pPr>
            <w:r>
              <w:rPr>
                <w:sz w:val="20"/>
              </w:rPr>
              <w:t xml:space="preserve">В том числе по годам реализации государственной программы:</w:t>
            </w:r>
          </w:p>
          <w:p>
            <w:pPr>
              <w:pStyle w:val="0"/>
              <w:jc w:val="both"/>
            </w:pPr>
            <w:r>
              <w:rPr>
                <w:sz w:val="20"/>
              </w:rPr>
              <w:t xml:space="preserve">2016 год - 88360,2 тыс. руб.;</w:t>
            </w:r>
          </w:p>
          <w:p>
            <w:pPr>
              <w:pStyle w:val="0"/>
              <w:jc w:val="both"/>
            </w:pPr>
            <w:r>
              <w:rPr>
                <w:sz w:val="20"/>
              </w:rPr>
              <w:t xml:space="preserve">2017 год - 93971,0 тыс. руб.;</w:t>
            </w:r>
          </w:p>
          <w:p>
            <w:pPr>
              <w:pStyle w:val="0"/>
              <w:jc w:val="both"/>
            </w:pPr>
            <w:r>
              <w:rPr>
                <w:sz w:val="20"/>
              </w:rPr>
              <w:t xml:space="preserve">2018 год - 119126,4 тыс. руб.;</w:t>
            </w:r>
          </w:p>
          <w:p>
            <w:pPr>
              <w:pStyle w:val="0"/>
              <w:jc w:val="both"/>
            </w:pPr>
            <w:r>
              <w:rPr>
                <w:sz w:val="20"/>
              </w:rPr>
              <w:t xml:space="preserve">2019 год - 133544,1 тыс. руб.;</w:t>
            </w:r>
          </w:p>
          <w:p>
            <w:pPr>
              <w:pStyle w:val="0"/>
              <w:jc w:val="both"/>
            </w:pPr>
            <w:r>
              <w:rPr>
                <w:sz w:val="20"/>
              </w:rPr>
              <w:t xml:space="preserve">2020 год - 117288,2 тыс. руб.;</w:t>
            </w:r>
          </w:p>
          <w:p>
            <w:pPr>
              <w:pStyle w:val="0"/>
              <w:jc w:val="both"/>
            </w:pPr>
            <w:r>
              <w:rPr>
                <w:sz w:val="20"/>
              </w:rPr>
              <w:t xml:space="preserve">2021 год - 139734,3 тыс. руб.;</w:t>
            </w:r>
          </w:p>
          <w:p>
            <w:pPr>
              <w:pStyle w:val="0"/>
              <w:jc w:val="both"/>
            </w:pPr>
            <w:r>
              <w:rPr>
                <w:sz w:val="20"/>
              </w:rPr>
              <w:t xml:space="preserve">2022 год - 220246,1 тыс. руб.;</w:t>
            </w:r>
          </w:p>
          <w:p>
            <w:pPr>
              <w:pStyle w:val="0"/>
              <w:jc w:val="both"/>
            </w:pPr>
            <w:r>
              <w:rPr>
                <w:sz w:val="20"/>
              </w:rPr>
              <w:t xml:space="preserve">2023 год - 276486,3 тыс. руб.;</w:t>
            </w:r>
          </w:p>
          <w:p>
            <w:pPr>
              <w:pStyle w:val="0"/>
              <w:jc w:val="both"/>
            </w:pPr>
            <w:r>
              <w:rPr>
                <w:sz w:val="20"/>
              </w:rPr>
              <w:t xml:space="preserve">2024 год - 196 403,2 тыс. руб.;</w:t>
            </w:r>
          </w:p>
          <w:p>
            <w:pPr>
              <w:pStyle w:val="0"/>
              <w:jc w:val="both"/>
            </w:pPr>
            <w:r>
              <w:rPr>
                <w:sz w:val="20"/>
              </w:rPr>
              <w:t xml:space="preserve">2025 год - 201444,5 тыс. рублей.</w:t>
            </w:r>
          </w:p>
          <w:p>
            <w:pPr>
              <w:pStyle w:val="0"/>
              <w:jc w:val="both"/>
            </w:pPr>
            <w:r>
              <w:rPr>
                <w:sz w:val="20"/>
              </w:rPr>
              <w:t xml:space="preserve">Подробная информация по источникам финансирования (федеральный, областной, местный бюджеты и внебюджетные источники) в разрезе главных распорядителей бюджетных средств по годам реализации программы приведена в </w:t>
            </w:r>
            <w:hyperlink w:history="0" w:anchor="P1655" w:tooltip="СВОДНЫЕ ФИНАНСОВЫЕ ЗАТРАТЫ И НАЛОГОВЫЕ РАСХОДЫ">
              <w:r>
                <w:rPr>
                  <w:sz w:val="20"/>
                  <w:color w:val="0000ff"/>
                </w:rPr>
                <w:t xml:space="preserve">приложении N 3</w:t>
              </w:r>
            </w:hyperlink>
            <w:r>
              <w:rPr>
                <w:sz w:val="20"/>
              </w:rPr>
              <w:t xml:space="preserve"> к государственной программе "Сводные финансовые затраты и налоговые расходы государственной программы Новосибирской области "Развитие государственной молодежной политики Новосибирской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3"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29.03.2023 N 134-п)</w:t>
            </w:r>
          </w:p>
        </w:tc>
      </w:tr>
      <w:tr>
        <w:tblPrEx>
          <w:tblBorders>
            <w:insideH w:val="nil"/>
          </w:tblBorders>
        </w:tblPrEx>
        <w:tc>
          <w:tcPr>
            <w:tcW w:w="1984" w:type="dxa"/>
            <w:tcBorders>
              <w:bottom w:val="nil"/>
            </w:tcBorders>
          </w:tcPr>
          <w:p>
            <w:pPr>
              <w:pStyle w:val="0"/>
            </w:pPr>
            <w:r>
              <w:rPr>
                <w:sz w:val="20"/>
              </w:rPr>
              <w:t xml:space="preserve">Объемы налоговых расходов в рамках государственной программы</w:t>
            </w:r>
          </w:p>
        </w:tc>
        <w:tc>
          <w:tcPr>
            <w:tcW w:w="7087" w:type="dxa"/>
            <w:tcBorders>
              <w:bottom w:val="nil"/>
            </w:tcBorders>
          </w:tcPr>
          <w:p>
            <w:pPr>
              <w:pStyle w:val="0"/>
              <w:jc w:val="both"/>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54"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26.05.2020 N 189-п)</w:t>
            </w:r>
          </w:p>
        </w:tc>
      </w:tr>
      <w:tr>
        <w:tblPrEx>
          <w:tblBorders>
            <w:insideH w:val="nil"/>
          </w:tblBorders>
        </w:tblPrEx>
        <w:tc>
          <w:tcPr>
            <w:tcW w:w="1984" w:type="dxa"/>
            <w:tcBorders>
              <w:bottom w:val="nil"/>
            </w:tcBorders>
          </w:tcPr>
          <w:p>
            <w:pPr>
              <w:pStyle w:val="0"/>
            </w:pPr>
            <w:r>
              <w:rPr>
                <w:sz w:val="20"/>
              </w:rPr>
              <w:t xml:space="preserve">Основные целевые индикаторы государственной программы</w:t>
            </w:r>
          </w:p>
        </w:tc>
        <w:tc>
          <w:tcPr>
            <w:tcW w:w="7087" w:type="dxa"/>
            <w:tcBorders>
              <w:bottom w:val="nil"/>
            </w:tcBorders>
          </w:tcPr>
          <w:p>
            <w:pPr>
              <w:pStyle w:val="0"/>
              <w:jc w:val="both"/>
            </w:pPr>
            <w:r>
              <w:rPr>
                <w:sz w:val="20"/>
              </w:rPr>
              <w:t xml:space="preserve">Основными целевыми индикаторами государственной программы являются:</w:t>
            </w:r>
          </w:p>
          <w:p>
            <w:pPr>
              <w:pStyle w:val="0"/>
              <w:jc w:val="both"/>
            </w:pPr>
            <w:r>
              <w:rPr>
                <w:sz w:val="20"/>
              </w:rPr>
              <w:t xml:space="preserve">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w:t>
            </w:r>
          </w:p>
          <w:p>
            <w:pPr>
              <w:pStyle w:val="0"/>
              <w:jc w:val="both"/>
            </w:pPr>
            <w:r>
              <w:rPr>
                <w:sz w:val="20"/>
              </w:rPr>
              <w:t xml:space="preserve">численность молодых людей, участвующих в общественно-политических проектах, реализуемых в рамках государственной программы;</w:t>
            </w:r>
          </w:p>
          <w:p>
            <w:pPr>
              <w:pStyle w:val="0"/>
              <w:jc w:val="both"/>
            </w:pPr>
            <w:r>
              <w:rPr>
                <w:sz w:val="20"/>
              </w:rPr>
              <w:t xml:space="preserve">численность молодых людей, участвующих в мероприятиях, направленных на обеспечение культурного, нравственного, духовного, интеллектуального и творческого развития молодежи, реализуемых в рамках государственной программы;</w:t>
            </w:r>
          </w:p>
          <w:p>
            <w:pPr>
              <w:pStyle w:val="0"/>
              <w:jc w:val="both"/>
            </w:pPr>
            <w:r>
              <w:rPr>
                <w:sz w:val="20"/>
              </w:rPr>
              <w:t xml:space="preserve">численность молодых людей, участвующих в мероприятиях,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реализуемых в рамках государственной программы;</w:t>
            </w:r>
          </w:p>
          <w:p>
            <w:pPr>
              <w:pStyle w:val="0"/>
              <w:jc w:val="both"/>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p>
            <w:pPr>
              <w:pStyle w:val="0"/>
              <w:jc w:val="both"/>
            </w:pPr>
            <w:r>
              <w:rPr>
                <w:sz w:val="20"/>
              </w:rPr>
              <w:t xml:space="preserve">абзац утратил силу. - </w:t>
            </w:r>
            <w:hyperlink w:history="0" r:id="rId55"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26.05.2020 N 189-п;</w:t>
            </w:r>
          </w:p>
          <w:p>
            <w:pPr>
              <w:pStyle w:val="0"/>
              <w:jc w:val="both"/>
            </w:pPr>
            <w:r>
              <w:rPr>
                <w:sz w:val="20"/>
              </w:rPr>
              <w:t xml:space="preserve">численность молодых людей, проинформированных о деятельности в сфере молодежной политики Новосибирской области в рамках реализации государственной программы;</w:t>
            </w:r>
          </w:p>
          <w:p>
            <w:pPr>
              <w:pStyle w:val="0"/>
              <w:jc w:val="both"/>
            </w:pPr>
            <w:r>
              <w:rPr>
                <w:sz w:val="20"/>
              </w:rPr>
              <w:t xml:space="preserve">количество молодых людей и специалистов, работающих в сфере молодежной политики, участвующих в обучающих мероприятиях в рамках государственной программы;</w:t>
            </w:r>
          </w:p>
          <w:p>
            <w:pPr>
              <w:pStyle w:val="0"/>
              <w:jc w:val="both"/>
            </w:pPr>
            <w:r>
              <w:rPr>
                <w:sz w:val="20"/>
              </w:rPr>
              <w:t xml:space="preserve">количество реализуемых (действующих) муниципальных программ по работе с молодежью</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Новосибирской области от 28.05.2019 </w:t>
            </w:r>
            <w:hyperlink w:history="0" r:id="rId56"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N 205-п</w:t>
              </w:r>
            </w:hyperlink>
            <w:r>
              <w:rPr>
                <w:sz w:val="20"/>
              </w:rPr>
              <w:t xml:space="preserve">, от 26.05.2020 </w:t>
            </w:r>
            <w:hyperlink w:history="0" r:id="rId57"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N 189-п</w:t>
              </w:r>
            </w:hyperlink>
            <w:r>
              <w:rPr>
                <w:sz w:val="20"/>
              </w:rPr>
              <w:t xml:space="preserve">, от 27.04.2021 </w:t>
            </w:r>
            <w:hyperlink w:history="0" r:id="rId58"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N 146-п</w:t>
              </w:r>
            </w:hyperlink>
            <w:r>
              <w:rPr>
                <w:sz w:val="20"/>
              </w:rPr>
              <w:t xml:space="preserve">)</w:t>
            </w:r>
          </w:p>
        </w:tc>
      </w:tr>
      <w:tr>
        <w:tblPrEx>
          <w:tblBorders>
            <w:insideH w:val="nil"/>
          </w:tblBorders>
        </w:tblPrEx>
        <w:tc>
          <w:tcPr>
            <w:tcW w:w="1984" w:type="dxa"/>
            <w:tcBorders>
              <w:bottom w:val="nil"/>
            </w:tcBorders>
          </w:tcPr>
          <w:p>
            <w:pPr>
              <w:pStyle w:val="0"/>
            </w:pPr>
            <w:r>
              <w:rPr>
                <w:sz w:val="20"/>
              </w:rPr>
              <w:t xml:space="preserve">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pPr>
              <w:pStyle w:val="0"/>
              <w:jc w:val="both"/>
            </w:pPr>
            <w:r>
              <w:rPr>
                <w:sz w:val="20"/>
              </w:rPr>
              <w:t xml:space="preserve">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 увеличится к 2025 году на 32 процентных пункта по сравнению с 2015 годом.</w:t>
            </w:r>
          </w:p>
          <w:p>
            <w:pPr>
              <w:pStyle w:val="0"/>
              <w:jc w:val="both"/>
            </w:pPr>
            <w:r>
              <w:rPr>
                <w:sz w:val="20"/>
              </w:rPr>
              <w:t xml:space="preserve">В рамках вовлечения молодежи в социальную, экономическую, общественно-политическую и культурную жизнь общества будут привлечены:</w:t>
            </w:r>
          </w:p>
          <w:p>
            <w:pPr>
              <w:pStyle w:val="0"/>
              <w:jc w:val="both"/>
            </w:pPr>
            <w:r>
              <w:rPr>
                <w:sz w:val="20"/>
              </w:rPr>
              <w:t xml:space="preserve">не менее 122928 молодых людей - к участию в общественно-политических проектах в течение всего периода реализации государственной программы;</w:t>
            </w:r>
          </w:p>
          <w:p>
            <w:pPr>
              <w:pStyle w:val="0"/>
              <w:jc w:val="both"/>
            </w:pPr>
            <w:r>
              <w:rPr>
                <w:sz w:val="20"/>
              </w:rPr>
              <w:t xml:space="preserve">847607 молодых людей - к участию в мероприятиях, направленных на обеспечение культурного, нравственного, духовного, интеллектуального и творческого развития молодежи, в течение всего периода реализации государственной программы;</w:t>
            </w:r>
          </w:p>
          <w:p>
            <w:pPr>
              <w:pStyle w:val="0"/>
              <w:jc w:val="both"/>
            </w:pPr>
            <w:r>
              <w:rPr>
                <w:sz w:val="20"/>
              </w:rPr>
              <w:t xml:space="preserve">не менее 75100 молодых людей - к участию в мероприятиях,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в течение всего периода реализации государственной программы;</w:t>
            </w:r>
          </w:p>
          <w:p>
            <w:pPr>
              <w:pStyle w:val="0"/>
              <w:jc w:val="both"/>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 составит 0,246 миллиона человек к 2025 году.</w:t>
            </w:r>
          </w:p>
          <w:p>
            <w:pPr>
              <w:pStyle w:val="0"/>
              <w:jc w:val="both"/>
            </w:pPr>
            <w:r>
              <w:rPr>
                <w:sz w:val="20"/>
              </w:rPr>
              <w:t xml:space="preserve">В рамках повышения эффективности деятельности в сфере молодежной политики:</w:t>
            </w:r>
          </w:p>
          <w:p>
            <w:pPr>
              <w:pStyle w:val="0"/>
              <w:jc w:val="both"/>
            </w:pPr>
            <w:r>
              <w:rPr>
                <w:sz w:val="20"/>
              </w:rPr>
              <w:t xml:space="preserve">не менее 1951400 молодых людей будут проинформированы о мероприятиях в сфере молодежной политики Новосибирской области в течение всего периода реализации государственной программы;</w:t>
            </w:r>
          </w:p>
          <w:p>
            <w:pPr>
              <w:pStyle w:val="0"/>
              <w:jc w:val="both"/>
            </w:pPr>
            <w:r>
              <w:rPr>
                <w:sz w:val="20"/>
              </w:rPr>
              <w:t xml:space="preserve">не менее 168922 молодых людей и специалистов, работающих в сфере молодежной политики, примут участие в обучающих мероприятиях в течение всего периода реализации государственной программы;</w:t>
            </w:r>
          </w:p>
          <w:p>
            <w:pPr>
              <w:pStyle w:val="0"/>
              <w:jc w:val="both"/>
            </w:pPr>
            <w:r>
              <w:rPr>
                <w:sz w:val="20"/>
              </w:rPr>
              <w:t xml:space="preserve">количество реализуемых (действующих) муниципальных программ по работе с молодежью увеличится с 24 в 2015 году до 35 к 2021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29.03.2023 N 134-п)</w:t>
            </w:r>
          </w:p>
        </w:tc>
      </w:tr>
      <w:tr>
        <w:tblPrEx>
          <w:tblBorders>
            <w:insideH w:val="nil"/>
          </w:tblBorders>
        </w:tblPrEx>
        <w:tc>
          <w:tcPr>
            <w:tcW w:w="1984" w:type="dxa"/>
            <w:tcBorders>
              <w:bottom w:val="nil"/>
            </w:tcBorders>
          </w:tcPr>
          <w:p>
            <w:pPr>
              <w:pStyle w:val="0"/>
            </w:pPr>
            <w:r>
              <w:rPr>
                <w:sz w:val="20"/>
              </w:rPr>
              <w:t xml:space="preserve">Электронный адрес размещения государственной программы в сети Интернет</w:t>
            </w:r>
          </w:p>
        </w:tc>
        <w:tc>
          <w:tcPr>
            <w:tcW w:w="7087" w:type="dxa"/>
            <w:tcBorders>
              <w:bottom w:val="nil"/>
            </w:tcBorders>
          </w:tcPr>
          <w:p>
            <w:pPr>
              <w:pStyle w:val="0"/>
              <w:jc w:val="both"/>
            </w:pPr>
            <w:r>
              <w:rPr>
                <w:sz w:val="20"/>
              </w:rPr>
              <w:t xml:space="preserve">http://minobr.nso.ru/page/13009</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Новосибирской области от 16.04.2019 </w:t>
            </w:r>
            <w:hyperlink w:history="0" r:id="rId60" w:tooltip="Постановление Правительства Новосибирской области от 16.04.2019 N 139-п &quot;О внесении изменений в постановление Правительства Новосибирской области от 13.07.2015 N 263-п&quot; {КонсультантПлюс}">
              <w:r>
                <w:rPr>
                  <w:sz w:val="20"/>
                  <w:color w:val="0000ff"/>
                </w:rPr>
                <w:t xml:space="preserve">N 139-п</w:t>
              </w:r>
            </w:hyperlink>
            <w:r>
              <w:rPr>
                <w:sz w:val="20"/>
              </w:rPr>
              <w:t xml:space="preserve">, от 30.11.2021 </w:t>
            </w:r>
            <w:hyperlink w:history="0" r:id="rId61" w:tooltip="Постановление Правительства Новосибирской области от 30.11.2021 N 482-п &quot;О внесении изменений в постановление Правительства Новосибирской области от 13.07.2015 N 263-п&quot; {КонсультантПлюс}">
              <w:r>
                <w:rPr>
                  <w:sz w:val="20"/>
                  <w:color w:val="0000ff"/>
                </w:rPr>
                <w:t xml:space="preserve">N 482-п</w:t>
              </w:r>
            </w:hyperlink>
            <w:r>
              <w:rPr>
                <w:sz w:val="20"/>
              </w:rPr>
              <w:t xml:space="preserve">)</w:t>
            </w:r>
          </w:p>
        </w:tc>
      </w:tr>
    </w:tbl>
    <w:p>
      <w:pPr>
        <w:pStyle w:val="0"/>
        <w:ind w:firstLine="540"/>
        <w:jc w:val="both"/>
      </w:pPr>
      <w:r>
        <w:rPr>
          <w:sz w:val="20"/>
        </w:rPr>
      </w:r>
    </w:p>
    <w:p>
      <w:pPr>
        <w:pStyle w:val="2"/>
        <w:outlineLvl w:val="1"/>
        <w:jc w:val="center"/>
      </w:pPr>
      <w:r>
        <w:rPr>
          <w:sz w:val="20"/>
        </w:rPr>
        <w:t xml:space="preserve">II. Обоснование необходимости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Государственная программа определяет цель, задачи и направления развития в сфере государственной молодежной политики Новосибирской области, финансовое обеспечение и механизмы реализации предусмотренных государственной программой мероприятий, показатели результативности ее реализации.</w:t>
      </w:r>
    </w:p>
    <w:p>
      <w:pPr>
        <w:pStyle w:val="0"/>
        <w:jc w:val="both"/>
      </w:pPr>
      <w:r>
        <w:rPr>
          <w:sz w:val="20"/>
        </w:rPr>
        <w:t xml:space="preserve">(в ред. </w:t>
      </w:r>
      <w:hyperlink w:history="0" r:id="rId62"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Приоритетные направления в сфере молодежной политики определены в следующих нормативных правовых документах:</w:t>
      </w:r>
    </w:p>
    <w:p>
      <w:pPr>
        <w:pStyle w:val="0"/>
        <w:spacing w:before="200" w:line-rule="auto"/>
        <w:ind w:firstLine="540"/>
        <w:jc w:val="both"/>
      </w:pPr>
      <w:r>
        <w:rPr>
          <w:sz w:val="20"/>
        </w:rPr>
        <w:t xml:space="preserve">Федеральный </w:t>
      </w:r>
      <w:hyperlink w:history="0" r:id="rId63"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от 30.12.2020 N 489-ФЗ "О молодежной политике в Российской Федерации";</w:t>
      </w:r>
    </w:p>
    <w:p>
      <w:pPr>
        <w:pStyle w:val="0"/>
        <w:jc w:val="both"/>
      </w:pPr>
      <w:r>
        <w:rPr>
          <w:sz w:val="20"/>
        </w:rPr>
        <w:t xml:space="preserve">(абзац введен </w:t>
      </w:r>
      <w:hyperlink w:history="0" r:id="rId64"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27.04.2021 N 146-п)</w:t>
      </w:r>
    </w:p>
    <w:p>
      <w:pPr>
        <w:pStyle w:val="0"/>
        <w:spacing w:before="200" w:line-rule="auto"/>
        <w:ind w:firstLine="540"/>
        <w:jc w:val="both"/>
      </w:pPr>
      <w:hyperlink w:history="0" r:id="rId6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распоряжение</w:t>
        </w:r>
      </w:hyperlink>
      <w:r>
        <w:rPr>
          <w:sz w:val="20"/>
        </w:rPr>
        <w:t xml:space="preserve"> Правительства Российской Федерации от 17.11.2008 N 1662-р;</w:t>
      </w:r>
    </w:p>
    <w:p>
      <w:pPr>
        <w:pStyle w:val="0"/>
        <w:spacing w:before="200" w:line-rule="auto"/>
        <w:ind w:firstLine="540"/>
        <w:jc w:val="both"/>
      </w:pPr>
      <w:hyperlink w:history="0" r:id="rId66"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29.11.2014 N 2403-р;</w:t>
      </w:r>
    </w:p>
    <w:p>
      <w:pPr>
        <w:pStyle w:val="0"/>
        <w:spacing w:before="200" w:line-rule="auto"/>
        <w:ind w:firstLine="540"/>
        <w:jc w:val="both"/>
      </w:pPr>
      <w:hyperlink w:history="0" r:id="rId67" w:tooltip="Закон Новосибирской области от 12.07.2004 N 207-ОЗ (ред. от 16.12.2022) &quot;О молодежной политике в Новосибирской области&quot; (принят постановлением Новосибирского областного Совета депутатов от 24.06.2004 N 207-ОСД) {КонсультантПлюс}">
        <w:r>
          <w:rPr>
            <w:sz w:val="20"/>
            <w:color w:val="0000ff"/>
          </w:rPr>
          <w:t xml:space="preserve">Закон</w:t>
        </w:r>
      </w:hyperlink>
      <w:r>
        <w:rPr>
          <w:sz w:val="20"/>
        </w:rPr>
        <w:t xml:space="preserve"> Новосибирской области от 12.07.2004 N 207-ОЗ "О молодежной политике в Новосибирской области".</w:t>
      </w:r>
    </w:p>
    <w:p>
      <w:pPr>
        <w:pStyle w:val="0"/>
        <w:spacing w:before="200" w:line-rule="auto"/>
        <w:ind w:firstLine="540"/>
        <w:jc w:val="both"/>
      </w:pPr>
      <w:r>
        <w:rPr>
          <w:sz w:val="20"/>
        </w:rPr>
        <w:t xml:space="preserve">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pPr>
        <w:pStyle w:val="0"/>
        <w:spacing w:before="200" w:line-rule="auto"/>
        <w:ind w:firstLine="540"/>
        <w:jc w:val="both"/>
      </w:pPr>
      <w:r>
        <w:rPr>
          <w:sz w:val="20"/>
        </w:rPr>
        <w:t xml:space="preserve">Государственная молодежная политика в Новосибирской области формируется и реализуется областными исполнительными органами государственной власти Новосибирской области и органами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pPr>
        <w:pStyle w:val="0"/>
        <w:spacing w:before="200" w:line-rule="auto"/>
        <w:ind w:firstLine="540"/>
        <w:jc w:val="both"/>
      </w:pPr>
      <w:r>
        <w:rPr>
          <w:sz w:val="20"/>
        </w:rPr>
        <w:t xml:space="preserve">Исходя из положений Федерального </w:t>
      </w:r>
      <w:hyperlink w:history="0" r:id="rId68" w:tooltip="Федеральный закон от 30.12.2020 N 489-ФЗ &quot;О молодежной политике в Российской Федерации&quot; {КонсультантПлюс}">
        <w:r>
          <w:rPr>
            <w:sz w:val="20"/>
            <w:color w:val="0000ff"/>
          </w:rPr>
          <w:t xml:space="preserve">закона</w:t>
        </w:r>
      </w:hyperlink>
      <w:r>
        <w:rPr>
          <w:sz w:val="20"/>
        </w:rPr>
        <w:t xml:space="preserve"> от 30.12.2020 N 489-ФЗ "О молодежной политике в Российской Федерации", молодежь - социально-демографическая группа лиц в возрасте от 14 до 35 лет включительно (за исключением случаев, предусмотренных </w:t>
      </w:r>
      <w:hyperlink w:history="0" r:id="rId69" w:tooltip="Федеральный закон от 30.12.2020 N 489-ФЗ &quot;О молодежной политике в Российской Федерации&quot; {КонсультантПлюс}">
        <w:r>
          <w:rPr>
            <w:sz w:val="20"/>
            <w:color w:val="0000ff"/>
          </w:rPr>
          <w:t xml:space="preserve">частью 3 статьи 6</w:t>
        </w:r>
      </w:hyperlink>
      <w:r>
        <w:rPr>
          <w:sz w:val="20"/>
        </w:rPr>
        <w:t xml:space="preserve"> Федерального закона от 30.12.2020 N 489-ФЗ "О молодежной политике в Российской Федерации"), имеющих гражданство Российской Федерации.</w:t>
      </w:r>
    </w:p>
    <w:p>
      <w:pPr>
        <w:pStyle w:val="0"/>
        <w:jc w:val="both"/>
      </w:pPr>
      <w:r>
        <w:rPr>
          <w:sz w:val="20"/>
        </w:rPr>
        <w:t xml:space="preserve">(в ред. </w:t>
      </w:r>
      <w:hyperlink w:history="0" r:id="rId70"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В связи со стремительным старением населения и неблагоприятными демографическими тенденциями сегодняшние 14-35-летние жители Новосибирской области станут основным трудовым ресурсом, их трудовая деятельность - источником средств для социального обеспечения детей, инвалидов и старшего поколения.</w:t>
      </w:r>
    </w:p>
    <w:p>
      <w:pPr>
        <w:pStyle w:val="0"/>
        <w:jc w:val="both"/>
      </w:pPr>
      <w:r>
        <w:rPr>
          <w:sz w:val="20"/>
        </w:rPr>
        <w:t xml:space="preserve">(в ред. </w:t>
      </w:r>
      <w:hyperlink w:history="0" r:id="rId71"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От позиции молодежи в общественно-политической жизни, ее уверенности в завтрашнем дне и активности будет зависеть темп продвижения Новосибирской области и страны в целом по пути демократических преобразований. Именно молодые люди должны быть готовы к противостоянию политическим манипуляциям и экстремистским призывам.</w:t>
      </w:r>
    </w:p>
    <w:p>
      <w:pPr>
        <w:pStyle w:val="0"/>
        <w:spacing w:before="200" w:line-rule="auto"/>
        <w:ind w:firstLine="540"/>
        <w:jc w:val="both"/>
      </w:pPr>
      <w:r>
        <w:rPr>
          <w:sz w:val="20"/>
        </w:rPr>
        <w:t xml:space="preserve">Результаты исследований показывают, что молодежь в целом аполитична. В выборах федерального уровня участвует менее половины молодых россиян, лишь 33 процента молодых граждан в возрасте до 35 лет интересуются политикой. Только 2,7 процента молодых людей принимают участие в деятельности общественных организаций.</w:t>
      </w:r>
    </w:p>
    <w:p>
      <w:pPr>
        <w:pStyle w:val="0"/>
        <w:spacing w:before="200" w:line-rule="auto"/>
        <w:ind w:firstLine="540"/>
        <w:jc w:val="both"/>
      </w:pPr>
      <w:r>
        <w:rPr>
          <w:sz w:val="20"/>
        </w:rPr>
        <w:t xml:space="preserve">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В то же время перед российским обществом стоит вопрос о необходимости минимизации издержек и потерь, которые несет Россия из-за проблем, связанных с социализацией молодых людей и интеграцией их в единое экономическое, политическое и социокультурное пространство.</w:t>
      </w:r>
    </w:p>
    <w:p>
      <w:pPr>
        <w:pStyle w:val="0"/>
        <w:spacing w:before="200" w:line-rule="auto"/>
        <w:ind w:firstLine="540"/>
        <w:jc w:val="both"/>
      </w:pPr>
      <w:r>
        <w:rPr>
          <w:sz w:val="20"/>
        </w:rPr>
        <w:t xml:space="preserve">Проведенный анализ и прогноз условий развития России, а также проблемы молодежи в ближайшие десятилетия выдвигают требования по выработке нового программного подхода к государственной молодежной политике.</w:t>
      </w:r>
    </w:p>
    <w:p>
      <w:pPr>
        <w:pStyle w:val="0"/>
        <w:spacing w:before="200" w:line-rule="auto"/>
        <w:ind w:firstLine="540"/>
        <w:jc w:val="both"/>
      </w:pPr>
      <w:r>
        <w:rPr>
          <w:sz w:val="20"/>
        </w:rPr>
        <w:t xml:space="preserve">По экспертной оценке, численность молодежи Новосибирской области на 01.01.2015 составляет 648,5 тыс. человек (23,8% от общей численности населения области). На территории области функционируют 85 учреждений для работы с молодежью, в том числе 3 государственных, 36 муниципальных, 46 негосударственных.</w:t>
      </w:r>
    </w:p>
    <w:p>
      <w:pPr>
        <w:pStyle w:val="0"/>
        <w:jc w:val="both"/>
      </w:pPr>
      <w:r>
        <w:rPr>
          <w:sz w:val="20"/>
        </w:rPr>
        <w:t xml:space="preserve">(в ред. </w:t>
      </w:r>
      <w:hyperlink w:history="0" r:id="rId72"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В 2014 году оказана поддержка более 250 молодежным проектам по различным направлениям. Численность молодых людей Новосибирской области, участвующих в проектах и программах в сфере молодежной политики, составила более 120 тыс. человек (16% от общей численности молодежи Новосибирской области).</w:t>
      </w:r>
    </w:p>
    <w:p>
      <w:pPr>
        <w:pStyle w:val="0"/>
        <w:spacing w:before="200" w:line-rule="auto"/>
        <w:ind w:firstLine="540"/>
        <w:jc w:val="both"/>
      </w:pPr>
      <w:r>
        <w:rPr>
          <w:sz w:val="20"/>
        </w:rPr>
        <w:t xml:space="preserve">Основной проблемой сферы молодежной политики в Новосибирской области, как и на федеральном уровне, является низкая вовлеченность в социальную, экономическую, общественно-политическую и культурную жизнь общества.</w:t>
      </w:r>
    </w:p>
    <w:p>
      <w:pPr>
        <w:pStyle w:val="0"/>
        <w:spacing w:before="200" w:line-rule="auto"/>
        <w:ind w:firstLine="540"/>
        <w:jc w:val="both"/>
      </w:pPr>
      <w:r>
        <w:rPr>
          <w:sz w:val="20"/>
        </w:rPr>
        <w:t xml:space="preserve">В рамках реализации государственной программы планируется организация и проведение мероприятий различной направленности, в том числе:</w:t>
      </w:r>
    </w:p>
    <w:p>
      <w:pPr>
        <w:pStyle w:val="0"/>
        <w:spacing w:before="200" w:line-rule="auto"/>
        <w:ind w:firstLine="540"/>
        <w:jc w:val="both"/>
      </w:pPr>
      <w:r>
        <w:rPr>
          <w:sz w:val="20"/>
        </w:rPr>
        <w:t xml:space="preserve">развитие молодежного общественно-политического движения на территории Новосибирской области;</w:t>
      </w:r>
    </w:p>
    <w:p>
      <w:pPr>
        <w:pStyle w:val="0"/>
        <w:spacing w:before="200" w:line-rule="auto"/>
        <w:ind w:firstLine="540"/>
        <w:jc w:val="both"/>
      </w:pPr>
      <w:r>
        <w:rPr>
          <w:sz w:val="20"/>
        </w:rPr>
        <w:t xml:space="preserve">популяризация предпринимательской, инновационной деятельности и научно-технического творчества среди молодежи на территории Новосибирской области;</w:t>
      </w:r>
    </w:p>
    <w:p>
      <w:pPr>
        <w:pStyle w:val="0"/>
        <w:spacing w:before="200" w:line-rule="auto"/>
        <w:ind w:firstLine="540"/>
        <w:jc w:val="both"/>
      </w:pPr>
      <w:r>
        <w:rPr>
          <w:sz w:val="20"/>
        </w:rPr>
        <w:t xml:space="preserve">обеспечение культурного, нравственного, духовного интеллектуального и творческого развития молодежи на территории Новосибирской области;</w:t>
      </w:r>
    </w:p>
    <w:p>
      <w:pPr>
        <w:pStyle w:val="0"/>
        <w:spacing w:before="200" w:line-rule="auto"/>
        <w:ind w:firstLine="540"/>
        <w:jc w:val="both"/>
      </w:pPr>
      <w:r>
        <w:rPr>
          <w:sz w:val="20"/>
        </w:rPr>
        <w:t xml:space="preserve">пропаганда здорового образа жизни и профилактика асоциальных проявлений в молодежной среде Новосибирской области.</w:t>
      </w:r>
    </w:p>
    <w:p>
      <w:pPr>
        <w:pStyle w:val="0"/>
        <w:spacing w:before="200" w:line-rule="auto"/>
        <w:ind w:firstLine="540"/>
        <w:jc w:val="both"/>
      </w:pPr>
      <w:r>
        <w:rPr>
          <w:sz w:val="20"/>
        </w:rPr>
        <w:t xml:space="preserve">В рамках реализации мероприятий государственной программы планируется дальнейшая работа по развитию инфраструктуры молодежной политики, касающейся информационного обеспечения молодежи о возможностях реализации своих прав на охрану здоровья, образование, социальное обслуживание, профессиональную ориентацию, профессиональную подготовку и трудоустройство, отдых, социальную реабилитацию, помощь в целях преодоления трудных жизненных ситуаций, поддержку молодых семей, молодежных, детских общественных объединений в области государственной молодежной политики.</w:t>
      </w:r>
    </w:p>
    <w:p>
      <w:pPr>
        <w:pStyle w:val="0"/>
        <w:spacing w:before="200" w:line-rule="auto"/>
        <w:ind w:firstLine="540"/>
        <w:jc w:val="both"/>
      </w:pPr>
      <w:r>
        <w:rPr>
          <w:sz w:val="20"/>
        </w:rPr>
        <w:t xml:space="preserve">Создаются условия для расширения информационного обслуживания молодых граждан посредством создания информационных систем, центров информации для молодежи, программ (проектов) поддержки печатных изданий и иных средств массовой информации.</w:t>
      </w:r>
    </w:p>
    <w:p>
      <w:pPr>
        <w:pStyle w:val="0"/>
        <w:spacing w:before="200" w:line-rule="auto"/>
        <w:ind w:firstLine="540"/>
        <w:jc w:val="both"/>
      </w:pPr>
      <w:r>
        <w:rPr>
          <w:sz w:val="20"/>
        </w:rPr>
        <w:t xml:space="preserve">В рамках формирования инфраструктуры для реализации молодежной политики в муниципальных районах и городских округах осуществляется реализация проекта "Территория 54: в движении!". На базе молодежного туристского комплекса "Ареал" (молодежный палаточный лагерь) проводятся около 15 профильных смен разной направленности (туризм, волонтерство, общественно-политическая деятельность молодежи, культура, медиасфера), в которых принимают участие не менее 1200 человек.</w:t>
      </w:r>
    </w:p>
    <w:p>
      <w:pPr>
        <w:pStyle w:val="0"/>
        <w:jc w:val="both"/>
      </w:pPr>
      <w:r>
        <w:rPr>
          <w:sz w:val="20"/>
        </w:rPr>
        <w:t xml:space="preserve">(в ред. </w:t>
      </w:r>
      <w:hyperlink w:history="0" r:id="rId73"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Более 6000 человек ежегодно участвуют в фестивалях и турнирах уличных видов спорта, проводимых на площадке экстрим-парка на территории спорткомплекса Новосибирского государственного технического университета в рамках проекта StreetRussia. В 2013 году молодые новосибирцы одержали победы в соревнованиях в Казани, Томске, Москве, Киеве, Праге. Пример работы Новосибирской области в сфере развития студенческого спорта стал основой алгоритма работы по созданию студенческих спортивных клубов в России.</w:t>
      </w:r>
    </w:p>
    <w:p>
      <w:pPr>
        <w:pStyle w:val="0"/>
        <w:spacing w:before="200" w:line-rule="auto"/>
        <w:ind w:firstLine="540"/>
        <w:jc w:val="both"/>
      </w:pPr>
      <w:r>
        <w:rPr>
          <w:sz w:val="20"/>
        </w:rPr>
        <w:t xml:space="preserve">Отсутствие современной инфраструктуры по работе с молодежью выражается в ряде системных проблем. Предоставляемые государственные и муниципальные услуги не представляют интереса для современной молодежи, что приводит к низкому спросу на них. Так, только в 11 муниципальных образованиях Новосибирской области (за исключением города Новосибирска) функционируют специализированные организации по работе с молодежью - молодежные центры, в остальных муниципальных районах и городских округах услуги в области молодежной политики оказываются в приспособленных под эти цели помещениях в непрофильных учреждениях. При этом оборудование, которым оснащены учреждения, ограничивает возможности получения молодыми людьми актуальных навыков и использования сотрудниками современных технологий работы. Из 35 муниципальных образований Новосибирской области в 24 принята и действует муниципальная программа по работе с молодежью.</w:t>
      </w:r>
    </w:p>
    <w:p>
      <w:pPr>
        <w:pStyle w:val="0"/>
        <w:spacing w:before="200" w:line-rule="auto"/>
        <w:ind w:firstLine="540"/>
        <w:jc w:val="both"/>
      </w:pPr>
      <w:r>
        <w:rPr>
          <w:sz w:val="20"/>
        </w:rPr>
        <w:t xml:space="preserve">Абзац исключен. - </w:t>
      </w:r>
      <w:hyperlink w:history="0" r:id="rId74"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В целях повышения эффективности деятельности в сфере молодежной политики планируется оказание поддержки системам информационного, инфраструктурного и кадрового обеспечения молодежной политики Новосибирской области.</w:t>
      </w:r>
    </w:p>
    <w:p>
      <w:pPr>
        <w:pStyle w:val="0"/>
        <w:spacing w:before="200" w:line-rule="auto"/>
        <w:ind w:firstLine="540"/>
        <w:jc w:val="both"/>
      </w:pPr>
      <w:r>
        <w:rPr>
          <w:sz w:val="20"/>
        </w:rPr>
        <w:t xml:space="preserve">В соответствии с перечисленными проблемами сформулированы цель и задачи государственной программы, что говорит о необходимости их решения с помощью программно-целевого подхода.</w:t>
      </w:r>
    </w:p>
    <w:p>
      <w:pPr>
        <w:pStyle w:val="0"/>
        <w:ind w:firstLine="540"/>
        <w:jc w:val="both"/>
      </w:pPr>
      <w:r>
        <w:rPr>
          <w:sz w:val="20"/>
        </w:rPr>
      </w:r>
    </w:p>
    <w:p>
      <w:pPr>
        <w:pStyle w:val="2"/>
        <w:outlineLvl w:val="1"/>
        <w:jc w:val="center"/>
      </w:pPr>
      <w:r>
        <w:rPr>
          <w:sz w:val="20"/>
        </w:rPr>
        <w:t xml:space="preserve">III. Цели и задачи, важнейшие целевые</w:t>
      </w:r>
    </w:p>
    <w:p>
      <w:pPr>
        <w:pStyle w:val="2"/>
        <w:jc w:val="center"/>
      </w:pPr>
      <w:r>
        <w:rPr>
          <w:sz w:val="20"/>
        </w:rPr>
        <w:t xml:space="preserve">индикаторы государственной программы</w:t>
      </w:r>
    </w:p>
    <w:p>
      <w:pPr>
        <w:pStyle w:val="0"/>
        <w:ind w:firstLine="540"/>
        <w:jc w:val="both"/>
      </w:pPr>
      <w:r>
        <w:rPr>
          <w:sz w:val="20"/>
        </w:rPr>
      </w:r>
    </w:p>
    <w:p>
      <w:pPr>
        <w:pStyle w:val="0"/>
        <w:ind w:firstLine="540"/>
        <w:jc w:val="both"/>
      </w:pPr>
      <w:r>
        <w:rPr>
          <w:sz w:val="20"/>
        </w:rPr>
        <w:t xml:space="preserve">Утратил силу. - </w:t>
      </w:r>
      <w:hyperlink w:history="0" r:id="rId75"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29.03.2023 N 134-п.</w:t>
      </w:r>
    </w:p>
    <w:p>
      <w:pPr>
        <w:pStyle w:val="0"/>
        <w:ind w:firstLine="540"/>
        <w:jc w:val="both"/>
      </w:pPr>
      <w:r>
        <w:rPr>
          <w:sz w:val="20"/>
        </w:rPr>
      </w:r>
    </w:p>
    <w:p>
      <w:pPr>
        <w:pStyle w:val="2"/>
        <w:outlineLvl w:val="1"/>
        <w:jc w:val="center"/>
      </w:pPr>
      <w:r>
        <w:rPr>
          <w:sz w:val="20"/>
        </w:rPr>
        <w:t xml:space="preserve">IV. Система основных мероприятий государственной программы</w:t>
      </w:r>
    </w:p>
    <w:p>
      <w:pPr>
        <w:pStyle w:val="0"/>
        <w:ind w:firstLine="540"/>
        <w:jc w:val="both"/>
      </w:pPr>
      <w:r>
        <w:rPr>
          <w:sz w:val="20"/>
        </w:rPr>
      </w:r>
    </w:p>
    <w:p>
      <w:pPr>
        <w:pStyle w:val="0"/>
        <w:ind w:firstLine="540"/>
        <w:jc w:val="both"/>
      </w:pPr>
      <w:r>
        <w:rPr>
          <w:sz w:val="20"/>
        </w:rPr>
        <w:t xml:space="preserve">Система программных мероприятий состоит из перечня конкретных, увязанных с целью и задачами государственной программы, основных мероприятий.</w:t>
      </w:r>
    </w:p>
    <w:p>
      <w:pPr>
        <w:pStyle w:val="0"/>
        <w:jc w:val="both"/>
      </w:pPr>
      <w:r>
        <w:rPr>
          <w:sz w:val="20"/>
        </w:rPr>
        <w:t xml:space="preserve">(в ред. </w:t>
      </w:r>
      <w:hyperlink w:history="0" r:id="rId76"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28.05.2019 N 205-п)</w:t>
      </w:r>
    </w:p>
    <w:p>
      <w:pPr>
        <w:pStyle w:val="0"/>
        <w:ind w:firstLine="540"/>
        <w:jc w:val="both"/>
      </w:pPr>
      <w:r>
        <w:rPr>
          <w:sz w:val="20"/>
        </w:rPr>
      </w:r>
    </w:p>
    <w:p>
      <w:pPr>
        <w:pStyle w:val="2"/>
        <w:outlineLvl w:val="2"/>
        <w:jc w:val="center"/>
      </w:pPr>
      <w:r>
        <w:rPr>
          <w:sz w:val="20"/>
        </w:rPr>
        <w:t xml:space="preserve">Краткая характеристика мероприятий государственной</w:t>
      </w:r>
    </w:p>
    <w:p>
      <w:pPr>
        <w:pStyle w:val="2"/>
        <w:jc w:val="center"/>
      </w:pPr>
      <w:r>
        <w:rPr>
          <w:sz w:val="20"/>
        </w:rPr>
        <w:t xml:space="preserve">программы, реализуемых с 2016 по 2018 годы</w:t>
      </w:r>
    </w:p>
    <w:p>
      <w:pPr>
        <w:pStyle w:val="0"/>
        <w:jc w:val="center"/>
      </w:pPr>
      <w:r>
        <w:rPr>
          <w:sz w:val="20"/>
        </w:rPr>
        <w:t xml:space="preserve">(введено </w:t>
      </w:r>
      <w:hyperlink w:history="0" r:id="rId77"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w:t>
      </w:r>
    </w:p>
    <w:p>
      <w:pPr>
        <w:pStyle w:val="0"/>
        <w:jc w:val="center"/>
      </w:pPr>
      <w:r>
        <w:rPr>
          <w:sz w:val="20"/>
        </w:rPr>
        <w:t xml:space="preserve">от 28.05.2019 N 205-п)</w:t>
      </w:r>
    </w:p>
    <w:p>
      <w:pPr>
        <w:pStyle w:val="0"/>
        <w:ind w:firstLine="540"/>
        <w:jc w:val="both"/>
      </w:pPr>
      <w:r>
        <w:rPr>
          <w:sz w:val="20"/>
        </w:rPr>
      </w:r>
    </w:p>
    <w:p>
      <w:pPr>
        <w:pStyle w:val="0"/>
        <w:ind w:firstLine="540"/>
        <w:jc w:val="both"/>
      </w:pPr>
      <w:r>
        <w:rPr>
          <w:sz w:val="20"/>
        </w:rPr>
        <w:t xml:space="preserve">К основным программным мероприятиям, запланированным к реализации в рамках государственной программы, относятся:</w:t>
      </w:r>
    </w:p>
    <w:p>
      <w:pPr>
        <w:pStyle w:val="0"/>
        <w:spacing w:before="200" w:line-rule="auto"/>
        <w:ind w:firstLine="540"/>
        <w:jc w:val="both"/>
      </w:pPr>
      <w:r>
        <w:rPr>
          <w:sz w:val="20"/>
        </w:rPr>
        <w:t xml:space="preserve">1. Организация и проведение мероприятий, направленных на развитие молодежного общественно-политического движения на территории Новосибирской области. Планируется развитие молодежного общественно-политического движения на территории Новосибирской области с ежегодным охватом молодежи не менее 1900 человек. В рамках данного направления планируется организация и проведение:</w:t>
      </w:r>
    </w:p>
    <w:p>
      <w:pPr>
        <w:pStyle w:val="0"/>
        <w:jc w:val="both"/>
      </w:pPr>
      <w:r>
        <w:rPr>
          <w:sz w:val="20"/>
        </w:rPr>
        <w:t xml:space="preserve">(в ред. </w:t>
      </w:r>
      <w:hyperlink w:history="0" r:id="rId78"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11.04.2016 N 101-п)</w:t>
      </w:r>
    </w:p>
    <w:p>
      <w:pPr>
        <w:pStyle w:val="0"/>
        <w:spacing w:before="200" w:line-rule="auto"/>
        <w:ind w:firstLine="540"/>
        <w:jc w:val="both"/>
      </w:pPr>
      <w:r>
        <w:rPr>
          <w:sz w:val="20"/>
        </w:rPr>
        <w:t xml:space="preserve">мероприятий, направленных на развитие общественного движения на территории Новосибирской области;</w:t>
      </w:r>
    </w:p>
    <w:p>
      <w:pPr>
        <w:pStyle w:val="0"/>
        <w:spacing w:before="200" w:line-rule="auto"/>
        <w:ind w:firstLine="540"/>
        <w:jc w:val="both"/>
      </w:pPr>
      <w:r>
        <w:rPr>
          <w:sz w:val="20"/>
        </w:rPr>
        <w:t xml:space="preserve">мероприятий, направленных на развитие органов молодежного самоуправления;</w:t>
      </w:r>
    </w:p>
    <w:p>
      <w:pPr>
        <w:pStyle w:val="0"/>
        <w:spacing w:before="200" w:line-rule="auto"/>
        <w:ind w:firstLine="540"/>
        <w:jc w:val="both"/>
      </w:pPr>
      <w:r>
        <w:rPr>
          <w:sz w:val="20"/>
        </w:rPr>
        <w:t xml:space="preserve">мероприятий, направленных на формирование ученического самоуправления;</w:t>
      </w:r>
    </w:p>
    <w:p>
      <w:pPr>
        <w:pStyle w:val="0"/>
        <w:jc w:val="both"/>
      </w:pPr>
      <w:r>
        <w:rPr>
          <w:sz w:val="20"/>
        </w:rPr>
        <w:t xml:space="preserve">(абзац введен </w:t>
      </w:r>
      <w:hyperlink w:history="0" r:id="rId79" w:tooltip="Постановление Правительства Новосибирской области от 15.02.2017 N 42-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15.02.2017 N 42-п)</w:t>
      </w:r>
    </w:p>
    <w:p>
      <w:pPr>
        <w:pStyle w:val="0"/>
        <w:spacing w:before="200" w:line-rule="auto"/>
        <w:ind w:firstLine="540"/>
        <w:jc w:val="both"/>
      </w:pPr>
      <w:r>
        <w:rPr>
          <w:sz w:val="20"/>
        </w:rPr>
        <w:t xml:space="preserve">мероприятий, направленных на формирование сообществ среди работающей молодежи.</w:t>
      </w:r>
    </w:p>
    <w:p>
      <w:pPr>
        <w:pStyle w:val="0"/>
        <w:spacing w:before="200" w:line-rule="auto"/>
        <w:ind w:firstLine="540"/>
        <w:jc w:val="both"/>
      </w:pPr>
      <w:r>
        <w:rPr>
          <w:sz w:val="20"/>
        </w:rPr>
        <w:t xml:space="preserve">2. Организация и проведение мероприятий, направленных на популяризацию инновационной, предпринимательской деятельности и трудовое воспитание молодежи на территории Новосибирской области. Планируется привлечение молодежи к участию в мероприятиях, направленных на развитие предпринимательских навыков, интереса к инновационной деятельности. Организация и проведение мероприятий, направленных на трудовое воспитание молодежи Новосибирской области. Планируется участие не менее 19740 человек ежегодно.</w:t>
      </w:r>
    </w:p>
    <w:p>
      <w:pPr>
        <w:pStyle w:val="0"/>
        <w:jc w:val="both"/>
      </w:pPr>
      <w:r>
        <w:rPr>
          <w:sz w:val="20"/>
        </w:rPr>
        <w:t xml:space="preserve">(в ред. постановлений Правительства Новосибирской области от 11.04.2016 </w:t>
      </w:r>
      <w:hyperlink w:history="0" r:id="rId80"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N 101-п</w:t>
        </w:r>
      </w:hyperlink>
      <w:r>
        <w:rPr>
          <w:sz w:val="20"/>
        </w:rPr>
        <w:t xml:space="preserve">, от 27.12.2016 </w:t>
      </w:r>
      <w:hyperlink w:history="0" r:id="rId81"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 от 15.02.2017 </w:t>
      </w:r>
      <w:hyperlink w:history="0" r:id="rId82" w:tooltip="Постановление Правительства Новосибирской области от 15.02.2017 N 42-п &quot;О внесении изменений в постановление Правительства Новосибирской области от 13.07.2015 N 263-п&quot; {КонсультантПлюс}">
        <w:r>
          <w:rPr>
            <w:sz w:val="20"/>
            <w:color w:val="0000ff"/>
          </w:rPr>
          <w:t xml:space="preserve">N 42-п</w:t>
        </w:r>
      </w:hyperlink>
      <w:r>
        <w:rPr>
          <w:sz w:val="20"/>
        </w:rPr>
        <w:t xml:space="preserve">, от 21.03.2018 </w:t>
      </w:r>
      <w:hyperlink w:history="0" r:id="rId83"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N 100-п</w:t>
        </w:r>
      </w:hyperlink>
      <w:r>
        <w:rPr>
          <w:sz w:val="20"/>
        </w:rPr>
        <w:t xml:space="preserve">)</w:t>
      </w:r>
    </w:p>
    <w:p>
      <w:pPr>
        <w:pStyle w:val="0"/>
        <w:spacing w:before="200" w:line-rule="auto"/>
        <w:ind w:firstLine="540"/>
        <w:jc w:val="both"/>
      </w:pPr>
      <w:r>
        <w:rPr>
          <w:sz w:val="20"/>
        </w:rPr>
        <w:t xml:space="preserve">В рамках данного направления планируется:</w:t>
      </w:r>
    </w:p>
    <w:p>
      <w:pPr>
        <w:pStyle w:val="0"/>
        <w:spacing w:before="200" w:line-rule="auto"/>
        <w:ind w:firstLine="540"/>
        <w:jc w:val="both"/>
      </w:pPr>
      <w:r>
        <w:rPr>
          <w:sz w:val="20"/>
        </w:rPr>
        <w:t xml:space="preserve">организация и проведение мероприятий, направленных на популяризацию инноваций и научно-технического творчества среди молодежи, индивидуальную подготовку и продвижение молодежных инновационных проектов (с 2016 по 2017 год);</w:t>
      </w:r>
    </w:p>
    <w:p>
      <w:pPr>
        <w:pStyle w:val="0"/>
        <w:jc w:val="both"/>
      </w:pPr>
      <w:r>
        <w:rPr>
          <w:sz w:val="20"/>
        </w:rPr>
        <w:t xml:space="preserve">(в ред. </w:t>
      </w:r>
      <w:hyperlink w:history="0" r:id="rId84"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21.03.2018 N 100-п)</w:t>
      </w:r>
    </w:p>
    <w:p>
      <w:pPr>
        <w:pStyle w:val="0"/>
        <w:spacing w:before="200" w:line-rule="auto"/>
        <w:ind w:firstLine="540"/>
        <w:jc w:val="both"/>
      </w:pPr>
      <w:r>
        <w:rPr>
          <w:sz w:val="20"/>
        </w:rPr>
        <w:t xml:space="preserve">развитие предпринимательства в молодежной среде на территории Новосибирской области (осуществление игровых, тренинговых и иных проектов, образовательных курсов, конкурсов среди молодежи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 организация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(в 2016 году); проведение конкурсов бизнес-проектов, проведение финального мероприятия (с 2017 года); оказание консультационных услуг молодым предпринимателям;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 осуществление мониторинга эффективности мероприятий, направленных на вовлечение молодежи в предпринимательскую деятельность);</w:t>
      </w:r>
    </w:p>
    <w:p>
      <w:pPr>
        <w:pStyle w:val="0"/>
        <w:jc w:val="both"/>
      </w:pPr>
      <w:r>
        <w:rPr>
          <w:sz w:val="20"/>
        </w:rPr>
        <w:t xml:space="preserve">(в ред. постановлений Правительства Новосибирской области от 27.12.2016 </w:t>
      </w:r>
      <w:hyperlink w:history="0" r:id="rId85"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 от 24.07.2017 </w:t>
      </w:r>
      <w:hyperlink w:history="0" r:id="rId86" w:tooltip="Постановление Правительства Новосибирской области от 24.07.2017 N 278-п &quot;О внесении изменений в постановление Правительства Новосибирской области от 13.07.2015 N 263-п&quot; {КонсультантПлюс}">
        <w:r>
          <w:rPr>
            <w:sz w:val="20"/>
            <w:color w:val="0000ff"/>
          </w:rPr>
          <w:t xml:space="preserve">N 278-п</w:t>
        </w:r>
      </w:hyperlink>
      <w:r>
        <w:rPr>
          <w:sz w:val="20"/>
        </w:rPr>
        <w:t xml:space="preserve">, от 21.08.2018 </w:t>
      </w:r>
      <w:hyperlink w:history="0" r:id="rId87"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rPr>
        <w:t xml:space="preserve">)</w:t>
      </w:r>
    </w:p>
    <w:p>
      <w:pPr>
        <w:pStyle w:val="0"/>
        <w:spacing w:before="200" w:line-rule="auto"/>
        <w:ind w:firstLine="540"/>
        <w:jc w:val="both"/>
      </w:pPr>
      <w:r>
        <w:rPr>
          <w:sz w:val="20"/>
        </w:rPr>
        <w:t xml:space="preserve">организация и проведение мероприятий, направленных на развитие движения "Студенческие отряды";</w:t>
      </w:r>
    </w:p>
    <w:p>
      <w:pPr>
        <w:pStyle w:val="0"/>
        <w:spacing w:before="200" w:line-rule="auto"/>
        <w:ind w:firstLine="540"/>
        <w:jc w:val="both"/>
      </w:pPr>
      <w:r>
        <w:rPr>
          <w:sz w:val="20"/>
        </w:rPr>
        <w:t xml:space="preserve">организация и проведение мероприятий по созданию и поддержке деятельности народных дружин молодежи Новосибирской области (с 2016 по 2017 год).</w:t>
      </w:r>
    </w:p>
    <w:p>
      <w:pPr>
        <w:pStyle w:val="0"/>
        <w:jc w:val="both"/>
      </w:pPr>
      <w:r>
        <w:rPr>
          <w:sz w:val="20"/>
        </w:rPr>
        <w:t xml:space="preserve">(в ред. постановлений Правительства Новосибирской области от 27.12.2016 </w:t>
      </w:r>
      <w:hyperlink w:history="0" r:id="rId88"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 от 21.03.2018 </w:t>
      </w:r>
      <w:hyperlink w:history="0" r:id="rId89"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N 100-п</w:t>
        </w:r>
      </w:hyperlink>
      <w:r>
        <w:rPr>
          <w:sz w:val="20"/>
        </w:rPr>
        <w:t xml:space="preserve">)</w:t>
      </w:r>
    </w:p>
    <w:p>
      <w:pPr>
        <w:pStyle w:val="0"/>
        <w:spacing w:before="200" w:line-rule="auto"/>
        <w:ind w:firstLine="540"/>
        <w:jc w:val="both"/>
      </w:pPr>
      <w:r>
        <w:rPr>
          <w:sz w:val="20"/>
        </w:rPr>
        <w:t xml:space="preserve">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 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52400 человек ежегодно.</w:t>
      </w:r>
    </w:p>
    <w:p>
      <w:pPr>
        <w:pStyle w:val="0"/>
        <w:jc w:val="both"/>
      </w:pPr>
      <w:r>
        <w:rPr>
          <w:sz w:val="20"/>
        </w:rPr>
        <w:t xml:space="preserve">(в ред. </w:t>
      </w:r>
      <w:hyperlink w:history="0" r:id="rId90"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11.04.2016 N 101-п)</w:t>
      </w:r>
    </w:p>
    <w:p>
      <w:pPr>
        <w:pStyle w:val="0"/>
        <w:spacing w:before="200" w:line-rule="auto"/>
        <w:ind w:firstLine="540"/>
        <w:jc w:val="both"/>
      </w:pPr>
      <w:r>
        <w:rPr>
          <w:sz w:val="20"/>
        </w:rPr>
        <w:t xml:space="preserve">В рамках данного направления планируется организация и проведение:</w:t>
      </w:r>
    </w:p>
    <w:p>
      <w:pPr>
        <w:pStyle w:val="0"/>
        <w:spacing w:before="200" w:line-rule="auto"/>
        <w:ind w:firstLine="540"/>
        <w:jc w:val="both"/>
      </w:pPr>
      <w:r>
        <w:rPr>
          <w:sz w:val="20"/>
        </w:rPr>
        <w:t xml:space="preserve">мероприятий, направленных на обеспечение культурного, интеллектуального и творческого развития молодежи на территории Новосибирской области;</w:t>
      </w:r>
    </w:p>
    <w:p>
      <w:pPr>
        <w:pStyle w:val="0"/>
        <w:spacing w:before="200" w:line-rule="auto"/>
        <w:ind w:firstLine="540"/>
        <w:jc w:val="both"/>
      </w:pPr>
      <w:r>
        <w:rPr>
          <w:sz w:val="20"/>
        </w:rPr>
        <w:t xml:space="preserve">деятельности клубных формирований;</w:t>
      </w:r>
    </w:p>
    <w:p>
      <w:pPr>
        <w:pStyle w:val="0"/>
        <w:spacing w:before="200" w:line-rule="auto"/>
        <w:ind w:firstLine="540"/>
        <w:jc w:val="both"/>
      </w:pPr>
      <w:r>
        <w:rPr>
          <w:sz w:val="20"/>
        </w:rPr>
        <w:t xml:space="preserve">мероприятий по развитию и популяризации движения КВН в Новосибирской области;</w:t>
      </w:r>
    </w:p>
    <w:p>
      <w:pPr>
        <w:pStyle w:val="0"/>
        <w:spacing w:before="200" w:line-rule="auto"/>
        <w:ind w:firstLine="540"/>
        <w:jc w:val="both"/>
      </w:pPr>
      <w:r>
        <w:rPr>
          <w:sz w:val="20"/>
        </w:rPr>
        <w:t xml:space="preserve">мероприятий, направленных на формирование сообществ молодых семей Новосибирской области;</w:t>
      </w:r>
    </w:p>
    <w:p>
      <w:pPr>
        <w:pStyle w:val="0"/>
        <w:jc w:val="both"/>
      </w:pPr>
      <w:r>
        <w:rPr>
          <w:sz w:val="20"/>
        </w:rPr>
        <w:t xml:space="preserve">(абзац введен </w:t>
      </w:r>
      <w:hyperlink w:history="0" r:id="rId91" w:tooltip="Постановление Правительства Новосибирской области от 15.02.2017 N 42-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15.02.2017 N 42-п)</w:t>
      </w:r>
    </w:p>
    <w:p>
      <w:pPr>
        <w:pStyle w:val="0"/>
        <w:spacing w:before="200" w:line-rule="auto"/>
        <w:ind w:firstLine="540"/>
        <w:jc w:val="both"/>
      </w:pPr>
      <w:r>
        <w:rPr>
          <w:sz w:val="20"/>
        </w:rPr>
        <w:t xml:space="preserve">мероприятий, направленных на формирование российской идентичности молодежи;</w:t>
      </w:r>
    </w:p>
    <w:p>
      <w:pPr>
        <w:pStyle w:val="0"/>
        <w:jc w:val="both"/>
      </w:pPr>
      <w:r>
        <w:rPr>
          <w:sz w:val="20"/>
        </w:rPr>
        <w:t xml:space="preserve">(абзац введен </w:t>
      </w:r>
      <w:hyperlink w:history="0" r:id="rId92" w:tooltip="Постановление Правительства Новосибирской области от 15.02.2017 N 42-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15.02.2017 N 42-п)</w:t>
      </w:r>
    </w:p>
    <w:p>
      <w:pPr>
        <w:pStyle w:val="0"/>
        <w:spacing w:before="200" w:line-rule="auto"/>
        <w:ind w:firstLine="540"/>
        <w:jc w:val="both"/>
      </w:pPr>
      <w:r>
        <w:rPr>
          <w:sz w:val="20"/>
        </w:rPr>
        <w:t xml:space="preserve">мероприятий, направленных на развитие добровольческого движения.</w:t>
      </w:r>
    </w:p>
    <w:p>
      <w:pPr>
        <w:pStyle w:val="0"/>
        <w:spacing w:before="200" w:line-rule="auto"/>
        <w:ind w:firstLine="540"/>
        <w:jc w:val="both"/>
      </w:pPr>
      <w:r>
        <w:rPr>
          <w:sz w:val="20"/>
        </w:rPr>
        <w:t xml:space="preserve">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Планируется популяризация молодежных стриткультур, молодежного туризма как альтернативных форм досуга. Организация и проведение мероприятий, направленных на пропаганду здорового образа жизни среди молодежи. Ежегодное количество участников - не менее 3200 человек.</w:t>
      </w:r>
    </w:p>
    <w:p>
      <w:pPr>
        <w:pStyle w:val="0"/>
        <w:jc w:val="both"/>
      </w:pPr>
      <w:r>
        <w:rPr>
          <w:sz w:val="20"/>
        </w:rPr>
        <w:t xml:space="preserve">(в ред. постановлений Правительства Новосибирской области от 11.04.2016 </w:t>
      </w:r>
      <w:hyperlink w:history="0" r:id="rId93"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N 101-п</w:t>
        </w:r>
      </w:hyperlink>
      <w:r>
        <w:rPr>
          <w:sz w:val="20"/>
        </w:rPr>
        <w:t xml:space="preserve">, от 27.12.2016 </w:t>
      </w:r>
      <w:hyperlink w:history="0" r:id="rId94"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 от 24.07.2017 </w:t>
      </w:r>
      <w:hyperlink w:history="0" r:id="rId95" w:tooltip="Постановление Правительства Новосибирской области от 24.07.2017 N 278-п &quot;О внесении изменений в постановление Правительства Новосибирской области от 13.07.2015 N 263-п&quot; {КонсультантПлюс}">
        <w:r>
          <w:rPr>
            <w:sz w:val="20"/>
            <w:color w:val="0000ff"/>
          </w:rPr>
          <w:t xml:space="preserve">N 278-п</w:t>
        </w:r>
      </w:hyperlink>
      <w:r>
        <w:rPr>
          <w:sz w:val="20"/>
        </w:rPr>
        <w:t xml:space="preserve">)</w:t>
      </w:r>
    </w:p>
    <w:p>
      <w:pPr>
        <w:pStyle w:val="0"/>
        <w:spacing w:before="200" w:line-rule="auto"/>
        <w:ind w:firstLine="540"/>
        <w:jc w:val="both"/>
      </w:pPr>
      <w:r>
        <w:rPr>
          <w:sz w:val="20"/>
        </w:rPr>
        <w:t xml:space="preserve">В рамках данного направления планируется организация и проведение:</w:t>
      </w:r>
    </w:p>
    <w:p>
      <w:pPr>
        <w:pStyle w:val="0"/>
        <w:spacing w:before="200" w:line-rule="auto"/>
        <w:ind w:firstLine="540"/>
        <w:jc w:val="both"/>
      </w:pPr>
      <w:r>
        <w:rPr>
          <w:sz w:val="20"/>
        </w:rPr>
        <w:t xml:space="preserve">мероприятий по развитию молодежного туризма (с 2016 по 2017 год);</w:t>
      </w:r>
    </w:p>
    <w:p>
      <w:pPr>
        <w:pStyle w:val="0"/>
        <w:jc w:val="both"/>
      </w:pPr>
      <w:r>
        <w:rPr>
          <w:sz w:val="20"/>
        </w:rPr>
        <w:t xml:space="preserve">(в ред. </w:t>
      </w:r>
      <w:hyperlink w:history="0" r:id="rId96"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21.03.2018 N 100-п)</w:t>
      </w:r>
    </w:p>
    <w:p>
      <w:pPr>
        <w:pStyle w:val="0"/>
        <w:spacing w:before="200" w:line-rule="auto"/>
        <w:ind w:firstLine="540"/>
        <w:jc w:val="both"/>
      </w:pPr>
      <w:r>
        <w:rPr>
          <w:sz w:val="20"/>
        </w:rPr>
        <w:t xml:space="preserve">мероприятий, направленных на пропаганду здорового образа жизни;</w:t>
      </w:r>
    </w:p>
    <w:p>
      <w:pPr>
        <w:pStyle w:val="0"/>
        <w:spacing w:before="200" w:line-rule="auto"/>
        <w:ind w:firstLine="540"/>
        <w:jc w:val="both"/>
      </w:pPr>
      <w:r>
        <w:rPr>
          <w:sz w:val="20"/>
        </w:rPr>
        <w:t xml:space="preserve">мероприятий, направленных на развитие экстремальных видов спорта;</w:t>
      </w:r>
    </w:p>
    <w:p>
      <w:pPr>
        <w:pStyle w:val="0"/>
        <w:jc w:val="both"/>
      </w:pPr>
      <w:r>
        <w:rPr>
          <w:sz w:val="20"/>
        </w:rPr>
        <w:t xml:space="preserve">(в ред. </w:t>
      </w:r>
      <w:hyperlink w:history="0" r:id="rId97"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21.03.2018 N 100-п)</w:t>
      </w:r>
    </w:p>
    <w:p>
      <w:pPr>
        <w:pStyle w:val="0"/>
        <w:spacing w:before="200" w:line-rule="auto"/>
        <w:ind w:firstLine="540"/>
        <w:jc w:val="both"/>
      </w:pPr>
      <w:r>
        <w:rPr>
          <w:sz w:val="20"/>
        </w:rPr>
        <w:t xml:space="preserve">научно-практической конференции по вопросам противодействия распространению экстремистской и террористической идеологии в молодежной среде в 2018 году.</w:t>
      </w:r>
    </w:p>
    <w:p>
      <w:pPr>
        <w:pStyle w:val="0"/>
        <w:jc w:val="both"/>
      </w:pPr>
      <w:r>
        <w:rPr>
          <w:sz w:val="20"/>
        </w:rPr>
        <w:t xml:space="preserve">(абзац введен </w:t>
      </w:r>
      <w:hyperlink w:history="0" r:id="rId98"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21.03.2018 N 100-п)</w:t>
      </w:r>
    </w:p>
    <w:p>
      <w:pPr>
        <w:pStyle w:val="0"/>
        <w:spacing w:before="200" w:line-rule="auto"/>
        <w:ind w:firstLine="540"/>
        <w:jc w:val="both"/>
      </w:pPr>
      <w:r>
        <w:rPr>
          <w:sz w:val="20"/>
        </w:rPr>
        <w:t xml:space="preserve">5. Организация и проведение мероприятий, направленных на поддержку системы информационного обеспечения молодежной политики Новосибирской области. 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82800 человек.</w:t>
      </w:r>
    </w:p>
    <w:p>
      <w:pPr>
        <w:pStyle w:val="0"/>
        <w:jc w:val="both"/>
      </w:pPr>
      <w:r>
        <w:rPr>
          <w:sz w:val="20"/>
        </w:rPr>
        <w:t xml:space="preserve">(в ред. </w:t>
      </w:r>
      <w:hyperlink w:history="0" r:id="rId99"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11.04.2016 N 101-п)</w:t>
      </w:r>
    </w:p>
    <w:p>
      <w:pPr>
        <w:pStyle w:val="0"/>
        <w:spacing w:before="200" w:line-rule="auto"/>
        <w:ind w:firstLine="540"/>
        <w:jc w:val="both"/>
      </w:pPr>
      <w:r>
        <w:rPr>
          <w:sz w:val="20"/>
        </w:rPr>
        <w:t xml:space="preserve">В рамках данного направления планируется:</w:t>
      </w:r>
    </w:p>
    <w:p>
      <w:pPr>
        <w:pStyle w:val="0"/>
        <w:spacing w:before="200" w:line-rule="auto"/>
        <w:ind w:firstLine="540"/>
        <w:jc w:val="both"/>
      </w:pPr>
      <w:r>
        <w:rPr>
          <w:sz w:val="20"/>
        </w:rPr>
        <w:t xml:space="preserve">издание газеты "Рост";</w:t>
      </w:r>
    </w:p>
    <w:p>
      <w:pPr>
        <w:pStyle w:val="0"/>
        <w:spacing w:before="200" w:line-rule="auto"/>
        <w:ind w:firstLine="540"/>
        <w:jc w:val="both"/>
      </w:pPr>
      <w:r>
        <w:rPr>
          <w:sz w:val="20"/>
        </w:rPr>
        <w:t xml:space="preserve">организация деятельности интернет-радиостанции;</w:t>
      </w:r>
    </w:p>
    <w:p>
      <w:pPr>
        <w:pStyle w:val="0"/>
        <w:spacing w:before="200" w:line-rule="auto"/>
        <w:ind w:firstLine="540"/>
        <w:jc w:val="both"/>
      </w:pPr>
      <w:r>
        <w:rPr>
          <w:sz w:val="20"/>
        </w:rPr>
        <w:t xml:space="preserve">организация информационного сопровождения сферы молодежной политики;</w:t>
      </w:r>
    </w:p>
    <w:p>
      <w:pPr>
        <w:pStyle w:val="0"/>
        <w:spacing w:before="200" w:line-rule="auto"/>
        <w:ind w:firstLine="540"/>
        <w:jc w:val="both"/>
      </w:pPr>
      <w:r>
        <w:rPr>
          <w:sz w:val="20"/>
        </w:rPr>
        <w:t xml:space="preserve">выпуск и распространение методических материалов, презентационной продукции молодежных проектов;</w:t>
      </w:r>
    </w:p>
    <w:p>
      <w:pPr>
        <w:pStyle w:val="0"/>
        <w:spacing w:before="200" w:line-rule="auto"/>
        <w:ind w:firstLine="540"/>
        <w:jc w:val="both"/>
      </w:pPr>
      <w:r>
        <w:rPr>
          <w:sz w:val="20"/>
        </w:rPr>
        <w:t xml:space="preserve">проведение исследования в сфере государственной молодежной политики Новосибирской области;</w:t>
      </w:r>
    </w:p>
    <w:p>
      <w:pPr>
        <w:pStyle w:val="0"/>
        <w:jc w:val="both"/>
      </w:pPr>
      <w:r>
        <w:rPr>
          <w:sz w:val="20"/>
        </w:rPr>
        <w:t xml:space="preserve">(абзац введен </w:t>
      </w:r>
      <w:hyperlink w:history="0" r:id="rId100" w:tooltip="Постановление Правительства Новосибирской области от 15.02.2017 N 42-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15.02.2017 N 42-п)</w:t>
      </w:r>
    </w:p>
    <w:p>
      <w:pPr>
        <w:pStyle w:val="0"/>
        <w:spacing w:before="200" w:line-rule="auto"/>
        <w:ind w:firstLine="540"/>
        <w:jc w:val="both"/>
      </w:pPr>
      <w:r>
        <w:rPr>
          <w:sz w:val="20"/>
        </w:rPr>
        <w:t xml:space="preserve">проведение межрегиональных и международных мероприятий, направленных на реализацию государственной молодежной политики на территории Новосибирской области (с 2016 по 2017 год).</w:t>
      </w:r>
    </w:p>
    <w:p>
      <w:pPr>
        <w:pStyle w:val="0"/>
        <w:jc w:val="both"/>
      </w:pPr>
      <w:r>
        <w:rPr>
          <w:sz w:val="20"/>
        </w:rPr>
        <w:t xml:space="preserve">(в ред. </w:t>
      </w:r>
      <w:hyperlink w:history="0" r:id="rId101"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21.03.2018 N 100-п)</w:t>
      </w:r>
    </w:p>
    <w:p>
      <w:pPr>
        <w:pStyle w:val="0"/>
        <w:spacing w:before="200" w:line-rule="auto"/>
        <w:ind w:firstLine="540"/>
        <w:jc w:val="both"/>
      </w:pPr>
      <w:r>
        <w:rPr>
          <w:sz w:val="20"/>
        </w:rPr>
        <w:t xml:space="preserve">6. Организация и проведение мероприятий, направленных на поддержку инфраструктурного обеспечения молодежной политики Новосибирской области. Осуществление поддержки инфраструктуры в сфере государственной молодежной политики Новосибирской области.</w:t>
      </w:r>
    </w:p>
    <w:p>
      <w:pPr>
        <w:pStyle w:val="0"/>
        <w:jc w:val="both"/>
      </w:pPr>
      <w:r>
        <w:rPr>
          <w:sz w:val="20"/>
        </w:rPr>
        <w:t xml:space="preserve">(в ред. </w:t>
      </w:r>
      <w:hyperlink w:history="0" r:id="rId102"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11.04.2016 N 101-п)</w:t>
      </w:r>
    </w:p>
    <w:p>
      <w:pPr>
        <w:pStyle w:val="0"/>
        <w:spacing w:before="200" w:line-rule="auto"/>
        <w:ind w:firstLine="540"/>
        <w:jc w:val="both"/>
      </w:pPr>
      <w:r>
        <w:rPr>
          <w:sz w:val="20"/>
        </w:rPr>
        <w:t xml:space="preserve">В рамках данного направления планируется:</w:t>
      </w:r>
    </w:p>
    <w:p>
      <w:pPr>
        <w:pStyle w:val="0"/>
        <w:spacing w:before="200" w:line-rule="auto"/>
        <w:ind w:firstLine="540"/>
        <w:jc w:val="both"/>
      </w:pPr>
      <w:r>
        <w:rPr>
          <w:sz w:val="20"/>
        </w:rPr>
        <w:t xml:space="preserve">обеспечение деятельности молодежного туристского комплекса "Ареал";</w:t>
      </w:r>
    </w:p>
    <w:p>
      <w:pPr>
        <w:pStyle w:val="0"/>
        <w:spacing w:before="200" w:line-rule="auto"/>
        <w:ind w:firstLine="540"/>
        <w:jc w:val="both"/>
      </w:pPr>
      <w:r>
        <w:rPr>
          <w:sz w:val="20"/>
        </w:rPr>
        <w:t xml:space="preserve">поддержка инфраструктурного обеспечения деятельности учреждений, подведомственных министерству региональной политики Новосибирской области, в 2016 году.</w:t>
      </w:r>
    </w:p>
    <w:p>
      <w:pPr>
        <w:pStyle w:val="0"/>
        <w:jc w:val="both"/>
      </w:pPr>
      <w:r>
        <w:rPr>
          <w:sz w:val="20"/>
        </w:rPr>
        <w:t xml:space="preserve">(в ред. постановлений Правительства Новосибирской области от 11.04.2016 </w:t>
      </w:r>
      <w:hyperlink w:history="0" r:id="rId103"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N 101-п</w:t>
        </w:r>
      </w:hyperlink>
      <w:r>
        <w:rPr>
          <w:sz w:val="20"/>
        </w:rPr>
        <w:t xml:space="preserve">, от 21.03.2018 </w:t>
      </w:r>
      <w:hyperlink w:history="0" r:id="rId104" w:tooltip="Постановление Правительства Новосибирской области от 21.03.2018 N 100-п &quot;О внесении изменений в постановление Правительства Новосибирской области от 13.07.2015 N 263-п&quot; {КонсультантПлюс}">
        <w:r>
          <w:rPr>
            <w:sz w:val="20"/>
            <w:color w:val="0000ff"/>
          </w:rPr>
          <w:t xml:space="preserve">N 100-п</w:t>
        </w:r>
      </w:hyperlink>
      <w:r>
        <w:rPr>
          <w:sz w:val="20"/>
        </w:rPr>
        <w:t xml:space="preserve">, от 21.08.2018 </w:t>
      </w:r>
      <w:hyperlink w:history="0" r:id="rId105"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rPr>
        <w:t xml:space="preserve">)</w:t>
      </w:r>
    </w:p>
    <w:p>
      <w:pPr>
        <w:pStyle w:val="0"/>
        <w:spacing w:before="200" w:line-rule="auto"/>
        <w:ind w:firstLine="540"/>
        <w:jc w:val="both"/>
      </w:pPr>
      <w:r>
        <w:rPr>
          <w:sz w:val="20"/>
        </w:rPr>
        <w:t xml:space="preserve">7. Организация и проведение мероприятий, направленных на методическое и кадровое обеспечение молодежной политики Новосибирской области. 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14990 человек.</w:t>
      </w:r>
    </w:p>
    <w:p>
      <w:pPr>
        <w:pStyle w:val="0"/>
        <w:jc w:val="both"/>
      </w:pPr>
      <w:r>
        <w:rPr>
          <w:sz w:val="20"/>
        </w:rPr>
        <w:t xml:space="preserve">(в ред. постановлений Правительства Новосибирской области от 11.04.2016 </w:t>
      </w:r>
      <w:hyperlink w:history="0" r:id="rId106"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N 101-п</w:t>
        </w:r>
      </w:hyperlink>
      <w:r>
        <w:rPr>
          <w:sz w:val="20"/>
        </w:rPr>
        <w:t xml:space="preserve">, от 27.12.2016 </w:t>
      </w:r>
      <w:hyperlink w:history="0" r:id="rId107"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w:t>
      </w:r>
    </w:p>
    <w:p>
      <w:pPr>
        <w:pStyle w:val="0"/>
        <w:spacing w:before="200" w:line-rule="auto"/>
        <w:ind w:firstLine="540"/>
        <w:jc w:val="both"/>
      </w:pPr>
      <w:r>
        <w:rPr>
          <w:sz w:val="20"/>
        </w:rPr>
        <w:t xml:space="preserve">В рамках данного направления планируется:</w:t>
      </w:r>
    </w:p>
    <w:p>
      <w:pPr>
        <w:pStyle w:val="0"/>
        <w:spacing w:before="200" w:line-rule="auto"/>
        <w:ind w:firstLine="540"/>
        <w:jc w:val="both"/>
      </w:pPr>
      <w:r>
        <w:rPr>
          <w:sz w:val="20"/>
        </w:rPr>
        <w:t xml:space="preserve">оказание содействия в работе органов по делам молодежи в муниципальных районах и городских округах Новосибирской области в межрайонном формате;</w:t>
      </w:r>
    </w:p>
    <w:p>
      <w:pPr>
        <w:pStyle w:val="0"/>
        <w:spacing w:before="200" w:line-rule="auto"/>
        <w:ind w:firstLine="540"/>
        <w:jc w:val="both"/>
      </w:pPr>
      <w:r>
        <w:rPr>
          <w:sz w:val="20"/>
        </w:rPr>
        <w:t xml:space="preserve">организация и проведение регионального молодежного форума;</w:t>
      </w:r>
    </w:p>
    <w:p>
      <w:pPr>
        <w:pStyle w:val="0"/>
        <w:spacing w:before="200" w:line-rule="auto"/>
        <w:ind w:firstLine="540"/>
        <w:jc w:val="both"/>
      </w:pPr>
      <w:r>
        <w:rPr>
          <w:sz w:val="20"/>
        </w:rPr>
        <w:t xml:space="preserve">обеспечение участия делегаций Новосибирской области во всероссийских и международных мероприятиях.</w:t>
      </w:r>
    </w:p>
    <w:p>
      <w:pPr>
        <w:pStyle w:val="0"/>
        <w:spacing w:before="200" w:line-rule="auto"/>
        <w:ind w:firstLine="540"/>
        <w:jc w:val="both"/>
      </w:pPr>
      <w:r>
        <w:rPr>
          <w:sz w:val="20"/>
        </w:rPr>
        <w:t xml:space="preserve">В рамках каждого мероприятия государственной программы предполагается проводить опрос участников с целью получения информации об уровне удовлетворенности качеством предоставленных услуг (работ).</w:t>
      </w:r>
    </w:p>
    <w:p>
      <w:pPr>
        <w:pStyle w:val="0"/>
        <w:spacing w:before="200" w:line-rule="auto"/>
        <w:ind w:firstLine="540"/>
        <w:jc w:val="both"/>
      </w:pPr>
      <w:r>
        <w:rPr>
          <w:sz w:val="20"/>
        </w:rPr>
        <w:t xml:space="preserve">В рамках реализации государственной программы осуществляется мониторинг деятельности органов по делам молодежи в муниципальных районах и городских округах Новосибирской области, а также эффективности реализации муниципальных программ по развитию молодежной политики и государственных программ Новосибирской области по осуществлению мер государственной поддержки молодежи, молодых семей, молодежных организаций. Это достигается посредством ведения рейтинговой системы участия органов по делам молодежи в реализации государственной молодежной политики, которая включает в себя сбор информации по следующим разделам: мероприятия, инфраструктура, нормативное правовое и методическое обеспечение молодежной политики.</w:t>
      </w:r>
    </w:p>
    <w:p>
      <w:pPr>
        <w:pStyle w:val="0"/>
        <w:jc w:val="both"/>
      </w:pPr>
      <w:r>
        <w:rPr>
          <w:sz w:val="20"/>
        </w:rPr>
        <w:t xml:space="preserve">(абзац введен </w:t>
      </w:r>
      <w:hyperlink w:history="0" r:id="rId108"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Перечень основных мероприятий государственной программы, реализуемых с 2016 по 2018 годы, представлен в </w:t>
      </w:r>
      <w:hyperlink w:history="0" w:anchor="P749" w:tooltip="ОСНОВНЫЕ МЕРОПРИЯТИЯ">
        <w:r>
          <w:rPr>
            <w:sz w:val="20"/>
            <w:color w:val="0000ff"/>
          </w:rPr>
          <w:t xml:space="preserve">приложении N 2</w:t>
        </w:r>
      </w:hyperlink>
      <w:r>
        <w:rPr>
          <w:sz w:val="20"/>
        </w:rPr>
        <w:t xml:space="preserve"> к государственной программе.</w:t>
      </w:r>
    </w:p>
    <w:p>
      <w:pPr>
        <w:pStyle w:val="0"/>
        <w:jc w:val="both"/>
      </w:pPr>
      <w:r>
        <w:rPr>
          <w:sz w:val="20"/>
        </w:rPr>
        <w:t xml:space="preserve">(абзац введен </w:t>
      </w:r>
      <w:hyperlink w:history="0" r:id="rId109"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28.05.2019 N 205-п)</w:t>
      </w:r>
    </w:p>
    <w:p>
      <w:pPr>
        <w:pStyle w:val="0"/>
        <w:ind w:firstLine="540"/>
        <w:jc w:val="both"/>
      </w:pPr>
      <w:r>
        <w:rPr>
          <w:sz w:val="20"/>
        </w:rPr>
      </w:r>
    </w:p>
    <w:p>
      <w:pPr>
        <w:pStyle w:val="2"/>
        <w:outlineLvl w:val="2"/>
        <w:jc w:val="center"/>
      </w:pPr>
      <w:r>
        <w:rPr>
          <w:sz w:val="20"/>
        </w:rPr>
        <w:t xml:space="preserve">Краткая характеристика мероприятий государственной</w:t>
      </w:r>
    </w:p>
    <w:p>
      <w:pPr>
        <w:pStyle w:val="2"/>
        <w:jc w:val="center"/>
      </w:pPr>
      <w:r>
        <w:rPr>
          <w:sz w:val="20"/>
        </w:rPr>
        <w:t xml:space="preserve">программы, реализуемых с 2019 года</w:t>
      </w:r>
    </w:p>
    <w:p>
      <w:pPr>
        <w:pStyle w:val="0"/>
        <w:jc w:val="center"/>
      </w:pPr>
      <w:r>
        <w:rPr>
          <w:sz w:val="20"/>
        </w:rPr>
        <w:t xml:space="preserve">(введен </w:t>
      </w:r>
      <w:hyperlink w:history="0" r:id="rId110"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w:t>
      </w:r>
    </w:p>
    <w:p>
      <w:pPr>
        <w:pStyle w:val="0"/>
        <w:jc w:val="center"/>
      </w:pPr>
      <w:r>
        <w:rPr>
          <w:sz w:val="20"/>
        </w:rPr>
        <w:t xml:space="preserve">от 28.05.2019 N 205-п)</w:t>
      </w:r>
    </w:p>
    <w:p>
      <w:pPr>
        <w:pStyle w:val="0"/>
        <w:ind w:firstLine="540"/>
        <w:jc w:val="both"/>
      </w:pPr>
      <w:r>
        <w:rPr>
          <w:sz w:val="20"/>
        </w:rPr>
      </w:r>
    </w:p>
    <w:p>
      <w:pPr>
        <w:pStyle w:val="0"/>
        <w:ind w:firstLine="540"/>
        <w:jc w:val="both"/>
      </w:pPr>
      <w:r>
        <w:rPr>
          <w:sz w:val="20"/>
        </w:rPr>
        <w:t xml:space="preserve">К основным программным мероприятиям, запланированным к реализации в рамках государственной программы с 2019 года, относятся:</w:t>
      </w:r>
    </w:p>
    <w:p>
      <w:pPr>
        <w:pStyle w:val="0"/>
        <w:spacing w:before="200" w:line-rule="auto"/>
        <w:ind w:firstLine="540"/>
        <w:jc w:val="both"/>
      </w:pPr>
      <w:r>
        <w:rPr>
          <w:sz w:val="20"/>
        </w:rPr>
        <w:t xml:space="preserve">1.1. Организация и проведение мероприятий, направленных на развитие молодежного общественно-политического движения на территории Новосибирской области. Планируется развитие молодежного общественно-политического движения на территории Новосибирской области с ежегодным охватом молодежи не менее 13895 человек. В рамках данного направления планируется организация и проведение:</w:t>
      </w:r>
    </w:p>
    <w:p>
      <w:pPr>
        <w:pStyle w:val="0"/>
        <w:jc w:val="both"/>
      </w:pPr>
      <w:r>
        <w:rPr>
          <w:sz w:val="20"/>
        </w:rPr>
        <w:t xml:space="preserve">(в ред. постановлений Правительства Новосибирской области от 26.05.2020 </w:t>
      </w:r>
      <w:hyperlink w:history="0" r:id="rId111"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N 189-п</w:t>
        </w:r>
      </w:hyperlink>
      <w:r>
        <w:rPr>
          <w:sz w:val="20"/>
        </w:rPr>
        <w:t xml:space="preserve">, от 27.04.2021 </w:t>
      </w:r>
      <w:hyperlink w:history="0" r:id="rId112"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N 146-п</w:t>
        </w:r>
      </w:hyperlink>
      <w:r>
        <w:rPr>
          <w:sz w:val="20"/>
        </w:rPr>
        <w:t xml:space="preserve">)</w:t>
      </w:r>
    </w:p>
    <w:p>
      <w:pPr>
        <w:pStyle w:val="0"/>
        <w:spacing w:before="200" w:line-rule="auto"/>
        <w:ind w:firstLine="540"/>
        <w:jc w:val="both"/>
      </w:pPr>
      <w:r>
        <w:rPr>
          <w:sz w:val="20"/>
        </w:rPr>
        <w:t xml:space="preserve">мероприятий, направленных на развитие общественного молодежного движения на территории Новосибирской области;</w:t>
      </w:r>
    </w:p>
    <w:p>
      <w:pPr>
        <w:pStyle w:val="0"/>
        <w:spacing w:before="200" w:line-rule="auto"/>
        <w:ind w:firstLine="540"/>
        <w:jc w:val="both"/>
      </w:pPr>
      <w:r>
        <w:rPr>
          <w:sz w:val="20"/>
        </w:rPr>
        <w:t xml:space="preserve">мероприятий, направленных на развитие органов молодежного самоуправления;</w:t>
      </w:r>
    </w:p>
    <w:p>
      <w:pPr>
        <w:pStyle w:val="0"/>
        <w:spacing w:before="200" w:line-rule="auto"/>
        <w:ind w:firstLine="540"/>
        <w:jc w:val="both"/>
      </w:pPr>
      <w:r>
        <w:rPr>
          <w:sz w:val="20"/>
        </w:rPr>
        <w:t xml:space="preserve">мероприятий, направленных на формирование ученического самоуправления;</w:t>
      </w:r>
    </w:p>
    <w:p>
      <w:pPr>
        <w:pStyle w:val="0"/>
        <w:spacing w:before="200" w:line-rule="auto"/>
        <w:ind w:firstLine="540"/>
        <w:jc w:val="both"/>
      </w:pPr>
      <w:r>
        <w:rPr>
          <w:sz w:val="20"/>
        </w:rPr>
        <w:t xml:space="preserve">мероприятий, направленных на формирование сообществ среди работающей молодежи.</w:t>
      </w:r>
    </w:p>
    <w:p>
      <w:pPr>
        <w:pStyle w:val="0"/>
        <w:spacing w:before="200" w:line-rule="auto"/>
        <w:ind w:firstLine="540"/>
        <w:jc w:val="both"/>
      </w:pPr>
      <w:r>
        <w:rPr>
          <w:sz w:val="20"/>
        </w:rPr>
        <w:t xml:space="preserve">1.2. Организация и проведение мероприятий, направленных на популяризацию трудового воспитания молодежи на территории Новосибирской области. Мероприятия направлены на поддержку, развитие и популяризацию движения "Студенческие отряды", профессиональную ориентацию молодежи Новосибирской области. Планируется участие не менее 20365 человек ежегодно с 2023 года.</w:t>
      </w:r>
    </w:p>
    <w:p>
      <w:pPr>
        <w:pStyle w:val="0"/>
        <w:jc w:val="both"/>
      </w:pPr>
      <w:r>
        <w:rPr>
          <w:sz w:val="20"/>
        </w:rPr>
        <w:t xml:space="preserve">(в ред. </w:t>
      </w:r>
      <w:hyperlink w:history="0" r:id="rId113"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29.03.2023 N 134-п)</w:t>
      </w:r>
    </w:p>
    <w:p>
      <w:pPr>
        <w:pStyle w:val="0"/>
        <w:spacing w:before="200" w:line-rule="auto"/>
        <w:ind w:firstLine="540"/>
        <w:jc w:val="both"/>
      </w:pPr>
      <w:r>
        <w:rPr>
          <w:sz w:val="20"/>
        </w:rPr>
        <w:t xml:space="preserve">В рамках данного направления планируется:</w:t>
      </w:r>
    </w:p>
    <w:p>
      <w:pPr>
        <w:pStyle w:val="0"/>
        <w:spacing w:before="200" w:line-rule="auto"/>
        <w:ind w:firstLine="540"/>
        <w:jc w:val="both"/>
      </w:pPr>
      <w:r>
        <w:rPr>
          <w:sz w:val="20"/>
        </w:rPr>
        <w:t xml:space="preserve">организация и проведение мероприятий, направленных на развитие движения "Студенческие отряды".</w:t>
      </w:r>
    </w:p>
    <w:p>
      <w:pPr>
        <w:pStyle w:val="0"/>
        <w:spacing w:before="200" w:line-rule="auto"/>
        <w:ind w:firstLine="540"/>
        <w:jc w:val="both"/>
      </w:pPr>
      <w:r>
        <w:rPr>
          <w:sz w:val="20"/>
        </w:rPr>
        <w:t xml:space="preserve">1.3.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 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81100 человек ежегодно.</w:t>
      </w:r>
    </w:p>
    <w:p>
      <w:pPr>
        <w:pStyle w:val="0"/>
        <w:jc w:val="both"/>
      </w:pPr>
      <w:r>
        <w:rPr>
          <w:sz w:val="20"/>
        </w:rPr>
        <w:t xml:space="preserve">(в ред. постановлений Правительства Новосибирской области от 26.05.2020 </w:t>
      </w:r>
      <w:hyperlink w:history="0" r:id="rId114"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N 189-п</w:t>
        </w:r>
      </w:hyperlink>
      <w:r>
        <w:rPr>
          <w:sz w:val="20"/>
        </w:rPr>
        <w:t xml:space="preserve">, от 27.04.2021 </w:t>
      </w:r>
      <w:hyperlink w:history="0" r:id="rId115"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N 146-п</w:t>
        </w:r>
      </w:hyperlink>
      <w:r>
        <w:rPr>
          <w:sz w:val="20"/>
        </w:rPr>
        <w:t xml:space="preserve">)</w:t>
      </w:r>
    </w:p>
    <w:p>
      <w:pPr>
        <w:pStyle w:val="0"/>
        <w:spacing w:before="200" w:line-rule="auto"/>
        <w:ind w:firstLine="540"/>
        <w:jc w:val="both"/>
      </w:pPr>
      <w:r>
        <w:rPr>
          <w:sz w:val="20"/>
        </w:rPr>
        <w:t xml:space="preserve">В рамках данного направления планируется организация и проведение:</w:t>
      </w:r>
    </w:p>
    <w:p>
      <w:pPr>
        <w:pStyle w:val="0"/>
        <w:spacing w:before="200" w:line-rule="auto"/>
        <w:ind w:firstLine="540"/>
        <w:jc w:val="both"/>
      </w:pPr>
      <w:r>
        <w:rPr>
          <w:sz w:val="20"/>
        </w:rPr>
        <w:t xml:space="preserve">мероприятий, направленных на обеспечение культурного, интеллектуального и творческого развития молодежи на территории Новосибирской области;</w:t>
      </w:r>
    </w:p>
    <w:p>
      <w:pPr>
        <w:pStyle w:val="0"/>
        <w:spacing w:before="200" w:line-rule="auto"/>
        <w:ind w:firstLine="540"/>
        <w:jc w:val="both"/>
      </w:pPr>
      <w:r>
        <w:rPr>
          <w:sz w:val="20"/>
        </w:rPr>
        <w:t xml:space="preserve">мероприятий, направленных на формирование и развитие местных молодежных сообществ в муниципальных образованиях Новосибирской области;</w:t>
      </w:r>
    </w:p>
    <w:p>
      <w:pPr>
        <w:pStyle w:val="0"/>
        <w:spacing w:before="200" w:line-rule="auto"/>
        <w:ind w:firstLine="540"/>
        <w:jc w:val="both"/>
      </w:pPr>
      <w:r>
        <w:rPr>
          <w:sz w:val="20"/>
        </w:rPr>
        <w:t xml:space="preserve">дополнительных общеобразовательных (общеразвивающих) программ;</w:t>
      </w:r>
    </w:p>
    <w:p>
      <w:pPr>
        <w:pStyle w:val="0"/>
        <w:jc w:val="both"/>
      </w:pPr>
      <w:r>
        <w:rPr>
          <w:sz w:val="20"/>
        </w:rPr>
        <w:t xml:space="preserve">(абзац введен </w:t>
      </w:r>
      <w:hyperlink w:history="0" r:id="rId116"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мероприятий по развитию и популяризации движения КВН в Новосибирской области;</w:t>
      </w:r>
    </w:p>
    <w:p>
      <w:pPr>
        <w:pStyle w:val="0"/>
        <w:spacing w:before="200" w:line-rule="auto"/>
        <w:ind w:firstLine="540"/>
        <w:jc w:val="both"/>
      </w:pPr>
      <w:r>
        <w:rPr>
          <w:sz w:val="20"/>
        </w:rPr>
        <w:t xml:space="preserve">мероприятий, направленных на формирование сообществ молодых семей Новосибирской области;</w:t>
      </w:r>
    </w:p>
    <w:p>
      <w:pPr>
        <w:pStyle w:val="0"/>
        <w:spacing w:before="200" w:line-rule="auto"/>
        <w:ind w:firstLine="540"/>
        <w:jc w:val="both"/>
      </w:pPr>
      <w:r>
        <w:rPr>
          <w:sz w:val="20"/>
        </w:rPr>
        <w:t xml:space="preserve">мероприятий, направленных на формирование российской идентичности молодежи;</w:t>
      </w:r>
    </w:p>
    <w:p>
      <w:pPr>
        <w:pStyle w:val="0"/>
        <w:spacing w:before="200" w:line-rule="auto"/>
        <w:ind w:firstLine="540"/>
        <w:jc w:val="both"/>
      </w:pPr>
      <w:r>
        <w:rPr>
          <w:sz w:val="20"/>
        </w:rPr>
        <w:t xml:space="preserve">абзац утратил силу. - </w:t>
      </w:r>
      <w:hyperlink w:history="0" r:id="rId117"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1.4.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Планируется популяризация молодежных стриткультур, молодежного туризма как альтернативных форм досуга. Организация и проведение мероприятий, направленных на пропаганду здорового образа жизни среди молодежи. Ежегодное количество участников - не менее 8750 человек.</w:t>
      </w:r>
    </w:p>
    <w:p>
      <w:pPr>
        <w:pStyle w:val="0"/>
        <w:spacing w:before="200" w:line-rule="auto"/>
        <w:ind w:firstLine="540"/>
        <w:jc w:val="both"/>
      </w:pPr>
      <w:r>
        <w:rPr>
          <w:sz w:val="20"/>
        </w:rPr>
        <w:t xml:space="preserve">В рамках данного направления планируется организация и проведение:</w:t>
      </w:r>
    </w:p>
    <w:p>
      <w:pPr>
        <w:pStyle w:val="0"/>
        <w:spacing w:before="200" w:line-rule="auto"/>
        <w:ind w:firstLine="540"/>
        <w:jc w:val="both"/>
      </w:pPr>
      <w:r>
        <w:rPr>
          <w:sz w:val="20"/>
        </w:rPr>
        <w:t xml:space="preserve">мероприятий, направленных на пропаганду здорового образа жизни;</w:t>
      </w:r>
    </w:p>
    <w:p>
      <w:pPr>
        <w:pStyle w:val="0"/>
        <w:spacing w:before="200" w:line-rule="auto"/>
        <w:ind w:firstLine="540"/>
        <w:jc w:val="both"/>
      </w:pPr>
      <w:r>
        <w:rPr>
          <w:sz w:val="20"/>
        </w:rPr>
        <w:t xml:space="preserve">мероприятий, направленных на развитие экстремальных видов спорта;</w:t>
      </w:r>
    </w:p>
    <w:p>
      <w:pPr>
        <w:pStyle w:val="0"/>
        <w:spacing w:before="200" w:line-rule="auto"/>
        <w:ind w:firstLine="540"/>
        <w:jc w:val="both"/>
      </w:pPr>
      <w:r>
        <w:rPr>
          <w:sz w:val="20"/>
        </w:rPr>
        <w:t xml:space="preserve">мероприятий, направленных на противодействие распространению экстремистской и террористической идеологии в молодежной среде.</w:t>
      </w:r>
    </w:p>
    <w:p>
      <w:pPr>
        <w:pStyle w:val="0"/>
        <w:spacing w:before="200" w:line-rule="auto"/>
        <w:ind w:firstLine="540"/>
        <w:jc w:val="both"/>
      </w:pPr>
      <w:r>
        <w:rPr>
          <w:sz w:val="20"/>
        </w:rPr>
        <w:t xml:space="preserve">1.5. Реализация регионального проекта "Социальная активность".</w:t>
      </w:r>
    </w:p>
    <w:p>
      <w:pPr>
        <w:pStyle w:val="0"/>
        <w:spacing w:before="200" w:line-rule="auto"/>
        <w:ind w:firstLine="540"/>
        <w:jc w:val="both"/>
      </w:pPr>
      <w:r>
        <w:rPr>
          <w:sz w:val="20"/>
        </w:rPr>
        <w:t xml:space="preserve">Региональный проект "Социальная активность" реализуется в Новосибирской области с целью развития добровольчества (волонтерства), развития талантов и способностей у детей и молодежи, в том числе студентов, путем поддержки общественных инициатив и проектов.</w:t>
      </w:r>
    </w:p>
    <w:p>
      <w:pPr>
        <w:pStyle w:val="0"/>
        <w:spacing w:before="200" w:line-rule="auto"/>
        <w:ind w:firstLine="540"/>
        <w:jc w:val="both"/>
      </w:pPr>
      <w:r>
        <w:rPr>
          <w:sz w:val="20"/>
        </w:rPr>
        <w:t xml:space="preserve">В рамках реализации данного регионального проекта будет обеспечено создание и функционирование одного регионального ресурсного центра добровольчества, деятельность которого включает в себя:</w:t>
      </w:r>
    </w:p>
    <w:p>
      <w:pPr>
        <w:pStyle w:val="0"/>
        <w:spacing w:before="200" w:line-rule="auto"/>
        <w:ind w:firstLine="540"/>
        <w:jc w:val="both"/>
      </w:pPr>
      <w:r>
        <w:rPr>
          <w:sz w:val="20"/>
        </w:rPr>
        <w:t xml:space="preserve">проведение исследований, мониторингов, разработку аналитических материалов с целью выявления проблем, запросов, потребностей в сфере развития добровольчества;</w:t>
      </w:r>
    </w:p>
    <w:p>
      <w:pPr>
        <w:pStyle w:val="0"/>
        <w:spacing w:before="200" w:line-rule="auto"/>
        <w:ind w:firstLine="540"/>
        <w:jc w:val="both"/>
      </w:pPr>
      <w:r>
        <w:rPr>
          <w:sz w:val="20"/>
        </w:rPr>
        <w:t xml:space="preserve">повышение компетенции участников добровольческой деятельности;</w:t>
      </w:r>
    </w:p>
    <w:p>
      <w:pPr>
        <w:pStyle w:val="0"/>
        <w:spacing w:before="200" w:line-rule="auto"/>
        <w:ind w:firstLine="540"/>
        <w:jc w:val="both"/>
      </w:pPr>
      <w:r>
        <w:rPr>
          <w:sz w:val="20"/>
        </w:rPr>
        <w:t xml:space="preserve">организацию взаимодействия между волонтерами, волонтерскими организациями и представителями государственных органов власти, коммерческими, некоммерческими организациями, общественными советами, местными сообществами и иными заинтересованными лицами;</w:t>
      </w:r>
    </w:p>
    <w:p>
      <w:pPr>
        <w:pStyle w:val="0"/>
        <w:spacing w:before="200" w:line-rule="auto"/>
        <w:ind w:firstLine="540"/>
        <w:jc w:val="both"/>
      </w:pPr>
      <w:r>
        <w:rPr>
          <w:sz w:val="20"/>
        </w:rPr>
        <w:t xml:space="preserve">информационную поддержку волонтерских организаций;</w:t>
      </w:r>
    </w:p>
    <w:p>
      <w:pPr>
        <w:pStyle w:val="0"/>
        <w:spacing w:before="200" w:line-rule="auto"/>
        <w:ind w:firstLine="540"/>
        <w:jc w:val="both"/>
      </w:pPr>
      <w:r>
        <w:rPr>
          <w:sz w:val="20"/>
        </w:rPr>
        <w:t xml:space="preserve">популяризацию добровольческого движения, создание механизмов вовлечению граждан в волонтерскую деятельность;</w:t>
      </w:r>
    </w:p>
    <w:p>
      <w:pPr>
        <w:pStyle w:val="0"/>
        <w:spacing w:before="200" w:line-rule="auto"/>
        <w:ind w:firstLine="540"/>
        <w:jc w:val="both"/>
      </w:pPr>
      <w:r>
        <w:rPr>
          <w:sz w:val="20"/>
        </w:rPr>
        <w:t xml:space="preserve">оказание консультаций и иных видов услуг, направленных на решение задач волонтеров и волонтерских организаций.</w:t>
      </w:r>
    </w:p>
    <w:p>
      <w:pPr>
        <w:pStyle w:val="0"/>
        <w:spacing w:before="200" w:line-rule="auto"/>
        <w:ind w:firstLine="540"/>
        <w:jc w:val="both"/>
      </w:pPr>
      <w:r>
        <w:rPr>
          <w:sz w:val="20"/>
        </w:rPr>
        <w:t xml:space="preserve">В рамках мероприятия предусмотрено предоставление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w:t>
      </w:r>
    </w:p>
    <w:p>
      <w:pPr>
        <w:pStyle w:val="0"/>
        <w:jc w:val="both"/>
      </w:pPr>
      <w:r>
        <w:rPr>
          <w:sz w:val="20"/>
        </w:rPr>
        <w:t xml:space="preserve">(абзац введен </w:t>
      </w:r>
      <w:hyperlink w:history="0" r:id="rId118"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29.03.2023 N 134-п)</w:t>
      </w:r>
    </w:p>
    <w:p>
      <w:pPr>
        <w:pStyle w:val="0"/>
        <w:spacing w:before="200" w:line-rule="auto"/>
        <w:ind w:firstLine="540"/>
        <w:jc w:val="both"/>
      </w:pPr>
      <w:hyperlink w:history="0" w:anchor="P2312" w:tooltip="ПОРЯДОК">
        <w:r>
          <w:rPr>
            <w:sz w:val="20"/>
            <w:color w:val="0000ff"/>
          </w:rPr>
          <w:t xml:space="preserve">Порядок</w:t>
        </w:r>
      </w:hyperlink>
      <w:r>
        <w:rPr>
          <w:sz w:val="20"/>
        </w:rPr>
        <w:t xml:space="preserve"> предоставления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 изложен в приложении N 2 к постановлению об утверждении настоящей государственной программы "Порядок предоставления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w:t>
      </w:r>
    </w:p>
    <w:p>
      <w:pPr>
        <w:pStyle w:val="0"/>
        <w:jc w:val="both"/>
      </w:pPr>
      <w:r>
        <w:rPr>
          <w:sz w:val="20"/>
        </w:rPr>
        <w:t xml:space="preserve">(абзац введен </w:t>
      </w:r>
      <w:hyperlink w:history="0" r:id="rId119"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29.03.2023 N 134-п)</w:t>
      </w:r>
    </w:p>
    <w:p>
      <w:pPr>
        <w:pStyle w:val="0"/>
        <w:spacing w:before="200" w:line-rule="auto"/>
        <w:ind w:firstLine="540"/>
        <w:jc w:val="both"/>
      </w:pPr>
      <w:r>
        <w:rPr>
          <w:sz w:val="20"/>
        </w:rPr>
        <w:t xml:space="preserve">1.6. Реализация регионального проекта "Популяризация предпринимательства" (в 2019 году).</w:t>
      </w:r>
    </w:p>
    <w:p>
      <w:pPr>
        <w:pStyle w:val="0"/>
        <w:jc w:val="both"/>
      </w:pPr>
      <w:r>
        <w:rPr>
          <w:sz w:val="20"/>
        </w:rPr>
        <w:t xml:space="preserve">(в ред. </w:t>
      </w:r>
      <w:hyperlink w:history="0" r:id="rId120"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26.05.2020 N 189-п)</w:t>
      </w:r>
    </w:p>
    <w:p>
      <w:pPr>
        <w:pStyle w:val="0"/>
        <w:spacing w:before="200" w:line-rule="auto"/>
        <w:ind w:firstLine="540"/>
        <w:jc w:val="both"/>
      </w:pPr>
      <w:r>
        <w:rPr>
          <w:sz w:val="20"/>
        </w:rPr>
        <w:t xml:space="preserve">Данный региональный проект реализуется с целью формирования положительного образа предпринимательства среди населения Новосибирской области, а также вовлечения различных категорий граждан, включая самозанятых граждан, в сектор малого и среднего предпринимательства.</w:t>
      </w:r>
    </w:p>
    <w:p>
      <w:pPr>
        <w:pStyle w:val="0"/>
        <w:spacing w:before="200" w:line-rule="auto"/>
        <w:ind w:firstLine="540"/>
        <w:jc w:val="both"/>
      </w:pPr>
      <w:r>
        <w:rPr>
          <w:sz w:val="20"/>
        </w:rPr>
        <w:t xml:space="preserve">Для достижения цели регионального проекта "Популяризация предпринимательства" в рамках государственной программы будет организован и проведен комплекс мероприятий, направленных на реализацию комплексных программ по вовлечению физических лиц в предпринимательскую деятельность и содействию созданию собственного бизнеса, включая поддержку создания сообществ начинающих предпринимателей и развитие института наставничества.</w:t>
      </w:r>
    </w:p>
    <w:p>
      <w:pPr>
        <w:pStyle w:val="0"/>
        <w:spacing w:before="200" w:line-rule="auto"/>
        <w:ind w:firstLine="540"/>
        <w:jc w:val="both"/>
      </w:pPr>
      <w:r>
        <w:rPr>
          <w:sz w:val="20"/>
        </w:rPr>
        <w:t xml:space="preserve">Региональный проект реализуется также министерством промышленности, торговли и развития предпринимательства Новосибирской области в рамках государственной программы Новосибирской области "Развитие субъектов малого и среднего предпринимательства в Новосибирской области".</w:t>
      </w:r>
    </w:p>
    <w:p>
      <w:pPr>
        <w:pStyle w:val="0"/>
        <w:spacing w:before="200" w:line-rule="auto"/>
        <w:ind w:firstLine="540"/>
        <w:jc w:val="both"/>
      </w:pPr>
      <w:r>
        <w:rPr>
          <w:sz w:val="20"/>
        </w:rPr>
        <w:t xml:space="preserve">1.7. "Региональный проект "Развитие системы поддержки молодежи ("Молодежь России")". В рамках регионального проекта будет осуществляться формирование и обеспечение участия делегаций Новосибирской области в образовательных заездах для молодых деятелей культуры и искусств "Таврида" в составе арт-кластера "Таврида". Планируется участие не менее 72 человек ежегодно с 2023 года.</w:t>
      </w:r>
    </w:p>
    <w:p>
      <w:pPr>
        <w:pStyle w:val="0"/>
        <w:jc w:val="both"/>
      </w:pPr>
      <w:r>
        <w:rPr>
          <w:sz w:val="20"/>
        </w:rPr>
        <w:t xml:space="preserve">(п. 1.7 введен </w:t>
      </w:r>
      <w:hyperlink w:history="0" r:id="rId121"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29.03.2023 N 134-п)</w:t>
      </w:r>
    </w:p>
    <w:p>
      <w:pPr>
        <w:pStyle w:val="0"/>
        <w:spacing w:before="200" w:line-rule="auto"/>
        <w:ind w:firstLine="540"/>
        <w:jc w:val="both"/>
      </w:pPr>
      <w:r>
        <w:rPr>
          <w:sz w:val="20"/>
        </w:rPr>
        <w:t xml:space="preserve">2.1. Организация и проведение мероприятий, направленных на поддержку системы информационного обеспечения молодежной политики Новосибирской области. 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91300 человек.</w:t>
      </w:r>
    </w:p>
    <w:p>
      <w:pPr>
        <w:pStyle w:val="0"/>
        <w:spacing w:before="200" w:line-rule="auto"/>
        <w:ind w:firstLine="540"/>
        <w:jc w:val="both"/>
      </w:pPr>
      <w:r>
        <w:rPr>
          <w:sz w:val="20"/>
        </w:rPr>
        <w:t xml:space="preserve">В рамках данного направления планируется:</w:t>
      </w:r>
    </w:p>
    <w:p>
      <w:pPr>
        <w:pStyle w:val="0"/>
        <w:spacing w:before="200" w:line-rule="auto"/>
        <w:ind w:firstLine="540"/>
        <w:jc w:val="both"/>
      </w:pPr>
      <w:r>
        <w:rPr>
          <w:sz w:val="20"/>
        </w:rPr>
        <w:t xml:space="preserve">издание газеты "Рост" (с 2019 по 2020 год);</w:t>
      </w:r>
    </w:p>
    <w:p>
      <w:pPr>
        <w:pStyle w:val="0"/>
        <w:jc w:val="both"/>
      </w:pPr>
      <w:r>
        <w:rPr>
          <w:sz w:val="20"/>
        </w:rPr>
        <w:t xml:space="preserve">(в ред. </w:t>
      </w:r>
      <w:hyperlink w:history="0" r:id="rId122"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организация деятельности сайта rost.media;</w:t>
      </w:r>
    </w:p>
    <w:p>
      <w:pPr>
        <w:pStyle w:val="0"/>
        <w:jc w:val="both"/>
      </w:pPr>
      <w:r>
        <w:rPr>
          <w:sz w:val="20"/>
        </w:rPr>
        <w:t xml:space="preserve">(абзац введен </w:t>
      </w:r>
      <w:hyperlink w:history="0" r:id="rId123"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организация деятельности интернет-радиостанции;</w:t>
      </w:r>
    </w:p>
    <w:p>
      <w:pPr>
        <w:pStyle w:val="0"/>
        <w:spacing w:before="200" w:line-rule="auto"/>
        <w:ind w:firstLine="540"/>
        <w:jc w:val="both"/>
      </w:pPr>
      <w:r>
        <w:rPr>
          <w:sz w:val="20"/>
        </w:rPr>
        <w:t xml:space="preserve">организация информационного сопровождения сферы молодежной политики;</w:t>
      </w:r>
    </w:p>
    <w:p>
      <w:pPr>
        <w:pStyle w:val="0"/>
        <w:spacing w:before="200" w:line-rule="auto"/>
        <w:ind w:firstLine="540"/>
        <w:jc w:val="both"/>
      </w:pPr>
      <w:r>
        <w:rPr>
          <w:sz w:val="20"/>
        </w:rPr>
        <w:t xml:space="preserve">выпуск и распространение методических материалов, презентационной продукции молодежных проектов;</w:t>
      </w:r>
    </w:p>
    <w:p>
      <w:pPr>
        <w:pStyle w:val="0"/>
        <w:spacing w:before="200" w:line-rule="auto"/>
        <w:ind w:firstLine="540"/>
        <w:jc w:val="both"/>
      </w:pPr>
      <w:r>
        <w:rPr>
          <w:sz w:val="20"/>
        </w:rPr>
        <w:t xml:space="preserve">проведение исследования в сфере государственной молодежной политики Новосибирской области.</w:t>
      </w:r>
    </w:p>
    <w:p>
      <w:pPr>
        <w:pStyle w:val="0"/>
        <w:spacing w:before="200" w:line-rule="auto"/>
        <w:ind w:firstLine="540"/>
        <w:jc w:val="both"/>
      </w:pPr>
      <w:r>
        <w:rPr>
          <w:sz w:val="20"/>
        </w:rPr>
        <w:t xml:space="preserve">2.2. Организация и проведение мероприятий, направленных на методическое и кадровое обеспечение молодежной политики Новосибирской области. 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17130 человек.</w:t>
      </w:r>
    </w:p>
    <w:p>
      <w:pPr>
        <w:pStyle w:val="0"/>
        <w:jc w:val="both"/>
      </w:pPr>
      <w:r>
        <w:rPr>
          <w:sz w:val="20"/>
        </w:rPr>
        <w:t xml:space="preserve">(в ред. </w:t>
      </w:r>
      <w:hyperlink w:history="0" r:id="rId124" w:tooltip="Постановление Правительства Новосибирской области от 26.05.2020 N 189-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26.05.2020 N 189-п)</w:t>
      </w:r>
    </w:p>
    <w:p>
      <w:pPr>
        <w:pStyle w:val="0"/>
        <w:spacing w:before="200" w:line-rule="auto"/>
        <w:ind w:firstLine="540"/>
        <w:jc w:val="both"/>
      </w:pPr>
      <w:r>
        <w:rPr>
          <w:sz w:val="20"/>
        </w:rPr>
        <w:t xml:space="preserve">В рамках данного направления планируется:</w:t>
      </w:r>
    </w:p>
    <w:p>
      <w:pPr>
        <w:pStyle w:val="0"/>
        <w:spacing w:before="200" w:line-rule="auto"/>
        <w:ind w:firstLine="540"/>
        <w:jc w:val="both"/>
      </w:pPr>
      <w:r>
        <w:rPr>
          <w:sz w:val="20"/>
        </w:rPr>
        <w:t xml:space="preserve">оказание содействия в работе органов по делам молодежи в муниципальных районах и городских округах Новосибирской области в межрайонном формате;</w:t>
      </w:r>
    </w:p>
    <w:p>
      <w:pPr>
        <w:pStyle w:val="0"/>
        <w:spacing w:before="200" w:line-rule="auto"/>
        <w:ind w:firstLine="540"/>
        <w:jc w:val="both"/>
      </w:pPr>
      <w:r>
        <w:rPr>
          <w:sz w:val="20"/>
        </w:rPr>
        <w:t xml:space="preserve">организация и проведение форумной кампании на территории Новосибирской области;</w:t>
      </w:r>
    </w:p>
    <w:p>
      <w:pPr>
        <w:pStyle w:val="0"/>
        <w:spacing w:before="200" w:line-rule="auto"/>
        <w:ind w:firstLine="540"/>
        <w:jc w:val="both"/>
      </w:pPr>
      <w:r>
        <w:rPr>
          <w:sz w:val="20"/>
        </w:rPr>
        <w:t xml:space="preserve">обеспечение участия делегаций Новосибирской области во всероссийских и международных мероприятиях;</w:t>
      </w:r>
    </w:p>
    <w:p>
      <w:pPr>
        <w:pStyle w:val="0"/>
        <w:spacing w:before="200" w:line-rule="auto"/>
        <w:ind w:firstLine="540"/>
        <w:jc w:val="both"/>
      </w:pPr>
      <w:r>
        <w:rPr>
          <w:sz w:val="20"/>
        </w:rPr>
        <w:t xml:space="preserve">проведение межрегиональных и международных мероприятий в сфере государственной молодежной политики Новосибирской области.</w:t>
      </w:r>
    </w:p>
    <w:p>
      <w:pPr>
        <w:pStyle w:val="0"/>
        <w:spacing w:before="200" w:line-rule="auto"/>
        <w:ind w:firstLine="540"/>
        <w:jc w:val="both"/>
      </w:pPr>
      <w:r>
        <w:rPr>
          <w:sz w:val="20"/>
        </w:rPr>
        <w:t xml:space="preserve">2.3. Организация и проведение мероприятий, направленных на поддержку инфраструктурного обеспечения молодежной политики Новосибирской области.</w:t>
      </w:r>
    </w:p>
    <w:p>
      <w:pPr>
        <w:pStyle w:val="0"/>
        <w:jc w:val="both"/>
      </w:pPr>
      <w:r>
        <w:rPr>
          <w:sz w:val="20"/>
        </w:rPr>
        <w:t xml:space="preserve">(абзац введен </w:t>
      </w:r>
      <w:hyperlink w:history="0" r:id="rId125" w:tooltip="Постановление Правительства Новосибирской области от 30.11.2021 N 482-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30.11.2021 N 482-п)</w:t>
      </w:r>
    </w:p>
    <w:p>
      <w:pPr>
        <w:pStyle w:val="0"/>
        <w:spacing w:before="200" w:line-rule="auto"/>
        <w:ind w:firstLine="540"/>
        <w:jc w:val="both"/>
      </w:pPr>
      <w:r>
        <w:rPr>
          <w:sz w:val="20"/>
        </w:rPr>
        <w:t xml:space="preserve">В рамках данного направления с 2021 года планируется укрепление и развитие материально-технической базы государственного бюджетного учреждения Новосибирской области "Агентство поддержки молодежных инициатив", подведомственного министерству образования Новосибирской области (с 2021 по 2022 год).</w:t>
      </w:r>
    </w:p>
    <w:p>
      <w:pPr>
        <w:pStyle w:val="0"/>
        <w:jc w:val="both"/>
      </w:pPr>
      <w:r>
        <w:rPr>
          <w:sz w:val="20"/>
        </w:rPr>
        <w:t xml:space="preserve">(абзац введен </w:t>
      </w:r>
      <w:hyperlink w:history="0" r:id="rId126" w:tooltip="Постановление Правительства Новосибирской области от 30.11.2021 N 482-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30.11.2021 N 482-п; в ред. </w:t>
      </w:r>
      <w:hyperlink w:history="0" r:id="rId127"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29.03.2023 N 134-п)</w:t>
      </w:r>
    </w:p>
    <w:p>
      <w:pPr>
        <w:pStyle w:val="0"/>
        <w:spacing w:before="200" w:line-rule="auto"/>
        <w:ind w:firstLine="540"/>
        <w:jc w:val="both"/>
      </w:pPr>
      <w:r>
        <w:rPr>
          <w:sz w:val="20"/>
        </w:rPr>
        <w:t xml:space="preserve">2.4. Укрепление и развитие материально-технической базы государственных учреждений молодежной политики.</w:t>
      </w:r>
    </w:p>
    <w:p>
      <w:pPr>
        <w:pStyle w:val="0"/>
        <w:jc w:val="both"/>
      </w:pPr>
      <w:r>
        <w:rPr>
          <w:sz w:val="20"/>
        </w:rPr>
        <w:t xml:space="preserve">(абзац введен </w:t>
      </w:r>
      <w:hyperlink w:history="0" r:id="rId128"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29.03.2023 N 134-п)</w:t>
      </w:r>
    </w:p>
    <w:p>
      <w:pPr>
        <w:pStyle w:val="0"/>
        <w:spacing w:before="200" w:line-rule="auto"/>
        <w:ind w:firstLine="540"/>
        <w:jc w:val="both"/>
      </w:pPr>
      <w:r>
        <w:rPr>
          <w:sz w:val="20"/>
        </w:rPr>
        <w:t xml:space="preserve">В рамках данного направления с 2023 года планируется укрепление и развитие материально-технической базы государственного бюджетного учреждения Новосибирской области "Агентство поддержки молодежных инициатив", подведомственного министерству образования Новосибирской области.</w:t>
      </w:r>
    </w:p>
    <w:p>
      <w:pPr>
        <w:pStyle w:val="0"/>
        <w:jc w:val="both"/>
      </w:pPr>
      <w:r>
        <w:rPr>
          <w:sz w:val="20"/>
        </w:rPr>
        <w:t xml:space="preserve">(абзац введен </w:t>
      </w:r>
      <w:hyperlink w:history="0" r:id="rId129"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29.03.2023 N 134-п)</w:t>
      </w:r>
    </w:p>
    <w:p>
      <w:pPr>
        <w:pStyle w:val="0"/>
        <w:spacing w:before="200" w:line-rule="auto"/>
        <w:ind w:firstLine="540"/>
        <w:jc w:val="both"/>
      </w:pPr>
      <w:r>
        <w:rPr>
          <w:sz w:val="20"/>
        </w:rPr>
        <w:t xml:space="preserve">В рамках каждого мероприятия государственной программы предполагается проводить опрос участников с целью получения информации об уровне удовлетворенности качеством предоставленных услуг (работ).</w:t>
      </w:r>
    </w:p>
    <w:p>
      <w:pPr>
        <w:pStyle w:val="0"/>
        <w:spacing w:before="200" w:line-rule="auto"/>
        <w:ind w:firstLine="540"/>
        <w:jc w:val="both"/>
      </w:pPr>
      <w:r>
        <w:rPr>
          <w:sz w:val="20"/>
        </w:rPr>
        <w:t xml:space="preserve">В рамках реализации государственной программы осуществляется мониторинг деятельности органов по делам молодежи в муниципальных районах и городских округах Новосибирской области, а также эффективности реализации муниципальных программ по развитию молодежной политики и государственных программ Новосибирской области по осуществлению мер государственной поддержки молодежи, молодых семей, молодежных организаций. Это достигается посредством ведения рейтинговой системы участия органов по делам молодежи в реализации государственной молодежной политики, которая включает в себя сбор информации по следующим разделам: мероприятия, инфраструктура, нормативное правовое и методическое обеспечение молодежной политики.</w:t>
      </w:r>
    </w:p>
    <w:p>
      <w:pPr>
        <w:pStyle w:val="0"/>
        <w:spacing w:before="200" w:line-rule="auto"/>
        <w:ind w:firstLine="540"/>
        <w:jc w:val="both"/>
      </w:pPr>
      <w:r>
        <w:rPr>
          <w:sz w:val="20"/>
        </w:rPr>
        <w:t xml:space="preserve">Перечень основных мероприятий государственной программы, реализуемых с 2019 по 2024 год, представлен в </w:t>
      </w:r>
      <w:hyperlink w:history="0" w:anchor="P814" w:tooltip="ОСНОВНЫЕ МЕРОПРИЯТИЯ">
        <w:r>
          <w:rPr>
            <w:sz w:val="20"/>
            <w:color w:val="0000ff"/>
          </w:rPr>
          <w:t xml:space="preserve">приложении N 2.1</w:t>
        </w:r>
      </w:hyperlink>
      <w:r>
        <w:rPr>
          <w:sz w:val="20"/>
        </w:rPr>
        <w:t xml:space="preserve"> к государственной программе.</w:t>
      </w:r>
    </w:p>
    <w:p>
      <w:pPr>
        <w:pStyle w:val="0"/>
        <w:jc w:val="both"/>
      </w:pPr>
      <w:r>
        <w:rPr>
          <w:sz w:val="20"/>
        </w:rPr>
        <w:t xml:space="preserve">(в ред. </w:t>
      </w:r>
      <w:hyperlink w:history="0" r:id="rId130"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ind w:firstLine="540"/>
        <w:jc w:val="both"/>
      </w:pPr>
      <w:r>
        <w:rPr>
          <w:sz w:val="20"/>
        </w:rPr>
      </w:r>
    </w:p>
    <w:p>
      <w:pPr>
        <w:pStyle w:val="2"/>
        <w:outlineLvl w:val="2"/>
        <w:jc w:val="center"/>
      </w:pPr>
      <w:r>
        <w:rPr>
          <w:sz w:val="20"/>
        </w:rPr>
        <w:t xml:space="preserve">Обобщенная характеристика мер государственного регулирования</w:t>
      </w:r>
    </w:p>
    <w:p>
      <w:pPr>
        <w:pStyle w:val="0"/>
        <w:ind w:firstLine="540"/>
        <w:jc w:val="both"/>
      </w:pPr>
      <w:r>
        <w:rPr>
          <w:sz w:val="20"/>
        </w:rPr>
      </w:r>
    </w:p>
    <w:p>
      <w:pPr>
        <w:pStyle w:val="0"/>
        <w:ind w:firstLine="540"/>
        <w:jc w:val="both"/>
      </w:pPr>
      <w:r>
        <w:rPr>
          <w:sz w:val="20"/>
        </w:rPr>
        <w:t xml:space="preserve">В целях реализации государственной программы Министерство:</w:t>
      </w:r>
    </w:p>
    <w:p>
      <w:pPr>
        <w:pStyle w:val="0"/>
        <w:spacing w:before="200" w:line-rule="auto"/>
        <w:ind w:firstLine="540"/>
        <w:jc w:val="both"/>
      </w:pPr>
      <w:r>
        <w:rPr>
          <w:sz w:val="20"/>
        </w:rPr>
        <w:t xml:space="preserve">1) обеспечивает участие молодежных общественных объединений в реализации молодежной политики, общественной экспертизе кадровых и управленческих решений в молодежной сфере. Министерство вправе создавать общественные советы и выносить на их заседания актуальные вопросы в сфере молодежной политики. Решения советов носят рекомендательный характер;</w:t>
      </w:r>
    </w:p>
    <w:p>
      <w:pPr>
        <w:pStyle w:val="0"/>
        <w:spacing w:before="200" w:line-rule="auto"/>
        <w:ind w:firstLine="540"/>
        <w:jc w:val="both"/>
      </w:pPr>
      <w:r>
        <w:rPr>
          <w:sz w:val="20"/>
        </w:rPr>
        <w:t xml:space="preserve">2) осуществляет методическое обеспечение работы по формированию правовой и политической культуры, активной гражданской позиции молодежи, развитию гражданственности, духовно-нравственному и патриотическому воспитанию молодежи;</w:t>
      </w:r>
    </w:p>
    <w:p>
      <w:pPr>
        <w:pStyle w:val="0"/>
        <w:spacing w:before="200" w:line-rule="auto"/>
        <w:ind w:firstLine="540"/>
        <w:jc w:val="both"/>
      </w:pPr>
      <w:r>
        <w:rPr>
          <w:sz w:val="20"/>
        </w:rPr>
        <w:t xml:space="preserve">3) оказывает содействие деятельности органов молодежного самоуправления, детских и молодежных организаций. Оказывает всестороннюю информационную и консультационную помощь;</w:t>
      </w:r>
    </w:p>
    <w:p>
      <w:pPr>
        <w:pStyle w:val="0"/>
        <w:spacing w:before="200" w:line-rule="auto"/>
        <w:ind w:firstLine="540"/>
        <w:jc w:val="both"/>
      </w:pPr>
      <w:r>
        <w:rPr>
          <w:sz w:val="20"/>
        </w:rPr>
        <w:t xml:space="preserve">4) обеспечивает поддержку и поощрение молодежного предпринимательства, реализацию молодежных образовательных бизнес-программ, содействующих развитию экономики Новосибирской области (с 2016 по 2019 год);</w:t>
      </w:r>
    </w:p>
    <w:p>
      <w:pPr>
        <w:pStyle w:val="0"/>
        <w:jc w:val="both"/>
      </w:pPr>
      <w:r>
        <w:rPr>
          <w:sz w:val="20"/>
        </w:rPr>
        <w:t xml:space="preserve">(в ред. </w:t>
      </w:r>
      <w:hyperlink w:history="0" r:id="rId131"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5) оказывает содействие развитию творческого потенциала молодежи Новосибирской области, поддержку молодежных инициатив и проектов в сфере культуры и формирования креативной среды. Учреждает премии в различных сферах творческой и интеллектуальной деятельности молодежи, проводит областные фестивали, смотры и конкурсы, культурно-массовые и иные мероприятия в сфере реализации государственной молодежной политики;</w:t>
      </w:r>
    </w:p>
    <w:p>
      <w:pPr>
        <w:pStyle w:val="0"/>
        <w:spacing w:before="200" w:line-rule="auto"/>
        <w:ind w:firstLine="540"/>
        <w:jc w:val="both"/>
      </w:pPr>
      <w:r>
        <w:rPr>
          <w:sz w:val="20"/>
        </w:rPr>
        <w:t xml:space="preserve">6) осуществляет поддержку добровольческого (волонтерского) молодежного движения, вовлечение молодежи в организацию региональных общественно-массовых мероприятий, поддержку и сопровождение молодежных проектов развития территорий и поселений; реализацию специализированных программ работы с сельской молодежью и программ по развитию молодежного туризма;</w:t>
      </w:r>
    </w:p>
    <w:p>
      <w:pPr>
        <w:pStyle w:val="0"/>
        <w:spacing w:before="200" w:line-rule="auto"/>
        <w:ind w:firstLine="540"/>
        <w:jc w:val="both"/>
      </w:pPr>
      <w:r>
        <w:rPr>
          <w:sz w:val="20"/>
        </w:rPr>
        <w:t xml:space="preserve">7) осуществляет поддержку на конкурсной основе инновационной деятельности молодежи, программ и проектов молодежных и детских общественных объединений. Проводит конкурсы проектов в сфере молодежной политики;</w:t>
      </w:r>
    </w:p>
    <w:p>
      <w:pPr>
        <w:pStyle w:val="0"/>
        <w:spacing w:before="200" w:line-rule="auto"/>
        <w:ind w:firstLine="540"/>
        <w:jc w:val="both"/>
      </w:pPr>
      <w:r>
        <w:rPr>
          <w:sz w:val="20"/>
        </w:rPr>
        <w:t xml:space="preserve">8) оказывает содействие развитию системы социального обслуживания молодежи, совершенствованию деятельности молодежных социальных служб, развитию новых направлений деятельности подростково-молодежных клубов, центров по месту жительства и молодежных центров в муниципальных районах и городских округах Новосибирской области, содействие участию молодежи в исследовательских и образовательных программах;</w:t>
      </w:r>
    </w:p>
    <w:p>
      <w:pPr>
        <w:pStyle w:val="0"/>
        <w:spacing w:before="200" w:line-rule="auto"/>
        <w:ind w:firstLine="540"/>
        <w:jc w:val="both"/>
      </w:pPr>
      <w:r>
        <w:rPr>
          <w:sz w:val="20"/>
        </w:rPr>
        <w:t xml:space="preserve">9) осуществляет координацию деятельности молодежных и детских общественных объединений общероссийского, межрегионального и областного уровней в сфере реализации государственной молодежной политики на территории Новосибирской области, координацию сотрудничества представителей молодежных организаций в Новосибирской области с международными, межрегиональными молодежными организациями.</w:t>
      </w:r>
    </w:p>
    <w:p>
      <w:pPr>
        <w:pStyle w:val="0"/>
        <w:spacing w:before="200" w:line-rule="auto"/>
        <w:ind w:firstLine="540"/>
        <w:jc w:val="both"/>
      </w:pPr>
      <w:r>
        <w:rPr>
          <w:sz w:val="20"/>
        </w:rPr>
        <w:t xml:space="preserve">Значительная часть мероприятий государственной программы реализуется учреждениями в рамках государственного задания на оказание государственных услуг (работ), доводимого до них ежегодно.</w:t>
      </w:r>
    </w:p>
    <w:p>
      <w:pPr>
        <w:pStyle w:val="0"/>
        <w:jc w:val="both"/>
      </w:pPr>
      <w:r>
        <w:rPr>
          <w:sz w:val="20"/>
        </w:rPr>
        <w:t xml:space="preserve">(абзац введен </w:t>
      </w:r>
      <w:hyperlink w:history="0" r:id="rId132"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Государственное задание формируется и утверждается правовым актом министерства в случае утверждения областного бюджета Новосибирской области на очередной финансовый год и на срок до трех лет в случае утверждения областного бюджета Новосибирской области на очередной финансовый год и плановый период и доводятся до исполнения учреждениям до начала очередного финансового года.</w:t>
      </w:r>
    </w:p>
    <w:p>
      <w:pPr>
        <w:pStyle w:val="0"/>
        <w:jc w:val="both"/>
      </w:pPr>
      <w:r>
        <w:rPr>
          <w:sz w:val="20"/>
        </w:rPr>
        <w:t xml:space="preserve">(абзац введен </w:t>
      </w:r>
      <w:hyperlink w:history="0" r:id="rId133"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Государственная программа разработана в соответствии с </w:t>
      </w:r>
      <w:hyperlink w:history="0" r:id="rId134" w:tooltip="Закон Новосибирской области от 12.07.2004 N 207-ОЗ (ред. от 16.12.2022) &quot;О молодежной политике в Новосибирской области&quot; (принят постановлением Новосибирского областного Совета депутатов от 24.06.2004 N 207-ОСД) {КонсультантПлюс}">
        <w:r>
          <w:rPr>
            <w:sz w:val="20"/>
            <w:color w:val="0000ff"/>
          </w:rPr>
          <w:t xml:space="preserve">Законом</w:t>
        </w:r>
      </w:hyperlink>
      <w:r>
        <w:rPr>
          <w:sz w:val="20"/>
        </w:rPr>
        <w:t xml:space="preserve"> Новосибирской области от 12.07.2004 N 207-ОЗ "О молодежной политике в Новосибирской области".</w:t>
      </w:r>
    </w:p>
    <w:p>
      <w:pPr>
        <w:pStyle w:val="0"/>
        <w:ind w:firstLine="540"/>
        <w:jc w:val="both"/>
      </w:pPr>
      <w:r>
        <w:rPr>
          <w:sz w:val="20"/>
        </w:rPr>
      </w:r>
    </w:p>
    <w:p>
      <w:pPr>
        <w:pStyle w:val="2"/>
        <w:outlineLvl w:val="2"/>
        <w:jc w:val="center"/>
      </w:pPr>
      <w:r>
        <w:rPr>
          <w:sz w:val="20"/>
        </w:rPr>
        <w:t xml:space="preserve">Обобщенная характеристика государственных услуг и работ,</w:t>
      </w:r>
    </w:p>
    <w:p>
      <w:pPr>
        <w:pStyle w:val="2"/>
        <w:jc w:val="center"/>
      </w:pPr>
      <w:r>
        <w:rPr>
          <w:sz w:val="20"/>
        </w:rPr>
        <w:t xml:space="preserve">оказываемых в рамках реализации государственной программы</w:t>
      </w:r>
    </w:p>
    <w:p>
      <w:pPr>
        <w:pStyle w:val="0"/>
        <w:jc w:val="center"/>
      </w:pPr>
      <w:r>
        <w:rPr>
          <w:sz w:val="20"/>
        </w:rPr>
        <w:t xml:space="preserve">(в ред. </w:t>
      </w:r>
      <w:hyperlink w:history="0" r:id="rId135" w:tooltip="Постановление Правительства Новосибирской области от 11.04.2016 N 101-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w:t>
      </w:r>
    </w:p>
    <w:p>
      <w:pPr>
        <w:pStyle w:val="0"/>
        <w:jc w:val="center"/>
      </w:pPr>
      <w:r>
        <w:rPr>
          <w:sz w:val="20"/>
        </w:rPr>
        <w:t xml:space="preserve">от 11.04.2016 N 101-п)</w:t>
      </w:r>
    </w:p>
    <w:p>
      <w:pPr>
        <w:pStyle w:val="0"/>
        <w:ind w:firstLine="540"/>
        <w:jc w:val="both"/>
      </w:pPr>
      <w:r>
        <w:rPr>
          <w:sz w:val="20"/>
        </w:rPr>
      </w:r>
    </w:p>
    <w:p>
      <w:pPr>
        <w:pStyle w:val="0"/>
        <w:ind w:firstLine="540"/>
        <w:jc w:val="both"/>
      </w:pPr>
      <w:r>
        <w:rPr>
          <w:sz w:val="20"/>
        </w:rPr>
        <w:t xml:space="preserve">Учреждения выполняют государственные работы и услуги в сферах образования и государственной молодежной политики Новосибирской области в соответствии с Региональным </w:t>
      </w:r>
      <w:hyperlink w:history="0" r:id="rId136" w:tooltip="Постановление Губернатора Новосибирской области от 15.01.2018 N 8 (ред. от 30.05.2023) &quot;Об утверждении Регионального перечня (классификатора) государственных (муниципальных) услуг и работ Новосибирской области&quot; {КонсультантПлюс}">
        <w:r>
          <w:rPr>
            <w:sz w:val="20"/>
            <w:color w:val="0000ff"/>
          </w:rPr>
          <w:t xml:space="preserve">перечнем</w:t>
        </w:r>
      </w:hyperlink>
      <w:r>
        <w:rPr>
          <w:sz w:val="20"/>
        </w:rPr>
        <w:t xml:space="preserve"> (классификатором) государственных (муниципальных) услуг и работ Новосибирской области, утвержденным постановлением Губернатора Новосибирской области от 15.01.2018 N 8 "Об утверждении Регионального перечня (классификатора) государственных (муниципальных) услуг и работ Новосибирской области".</w:t>
      </w:r>
    </w:p>
    <w:p>
      <w:pPr>
        <w:pStyle w:val="0"/>
        <w:jc w:val="both"/>
      </w:pPr>
      <w:r>
        <w:rPr>
          <w:sz w:val="20"/>
        </w:rPr>
        <w:t xml:space="preserve">(в ред. </w:t>
      </w:r>
      <w:hyperlink w:history="0" r:id="rId137"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В течение всего периода реализации государственной программы учреждения будут выполнять следующие работы по:</w:t>
      </w:r>
    </w:p>
    <w:p>
      <w:pPr>
        <w:pStyle w:val="0"/>
        <w:spacing w:before="200" w:line-rule="auto"/>
        <w:ind w:firstLine="540"/>
        <w:jc w:val="both"/>
      </w:pPr>
      <w:r>
        <w:rPr>
          <w:sz w:val="20"/>
        </w:rPr>
        <w:t xml:space="preserve">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pPr>
        <w:pStyle w:val="0"/>
        <w:spacing w:before="200" w:line-rule="auto"/>
        <w:ind w:firstLine="540"/>
        <w:jc w:val="both"/>
      </w:pPr>
      <w:r>
        <w:rPr>
          <w:sz w:val="20"/>
        </w:rPr>
        <w:t xml:space="preserve">организации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pPr>
        <w:pStyle w:val="0"/>
        <w:spacing w:before="200" w:line-rule="auto"/>
        <w:ind w:firstLine="540"/>
        <w:jc w:val="both"/>
      </w:pPr>
      <w:r>
        <w:rPr>
          <w:sz w:val="20"/>
        </w:rPr>
        <w:t xml:space="preserve">организации мероприятий, направленных на профилактику асоциального и деструктивного поведения подростков и молодежи, поддержку детей и молодежи, находящейся в социально опасном положении;</w:t>
      </w:r>
    </w:p>
    <w:p>
      <w:pPr>
        <w:pStyle w:val="0"/>
        <w:spacing w:before="200" w:line-rule="auto"/>
        <w:ind w:firstLine="540"/>
        <w:jc w:val="both"/>
      </w:pPr>
      <w:r>
        <w:rPr>
          <w:sz w:val="20"/>
        </w:rPr>
        <w:t xml:space="preserve">организации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pPr>
        <w:pStyle w:val="0"/>
        <w:spacing w:before="200" w:line-rule="auto"/>
        <w:ind w:firstLine="540"/>
        <w:jc w:val="both"/>
      </w:pPr>
      <w:r>
        <w:rPr>
          <w:sz w:val="20"/>
        </w:rPr>
        <w:t xml:space="preserve">организации досуга детей, подростков и молодежи.</w:t>
      </w:r>
    </w:p>
    <w:p>
      <w:pPr>
        <w:pStyle w:val="0"/>
        <w:spacing w:before="200" w:line-rule="auto"/>
        <w:ind w:firstLine="540"/>
        <w:jc w:val="both"/>
      </w:pPr>
      <w:r>
        <w:rPr>
          <w:sz w:val="20"/>
        </w:rPr>
        <w:t xml:space="preserve">Кроме того, данными учреждениями с 2021 года оказывается государственная услуга по реализации дополнительных общеразвивающих программ.</w:t>
      </w:r>
    </w:p>
    <w:p>
      <w:pPr>
        <w:pStyle w:val="0"/>
        <w:jc w:val="both"/>
      </w:pPr>
      <w:r>
        <w:rPr>
          <w:sz w:val="20"/>
        </w:rPr>
        <w:t xml:space="preserve">(абзац введен </w:t>
      </w:r>
      <w:hyperlink w:history="0" r:id="rId138"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Также данными учреждениями с 2021 года выполняется государственная работа по организации и проведению олимпиад и иных интеллектуальных и (или) творческих конкурсов, культурно-массовых, социально значимых, патриотических и профориентационных мероприятий, направленных на выявление и развитие у обучающихся интеллектуальных и творческих способностей, на их патриотическое воспитание и профессиональное самоопределение.</w:t>
      </w:r>
    </w:p>
    <w:p>
      <w:pPr>
        <w:pStyle w:val="0"/>
        <w:jc w:val="both"/>
      </w:pPr>
      <w:r>
        <w:rPr>
          <w:sz w:val="20"/>
        </w:rPr>
        <w:t xml:space="preserve">(абзац введен </w:t>
      </w:r>
      <w:hyperlink w:history="0" r:id="rId139"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rPr>
        <w:t xml:space="preserve"> Правительства Новосибирской области от 27.04.2021 N 146-п)</w:t>
      </w:r>
    </w:p>
    <w:p>
      <w:pPr>
        <w:pStyle w:val="0"/>
        <w:ind w:firstLine="540"/>
        <w:jc w:val="both"/>
      </w:pPr>
      <w:r>
        <w:rPr>
          <w:sz w:val="20"/>
        </w:rPr>
      </w:r>
    </w:p>
    <w:p>
      <w:pPr>
        <w:pStyle w:val="2"/>
        <w:outlineLvl w:val="2"/>
        <w:jc w:val="center"/>
      </w:pPr>
      <w:r>
        <w:rPr>
          <w:sz w:val="20"/>
        </w:rPr>
        <w:t xml:space="preserve">Обобщенная характеристика основных мероприятий, реализуемых</w:t>
      </w:r>
    </w:p>
    <w:p>
      <w:pPr>
        <w:pStyle w:val="2"/>
        <w:jc w:val="center"/>
      </w:pPr>
      <w:r>
        <w:rPr>
          <w:sz w:val="20"/>
        </w:rPr>
        <w:t xml:space="preserve">органами местного самоуправления в случае их участия</w:t>
      </w:r>
    </w:p>
    <w:p>
      <w:pPr>
        <w:pStyle w:val="2"/>
        <w:jc w:val="center"/>
      </w:pPr>
      <w:r>
        <w:rPr>
          <w:sz w:val="20"/>
        </w:rPr>
        <w:t xml:space="preserve">в разработке и реализации государственной программы</w:t>
      </w:r>
    </w:p>
    <w:p>
      <w:pPr>
        <w:pStyle w:val="0"/>
        <w:ind w:firstLine="540"/>
        <w:jc w:val="both"/>
      </w:pPr>
      <w:r>
        <w:rPr>
          <w:sz w:val="20"/>
        </w:rPr>
      </w:r>
    </w:p>
    <w:p>
      <w:pPr>
        <w:pStyle w:val="0"/>
        <w:ind w:firstLine="540"/>
        <w:jc w:val="both"/>
      </w:pPr>
      <w:r>
        <w:rPr>
          <w:sz w:val="20"/>
        </w:rPr>
        <w:t xml:space="preserve">Органы местного самоуправления Новосибирской области не являются непосредственными исполнителями мероприятий государственной программы. Однако достижение ряда ее целевых индикаторов, как, например, количество реализуемых (действующих) муниципальных программ по работе с молодежью напрямую зависит от решений, принимаемых органами местного самоуправления. В этой связи в рамках государственной программы планируется взаимодействие с органами местного самоуправления в рамках приоритетного проекта в сфере молодежной политики "Область", реализуемого в рамках задачи "Повышение эффективности деятельности в сфере молодежной политики".</w:t>
      </w:r>
    </w:p>
    <w:p>
      <w:pPr>
        <w:pStyle w:val="0"/>
        <w:ind w:firstLine="540"/>
        <w:jc w:val="both"/>
      </w:pPr>
      <w:r>
        <w:rPr>
          <w:sz w:val="20"/>
        </w:rPr>
      </w:r>
    </w:p>
    <w:p>
      <w:pPr>
        <w:pStyle w:val="2"/>
        <w:outlineLvl w:val="1"/>
        <w:jc w:val="center"/>
      </w:pPr>
      <w:r>
        <w:rPr>
          <w:sz w:val="20"/>
        </w:rPr>
        <w:t xml:space="preserve">V. Механизм реализации и система управления</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Утратил силу. - </w:t>
      </w:r>
      <w:hyperlink w:history="0" r:id="rId140"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29.03.2023 N 134-п.</w:t>
      </w:r>
    </w:p>
    <w:p>
      <w:pPr>
        <w:pStyle w:val="0"/>
        <w:ind w:firstLine="540"/>
        <w:jc w:val="both"/>
      </w:pPr>
      <w:r>
        <w:rPr>
          <w:sz w:val="20"/>
        </w:rPr>
      </w:r>
    </w:p>
    <w:p>
      <w:pPr>
        <w:pStyle w:val="2"/>
        <w:outlineLvl w:val="1"/>
        <w:jc w:val="center"/>
      </w:pPr>
      <w:r>
        <w:rPr>
          <w:sz w:val="20"/>
        </w:rPr>
        <w:t xml:space="preserve">VI. Ресурсное обеспечение государственной программы</w:t>
      </w:r>
    </w:p>
    <w:p>
      <w:pPr>
        <w:pStyle w:val="0"/>
        <w:ind w:firstLine="540"/>
        <w:jc w:val="both"/>
      </w:pPr>
      <w:r>
        <w:rPr>
          <w:sz w:val="20"/>
        </w:rPr>
      </w:r>
    </w:p>
    <w:p>
      <w:pPr>
        <w:pStyle w:val="0"/>
        <w:ind w:firstLine="540"/>
        <w:jc w:val="both"/>
      </w:pPr>
      <w:r>
        <w:rPr>
          <w:sz w:val="20"/>
        </w:rPr>
        <w:t xml:space="preserve">Утратил силу. - </w:t>
      </w:r>
      <w:hyperlink w:history="0" r:id="rId141"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29.03.2023 N 134-п.</w:t>
      </w:r>
    </w:p>
    <w:p>
      <w:pPr>
        <w:pStyle w:val="0"/>
        <w:ind w:firstLine="540"/>
        <w:jc w:val="both"/>
      </w:pPr>
      <w:r>
        <w:rPr>
          <w:sz w:val="20"/>
        </w:rPr>
      </w:r>
    </w:p>
    <w:p>
      <w:pPr>
        <w:pStyle w:val="2"/>
        <w:outlineLvl w:val="1"/>
        <w:jc w:val="center"/>
      </w:pPr>
      <w:r>
        <w:rPr>
          <w:sz w:val="20"/>
        </w:rPr>
        <w:t xml:space="preserve">VII. Ожидаемые результаты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Утратил силу. - </w:t>
      </w:r>
      <w:hyperlink w:history="0" r:id="rId142"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29.03.2023 N 134-п.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Новосибирской области "Развитие</w:t>
      </w:r>
    </w:p>
    <w:p>
      <w:pPr>
        <w:pStyle w:val="0"/>
        <w:jc w:val="right"/>
      </w:pPr>
      <w:r>
        <w:rPr>
          <w:sz w:val="20"/>
        </w:rPr>
        <w:t xml:space="preserve">государственной молодежной политики</w:t>
      </w:r>
    </w:p>
    <w:p>
      <w:pPr>
        <w:pStyle w:val="0"/>
        <w:jc w:val="right"/>
      </w:pPr>
      <w:r>
        <w:rPr>
          <w:sz w:val="20"/>
        </w:rPr>
        <w:t xml:space="preserve">Новосибирской области"</w:t>
      </w:r>
    </w:p>
    <w:p>
      <w:pPr>
        <w:pStyle w:val="0"/>
        <w:ind w:firstLine="540"/>
        <w:jc w:val="both"/>
      </w:pPr>
      <w:r>
        <w:rPr>
          <w:sz w:val="20"/>
        </w:rPr>
      </w:r>
    </w:p>
    <w:p>
      <w:pPr>
        <w:pStyle w:val="2"/>
        <w:jc w:val="center"/>
      </w:pPr>
      <w:r>
        <w:rPr>
          <w:sz w:val="20"/>
        </w:rPr>
        <w:t xml:space="preserve">ЦЕЛИ, ЗАДАЧИ И ЦЕЛЕВЫЕ ИНДИКАТОРЫ</w:t>
      </w:r>
    </w:p>
    <w:p>
      <w:pPr>
        <w:pStyle w:val="2"/>
        <w:jc w:val="center"/>
      </w:pPr>
      <w:r>
        <w:rPr>
          <w:sz w:val="20"/>
        </w:rPr>
        <w:t xml:space="preserve">государственной программы Новосибирской области "Развитие</w:t>
      </w:r>
    </w:p>
    <w:p>
      <w:pPr>
        <w:pStyle w:val="2"/>
        <w:jc w:val="center"/>
      </w:pPr>
      <w:r>
        <w:rPr>
          <w:sz w:val="20"/>
        </w:rPr>
        <w:t xml:space="preserve">государственной молодежной 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3"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29.03.2023 N 134-п)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438"/>
        <w:gridCol w:w="623"/>
        <w:gridCol w:w="850"/>
        <w:gridCol w:w="850"/>
        <w:gridCol w:w="850"/>
        <w:gridCol w:w="850"/>
        <w:gridCol w:w="850"/>
        <w:gridCol w:w="850"/>
        <w:gridCol w:w="850"/>
        <w:gridCol w:w="850"/>
        <w:gridCol w:w="850"/>
        <w:gridCol w:w="850"/>
        <w:gridCol w:w="850"/>
        <w:gridCol w:w="1361"/>
      </w:tblGrid>
      <w:tr>
        <w:tc>
          <w:tcPr>
            <w:tcW w:w="1701" w:type="dxa"/>
            <w:vMerge w:val="restart"/>
          </w:tcPr>
          <w:p>
            <w:pPr>
              <w:pStyle w:val="0"/>
              <w:jc w:val="center"/>
            </w:pPr>
            <w:r>
              <w:rPr>
                <w:sz w:val="20"/>
              </w:rPr>
              <w:t xml:space="preserve">Цель/задачи, требующие решения для достижения цели</w:t>
            </w:r>
          </w:p>
        </w:tc>
        <w:tc>
          <w:tcPr>
            <w:tcW w:w="2438" w:type="dxa"/>
            <w:vMerge w:val="restart"/>
          </w:tcPr>
          <w:p>
            <w:pPr>
              <w:pStyle w:val="0"/>
              <w:jc w:val="center"/>
            </w:pPr>
            <w:r>
              <w:rPr>
                <w:sz w:val="20"/>
              </w:rPr>
              <w:t xml:space="preserve">Наименование целевого индикатора</w:t>
            </w:r>
          </w:p>
        </w:tc>
        <w:tc>
          <w:tcPr>
            <w:tcW w:w="623" w:type="dxa"/>
            <w:vMerge w:val="restart"/>
          </w:tcPr>
          <w:p>
            <w:pPr>
              <w:pStyle w:val="0"/>
              <w:jc w:val="center"/>
            </w:pPr>
            <w:r>
              <w:rPr>
                <w:sz w:val="20"/>
              </w:rPr>
              <w:t xml:space="preserve">Единица измерения</w:t>
            </w:r>
          </w:p>
        </w:tc>
        <w:tc>
          <w:tcPr>
            <w:gridSpan w:val="11"/>
            <w:tcW w:w="9350" w:type="dxa"/>
          </w:tcPr>
          <w:p>
            <w:pPr>
              <w:pStyle w:val="0"/>
              <w:jc w:val="center"/>
            </w:pPr>
            <w:r>
              <w:rPr>
                <w:sz w:val="20"/>
              </w:rPr>
              <w:t xml:space="preserve">Значение целевого индикатора, в том числе по годам</w:t>
            </w:r>
          </w:p>
        </w:tc>
        <w:tc>
          <w:tcPr>
            <w:tcW w:w="1361" w:type="dxa"/>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850" w:type="dxa"/>
          </w:tcPr>
          <w:p>
            <w:pPr>
              <w:pStyle w:val="0"/>
              <w:jc w:val="center"/>
            </w:pPr>
            <w:r>
              <w:rPr>
                <w:sz w:val="20"/>
              </w:rPr>
              <w:t xml:space="preserve">2015 </w:t>
            </w:r>
            <w:hyperlink w:history="0" w:anchor="P734" w:tooltip="&lt;*&gt; Целевые индикаторы сформированы в рамках разработанной государственной программы.">
              <w:r>
                <w:rPr>
                  <w:sz w:val="20"/>
                  <w:color w:val="0000ff"/>
                </w:rPr>
                <w:t xml:space="preserve">&lt;*&gt;</w:t>
              </w:r>
            </w:hyperlink>
          </w:p>
        </w:tc>
        <w:tc>
          <w:tcPr>
            <w:tcW w:w="850" w:type="dxa"/>
          </w:tcPr>
          <w:p>
            <w:pPr>
              <w:pStyle w:val="0"/>
              <w:jc w:val="center"/>
            </w:pPr>
            <w:r>
              <w:rPr>
                <w:sz w:val="20"/>
              </w:rPr>
              <w:t xml:space="preserve">2016</w:t>
            </w:r>
          </w:p>
        </w:tc>
        <w:tc>
          <w:tcPr>
            <w:tcW w:w="850" w:type="dxa"/>
          </w:tcPr>
          <w:p>
            <w:pPr>
              <w:pStyle w:val="0"/>
              <w:jc w:val="center"/>
            </w:pPr>
            <w:r>
              <w:rPr>
                <w:sz w:val="20"/>
              </w:rPr>
              <w:t xml:space="preserve">2017</w:t>
            </w:r>
          </w:p>
        </w:tc>
        <w:tc>
          <w:tcPr>
            <w:tcW w:w="850" w:type="dxa"/>
          </w:tcPr>
          <w:p>
            <w:pPr>
              <w:pStyle w:val="0"/>
              <w:jc w:val="center"/>
            </w:pPr>
            <w:r>
              <w:rPr>
                <w:sz w:val="20"/>
              </w:rPr>
              <w:t xml:space="preserve">2018</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850" w:type="dxa"/>
          </w:tcPr>
          <w:p>
            <w:pPr>
              <w:pStyle w:val="0"/>
              <w:jc w:val="center"/>
            </w:pPr>
            <w:r>
              <w:rPr>
                <w:sz w:val="20"/>
              </w:rPr>
              <w:t xml:space="preserve">2021</w:t>
            </w: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c>
          <w:tcPr>
            <w:tcW w:w="1361" w:type="dxa"/>
          </w:tcPr>
          <w:p>
            <w:pPr>
              <w:pStyle w:val="0"/>
            </w:pPr>
            <w:r>
              <w:rPr>
                <w:sz w:val="20"/>
              </w:rPr>
            </w:r>
          </w:p>
        </w:tc>
      </w:tr>
      <w:tr>
        <w:tc>
          <w:tcPr>
            <w:gridSpan w:val="15"/>
            <w:tcW w:w="15473" w:type="dxa"/>
          </w:tcPr>
          <w:p>
            <w:pPr>
              <w:pStyle w:val="0"/>
              <w:outlineLvl w:val="2"/>
              <w:jc w:val="center"/>
            </w:pPr>
            <w:r>
              <w:rPr>
                <w:sz w:val="20"/>
              </w:rPr>
              <w:t xml:space="preserve">Государственная программа Новосибирской области "Развитие государственной молодежной политики Новосибирской области"</w:t>
            </w:r>
          </w:p>
        </w:tc>
      </w:tr>
      <w:tr>
        <w:tc>
          <w:tcPr>
            <w:tcW w:w="1701" w:type="dxa"/>
          </w:tcPr>
          <w:p>
            <w:pPr>
              <w:pStyle w:val="0"/>
            </w:pPr>
            <w:r>
              <w:rPr>
                <w:sz w:val="20"/>
              </w:rPr>
              <w:t xml:space="preserve">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tc>
        <w:tc>
          <w:tcPr>
            <w:tcW w:w="2438" w:type="dxa"/>
          </w:tcPr>
          <w:p>
            <w:pPr>
              <w:pStyle w:val="0"/>
            </w:pPr>
            <w:r>
              <w:rPr>
                <w:sz w:val="20"/>
              </w:rPr>
              <w:t xml:space="preserve">1. 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w:t>
            </w:r>
          </w:p>
        </w:tc>
        <w:tc>
          <w:tcPr>
            <w:tcW w:w="623" w:type="dxa"/>
          </w:tcPr>
          <w:p>
            <w:pPr>
              <w:pStyle w:val="0"/>
              <w:jc w:val="center"/>
            </w:pPr>
            <w:r>
              <w:rPr>
                <w:sz w:val="20"/>
              </w:rPr>
              <w:t xml:space="preserve">%</w:t>
            </w:r>
          </w:p>
        </w:tc>
        <w:tc>
          <w:tcPr>
            <w:tcW w:w="850" w:type="dxa"/>
          </w:tcPr>
          <w:p>
            <w:pPr>
              <w:pStyle w:val="0"/>
              <w:jc w:val="center"/>
            </w:pPr>
            <w:r>
              <w:rPr>
                <w:sz w:val="20"/>
              </w:rPr>
              <w:t xml:space="preserve">58</w:t>
            </w:r>
          </w:p>
        </w:tc>
        <w:tc>
          <w:tcPr>
            <w:tcW w:w="850" w:type="dxa"/>
          </w:tcPr>
          <w:p>
            <w:pPr>
              <w:pStyle w:val="0"/>
              <w:jc w:val="center"/>
            </w:pPr>
            <w:r>
              <w:rPr>
                <w:sz w:val="20"/>
              </w:rPr>
              <w:t xml:space="preserve">59</w:t>
            </w:r>
          </w:p>
        </w:tc>
        <w:tc>
          <w:tcPr>
            <w:tcW w:w="850" w:type="dxa"/>
          </w:tcPr>
          <w:p>
            <w:pPr>
              <w:pStyle w:val="0"/>
              <w:jc w:val="center"/>
            </w:pPr>
            <w:r>
              <w:rPr>
                <w:sz w:val="20"/>
              </w:rPr>
              <w:t xml:space="preserve">79</w:t>
            </w:r>
          </w:p>
        </w:tc>
        <w:tc>
          <w:tcPr>
            <w:tcW w:w="850" w:type="dxa"/>
          </w:tcPr>
          <w:p>
            <w:pPr>
              <w:pStyle w:val="0"/>
              <w:jc w:val="center"/>
            </w:pPr>
            <w:r>
              <w:rPr>
                <w:sz w:val="20"/>
              </w:rPr>
              <w:t xml:space="preserve">80</w:t>
            </w:r>
          </w:p>
        </w:tc>
        <w:tc>
          <w:tcPr>
            <w:tcW w:w="850" w:type="dxa"/>
          </w:tcPr>
          <w:p>
            <w:pPr>
              <w:pStyle w:val="0"/>
              <w:jc w:val="center"/>
            </w:pPr>
            <w:r>
              <w:rPr>
                <w:sz w:val="20"/>
              </w:rPr>
              <w:t xml:space="preserve">82</w:t>
            </w:r>
          </w:p>
        </w:tc>
        <w:tc>
          <w:tcPr>
            <w:tcW w:w="850" w:type="dxa"/>
          </w:tcPr>
          <w:p>
            <w:pPr>
              <w:pStyle w:val="0"/>
              <w:jc w:val="center"/>
            </w:pPr>
            <w:r>
              <w:rPr>
                <w:sz w:val="20"/>
              </w:rPr>
              <w:t xml:space="preserve">84</w:t>
            </w:r>
          </w:p>
        </w:tc>
        <w:tc>
          <w:tcPr>
            <w:tcW w:w="850" w:type="dxa"/>
          </w:tcPr>
          <w:p>
            <w:pPr>
              <w:pStyle w:val="0"/>
              <w:jc w:val="center"/>
            </w:pPr>
            <w:r>
              <w:rPr>
                <w:sz w:val="20"/>
              </w:rPr>
              <w:t xml:space="preserve">86</w:t>
            </w:r>
          </w:p>
        </w:tc>
        <w:tc>
          <w:tcPr>
            <w:tcW w:w="850" w:type="dxa"/>
          </w:tcPr>
          <w:p>
            <w:pPr>
              <w:pStyle w:val="0"/>
              <w:jc w:val="center"/>
            </w:pPr>
            <w:r>
              <w:rPr>
                <w:sz w:val="20"/>
              </w:rPr>
              <w:t xml:space="preserve">87</w:t>
            </w:r>
          </w:p>
        </w:tc>
        <w:tc>
          <w:tcPr>
            <w:tcW w:w="850" w:type="dxa"/>
          </w:tcPr>
          <w:p>
            <w:pPr>
              <w:pStyle w:val="0"/>
              <w:jc w:val="center"/>
            </w:pPr>
            <w:r>
              <w:rPr>
                <w:sz w:val="20"/>
              </w:rPr>
              <w:t xml:space="preserve">88</w:t>
            </w:r>
          </w:p>
        </w:tc>
        <w:tc>
          <w:tcPr>
            <w:tcW w:w="850" w:type="dxa"/>
          </w:tcPr>
          <w:p>
            <w:pPr>
              <w:pStyle w:val="0"/>
              <w:jc w:val="center"/>
            </w:pPr>
            <w:r>
              <w:rPr>
                <w:sz w:val="20"/>
              </w:rPr>
              <w:t xml:space="preserve">89</w:t>
            </w:r>
          </w:p>
        </w:tc>
        <w:tc>
          <w:tcPr>
            <w:tcW w:w="850" w:type="dxa"/>
          </w:tcPr>
          <w:p>
            <w:pPr>
              <w:pStyle w:val="0"/>
              <w:jc w:val="center"/>
            </w:pPr>
            <w:r>
              <w:rPr>
                <w:sz w:val="20"/>
              </w:rPr>
              <w:t xml:space="preserve">90</w:t>
            </w:r>
          </w:p>
        </w:tc>
        <w:tc>
          <w:tcPr>
            <w:tcW w:w="1361" w:type="dxa"/>
          </w:tcPr>
          <w:p>
            <w:pPr>
              <w:pStyle w:val="0"/>
            </w:pPr>
            <w:r>
              <w:rPr>
                <w:sz w:val="20"/>
              </w:rPr>
              <w:t xml:space="preserve">ежегодно</w:t>
            </w:r>
          </w:p>
        </w:tc>
      </w:tr>
      <w:tr>
        <w:tc>
          <w:tcPr>
            <w:tcW w:w="1701" w:type="dxa"/>
            <w:tcBorders>
              <w:bottom w:val="nil"/>
            </w:tcBorders>
            <w:vMerge w:val="restart"/>
          </w:tcPr>
          <w:p>
            <w:pPr>
              <w:pStyle w:val="0"/>
            </w:pPr>
            <w:r>
              <w:rPr>
                <w:sz w:val="20"/>
              </w:rPr>
              <w:t xml:space="preserve">Задача 1. Вовлечение молодежи в социальную, экономическую, общественно-политическую и культурную жизнь общества</w:t>
            </w:r>
          </w:p>
        </w:tc>
        <w:tc>
          <w:tcPr>
            <w:tcW w:w="2438" w:type="dxa"/>
          </w:tcPr>
          <w:p>
            <w:pPr>
              <w:pStyle w:val="0"/>
            </w:pPr>
            <w:r>
              <w:rPr>
                <w:sz w:val="20"/>
              </w:rPr>
              <w:t xml:space="preserve">2. Численность молодых людей, участвующих в общественно-политических проектах, реализуемых в рамках государственной программы</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1990</w:t>
            </w:r>
          </w:p>
        </w:tc>
        <w:tc>
          <w:tcPr>
            <w:tcW w:w="850" w:type="dxa"/>
          </w:tcPr>
          <w:p>
            <w:pPr>
              <w:pStyle w:val="0"/>
              <w:jc w:val="center"/>
            </w:pPr>
            <w:r>
              <w:rPr>
                <w:sz w:val="20"/>
              </w:rPr>
              <w:t xml:space="preserve">2800</w:t>
            </w:r>
          </w:p>
        </w:tc>
        <w:tc>
          <w:tcPr>
            <w:tcW w:w="850" w:type="dxa"/>
          </w:tcPr>
          <w:p>
            <w:pPr>
              <w:pStyle w:val="0"/>
              <w:jc w:val="center"/>
            </w:pPr>
            <w:r>
              <w:rPr>
                <w:sz w:val="20"/>
              </w:rPr>
              <w:t xml:space="preserve">10700</w:t>
            </w:r>
          </w:p>
        </w:tc>
        <w:tc>
          <w:tcPr>
            <w:tcW w:w="850" w:type="dxa"/>
          </w:tcPr>
          <w:p>
            <w:pPr>
              <w:pStyle w:val="0"/>
              <w:jc w:val="center"/>
            </w:pPr>
            <w:r>
              <w:rPr>
                <w:sz w:val="20"/>
              </w:rPr>
              <w:t xml:space="preserve">13895</w:t>
            </w:r>
          </w:p>
        </w:tc>
        <w:tc>
          <w:tcPr>
            <w:tcW w:w="850" w:type="dxa"/>
          </w:tcPr>
          <w:p>
            <w:pPr>
              <w:pStyle w:val="0"/>
              <w:jc w:val="center"/>
            </w:pPr>
            <w:r>
              <w:rPr>
                <w:sz w:val="20"/>
              </w:rPr>
              <w:t xml:space="preserve">14090</w:t>
            </w:r>
          </w:p>
        </w:tc>
        <w:tc>
          <w:tcPr>
            <w:tcW w:w="850" w:type="dxa"/>
          </w:tcPr>
          <w:p>
            <w:pPr>
              <w:pStyle w:val="0"/>
              <w:jc w:val="center"/>
            </w:pPr>
            <w:r>
              <w:rPr>
                <w:sz w:val="20"/>
              </w:rPr>
              <w:t xml:space="preserve">14946</w:t>
            </w:r>
          </w:p>
        </w:tc>
        <w:tc>
          <w:tcPr>
            <w:tcW w:w="850" w:type="dxa"/>
          </w:tcPr>
          <w:p>
            <w:pPr>
              <w:pStyle w:val="0"/>
              <w:jc w:val="center"/>
            </w:pPr>
            <w:r>
              <w:rPr>
                <w:sz w:val="20"/>
              </w:rPr>
              <w:t xml:space="preserve">14966</w:t>
            </w:r>
          </w:p>
        </w:tc>
        <w:tc>
          <w:tcPr>
            <w:tcW w:w="850" w:type="dxa"/>
          </w:tcPr>
          <w:p>
            <w:pPr>
              <w:pStyle w:val="0"/>
              <w:jc w:val="center"/>
            </w:pPr>
            <w:r>
              <w:rPr>
                <w:sz w:val="20"/>
              </w:rPr>
              <w:t xml:space="preserve">16441</w:t>
            </w:r>
          </w:p>
        </w:tc>
        <w:tc>
          <w:tcPr>
            <w:tcW w:w="850" w:type="dxa"/>
          </w:tcPr>
          <w:p>
            <w:pPr>
              <w:pStyle w:val="0"/>
              <w:jc w:val="center"/>
            </w:pPr>
            <w:r>
              <w:rPr>
                <w:sz w:val="20"/>
              </w:rPr>
              <w:t xml:space="preserve">16500</w:t>
            </w:r>
          </w:p>
        </w:tc>
        <w:tc>
          <w:tcPr>
            <w:tcW w:w="850" w:type="dxa"/>
          </w:tcPr>
          <w:p>
            <w:pPr>
              <w:pStyle w:val="0"/>
              <w:jc w:val="center"/>
            </w:pPr>
            <w:r>
              <w:rPr>
                <w:sz w:val="20"/>
              </w:rPr>
              <w:t xml:space="preserve">16600</w:t>
            </w:r>
          </w:p>
        </w:tc>
        <w:tc>
          <w:tcPr>
            <w:tcW w:w="1361" w:type="dxa"/>
          </w:tcPr>
          <w:p>
            <w:pPr>
              <w:pStyle w:val="0"/>
            </w:pPr>
            <w:r>
              <w:rPr>
                <w:sz w:val="20"/>
              </w:rPr>
              <w:t xml:space="preserve">ежегодно</w:t>
            </w:r>
          </w:p>
        </w:tc>
      </w:tr>
      <w:tr>
        <w:tc>
          <w:tcPr>
            <w:tcBorders>
              <w:bottom w:val="nil"/>
            </w:tcBorders>
            <w:vMerge w:val="continue"/>
          </w:tcPr>
          <w:p/>
        </w:tc>
        <w:tc>
          <w:tcPr>
            <w:tcW w:w="2438" w:type="dxa"/>
          </w:tcPr>
          <w:p>
            <w:pPr>
              <w:pStyle w:val="0"/>
            </w:pPr>
            <w:r>
              <w:rPr>
                <w:sz w:val="20"/>
              </w:rPr>
              <w:t xml:space="preserve">3. Численность молодых людей, участвующих в мероприятиях, направленных на трудовое воспитание молодежи Новосибирской области, реализуемых в рамках государственной программы</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16485</w:t>
            </w:r>
          </w:p>
        </w:tc>
        <w:tc>
          <w:tcPr>
            <w:tcW w:w="850" w:type="dxa"/>
          </w:tcPr>
          <w:p>
            <w:pPr>
              <w:pStyle w:val="0"/>
              <w:jc w:val="center"/>
            </w:pPr>
            <w:r>
              <w:rPr>
                <w:sz w:val="20"/>
              </w:rPr>
              <w:t xml:space="preserve">16500</w:t>
            </w:r>
          </w:p>
        </w:tc>
        <w:tc>
          <w:tcPr>
            <w:tcW w:w="850" w:type="dxa"/>
          </w:tcPr>
          <w:p>
            <w:pPr>
              <w:pStyle w:val="0"/>
              <w:jc w:val="center"/>
            </w:pPr>
            <w:r>
              <w:rPr>
                <w:sz w:val="20"/>
              </w:rPr>
              <w:t xml:space="preserve">18550</w:t>
            </w:r>
          </w:p>
        </w:tc>
        <w:tc>
          <w:tcPr>
            <w:tcW w:w="850" w:type="dxa"/>
          </w:tcPr>
          <w:p>
            <w:pPr>
              <w:pStyle w:val="0"/>
              <w:jc w:val="center"/>
            </w:pPr>
            <w:r>
              <w:rPr>
                <w:sz w:val="20"/>
              </w:rPr>
              <w:t xml:space="preserve">18600</w:t>
            </w:r>
          </w:p>
        </w:tc>
        <w:tc>
          <w:tcPr>
            <w:tcW w:w="850" w:type="dxa"/>
          </w:tcPr>
          <w:p>
            <w:pPr>
              <w:pStyle w:val="0"/>
              <w:jc w:val="center"/>
            </w:pPr>
            <w:r>
              <w:rPr>
                <w:sz w:val="20"/>
              </w:rPr>
              <w:t xml:space="preserve">19800</w:t>
            </w:r>
          </w:p>
        </w:tc>
        <w:tc>
          <w:tcPr>
            <w:tcW w:w="850" w:type="dxa"/>
          </w:tcPr>
          <w:p>
            <w:pPr>
              <w:pStyle w:val="0"/>
              <w:jc w:val="center"/>
            </w:pPr>
            <w:r>
              <w:rPr>
                <w:sz w:val="20"/>
              </w:rPr>
              <w:t xml:space="preserve">20365</w:t>
            </w:r>
          </w:p>
        </w:tc>
        <w:tc>
          <w:tcPr>
            <w:tcW w:w="850" w:type="dxa"/>
          </w:tcPr>
          <w:p>
            <w:pPr>
              <w:pStyle w:val="0"/>
              <w:jc w:val="center"/>
            </w:pPr>
            <w:r>
              <w:rPr>
                <w:sz w:val="20"/>
              </w:rPr>
              <w:t xml:space="preserve">20450</w:t>
            </w:r>
          </w:p>
        </w:tc>
        <w:tc>
          <w:tcPr>
            <w:tcW w:w="850" w:type="dxa"/>
          </w:tcPr>
          <w:p>
            <w:pPr>
              <w:pStyle w:val="0"/>
              <w:jc w:val="center"/>
            </w:pPr>
            <w:r>
              <w:rPr>
                <w:sz w:val="20"/>
              </w:rPr>
              <w:t xml:space="preserve">20500</w:t>
            </w:r>
          </w:p>
        </w:tc>
        <w:tc>
          <w:tcPr>
            <w:tcW w:w="1361" w:type="dxa"/>
          </w:tcPr>
          <w:p>
            <w:pPr>
              <w:pStyle w:val="0"/>
            </w:pPr>
            <w:r>
              <w:rPr>
                <w:sz w:val="20"/>
              </w:rPr>
              <w:t xml:space="preserve">ежегодно</w:t>
            </w:r>
          </w:p>
        </w:tc>
      </w:tr>
      <w:tr>
        <w:tc>
          <w:tcPr>
            <w:tcBorders>
              <w:bottom w:val="nil"/>
            </w:tcBorders>
            <w:vMerge w:val="continue"/>
          </w:tcPr>
          <w:p/>
        </w:tc>
        <w:tc>
          <w:tcPr>
            <w:tcW w:w="2438" w:type="dxa"/>
          </w:tcPr>
          <w:p>
            <w:pPr>
              <w:pStyle w:val="0"/>
            </w:pPr>
            <w:r>
              <w:rPr>
                <w:sz w:val="20"/>
              </w:rPr>
              <w:t xml:space="preserve">4. Численность молодых людей, участвующих в мероприятиях, направленных на обеспечение культурного, нравственного, духовного, интеллектуального и творческого развития молодежи, реализуемых в рамках государственной программы</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52400</w:t>
            </w:r>
          </w:p>
        </w:tc>
        <w:tc>
          <w:tcPr>
            <w:tcW w:w="850" w:type="dxa"/>
          </w:tcPr>
          <w:p>
            <w:pPr>
              <w:pStyle w:val="0"/>
              <w:jc w:val="center"/>
            </w:pPr>
            <w:r>
              <w:rPr>
                <w:sz w:val="20"/>
              </w:rPr>
              <w:t xml:space="preserve">62600</w:t>
            </w:r>
          </w:p>
        </w:tc>
        <w:tc>
          <w:tcPr>
            <w:tcW w:w="850" w:type="dxa"/>
          </w:tcPr>
          <w:p>
            <w:pPr>
              <w:pStyle w:val="0"/>
              <w:jc w:val="center"/>
            </w:pPr>
            <w:r>
              <w:rPr>
                <w:sz w:val="20"/>
              </w:rPr>
              <w:t xml:space="preserve">81020</w:t>
            </w:r>
          </w:p>
        </w:tc>
        <w:tc>
          <w:tcPr>
            <w:tcW w:w="850" w:type="dxa"/>
          </w:tcPr>
          <w:p>
            <w:pPr>
              <w:pStyle w:val="0"/>
              <w:jc w:val="center"/>
            </w:pPr>
            <w:r>
              <w:rPr>
                <w:sz w:val="20"/>
              </w:rPr>
              <w:t xml:space="preserve">81100</w:t>
            </w:r>
          </w:p>
        </w:tc>
        <w:tc>
          <w:tcPr>
            <w:tcW w:w="850" w:type="dxa"/>
          </w:tcPr>
          <w:p>
            <w:pPr>
              <w:pStyle w:val="0"/>
              <w:jc w:val="center"/>
            </w:pPr>
            <w:r>
              <w:rPr>
                <w:sz w:val="20"/>
              </w:rPr>
              <w:t xml:space="preserve">81280</w:t>
            </w:r>
          </w:p>
        </w:tc>
        <w:tc>
          <w:tcPr>
            <w:tcW w:w="850" w:type="dxa"/>
          </w:tcPr>
          <w:p>
            <w:pPr>
              <w:pStyle w:val="0"/>
              <w:jc w:val="center"/>
            </w:pPr>
            <w:r>
              <w:rPr>
                <w:sz w:val="20"/>
              </w:rPr>
              <w:t xml:space="preserve">84585</w:t>
            </w:r>
          </w:p>
        </w:tc>
        <w:tc>
          <w:tcPr>
            <w:tcW w:w="850" w:type="dxa"/>
          </w:tcPr>
          <w:p>
            <w:pPr>
              <w:pStyle w:val="0"/>
              <w:jc w:val="center"/>
            </w:pPr>
            <w:r>
              <w:rPr>
                <w:sz w:val="20"/>
              </w:rPr>
              <w:t xml:space="preserve">99565</w:t>
            </w:r>
          </w:p>
        </w:tc>
        <w:tc>
          <w:tcPr>
            <w:tcW w:w="850" w:type="dxa"/>
          </w:tcPr>
          <w:p>
            <w:pPr>
              <w:pStyle w:val="0"/>
              <w:jc w:val="center"/>
            </w:pPr>
            <w:r>
              <w:rPr>
                <w:sz w:val="20"/>
              </w:rPr>
              <w:t xml:space="preserve">100957</w:t>
            </w:r>
          </w:p>
        </w:tc>
        <w:tc>
          <w:tcPr>
            <w:tcW w:w="850" w:type="dxa"/>
          </w:tcPr>
          <w:p>
            <w:pPr>
              <w:pStyle w:val="0"/>
              <w:jc w:val="center"/>
            </w:pPr>
            <w:r>
              <w:rPr>
                <w:sz w:val="20"/>
              </w:rPr>
              <w:t xml:space="preserve">102000</w:t>
            </w:r>
          </w:p>
        </w:tc>
        <w:tc>
          <w:tcPr>
            <w:tcW w:w="850" w:type="dxa"/>
          </w:tcPr>
          <w:p>
            <w:pPr>
              <w:pStyle w:val="0"/>
              <w:jc w:val="center"/>
            </w:pPr>
            <w:r>
              <w:rPr>
                <w:sz w:val="20"/>
              </w:rPr>
              <w:t xml:space="preserve">102100</w:t>
            </w:r>
          </w:p>
        </w:tc>
        <w:tc>
          <w:tcPr>
            <w:tcW w:w="1361" w:type="dxa"/>
          </w:tcPr>
          <w:p>
            <w:pPr>
              <w:pStyle w:val="0"/>
            </w:pPr>
            <w:r>
              <w:rPr>
                <w:sz w:val="20"/>
              </w:rPr>
              <w:t xml:space="preserve">ежегодно</w:t>
            </w:r>
          </w:p>
        </w:tc>
      </w:tr>
      <w:tr>
        <w:tc>
          <w:tcPr>
            <w:tcW w:w="1701" w:type="dxa"/>
            <w:tcBorders>
              <w:top w:val="nil"/>
              <w:bottom w:val="nil"/>
            </w:tcBorders>
            <w:vMerge w:val="restart"/>
          </w:tcPr>
          <w:p>
            <w:pPr>
              <w:pStyle w:val="0"/>
            </w:pPr>
            <w:r>
              <w:rPr>
                <w:sz w:val="20"/>
              </w:rPr>
            </w:r>
          </w:p>
        </w:tc>
        <w:tc>
          <w:tcPr>
            <w:tcW w:w="2438" w:type="dxa"/>
          </w:tcPr>
          <w:p>
            <w:pPr>
              <w:pStyle w:val="0"/>
            </w:pPr>
            <w:r>
              <w:rPr>
                <w:sz w:val="20"/>
              </w:rPr>
              <w:t xml:space="preserve">5. Численность молодых людей, участвующих в мероприятиях,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реализуемых в рамках государственной программы</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3200</w:t>
            </w:r>
          </w:p>
        </w:tc>
        <w:tc>
          <w:tcPr>
            <w:tcW w:w="850" w:type="dxa"/>
          </w:tcPr>
          <w:p>
            <w:pPr>
              <w:pStyle w:val="0"/>
              <w:jc w:val="center"/>
            </w:pPr>
            <w:r>
              <w:rPr>
                <w:sz w:val="20"/>
              </w:rPr>
              <w:t xml:space="preserve">4800</w:t>
            </w:r>
          </w:p>
        </w:tc>
        <w:tc>
          <w:tcPr>
            <w:tcW w:w="850" w:type="dxa"/>
          </w:tcPr>
          <w:p>
            <w:pPr>
              <w:pStyle w:val="0"/>
              <w:jc w:val="center"/>
            </w:pPr>
            <w:r>
              <w:rPr>
                <w:sz w:val="20"/>
              </w:rPr>
              <w:t xml:space="preserve">8650</w:t>
            </w:r>
          </w:p>
        </w:tc>
        <w:tc>
          <w:tcPr>
            <w:tcW w:w="850" w:type="dxa"/>
          </w:tcPr>
          <w:p>
            <w:pPr>
              <w:pStyle w:val="0"/>
              <w:jc w:val="center"/>
            </w:pPr>
            <w:r>
              <w:rPr>
                <w:sz w:val="20"/>
              </w:rPr>
              <w:t xml:space="preserve">8750</w:t>
            </w:r>
          </w:p>
        </w:tc>
        <w:tc>
          <w:tcPr>
            <w:tcW w:w="850" w:type="dxa"/>
          </w:tcPr>
          <w:p>
            <w:pPr>
              <w:pStyle w:val="0"/>
              <w:jc w:val="center"/>
            </w:pPr>
            <w:r>
              <w:rPr>
                <w:sz w:val="20"/>
              </w:rPr>
              <w:t xml:space="preserve">9200</w:t>
            </w:r>
          </w:p>
        </w:tc>
        <w:tc>
          <w:tcPr>
            <w:tcW w:w="850" w:type="dxa"/>
          </w:tcPr>
          <w:p>
            <w:pPr>
              <w:pStyle w:val="0"/>
              <w:jc w:val="center"/>
            </w:pPr>
            <w:r>
              <w:rPr>
                <w:sz w:val="20"/>
              </w:rPr>
              <w:t xml:space="preserve">9250</w:t>
            </w:r>
          </w:p>
        </w:tc>
        <w:tc>
          <w:tcPr>
            <w:tcW w:w="850" w:type="dxa"/>
          </w:tcPr>
          <w:p>
            <w:pPr>
              <w:pStyle w:val="0"/>
              <w:jc w:val="center"/>
            </w:pPr>
            <w:r>
              <w:rPr>
                <w:sz w:val="20"/>
              </w:rPr>
              <w:t xml:space="preserve">9300</w:t>
            </w:r>
          </w:p>
        </w:tc>
        <w:tc>
          <w:tcPr>
            <w:tcW w:w="850" w:type="dxa"/>
          </w:tcPr>
          <w:p>
            <w:pPr>
              <w:pStyle w:val="0"/>
              <w:jc w:val="center"/>
            </w:pPr>
            <w:r>
              <w:rPr>
                <w:sz w:val="20"/>
              </w:rPr>
              <w:t xml:space="preserve">7150</w:t>
            </w:r>
          </w:p>
        </w:tc>
        <w:tc>
          <w:tcPr>
            <w:tcW w:w="850" w:type="dxa"/>
          </w:tcPr>
          <w:p>
            <w:pPr>
              <w:pStyle w:val="0"/>
              <w:jc w:val="center"/>
            </w:pPr>
            <w:r>
              <w:rPr>
                <w:sz w:val="20"/>
              </w:rPr>
              <w:t xml:space="preserve">7300</w:t>
            </w:r>
          </w:p>
        </w:tc>
        <w:tc>
          <w:tcPr>
            <w:tcW w:w="850" w:type="dxa"/>
          </w:tcPr>
          <w:p>
            <w:pPr>
              <w:pStyle w:val="0"/>
              <w:jc w:val="center"/>
            </w:pPr>
            <w:r>
              <w:rPr>
                <w:sz w:val="20"/>
              </w:rPr>
              <w:t xml:space="preserve">7500</w:t>
            </w:r>
          </w:p>
        </w:tc>
        <w:tc>
          <w:tcPr>
            <w:tcW w:w="1361" w:type="dxa"/>
          </w:tcPr>
          <w:p>
            <w:pPr>
              <w:pStyle w:val="0"/>
            </w:pPr>
            <w:r>
              <w:rPr>
                <w:sz w:val="20"/>
              </w:rPr>
              <w:t xml:space="preserve">ежегодно</w:t>
            </w:r>
          </w:p>
        </w:tc>
      </w:tr>
      <w:tr>
        <w:tc>
          <w:tcPr>
            <w:tcBorders>
              <w:top w:val="nil"/>
              <w:bottom w:val="nil"/>
            </w:tcBorders>
            <w:vMerge w:val="continue"/>
          </w:tcPr>
          <w:p/>
        </w:tc>
        <w:tc>
          <w:tcPr>
            <w:tcW w:w="2438" w:type="dxa"/>
          </w:tcPr>
          <w:p>
            <w:pPr>
              <w:pStyle w:val="0"/>
            </w:pPr>
            <w:r>
              <w:rPr>
                <w:sz w:val="20"/>
              </w:rPr>
              <w:t xml:space="preserve">6. 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w:t>
            </w:r>
          </w:p>
        </w:tc>
        <w:tc>
          <w:tcPr>
            <w:tcW w:w="623"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148</w:t>
            </w:r>
          </w:p>
        </w:tc>
        <w:tc>
          <w:tcPr>
            <w:tcW w:w="850" w:type="dxa"/>
          </w:tcPr>
          <w:p>
            <w:pPr>
              <w:pStyle w:val="0"/>
              <w:jc w:val="center"/>
            </w:pPr>
            <w:r>
              <w:rPr>
                <w:sz w:val="20"/>
              </w:rPr>
              <w:t xml:space="preserve">195</w:t>
            </w:r>
          </w:p>
        </w:tc>
        <w:tc>
          <w:tcPr>
            <w:tcW w:w="850" w:type="dxa"/>
          </w:tcPr>
          <w:p>
            <w:pPr>
              <w:pStyle w:val="0"/>
              <w:jc w:val="center"/>
            </w:pPr>
            <w:r>
              <w:rPr>
                <w:sz w:val="20"/>
              </w:rPr>
              <w:t xml:space="preserve">215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361" w:type="dxa"/>
          </w:tcPr>
          <w:p>
            <w:pPr>
              <w:pStyle w:val="0"/>
            </w:pPr>
            <w:r>
              <w:rPr>
                <w:sz w:val="20"/>
              </w:rPr>
              <w:t xml:space="preserve">целевой индикатор исключен с 2021 года</w:t>
            </w:r>
          </w:p>
        </w:tc>
      </w:tr>
      <w:tr>
        <w:tc>
          <w:tcPr>
            <w:tcW w:w="1701" w:type="dxa"/>
            <w:tcBorders>
              <w:top w:val="nil"/>
              <w:bottom w:val="nil"/>
            </w:tcBorders>
            <w:vMerge w:val="restart"/>
          </w:tcPr>
          <w:p>
            <w:pPr>
              <w:pStyle w:val="0"/>
            </w:pPr>
            <w:r>
              <w:rPr>
                <w:sz w:val="20"/>
              </w:rPr>
            </w:r>
          </w:p>
        </w:tc>
        <w:tc>
          <w:tcPr>
            <w:tcW w:w="2438" w:type="dxa"/>
          </w:tcPr>
          <w:p>
            <w:pPr>
              <w:pStyle w:val="0"/>
            </w:pPr>
            <w:r>
              <w:rPr>
                <w:sz w:val="20"/>
              </w:rPr>
              <w:t xml:space="preserve">7.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tc>
        <w:tc>
          <w:tcPr>
            <w:tcW w:w="623" w:type="dxa"/>
          </w:tcPr>
          <w:p>
            <w:pPr>
              <w:pStyle w:val="0"/>
              <w:jc w:val="center"/>
            </w:pPr>
            <w:r>
              <w:rPr>
                <w:sz w:val="20"/>
              </w:rPr>
              <w:t xml:space="preserve">млн. 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0,08</w:t>
            </w:r>
          </w:p>
        </w:tc>
        <w:tc>
          <w:tcPr>
            <w:tcW w:w="850" w:type="dxa"/>
          </w:tcPr>
          <w:p>
            <w:pPr>
              <w:pStyle w:val="0"/>
              <w:jc w:val="center"/>
            </w:pPr>
            <w:r>
              <w:rPr>
                <w:sz w:val="20"/>
              </w:rPr>
              <w:t xml:space="preserve">0,0925</w:t>
            </w:r>
          </w:p>
        </w:tc>
        <w:tc>
          <w:tcPr>
            <w:tcW w:w="850" w:type="dxa"/>
          </w:tcPr>
          <w:p>
            <w:pPr>
              <w:pStyle w:val="0"/>
              <w:jc w:val="center"/>
            </w:pPr>
            <w:r>
              <w:rPr>
                <w:sz w:val="20"/>
              </w:rPr>
              <w:t xml:space="preserve">0,105</w:t>
            </w:r>
          </w:p>
        </w:tc>
        <w:tc>
          <w:tcPr>
            <w:tcW w:w="850" w:type="dxa"/>
          </w:tcPr>
          <w:p>
            <w:pPr>
              <w:pStyle w:val="0"/>
              <w:jc w:val="center"/>
            </w:pPr>
            <w:r>
              <w:rPr>
                <w:sz w:val="20"/>
              </w:rPr>
              <w:t xml:space="preserve">0,145</w:t>
            </w:r>
          </w:p>
        </w:tc>
        <w:tc>
          <w:tcPr>
            <w:tcW w:w="850" w:type="dxa"/>
          </w:tcPr>
          <w:p>
            <w:pPr>
              <w:pStyle w:val="0"/>
              <w:jc w:val="center"/>
            </w:pPr>
            <w:r>
              <w:rPr>
                <w:sz w:val="20"/>
              </w:rPr>
              <w:t xml:space="preserve">0,170</w:t>
            </w:r>
          </w:p>
        </w:tc>
        <w:tc>
          <w:tcPr>
            <w:tcW w:w="850" w:type="dxa"/>
          </w:tcPr>
          <w:p>
            <w:pPr>
              <w:pStyle w:val="0"/>
              <w:jc w:val="center"/>
            </w:pPr>
            <w:r>
              <w:rPr>
                <w:sz w:val="20"/>
              </w:rPr>
              <w:t xml:space="preserve">0,196</w:t>
            </w:r>
          </w:p>
        </w:tc>
        <w:tc>
          <w:tcPr>
            <w:tcW w:w="850" w:type="dxa"/>
          </w:tcPr>
          <w:p>
            <w:pPr>
              <w:pStyle w:val="0"/>
              <w:jc w:val="center"/>
            </w:pPr>
            <w:r>
              <w:rPr>
                <w:sz w:val="20"/>
              </w:rPr>
              <w:t xml:space="preserve">0,221</w:t>
            </w:r>
          </w:p>
        </w:tc>
        <w:tc>
          <w:tcPr>
            <w:tcW w:w="850" w:type="dxa"/>
          </w:tcPr>
          <w:p>
            <w:pPr>
              <w:pStyle w:val="0"/>
              <w:jc w:val="center"/>
            </w:pPr>
            <w:r>
              <w:rPr>
                <w:sz w:val="20"/>
              </w:rPr>
              <w:t xml:space="preserve">0,246</w:t>
            </w:r>
          </w:p>
        </w:tc>
        <w:tc>
          <w:tcPr>
            <w:tcW w:w="1361" w:type="dxa"/>
          </w:tcPr>
          <w:p>
            <w:pPr>
              <w:pStyle w:val="0"/>
            </w:pPr>
            <w:r>
              <w:rPr>
                <w:sz w:val="20"/>
              </w:rPr>
              <w:t xml:space="preserve">целевой индикатор вводится с 2019 года. На 2018 год указано базовое значение целевого индикатора. Значения целевого индикатора приведены нарастающим итогом. РП</w:t>
            </w:r>
          </w:p>
        </w:tc>
      </w:tr>
      <w:tr>
        <w:tc>
          <w:tcPr>
            <w:tcBorders>
              <w:top w:val="nil"/>
              <w:bottom w:val="nil"/>
            </w:tcBorders>
            <w:vMerge w:val="continue"/>
          </w:tcPr>
          <w:p/>
        </w:tc>
        <w:tc>
          <w:tcPr>
            <w:tcW w:w="2438" w:type="dxa"/>
          </w:tcPr>
          <w:p>
            <w:pPr>
              <w:pStyle w:val="0"/>
            </w:pPr>
            <w:r>
              <w:rPr>
                <w:sz w:val="20"/>
              </w:rPr>
              <w:t xml:space="preserve">8. Доля молодежи, задействованной в мероприятиях по вовлечению в творческую деятельность, от общего числа молодежи в Новосибирской области</w:t>
            </w:r>
          </w:p>
        </w:tc>
        <w:tc>
          <w:tcPr>
            <w:tcW w:w="623"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20</w:t>
            </w:r>
          </w:p>
        </w:tc>
        <w:tc>
          <w:tcPr>
            <w:tcW w:w="850" w:type="dxa"/>
          </w:tcPr>
          <w:p>
            <w:pPr>
              <w:pStyle w:val="0"/>
              <w:jc w:val="center"/>
            </w:pPr>
            <w:r>
              <w:rPr>
                <w:sz w:val="20"/>
              </w:rPr>
              <w:t xml:space="preserve">30</w:t>
            </w:r>
          </w:p>
        </w:tc>
        <w:tc>
          <w:tcPr>
            <w:tcW w:w="850" w:type="dxa"/>
          </w:tcPr>
          <w:p>
            <w:pPr>
              <w:pStyle w:val="0"/>
              <w:jc w:val="center"/>
            </w:pPr>
            <w:r>
              <w:rPr>
                <w:sz w:val="20"/>
              </w:rPr>
              <w:t xml:space="preserve">33</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t xml:space="preserve">целевой индикатор исключен с 2021 года</w:t>
            </w:r>
          </w:p>
        </w:tc>
      </w:tr>
      <w:tr>
        <w:tc>
          <w:tcPr>
            <w:tcBorders>
              <w:top w:val="nil"/>
              <w:bottom w:val="nil"/>
            </w:tcBorders>
            <w:vMerge w:val="continue"/>
          </w:tcPr>
          <w:p/>
        </w:tc>
        <w:tc>
          <w:tcPr>
            <w:tcW w:w="2438" w:type="dxa"/>
          </w:tcPr>
          <w:p>
            <w:pPr>
              <w:pStyle w:val="0"/>
            </w:pPr>
            <w:r>
              <w:rPr>
                <w:sz w:val="20"/>
              </w:rPr>
              <w:t xml:space="preserve">9. Доля студентов, вовлеченных в клубное студенческое движение, от общего числа студентов Новосибирской области</w:t>
            </w:r>
          </w:p>
        </w:tc>
        <w:tc>
          <w:tcPr>
            <w:tcW w:w="623"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4,3</w:t>
            </w:r>
          </w:p>
        </w:tc>
        <w:tc>
          <w:tcPr>
            <w:tcW w:w="850" w:type="dxa"/>
          </w:tcPr>
          <w:p>
            <w:pPr>
              <w:pStyle w:val="0"/>
              <w:jc w:val="center"/>
            </w:pPr>
            <w:r>
              <w:rPr>
                <w:sz w:val="20"/>
              </w:rPr>
              <w:t xml:space="preserve">20</w:t>
            </w:r>
          </w:p>
        </w:tc>
        <w:tc>
          <w:tcPr>
            <w:tcW w:w="850" w:type="dxa"/>
          </w:tcPr>
          <w:p>
            <w:pPr>
              <w:pStyle w:val="0"/>
              <w:jc w:val="center"/>
            </w:pPr>
            <w:r>
              <w:rPr>
                <w:sz w:val="20"/>
              </w:rPr>
              <w:t xml:space="preserve">30</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t xml:space="preserve">целевой индикатор исключен с 2021 года</w:t>
            </w:r>
          </w:p>
        </w:tc>
      </w:tr>
      <w:tr>
        <w:tc>
          <w:tcPr>
            <w:tcW w:w="1701" w:type="dxa"/>
            <w:tcBorders>
              <w:top w:val="nil"/>
              <w:bottom w:val="nil"/>
            </w:tcBorders>
            <w:vMerge w:val="restart"/>
          </w:tcPr>
          <w:p>
            <w:pPr>
              <w:pStyle w:val="0"/>
            </w:pPr>
            <w:r>
              <w:rPr>
                <w:sz w:val="20"/>
              </w:rPr>
            </w:r>
          </w:p>
        </w:tc>
        <w:tc>
          <w:tcPr>
            <w:tcW w:w="2438" w:type="dxa"/>
          </w:tcPr>
          <w:p>
            <w:pPr>
              <w:pStyle w:val="0"/>
            </w:pPr>
            <w:r>
              <w:rPr>
                <w:sz w:val="20"/>
              </w:rPr>
              <w:t xml:space="preserve">10.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623"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w:t>
            </w:r>
          </w:p>
        </w:tc>
        <w:tc>
          <w:tcPr>
            <w:tcW w:w="850" w:type="dxa"/>
          </w:tcPr>
          <w:p>
            <w:pPr>
              <w:pStyle w:val="0"/>
              <w:jc w:val="center"/>
            </w:pPr>
            <w:r>
              <w:rPr>
                <w:sz w:val="20"/>
              </w:rPr>
              <w:t xml:space="preserve">0,1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1361" w:type="dxa"/>
          </w:tcPr>
          <w:p>
            <w:pPr>
              <w:pStyle w:val="0"/>
            </w:pPr>
            <w:r>
              <w:rPr>
                <w:sz w:val="20"/>
              </w:rPr>
              <w:t xml:space="preserve">целевой индикатор исключен с 2020 года</w:t>
            </w:r>
          </w:p>
        </w:tc>
      </w:tr>
      <w:tr>
        <w:tc>
          <w:tcPr>
            <w:tcBorders>
              <w:top w:val="nil"/>
              <w:bottom w:val="nil"/>
            </w:tcBorders>
            <w:vMerge w:val="continue"/>
          </w:tcPr>
          <w:p/>
        </w:tc>
        <w:tc>
          <w:tcPr>
            <w:tcW w:w="2438" w:type="dxa"/>
          </w:tcPr>
          <w:p>
            <w:pPr>
              <w:pStyle w:val="0"/>
            </w:pPr>
            <w:r>
              <w:rPr>
                <w:sz w:val="20"/>
              </w:rPr>
              <w:t xml:space="preserve">11. 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tc>
        <w:tc>
          <w:tcPr>
            <w:tcW w:w="623" w:type="dxa"/>
          </w:tcPr>
          <w:p>
            <w:pPr>
              <w:pStyle w:val="0"/>
              <w:jc w:val="center"/>
            </w:pPr>
            <w:r>
              <w:rPr>
                <w:sz w:val="20"/>
              </w:rPr>
              <w:t xml:space="preserve">тыс. 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w:t>
            </w:r>
          </w:p>
        </w:tc>
        <w:tc>
          <w:tcPr>
            <w:tcW w:w="850" w:type="dxa"/>
          </w:tcPr>
          <w:p>
            <w:pPr>
              <w:pStyle w:val="0"/>
              <w:jc w:val="center"/>
            </w:pPr>
            <w:r>
              <w:rPr>
                <w:sz w:val="20"/>
              </w:rPr>
              <w:t xml:space="preserve">0,065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1361" w:type="dxa"/>
          </w:tcPr>
          <w:p>
            <w:pPr>
              <w:pStyle w:val="0"/>
            </w:pPr>
            <w:r>
              <w:rPr>
                <w:sz w:val="20"/>
              </w:rPr>
              <w:t xml:space="preserve">целевой индикатор исключен с 2020 года</w:t>
            </w:r>
          </w:p>
        </w:tc>
      </w:tr>
      <w:tr>
        <w:tc>
          <w:tcPr>
            <w:tcBorders>
              <w:top w:val="nil"/>
              <w:bottom w:val="nil"/>
            </w:tcBorders>
            <w:vMerge w:val="continue"/>
          </w:tcPr>
          <w:p/>
        </w:tc>
        <w:tc>
          <w:tcPr>
            <w:tcW w:w="2438" w:type="dxa"/>
          </w:tcPr>
          <w:p>
            <w:pPr>
              <w:pStyle w:val="0"/>
            </w:pPr>
            <w:r>
              <w:rPr>
                <w:sz w:val="20"/>
              </w:rPr>
              <w:t xml:space="preserve">12. Количество обученных основам ведения бизнеса, финансовой грамотности и иным навыкам предпринимательской деятельности</w:t>
            </w:r>
          </w:p>
        </w:tc>
        <w:tc>
          <w:tcPr>
            <w:tcW w:w="623"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w:t>
            </w:r>
          </w:p>
        </w:tc>
        <w:tc>
          <w:tcPr>
            <w:tcW w:w="850" w:type="dxa"/>
          </w:tcPr>
          <w:p>
            <w:pPr>
              <w:pStyle w:val="0"/>
              <w:jc w:val="center"/>
            </w:pPr>
            <w:r>
              <w:rPr>
                <w:sz w:val="20"/>
              </w:rPr>
              <w:t xml:space="preserve">0,4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1361" w:type="dxa"/>
          </w:tcPr>
          <w:p>
            <w:pPr>
              <w:pStyle w:val="0"/>
            </w:pPr>
            <w:r>
              <w:rPr>
                <w:sz w:val="20"/>
              </w:rPr>
              <w:t xml:space="preserve">целевой индикатор исключен с 2020 года</w:t>
            </w:r>
          </w:p>
        </w:tc>
      </w:tr>
      <w:tr>
        <w:tc>
          <w:tcPr>
            <w:tcBorders>
              <w:top w:val="nil"/>
              <w:bottom w:val="nil"/>
            </w:tcBorders>
            <w:vMerge w:val="continue"/>
          </w:tcPr>
          <w:p/>
        </w:tc>
        <w:tc>
          <w:tcPr>
            <w:tcW w:w="2438" w:type="dxa"/>
          </w:tcPr>
          <w:p>
            <w:pPr>
              <w:pStyle w:val="0"/>
            </w:pPr>
            <w:r>
              <w:rPr>
                <w:sz w:val="20"/>
              </w:rPr>
              <w:t xml:space="preserve">13. Количество физических лиц - участников регионального проекта "Популяризация предпринимательства"</w:t>
            </w:r>
          </w:p>
        </w:tc>
        <w:tc>
          <w:tcPr>
            <w:tcW w:w="623"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w:t>
            </w:r>
          </w:p>
        </w:tc>
        <w:tc>
          <w:tcPr>
            <w:tcW w:w="850" w:type="dxa"/>
          </w:tcPr>
          <w:p>
            <w:pPr>
              <w:pStyle w:val="0"/>
              <w:jc w:val="center"/>
            </w:pPr>
            <w:r>
              <w:rPr>
                <w:sz w:val="20"/>
              </w:rPr>
              <w:t xml:space="preserve">4,0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1361" w:type="dxa"/>
          </w:tcPr>
          <w:p>
            <w:pPr>
              <w:pStyle w:val="0"/>
            </w:pPr>
            <w:r>
              <w:rPr>
                <w:sz w:val="20"/>
              </w:rPr>
              <w:t xml:space="preserve">целевой индикатор исключен с 2020 года</w:t>
            </w:r>
          </w:p>
        </w:tc>
      </w:tr>
      <w:tr>
        <w:tc>
          <w:tcPr>
            <w:tcW w:w="1701" w:type="dxa"/>
            <w:tcBorders>
              <w:top w:val="nil"/>
              <w:bottom w:val="nil"/>
            </w:tcBorders>
            <w:vMerge w:val="restart"/>
          </w:tcPr>
          <w:p>
            <w:pPr>
              <w:pStyle w:val="0"/>
            </w:pPr>
            <w:r>
              <w:rPr>
                <w:sz w:val="20"/>
              </w:rPr>
            </w:r>
          </w:p>
        </w:tc>
        <w:tc>
          <w:tcPr>
            <w:tcW w:w="2438" w:type="dxa"/>
          </w:tcPr>
          <w:p>
            <w:pPr>
              <w:pStyle w:val="0"/>
            </w:pPr>
            <w:r>
              <w:rPr>
                <w:sz w:val="20"/>
              </w:rPr>
              <w:t xml:space="preserve">14. Численность молодых людей, участвующих в мероприятиях, направленных на популяризацию предпринимательской, инновационной деятельности и трудовое воспитание молодежи Новосибирской области, реализуемых в рамках государственной программы, в том числе:</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20320</w:t>
            </w:r>
          </w:p>
        </w:tc>
        <w:tc>
          <w:tcPr>
            <w:tcW w:w="850" w:type="dxa"/>
          </w:tcPr>
          <w:p>
            <w:pPr>
              <w:pStyle w:val="0"/>
              <w:jc w:val="center"/>
            </w:pPr>
            <w:r>
              <w:rPr>
                <w:sz w:val="20"/>
              </w:rPr>
              <w:t xml:space="preserve">20720</w:t>
            </w:r>
          </w:p>
        </w:tc>
        <w:tc>
          <w:tcPr>
            <w:tcW w:w="850" w:type="dxa"/>
          </w:tcPr>
          <w:p>
            <w:pPr>
              <w:pStyle w:val="0"/>
              <w:jc w:val="center"/>
            </w:pPr>
            <w:r>
              <w:rPr>
                <w:sz w:val="20"/>
              </w:rPr>
              <w:t xml:space="preserve">20500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t xml:space="preserve">целевой индикатор исключен с 2019 года</w:t>
            </w:r>
          </w:p>
        </w:tc>
      </w:tr>
      <w:tr>
        <w:tc>
          <w:tcPr>
            <w:tcBorders>
              <w:top w:val="nil"/>
              <w:bottom w:val="nil"/>
            </w:tcBorders>
            <w:vMerge w:val="continue"/>
          </w:tcPr>
          <w:p/>
        </w:tc>
        <w:tc>
          <w:tcPr>
            <w:tcW w:w="2438" w:type="dxa"/>
          </w:tcPr>
          <w:p>
            <w:pPr>
              <w:pStyle w:val="0"/>
            </w:pPr>
            <w:r>
              <w:rPr>
                <w:sz w:val="20"/>
              </w:rPr>
              <w:t xml:space="preserve">количество физических лиц в возрасте до 30 лет (включительно), вовлеченных в реализацию мероприятий, направленных на развитие предпринимательства в молодежной среде на территории Новосибирской области</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4200</w:t>
            </w:r>
          </w:p>
        </w:tc>
        <w:tc>
          <w:tcPr>
            <w:tcW w:w="850" w:type="dxa"/>
          </w:tcPr>
          <w:p>
            <w:pPr>
              <w:pStyle w:val="0"/>
              <w:jc w:val="center"/>
            </w:pPr>
            <w:r>
              <w:rPr>
                <w:sz w:val="20"/>
              </w:rPr>
              <w:t xml:space="preserve">4120</w:t>
            </w:r>
          </w:p>
        </w:tc>
        <w:tc>
          <w:tcPr>
            <w:tcW w:w="850" w:type="dxa"/>
          </w:tcPr>
          <w:p>
            <w:pPr>
              <w:pStyle w:val="0"/>
              <w:jc w:val="center"/>
            </w:pPr>
            <w:r>
              <w:rPr>
                <w:sz w:val="20"/>
              </w:rPr>
              <w:t xml:space="preserve">4015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t xml:space="preserve">целевой индикатор исключен с 2019 года</w:t>
            </w:r>
          </w:p>
        </w:tc>
      </w:tr>
      <w:tr>
        <w:tc>
          <w:tcPr>
            <w:tcW w:w="1701" w:type="dxa"/>
            <w:tcBorders>
              <w:top w:val="nil"/>
            </w:tcBorders>
            <w:vMerge w:val="restart"/>
          </w:tcPr>
          <w:p>
            <w:pPr>
              <w:pStyle w:val="0"/>
            </w:pPr>
            <w:r>
              <w:rPr>
                <w:sz w:val="20"/>
              </w:rPr>
            </w:r>
          </w:p>
        </w:tc>
        <w:tc>
          <w:tcPr>
            <w:tcW w:w="2438" w:type="dxa"/>
          </w:tcPr>
          <w:p>
            <w:pPr>
              <w:pStyle w:val="0"/>
            </w:pPr>
            <w:r>
              <w:rPr>
                <w:sz w:val="20"/>
              </w:rPr>
              <w:t xml:space="preserve">15. Количество субъектов малого и среднего предпринимательства, созданных физическими лицами в возрасте до 30 лет (включительно)</w:t>
            </w:r>
          </w:p>
        </w:tc>
        <w:tc>
          <w:tcPr>
            <w:tcW w:w="623" w:type="dxa"/>
          </w:tcPr>
          <w:p>
            <w:pPr>
              <w:pStyle w:val="0"/>
              <w:jc w:val="center"/>
            </w:pPr>
            <w:r>
              <w:rPr>
                <w:sz w:val="20"/>
              </w:rPr>
              <w:t xml:space="preserve">единица</w:t>
            </w:r>
          </w:p>
        </w:tc>
        <w:tc>
          <w:tcPr>
            <w:tcW w:w="850" w:type="dxa"/>
          </w:tcPr>
          <w:p>
            <w:pPr>
              <w:pStyle w:val="0"/>
              <w:jc w:val="center"/>
            </w:pPr>
            <w:r>
              <w:rPr>
                <w:sz w:val="20"/>
              </w:rPr>
              <w:t xml:space="preserve">-</w:t>
            </w:r>
          </w:p>
        </w:tc>
        <w:tc>
          <w:tcPr>
            <w:tcW w:w="850" w:type="dxa"/>
          </w:tcPr>
          <w:p>
            <w:pPr>
              <w:pStyle w:val="0"/>
              <w:jc w:val="center"/>
            </w:pPr>
            <w:r>
              <w:rPr>
                <w:sz w:val="20"/>
              </w:rPr>
              <w:t xml:space="preserve">105</w:t>
            </w:r>
          </w:p>
        </w:tc>
        <w:tc>
          <w:tcPr>
            <w:tcW w:w="850" w:type="dxa"/>
          </w:tcPr>
          <w:p>
            <w:pPr>
              <w:pStyle w:val="0"/>
              <w:jc w:val="center"/>
            </w:pPr>
            <w:r>
              <w:rPr>
                <w:sz w:val="20"/>
              </w:rPr>
              <w:t xml:space="preserve">94</w:t>
            </w:r>
          </w:p>
        </w:tc>
        <w:tc>
          <w:tcPr>
            <w:tcW w:w="850" w:type="dxa"/>
          </w:tcPr>
          <w:p>
            <w:pPr>
              <w:pStyle w:val="0"/>
              <w:jc w:val="center"/>
            </w:pPr>
            <w:r>
              <w:rPr>
                <w:sz w:val="20"/>
              </w:rPr>
              <w:t xml:space="preserve">151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t xml:space="preserve">целевой индикатор исключен с 2019 года</w:t>
            </w:r>
          </w:p>
        </w:tc>
      </w:tr>
      <w:tr>
        <w:tc>
          <w:tcPr>
            <w:tcBorders>
              <w:top w:val="nil"/>
            </w:tcBorders>
            <w:vMerge w:val="continue"/>
          </w:tcPr>
          <w:p/>
        </w:tc>
        <w:tc>
          <w:tcPr>
            <w:tcW w:w="2438" w:type="dxa"/>
          </w:tcPr>
          <w:p>
            <w:pPr>
              <w:pStyle w:val="0"/>
            </w:pPr>
            <w:r>
              <w:rPr>
                <w:sz w:val="20"/>
              </w:rPr>
              <w:t xml:space="preserve">16.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850</w:t>
            </w:r>
          </w:p>
        </w:tc>
        <w:tc>
          <w:tcPr>
            <w:tcW w:w="850" w:type="dxa"/>
          </w:tcPr>
          <w:p>
            <w:pPr>
              <w:pStyle w:val="0"/>
              <w:jc w:val="center"/>
            </w:pPr>
            <w:r>
              <w:rPr>
                <w:sz w:val="20"/>
              </w:rPr>
              <w:t xml:space="preserve">942</w:t>
            </w:r>
          </w:p>
        </w:tc>
        <w:tc>
          <w:tcPr>
            <w:tcW w:w="850" w:type="dxa"/>
          </w:tcPr>
          <w:p>
            <w:pPr>
              <w:pStyle w:val="0"/>
              <w:jc w:val="center"/>
            </w:pPr>
            <w:r>
              <w:rPr>
                <w:sz w:val="20"/>
              </w:rPr>
              <w:t xml:space="preserve">1506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61" w:type="dxa"/>
          </w:tcPr>
          <w:p>
            <w:pPr>
              <w:pStyle w:val="0"/>
            </w:pPr>
            <w:r>
              <w:rPr>
                <w:sz w:val="20"/>
              </w:rPr>
              <w:t xml:space="preserve">целевой индикатор исключен с 2019 года</w:t>
            </w:r>
          </w:p>
        </w:tc>
      </w:tr>
      <w:tr>
        <w:tc>
          <w:tcPr>
            <w:tcW w:w="1701" w:type="dxa"/>
            <w:vMerge w:val="restart"/>
          </w:tcPr>
          <w:p>
            <w:pPr>
              <w:pStyle w:val="0"/>
            </w:pPr>
            <w:r>
              <w:rPr>
                <w:sz w:val="20"/>
              </w:rPr>
              <w:t xml:space="preserve">Задача 2. Повышение эффективности деятельности в сфере молодежной политики</w:t>
            </w:r>
          </w:p>
        </w:tc>
        <w:tc>
          <w:tcPr>
            <w:tcW w:w="2438" w:type="dxa"/>
          </w:tcPr>
          <w:p>
            <w:pPr>
              <w:pStyle w:val="0"/>
            </w:pPr>
            <w:r>
              <w:rPr>
                <w:sz w:val="20"/>
              </w:rPr>
              <w:t xml:space="preserve">17. Численность молодых людей, проинформированных о деятельности в сфере молодежной политики Новосибирской области в рамках реализации государственной программы</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82800</w:t>
            </w:r>
          </w:p>
        </w:tc>
        <w:tc>
          <w:tcPr>
            <w:tcW w:w="850" w:type="dxa"/>
          </w:tcPr>
          <w:p>
            <w:pPr>
              <w:pStyle w:val="0"/>
              <w:jc w:val="center"/>
            </w:pPr>
            <w:r>
              <w:rPr>
                <w:sz w:val="20"/>
              </w:rPr>
              <w:t xml:space="preserve">83000</w:t>
            </w:r>
          </w:p>
        </w:tc>
        <w:tc>
          <w:tcPr>
            <w:tcW w:w="850" w:type="dxa"/>
          </w:tcPr>
          <w:p>
            <w:pPr>
              <w:pStyle w:val="0"/>
              <w:jc w:val="center"/>
            </w:pPr>
            <w:r>
              <w:rPr>
                <w:sz w:val="20"/>
              </w:rPr>
              <w:t xml:space="preserve">91100</w:t>
            </w:r>
          </w:p>
        </w:tc>
        <w:tc>
          <w:tcPr>
            <w:tcW w:w="850" w:type="dxa"/>
          </w:tcPr>
          <w:p>
            <w:pPr>
              <w:pStyle w:val="0"/>
              <w:jc w:val="center"/>
            </w:pPr>
            <w:r>
              <w:rPr>
                <w:sz w:val="20"/>
              </w:rPr>
              <w:t xml:space="preserve">91300</w:t>
            </w:r>
          </w:p>
        </w:tc>
        <w:tc>
          <w:tcPr>
            <w:tcW w:w="850" w:type="dxa"/>
          </w:tcPr>
          <w:p>
            <w:pPr>
              <w:pStyle w:val="0"/>
              <w:jc w:val="center"/>
            </w:pPr>
            <w:r>
              <w:rPr>
                <w:sz w:val="20"/>
              </w:rPr>
              <w:t xml:space="preserve">91500</w:t>
            </w:r>
          </w:p>
        </w:tc>
        <w:tc>
          <w:tcPr>
            <w:tcW w:w="850" w:type="dxa"/>
          </w:tcPr>
          <w:p>
            <w:pPr>
              <w:pStyle w:val="0"/>
              <w:jc w:val="center"/>
            </w:pPr>
            <w:r>
              <w:rPr>
                <w:sz w:val="20"/>
              </w:rPr>
              <w:t xml:space="preserve">110500</w:t>
            </w:r>
          </w:p>
        </w:tc>
        <w:tc>
          <w:tcPr>
            <w:tcW w:w="850" w:type="dxa"/>
          </w:tcPr>
          <w:p>
            <w:pPr>
              <w:pStyle w:val="0"/>
              <w:jc w:val="center"/>
            </w:pPr>
            <w:r>
              <w:rPr>
                <w:sz w:val="20"/>
              </w:rPr>
              <w:t xml:space="preserve">350000</w:t>
            </w:r>
          </w:p>
        </w:tc>
        <w:tc>
          <w:tcPr>
            <w:tcW w:w="850" w:type="dxa"/>
          </w:tcPr>
          <w:p>
            <w:pPr>
              <w:pStyle w:val="0"/>
              <w:jc w:val="center"/>
            </w:pPr>
            <w:r>
              <w:rPr>
                <w:sz w:val="20"/>
              </w:rPr>
              <w:t xml:space="preserve">350200</w:t>
            </w:r>
          </w:p>
        </w:tc>
        <w:tc>
          <w:tcPr>
            <w:tcW w:w="850" w:type="dxa"/>
          </w:tcPr>
          <w:p>
            <w:pPr>
              <w:pStyle w:val="0"/>
              <w:jc w:val="center"/>
            </w:pPr>
            <w:r>
              <w:rPr>
                <w:sz w:val="20"/>
              </w:rPr>
              <w:t xml:space="preserve">350400</w:t>
            </w:r>
          </w:p>
        </w:tc>
        <w:tc>
          <w:tcPr>
            <w:tcW w:w="850" w:type="dxa"/>
          </w:tcPr>
          <w:p>
            <w:pPr>
              <w:pStyle w:val="0"/>
              <w:jc w:val="center"/>
            </w:pPr>
            <w:r>
              <w:rPr>
                <w:sz w:val="20"/>
              </w:rPr>
              <w:t xml:space="preserve">350600</w:t>
            </w:r>
          </w:p>
        </w:tc>
        <w:tc>
          <w:tcPr>
            <w:tcW w:w="1361" w:type="dxa"/>
          </w:tcPr>
          <w:p>
            <w:pPr>
              <w:pStyle w:val="0"/>
            </w:pPr>
            <w:r>
              <w:rPr>
                <w:sz w:val="20"/>
              </w:rPr>
              <w:t xml:space="preserve">ежегодно</w:t>
            </w:r>
          </w:p>
        </w:tc>
      </w:tr>
      <w:tr>
        <w:tc>
          <w:tcPr>
            <w:vMerge w:val="continue"/>
          </w:tcPr>
          <w:p/>
        </w:tc>
        <w:tc>
          <w:tcPr>
            <w:tcW w:w="2438" w:type="dxa"/>
          </w:tcPr>
          <w:p>
            <w:pPr>
              <w:pStyle w:val="0"/>
            </w:pPr>
            <w:r>
              <w:rPr>
                <w:sz w:val="20"/>
              </w:rPr>
              <w:t xml:space="preserve">18. Количество молодых людей и специалистов, работающих в сфере молодежной политики, участвующих в обучающих мероприятиях в рамках государственной программы, в том числе:</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14990</w:t>
            </w:r>
          </w:p>
        </w:tc>
        <w:tc>
          <w:tcPr>
            <w:tcW w:w="850" w:type="dxa"/>
          </w:tcPr>
          <w:p>
            <w:pPr>
              <w:pStyle w:val="0"/>
              <w:jc w:val="center"/>
            </w:pPr>
            <w:r>
              <w:rPr>
                <w:sz w:val="20"/>
              </w:rPr>
              <w:t xml:space="preserve">15900</w:t>
            </w:r>
          </w:p>
        </w:tc>
        <w:tc>
          <w:tcPr>
            <w:tcW w:w="850" w:type="dxa"/>
          </w:tcPr>
          <w:p>
            <w:pPr>
              <w:pStyle w:val="0"/>
              <w:jc w:val="center"/>
            </w:pPr>
            <w:r>
              <w:rPr>
                <w:sz w:val="20"/>
              </w:rPr>
              <w:t xml:space="preserve">16610</w:t>
            </w:r>
          </w:p>
        </w:tc>
        <w:tc>
          <w:tcPr>
            <w:tcW w:w="850" w:type="dxa"/>
          </w:tcPr>
          <w:p>
            <w:pPr>
              <w:pStyle w:val="0"/>
              <w:jc w:val="center"/>
            </w:pPr>
            <w:r>
              <w:rPr>
                <w:sz w:val="20"/>
              </w:rPr>
              <w:t xml:space="preserve">17228</w:t>
            </w:r>
          </w:p>
        </w:tc>
        <w:tc>
          <w:tcPr>
            <w:tcW w:w="850" w:type="dxa"/>
          </w:tcPr>
          <w:p>
            <w:pPr>
              <w:pStyle w:val="0"/>
              <w:jc w:val="center"/>
            </w:pPr>
            <w:r>
              <w:rPr>
                <w:sz w:val="20"/>
              </w:rPr>
              <w:t xml:space="preserve">17130</w:t>
            </w:r>
          </w:p>
        </w:tc>
        <w:tc>
          <w:tcPr>
            <w:tcW w:w="850" w:type="dxa"/>
          </w:tcPr>
          <w:p>
            <w:pPr>
              <w:pStyle w:val="0"/>
              <w:jc w:val="center"/>
            </w:pPr>
            <w:r>
              <w:rPr>
                <w:sz w:val="20"/>
              </w:rPr>
              <w:t xml:space="preserve">17140</w:t>
            </w:r>
          </w:p>
        </w:tc>
        <w:tc>
          <w:tcPr>
            <w:tcW w:w="850" w:type="dxa"/>
          </w:tcPr>
          <w:p>
            <w:pPr>
              <w:pStyle w:val="0"/>
              <w:jc w:val="center"/>
            </w:pPr>
            <w:r>
              <w:rPr>
                <w:sz w:val="20"/>
              </w:rPr>
              <w:t xml:space="preserve">17385</w:t>
            </w:r>
          </w:p>
        </w:tc>
        <w:tc>
          <w:tcPr>
            <w:tcW w:w="850" w:type="dxa"/>
          </w:tcPr>
          <w:p>
            <w:pPr>
              <w:pStyle w:val="0"/>
              <w:jc w:val="center"/>
            </w:pPr>
            <w:r>
              <w:rPr>
                <w:sz w:val="20"/>
              </w:rPr>
              <w:t xml:space="preserve">17410</w:t>
            </w:r>
          </w:p>
        </w:tc>
        <w:tc>
          <w:tcPr>
            <w:tcW w:w="850" w:type="dxa"/>
          </w:tcPr>
          <w:p>
            <w:pPr>
              <w:pStyle w:val="0"/>
              <w:jc w:val="center"/>
            </w:pPr>
            <w:r>
              <w:rPr>
                <w:sz w:val="20"/>
              </w:rPr>
              <w:t xml:space="preserve">17507</w:t>
            </w:r>
          </w:p>
        </w:tc>
        <w:tc>
          <w:tcPr>
            <w:tcW w:w="850" w:type="dxa"/>
          </w:tcPr>
          <w:p>
            <w:pPr>
              <w:pStyle w:val="0"/>
              <w:jc w:val="center"/>
            </w:pPr>
            <w:r>
              <w:rPr>
                <w:sz w:val="20"/>
              </w:rPr>
              <w:t xml:space="preserve">17622</w:t>
            </w:r>
          </w:p>
        </w:tc>
        <w:tc>
          <w:tcPr>
            <w:tcW w:w="1361" w:type="dxa"/>
          </w:tcPr>
          <w:p>
            <w:pPr>
              <w:pStyle w:val="0"/>
            </w:pPr>
            <w:r>
              <w:rPr>
                <w:sz w:val="20"/>
              </w:rPr>
              <w:t xml:space="preserve">ежегодно</w:t>
            </w:r>
          </w:p>
        </w:tc>
      </w:tr>
      <w:tr>
        <w:tc>
          <w:tcPr>
            <w:vMerge w:val="continue"/>
          </w:tcPr>
          <w:p/>
        </w:tc>
        <w:tc>
          <w:tcPr>
            <w:tcW w:w="2438" w:type="dxa"/>
          </w:tcPr>
          <w:p>
            <w:pPr>
              <w:pStyle w:val="0"/>
            </w:pPr>
            <w:r>
              <w:rPr>
                <w:sz w:val="20"/>
              </w:rPr>
              <w:t xml:space="preserve">количество специалистов, работающих в сфере молодежной политики, прошедших обучение и повышение квалификации в рамках государственной программы</w:t>
            </w:r>
          </w:p>
        </w:tc>
        <w:tc>
          <w:tcPr>
            <w:tcW w:w="623"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105</w:t>
            </w:r>
          </w:p>
        </w:tc>
        <w:tc>
          <w:tcPr>
            <w:tcW w:w="850" w:type="dxa"/>
          </w:tcPr>
          <w:p>
            <w:pPr>
              <w:pStyle w:val="0"/>
              <w:jc w:val="center"/>
            </w:pPr>
            <w:r>
              <w:rPr>
                <w:sz w:val="20"/>
              </w:rPr>
              <w:t xml:space="preserve">145</w:t>
            </w:r>
          </w:p>
        </w:tc>
        <w:tc>
          <w:tcPr>
            <w:tcW w:w="850" w:type="dxa"/>
          </w:tcPr>
          <w:p>
            <w:pPr>
              <w:pStyle w:val="0"/>
              <w:jc w:val="center"/>
            </w:pPr>
            <w:r>
              <w:rPr>
                <w:sz w:val="20"/>
              </w:rPr>
              <w:t xml:space="preserve">150</w:t>
            </w:r>
          </w:p>
        </w:tc>
        <w:tc>
          <w:tcPr>
            <w:tcW w:w="850" w:type="dxa"/>
          </w:tcPr>
          <w:p>
            <w:pPr>
              <w:pStyle w:val="0"/>
              <w:jc w:val="center"/>
            </w:pPr>
            <w:r>
              <w:rPr>
                <w:sz w:val="20"/>
              </w:rPr>
              <w:t xml:space="preserve">155</w:t>
            </w:r>
          </w:p>
        </w:tc>
        <w:tc>
          <w:tcPr>
            <w:tcW w:w="850" w:type="dxa"/>
          </w:tcPr>
          <w:p>
            <w:pPr>
              <w:pStyle w:val="0"/>
              <w:jc w:val="center"/>
            </w:pPr>
            <w:r>
              <w:rPr>
                <w:sz w:val="20"/>
              </w:rPr>
              <w:t xml:space="preserve">250</w:t>
            </w:r>
          </w:p>
        </w:tc>
        <w:tc>
          <w:tcPr>
            <w:tcW w:w="850" w:type="dxa"/>
          </w:tcPr>
          <w:p>
            <w:pPr>
              <w:pStyle w:val="0"/>
              <w:jc w:val="center"/>
            </w:pPr>
            <w:r>
              <w:rPr>
                <w:sz w:val="20"/>
              </w:rPr>
              <w:t xml:space="preserve">255</w:t>
            </w:r>
          </w:p>
        </w:tc>
        <w:tc>
          <w:tcPr>
            <w:tcW w:w="850" w:type="dxa"/>
          </w:tcPr>
          <w:p>
            <w:pPr>
              <w:pStyle w:val="0"/>
              <w:jc w:val="center"/>
            </w:pPr>
            <w:r>
              <w:rPr>
                <w:sz w:val="20"/>
              </w:rPr>
              <w:t xml:space="preserve">260</w:t>
            </w:r>
          </w:p>
        </w:tc>
        <w:tc>
          <w:tcPr>
            <w:tcW w:w="850" w:type="dxa"/>
          </w:tcPr>
          <w:p>
            <w:pPr>
              <w:pStyle w:val="0"/>
              <w:jc w:val="center"/>
            </w:pPr>
            <w:r>
              <w:rPr>
                <w:sz w:val="20"/>
              </w:rPr>
              <w:t xml:space="preserve">265</w:t>
            </w:r>
          </w:p>
        </w:tc>
        <w:tc>
          <w:tcPr>
            <w:tcW w:w="850" w:type="dxa"/>
          </w:tcPr>
          <w:p>
            <w:pPr>
              <w:pStyle w:val="0"/>
              <w:jc w:val="center"/>
            </w:pPr>
            <w:r>
              <w:rPr>
                <w:sz w:val="20"/>
              </w:rPr>
              <w:t xml:space="preserve">270</w:t>
            </w:r>
          </w:p>
        </w:tc>
        <w:tc>
          <w:tcPr>
            <w:tcW w:w="1361" w:type="dxa"/>
          </w:tcPr>
          <w:p>
            <w:pPr>
              <w:pStyle w:val="0"/>
            </w:pPr>
            <w:r>
              <w:rPr>
                <w:sz w:val="20"/>
              </w:rPr>
              <w:t xml:space="preserve">ежегодно</w:t>
            </w:r>
          </w:p>
        </w:tc>
      </w:tr>
      <w:tr>
        <w:tc>
          <w:tcPr>
            <w:vMerge w:val="continue"/>
          </w:tcPr>
          <w:p/>
        </w:tc>
        <w:tc>
          <w:tcPr>
            <w:tcW w:w="2438" w:type="dxa"/>
          </w:tcPr>
          <w:p>
            <w:pPr>
              <w:pStyle w:val="0"/>
            </w:pPr>
            <w:r>
              <w:rPr>
                <w:sz w:val="20"/>
              </w:rPr>
              <w:t xml:space="preserve">19. Количество реализуемых (действующих) муниципальных программ по работе с молодежью</w:t>
            </w:r>
          </w:p>
        </w:tc>
        <w:tc>
          <w:tcPr>
            <w:tcW w:w="623" w:type="dxa"/>
          </w:tcPr>
          <w:p>
            <w:pPr>
              <w:pStyle w:val="0"/>
              <w:jc w:val="center"/>
            </w:pPr>
            <w:r>
              <w:rPr>
                <w:sz w:val="20"/>
              </w:rPr>
              <w:t xml:space="preserve">единица</w:t>
            </w:r>
          </w:p>
        </w:tc>
        <w:tc>
          <w:tcPr>
            <w:tcW w:w="850" w:type="dxa"/>
          </w:tcPr>
          <w:p>
            <w:pPr>
              <w:pStyle w:val="0"/>
              <w:jc w:val="center"/>
            </w:pPr>
            <w:r>
              <w:rPr>
                <w:sz w:val="20"/>
              </w:rPr>
              <w:t xml:space="preserve">-</w:t>
            </w:r>
          </w:p>
        </w:tc>
        <w:tc>
          <w:tcPr>
            <w:tcW w:w="850" w:type="dxa"/>
          </w:tcPr>
          <w:p>
            <w:pPr>
              <w:pStyle w:val="0"/>
              <w:jc w:val="center"/>
            </w:pPr>
            <w:r>
              <w:rPr>
                <w:sz w:val="20"/>
              </w:rPr>
              <w:t xml:space="preserve">24</w:t>
            </w:r>
          </w:p>
        </w:tc>
        <w:tc>
          <w:tcPr>
            <w:tcW w:w="850" w:type="dxa"/>
          </w:tcPr>
          <w:p>
            <w:pPr>
              <w:pStyle w:val="0"/>
              <w:jc w:val="center"/>
            </w:pPr>
            <w:r>
              <w:rPr>
                <w:sz w:val="20"/>
              </w:rPr>
              <w:t xml:space="preserve">27</w:t>
            </w:r>
          </w:p>
        </w:tc>
        <w:tc>
          <w:tcPr>
            <w:tcW w:w="850" w:type="dxa"/>
          </w:tcPr>
          <w:p>
            <w:pPr>
              <w:pStyle w:val="0"/>
              <w:jc w:val="center"/>
            </w:pPr>
            <w:r>
              <w:rPr>
                <w:sz w:val="20"/>
              </w:rPr>
              <w:t xml:space="preserve">33</w:t>
            </w:r>
          </w:p>
        </w:tc>
        <w:tc>
          <w:tcPr>
            <w:tcW w:w="850" w:type="dxa"/>
          </w:tcPr>
          <w:p>
            <w:pPr>
              <w:pStyle w:val="0"/>
              <w:jc w:val="center"/>
            </w:pPr>
            <w:r>
              <w:rPr>
                <w:sz w:val="20"/>
              </w:rPr>
              <w:t xml:space="preserve">34</w:t>
            </w:r>
          </w:p>
        </w:tc>
        <w:tc>
          <w:tcPr>
            <w:tcW w:w="850" w:type="dxa"/>
          </w:tcPr>
          <w:p>
            <w:pPr>
              <w:pStyle w:val="0"/>
              <w:jc w:val="center"/>
            </w:pPr>
            <w:r>
              <w:rPr>
                <w:sz w:val="20"/>
              </w:rPr>
              <w:t xml:space="preserve">34</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1361" w:type="dxa"/>
          </w:tcPr>
          <w:p>
            <w:pPr>
              <w:pStyle w:val="0"/>
            </w:pPr>
            <w:r>
              <w:rPr>
                <w:sz w:val="20"/>
              </w:rPr>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734" w:name="P734"/>
    <w:bookmarkEnd w:id="734"/>
    <w:p>
      <w:pPr>
        <w:pStyle w:val="0"/>
        <w:spacing w:before="200" w:line-rule="auto"/>
        <w:ind w:firstLine="540"/>
        <w:jc w:val="both"/>
      </w:pPr>
      <w:r>
        <w:rPr>
          <w:sz w:val="20"/>
        </w:rPr>
        <w:t xml:space="preserve">&lt;*&gt; Целевые индикаторы сформированы в рамках разработанной государственной программы.</w:t>
      </w:r>
    </w:p>
    <w:p>
      <w:pPr>
        <w:pStyle w:val="0"/>
        <w:ind w:firstLine="540"/>
        <w:jc w:val="both"/>
      </w:pPr>
      <w:r>
        <w:rPr>
          <w:sz w:val="20"/>
        </w:rPr>
      </w:r>
    </w:p>
    <w:p>
      <w:pPr>
        <w:pStyle w:val="0"/>
        <w:ind w:firstLine="540"/>
        <w:jc w:val="both"/>
      </w:pPr>
      <w:r>
        <w:rPr>
          <w:sz w:val="20"/>
        </w:rPr>
        <w:t xml:space="preserve">Применяемое сокращение:</w:t>
      </w:r>
    </w:p>
    <w:p>
      <w:pPr>
        <w:pStyle w:val="0"/>
        <w:spacing w:before="200" w:line-rule="auto"/>
        <w:ind w:firstLine="540"/>
        <w:jc w:val="both"/>
      </w:pPr>
      <w:r>
        <w:rPr>
          <w:sz w:val="20"/>
        </w:rPr>
        <w:t xml:space="preserve">РП - региональный проект.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Новосибирской области "Развитие</w:t>
      </w:r>
    </w:p>
    <w:p>
      <w:pPr>
        <w:pStyle w:val="0"/>
        <w:jc w:val="right"/>
      </w:pPr>
      <w:r>
        <w:rPr>
          <w:sz w:val="20"/>
        </w:rPr>
        <w:t xml:space="preserve">государственной молодежной политики</w:t>
      </w:r>
    </w:p>
    <w:p>
      <w:pPr>
        <w:pStyle w:val="0"/>
        <w:jc w:val="right"/>
      </w:pPr>
      <w:r>
        <w:rPr>
          <w:sz w:val="20"/>
        </w:rPr>
        <w:t xml:space="preserve">Новосибирской области"</w:t>
      </w:r>
    </w:p>
    <w:p>
      <w:pPr>
        <w:pStyle w:val="0"/>
        <w:ind w:firstLine="540"/>
        <w:jc w:val="both"/>
      </w:pPr>
      <w:r>
        <w:rPr>
          <w:sz w:val="20"/>
        </w:rPr>
      </w:r>
    </w:p>
    <w:bookmarkStart w:id="749" w:name="P749"/>
    <w:bookmarkEnd w:id="749"/>
    <w:p>
      <w:pPr>
        <w:pStyle w:val="2"/>
        <w:jc w:val="center"/>
      </w:pPr>
      <w:r>
        <w:rPr>
          <w:sz w:val="20"/>
        </w:rPr>
        <w:t xml:space="preserve">ОСНОВНЫЕ МЕРОПРИЯТИЯ</w:t>
      </w:r>
    </w:p>
    <w:p>
      <w:pPr>
        <w:pStyle w:val="2"/>
        <w:jc w:val="center"/>
      </w:pPr>
      <w:r>
        <w:rPr>
          <w:sz w:val="20"/>
        </w:rPr>
        <w:t xml:space="preserve">государственной программы Новосибирской области "Развитие</w:t>
      </w:r>
    </w:p>
    <w:p>
      <w:pPr>
        <w:pStyle w:val="2"/>
        <w:jc w:val="center"/>
      </w:pPr>
      <w:r>
        <w:rPr>
          <w:sz w:val="20"/>
        </w:rPr>
        <w:t xml:space="preserve">государственной молодежной 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6"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28.05.2019 N 205-п)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757"/>
        <w:gridCol w:w="907"/>
        <w:gridCol w:w="6576"/>
      </w:tblGrid>
      <w:tr>
        <w:tc>
          <w:tcPr>
            <w:tcW w:w="4365" w:type="dxa"/>
          </w:tcPr>
          <w:p>
            <w:pPr>
              <w:pStyle w:val="0"/>
              <w:jc w:val="center"/>
            </w:pPr>
            <w:r>
              <w:rPr>
                <w:sz w:val="20"/>
              </w:rPr>
              <w:t xml:space="preserve">Наименование основного мероприятия</w:t>
            </w:r>
          </w:p>
        </w:tc>
        <w:tc>
          <w:tcPr>
            <w:tcW w:w="1757" w:type="dxa"/>
          </w:tcPr>
          <w:p>
            <w:pPr>
              <w:pStyle w:val="0"/>
              <w:jc w:val="center"/>
            </w:pPr>
            <w:r>
              <w:rPr>
                <w:sz w:val="20"/>
              </w:rPr>
              <w:t xml:space="preserve">Государственные заказчики (ответственные за привлечение средств), исполнители программных мероприятий</w:t>
            </w:r>
          </w:p>
        </w:tc>
        <w:tc>
          <w:tcPr>
            <w:tcW w:w="907" w:type="dxa"/>
          </w:tcPr>
          <w:p>
            <w:pPr>
              <w:pStyle w:val="0"/>
              <w:jc w:val="center"/>
            </w:pPr>
            <w:r>
              <w:rPr>
                <w:sz w:val="20"/>
              </w:rPr>
              <w:t xml:space="preserve">Срок реализации (годы)</w:t>
            </w:r>
          </w:p>
        </w:tc>
        <w:tc>
          <w:tcPr>
            <w:tcW w:w="6576" w:type="dxa"/>
          </w:tcPr>
          <w:p>
            <w:pPr>
              <w:pStyle w:val="0"/>
              <w:jc w:val="center"/>
            </w:pPr>
            <w:r>
              <w:rPr>
                <w:sz w:val="20"/>
              </w:rPr>
              <w:t xml:space="preserve">Ожидаемый результат (краткое описание)</w:t>
            </w:r>
          </w:p>
        </w:tc>
      </w:tr>
      <w:tr>
        <w:tc>
          <w:tcPr>
            <w:gridSpan w:val="4"/>
            <w:tcW w:w="13605" w:type="dxa"/>
          </w:tcPr>
          <w:p>
            <w:pPr>
              <w:pStyle w:val="0"/>
              <w:outlineLvl w:val="2"/>
            </w:pPr>
            <w:r>
              <w:rPr>
                <w:sz w:val="20"/>
              </w:rPr>
              <w:t xml:space="preserve">Государственная программа Новосибирской области "Развитие государственной молодежной политики Новосибирской области"</w:t>
            </w:r>
          </w:p>
        </w:tc>
      </w:tr>
      <w:tr>
        <w:tc>
          <w:tcPr>
            <w:gridSpan w:val="4"/>
            <w:tcW w:w="13605" w:type="dxa"/>
          </w:tcPr>
          <w:p>
            <w:pPr>
              <w:pStyle w:val="0"/>
              <w:outlineLvl w:val="3"/>
            </w:pPr>
            <w:r>
              <w:rPr>
                <w:sz w:val="20"/>
              </w:rPr>
              <w:t xml:space="preserve">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tc>
      </w:tr>
      <w:tr>
        <w:tc>
          <w:tcPr>
            <w:gridSpan w:val="4"/>
            <w:tcW w:w="13605" w:type="dxa"/>
          </w:tcPr>
          <w:p>
            <w:pPr>
              <w:pStyle w:val="0"/>
              <w:outlineLvl w:val="4"/>
              <w:jc w:val="center"/>
            </w:pPr>
            <w:r>
              <w:rPr>
                <w:sz w:val="20"/>
              </w:rPr>
              <w:t xml:space="preserve">Задача 1. Вовлечение молодежи в социальную, экономическую, общественно-политическую и культурную жизнь общества</w:t>
            </w:r>
          </w:p>
        </w:tc>
      </w:tr>
      <w:tr>
        <w:tc>
          <w:tcPr>
            <w:tcW w:w="4365" w:type="dxa"/>
          </w:tcPr>
          <w:p>
            <w:pPr>
              <w:pStyle w:val="0"/>
            </w:pPr>
            <w:r>
              <w:rPr>
                <w:sz w:val="20"/>
              </w:rPr>
              <w:t xml:space="preserve">1.1. Организация и проведение мероприятий, направленных на развитие молодежного общественно-политического движения на территории Новосибирской области</w:t>
            </w:r>
          </w:p>
        </w:tc>
        <w:tc>
          <w:tcPr>
            <w:tcW w:w="1757" w:type="dxa"/>
          </w:tcPr>
          <w:p>
            <w:pPr>
              <w:pStyle w:val="0"/>
              <w:jc w:val="center"/>
            </w:pPr>
            <w:r>
              <w:rPr>
                <w:sz w:val="20"/>
              </w:rPr>
              <w:t xml:space="preserve">Министерство,</w:t>
            </w:r>
          </w:p>
          <w:p>
            <w:pPr>
              <w:pStyle w:val="0"/>
              <w:jc w:val="center"/>
            </w:pPr>
            <w:r>
              <w:rPr>
                <w:sz w:val="20"/>
              </w:rPr>
              <w:t xml:space="preserve">учреждения</w:t>
            </w:r>
          </w:p>
        </w:tc>
        <w:tc>
          <w:tcPr>
            <w:tcW w:w="907" w:type="dxa"/>
          </w:tcPr>
          <w:p>
            <w:pPr>
              <w:pStyle w:val="0"/>
              <w:jc w:val="center"/>
            </w:pPr>
            <w:r>
              <w:rPr>
                <w:sz w:val="20"/>
              </w:rPr>
              <w:t xml:space="preserve">2016 - 2018</w:t>
            </w:r>
          </w:p>
        </w:tc>
        <w:tc>
          <w:tcPr>
            <w:tcW w:w="6576" w:type="dxa"/>
          </w:tcPr>
          <w:p>
            <w:pPr>
              <w:pStyle w:val="0"/>
            </w:pPr>
            <w:r>
              <w:rPr>
                <w:sz w:val="20"/>
              </w:rPr>
              <w:t xml:space="preserve">Планируется развитие молодежного общественно-политического движения на территории Новосибирской области с ежегодным охватом молодежи не менее 1990 человек</w:t>
            </w:r>
          </w:p>
        </w:tc>
      </w:tr>
      <w:tr>
        <w:tc>
          <w:tcPr>
            <w:tcW w:w="4365" w:type="dxa"/>
          </w:tcPr>
          <w:p>
            <w:pPr>
              <w:pStyle w:val="0"/>
            </w:pPr>
            <w:r>
              <w:rPr>
                <w:sz w:val="20"/>
              </w:rPr>
              <w:t xml:space="preserve">1.2. Организация и проведение мероприятий, направленных на популяризацию предпринимательской, инновационной деятельности и трудового воспитания молодежи на территории Новосибирской области</w:t>
            </w:r>
          </w:p>
        </w:tc>
        <w:tc>
          <w:tcPr>
            <w:tcW w:w="1757" w:type="dxa"/>
          </w:tcPr>
          <w:p>
            <w:pPr>
              <w:pStyle w:val="0"/>
              <w:jc w:val="center"/>
            </w:pPr>
            <w:r>
              <w:rPr>
                <w:sz w:val="20"/>
              </w:rPr>
              <w:t xml:space="preserve">Министерство,</w:t>
            </w:r>
          </w:p>
          <w:p>
            <w:pPr>
              <w:pStyle w:val="0"/>
              <w:jc w:val="center"/>
            </w:pPr>
            <w:r>
              <w:rPr>
                <w:sz w:val="20"/>
              </w:rPr>
              <w:t xml:space="preserve">учреждения</w:t>
            </w:r>
          </w:p>
        </w:tc>
        <w:tc>
          <w:tcPr>
            <w:tcW w:w="907" w:type="dxa"/>
          </w:tcPr>
          <w:p>
            <w:pPr>
              <w:pStyle w:val="0"/>
              <w:jc w:val="center"/>
            </w:pPr>
            <w:r>
              <w:rPr>
                <w:sz w:val="20"/>
              </w:rPr>
              <w:t xml:space="preserve">2016 - 2018</w:t>
            </w:r>
          </w:p>
        </w:tc>
        <w:tc>
          <w:tcPr>
            <w:tcW w:w="6576" w:type="dxa"/>
          </w:tcPr>
          <w:p>
            <w:pPr>
              <w:pStyle w:val="0"/>
            </w:pPr>
            <w:r>
              <w:rPr>
                <w:sz w:val="20"/>
              </w:rPr>
              <w:t xml:space="preserve">Планируется привлечение молодежи к участию в мероприятиях, направленных на развитие предпринимательских навыков, интереса к инновационной деятельности. Организация и проведение мероприятий, направленных на профессиональную ориентацию молодежи Новосибирской области. Планируется участие не менее 19740 человек ежегодно. Планируется участие не менее 3255 молодых людей в мероприятиях ежегодно, создание физическими лицами в возрасте до 30 лет (включительно) не менее 56 субъектов малого и среднего предпринимательства ежегодно, не менее 512 человек завершат обучение по образовательным программам, направленным на приобретение навыков ведения бизнеса и создания малых и средних предприятий, ежегодно</w:t>
            </w:r>
          </w:p>
        </w:tc>
      </w:tr>
      <w:tr>
        <w:tc>
          <w:tcPr>
            <w:tcW w:w="4365" w:type="dxa"/>
          </w:tcPr>
          <w:p>
            <w:pPr>
              <w:pStyle w:val="0"/>
            </w:pPr>
            <w:r>
              <w:rPr>
                <w:sz w:val="20"/>
              </w:rPr>
              <w:t xml:space="preserve">1.3.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w:t>
            </w:r>
          </w:p>
        </w:tc>
        <w:tc>
          <w:tcPr>
            <w:tcW w:w="1757" w:type="dxa"/>
          </w:tcPr>
          <w:p>
            <w:pPr>
              <w:pStyle w:val="0"/>
              <w:jc w:val="center"/>
            </w:pPr>
            <w:r>
              <w:rPr>
                <w:sz w:val="20"/>
              </w:rPr>
              <w:t xml:space="preserve">Министерство,</w:t>
            </w:r>
          </w:p>
          <w:p>
            <w:pPr>
              <w:pStyle w:val="0"/>
              <w:jc w:val="center"/>
            </w:pPr>
            <w:r>
              <w:rPr>
                <w:sz w:val="20"/>
              </w:rPr>
              <w:t xml:space="preserve">учреждения</w:t>
            </w:r>
          </w:p>
        </w:tc>
        <w:tc>
          <w:tcPr>
            <w:tcW w:w="907" w:type="dxa"/>
          </w:tcPr>
          <w:p>
            <w:pPr>
              <w:pStyle w:val="0"/>
              <w:jc w:val="center"/>
            </w:pPr>
            <w:r>
              <w:rPr>
                <w:sz w:val="20"/>
              </w:rPr>
              <w:t xml:space="preserve">2016 - 2018</w:t>
            </w:r>
          </w:p>
        </w:tc>
        <w:tc>
          <w:tcPr>
            <w:tcW w:w="6576" w:type="dxa"/>
          </w:tcPr>
          <w:p>
            <w:pPr>
              <w:pStyle w:val="0"/>
            </w:pPr>
            <w:r>
              <w:rPr>
                <w:sz w:val="20"/>
              </w:rPr>
              <w:t xml:space="preserve">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52400 человек ежегодно</w:t>
            </w:r>
          </w:p>
        </w:tc>
      </w:tr>
      <w:tr>
        <w:tc>
          <w:tcPr>
            <w:tcW w:w="4365" w:type="dxa"/>
          </w:tcPr>
          <w:p>
            <w:pPr>
              <w:pStyle w:val="0"/>
            </w:pPr>
            <w:r>
              <w:rPr>
                <w:sz w:val="20"/>
              </w:rPr>
              <w:t xml:space="preserve">1.4.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w:t>
            </w:r>
          </w:p>
        </w:tc>
        <w:tc>
          <w:tcPr>
            <w:tcW w:w="1757" w:type="dxa"/>
          </w:tcPr>
          <w:p>
            <w:pPr>
              <w:pStyle w:val="0"/>
              <w:jc w:val="center"/>
            </w:pPr>
            <w:r>
              <w:rPr>
                <w:sz w:val="20"/>
              </w:rPr>
              <w:t xml:space="preserve">Министерство,</w:t>
            </w:r>
          </w:p>
          <w:p>
            <w:pPr>
              <w:pStyle w:val="0"/>
              <w:jc w:val="center"/>
            </w:pPr>
            <w:r>
              <w:rPr>
                <w:sz w:val="20"/>
              </w:rPr>
              <w:t xml:space="preserve">учреждения</w:t>
            </w:r>
          </w:p>
        </w:tc>
        <w:tc>
          <w:tcPr>
            <w:tcW w:w="907" w:type="dxa"/>
          </w:tcPr>
          <w:p>
            <w:pPr>
              <w:pStyle w:val="0"/>
              <w:jc w:val="center"/>
            </w:pPr>
            <w:r>
              <w:rPr>
                <w:sz w:val="20"/>
              </w:rPr>
              <w:t xml:space="preserve">2016 - 2018</w:t>
            </w:r>
          </w:p>
        </w:tc>
        <w:tc>
          <w:tcPr>
            <w:tcW w:w="6576" w:type="dxa"/>
          </w:tcPr>
          <w:p>
            <w:pPr>
              <w:pStyle w:val="0"/>
            </w:pPr>
            <w:r>
              <w:rPr>
                <w:sz w:val="20"/>
              </w:rPr>
              <w:t xml:space="preserve">Планируется популяризация молодежных стриткультур, популяризация молодежного туризма как альтернативных форм досуга. Организация и проведение мероприятий, направленных на пропаганду среди молодежи здорового образа жизни. Ежегодное количество участников - не менее 3200 человек</w:t>
            </w:r>
          </w:p>
        </w:tc>
      </w:tr>
      <w:tr>
        <w:tc>
          <w:tcPr>
            <w:gridSpan w:val="4"/>
            <w:tcW w:w="13605" w:type="dxa"/>
          </w:tcPr>
          <w:p>
            <w:pPr>
              <w:pStyle w:val="0"/>
              <w:outlineLvl w:val="4"/>
              <w:jc w:val="center"/>
            </w:pPr>
            <w:r>
              <w:rPr>
                <w:sz w:val="20"/>
              </w:rPr>
              <w:t xml:space="preserve">Задача 2. Повышение эффективности деятельности в сфере молодежной политики</w:t>
            </w:r>
          </w:p>
        </w:tc>
      </w:tr>
      <w:tr>
        <w:tc>
          <w:tcPr>
            <w:tcW w:w="4365" w:type="dxa"/>
          </w:tcPr>
          <w:p>
            <w:pPr>
              <w:pStyle w:val="0"/>
            </w:pPr>
            <w:r>
              <w:rPr>
                <w:sz w:val="20"/>
              </w:rPr>
              <w:t xml:space="preserve">2.1. Организация и проведение мероприятий, направленных на поддержку системы информационного обеспечения молодежной политики Новосибирской области</w:t>
            </w:r>
          </w:p>
        </w:tc>
        <w:tc>
          <w:tcPr>
            <w:tcW w:w="1757" w:type="dxa"/>
          </w:tcPr>
          <w:p>
            <w:pPr>
              <w:pStyle w:val="0"/>
              <w:jc w:val="center"/>
            </w:pPr>
            <w:r>
              <w:rPr>
                <w:sz w:val="20"/>
              </w:rPr>
              <w:t xml:space="preserve">Министерство,</w:t>
            </w:r>
          </w:p>
          <w:p>
            <w:pPr>
              <w:pStyle w:val="0"/>
              <w:jc w:val="center"/>
            </w:pPr>
            <w:r>
              <w:rPr>
                <w:sz w:val="20"/>
              </w:rPr>
              <w:t xml:space="preserve">учреждения</w:t>
            </w:r>
          </w:p>
        </w:tc>
        <w:tc>
          <w:tcPr>
            <w:tcW w:w="907" w:type="dxa"/>
          </w:tcPr>
          <w:p>
            <w:pPr>
              <w:pStyle w:val="0"/>
              <w:jc w:val="center"/>
            </w:pPr>
            <w:r>
              <w:rPr>
                <w:sz w:val="20"/>
              </w:rPr>
              <w:t xml:space="preserve">2016 - 2018</w:t>
            </w:r>
          </w:p>
        </w:tc>
        <w:tc>
          <w:tcPr>
            <w:tcW w:w="6576" w:type="dxa"/>
          </w:tcPr>
          <w:p>
            <w:pPr>
              <w:pStyle w:val="0"/>
            </w:pPr>
            <w:r>
              <w:rPr>
                <w:sz w:val="20"/>
              </w:rPr>
              <w:t xml:space="preserve">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82800 человек</w:t>
            </w:r>
          </w:p>
        </w:tc>
      </w:tr>
      <w:tr>
        <w:tc>
          <w:tcPr>
            <w:tcW w:w="4365" w:type="dxa"/>
          </w:tcPr>
          <w:p>
            <w:pPr>
              <w:pStyle w:val="0"/>
            </w:pPr>
            <w:r>
              <w:rPr>
                <w:sz w:val="20"/>
              </w:rPr>
              <w:t xml:space="preserve">2.2. Организация и проведение мероприятий, направленных на поддержку инфраструктурного обеспечения молодежной политики Новосибирской области</w:t>
            </w:r>
          </w:p>
        </w:tc>
        <w:tc>
          <w:tcPr>
            <w:tcW w:w="1757" w:type="dxa"/>
          </w:tcPr>
          <w:p>
            <w:pPr>
              <w:pStyle w:val="0"/>
              <w:jc w:val="center"/>
            </w:pPr>
            <w:r>
              <w:rPr>
                <w:sz w:val="20"/>
              </w:rPr>
              <w:t xml:space="preserve">Министерство,</w:t>
            </w:r>
          </w:p>
          <w:p>
            <w:pPr>
              <w:pStyle w:val="0"/>
              <w:jc w:val="center"/>
            </w:pPr>
            <w:r>
              <w:rPr>
                <w:sz w:val="20"/>
              </w:rPr>
              <w:t xml:space="preserve">учреждения</w:t>
            </w:r>
          </w:p>
        </w:tc>
        <w:tc>
          <w:tcPr>
            <w:tcW w:w="907" w:type="dxa"/>
          </w:tcPr>
          <w:p>
            <w:pPr>
              <w:pStyle w:val="0"/>
              <w:jc w:val="center"/>
            </w:pPr>
            <w:r>
              <w:rPr>
                <w:sz w:val="20"/>
              </w:rPr>
              <w:t xml:space="preserve">2016 - 2018</w:t>
            </w:r>
          </w:p>
        </w:tc>
        <w:tc>
          <w:tcPr>
            <w:tcW w:w="6576" w:type="dxa"/>
          </w:tcPr>
          <w:p>
            <w:pPr>
              <w:pStyle w:val="0"/>
            </w:pPr>
            <w:r>
              <w:rPr>
                <w:sz w:val="20"/>
              </w:rPr>
              <w:t xml:space="preserve">Осуществление поддержки существующей инфраструктуры в сфере государственной молодежной политики Новосибирской области и создание новых инфраструктурных объектов</w:t>
            </w:r>
          </w:p>
        </w:tc>
      </w:tr>
      <w:tr>
        <w:tc>
          <w:tcPr>
            <w:tcW w:w="4365" w:type="dxa"/>
          </w:tcPr>
          <w:p>
            <w:pPr>
              <w:pStyle w:val="0"/>
            </w:pPr>
            <w:r>
              <w:rPr>
                <w:sz w:val="20"/>
              </w:rPr>
              <w:t xml:space="preserve">2.3. Организация и проведение мероприятий, направленных на методическое и кадровое обеспечение молодежной политики Новосибирской области</w:t>
            </w:r>
          </w:p>
        </w:tc>
        <w:tc>
          <w:tcPr>
            <w:tcW w:w="1757" w:type="dxa"/>
          </w:tcPr>
          <w:p>
            <w:pPr>
              <w:pStyle w:val="0"/>
              <w:jc w:val="center"/>
            </w:pPr>
            <w:r>
              <w:rPr>
                <w:sz w:val="20"/>
              </w:rPr>
              <w:t xml:space="preserve">Министерство,</w:t>
            </w:r>
          </w:p>
          <w:p>
            <w:pPr>
              <w:pStyle w:val="0"/>
              <w:jc w:val="center"/>
            </w:pPr>
            <w:r>
              <w:rPr>
                <w:sz w:val="20"/>
              </w:rPr>
              <w:t xml:space="preserve">учреждения</w:t>
            </w:r>
          </w:p>
        </w:tc>
        <w:tc>
          <w:tcPr>
            <w:tcW w:w="907" w:type="dxa"/>
          </w:tcPr>
          <w:p>
            <w:pPr>
              <w:pStyle w:val="0"/>
              <w:jc w:val="center"/>
            </w:pPr>
            <w:r>
              <w:rPr>
                <w:sz w:val="20"/>
              </w:rPr>
              <w:t xml:space="preserve">2016 - 2018</w:t>
            </w:r>
          </w:p>
        </w:tc>
        <w:tc>
          <w:tcPr>
            <w:tcW w:w="6576" w:type="dxa"/>
          </w:tcPr>
          <w:p>
            <w:pPr>
              <w:pStyle w:val="0"/>
            </w:pPr>
            <w:r>
              <w:rPr>
                <w:sz w:val="20"/>
              </w:rPr>
              <w:t xml:space="preserve">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14990 человек</w:t>
            </w:r>
          </w:p>
        </w:tc>
      </w:tr>
    </w:tbl>
    <w:p>
      <w:pPr>
        <w:pStyle w:val="0"/>
        <w:ind w:firstLine="540"/>
        <w:jc w:val="both"/>
      </w:pPr>
      <w:r>
        <w:rPr>
          <w:sz w:val="20"/>
        </w:rPr>
      </w:r>
    </w:p>
    <w:p>
      <w:pPr>
        <w:pStyle w:val="0"/>
        <w:ind w:firstLine="540"/>
        <w:jc w:val="both"/>
      </w:pPr>
      <w:r>
        <w:rPr>
          <w:sz w:val="20"/>
        </w:rPr>
        <w:t xml:space="preserve">Применяемые сокращения:</w:t>
      </w:r>
    </w:p>
    <w:p>
      <w:pPr>
        <w:pStyle w:val="0"/>
        <w:spacing w:before="200" w:line-rule="auto"/>
        <w:ind w:firstLine="540"/>
        <w:jc w:val="both"/>
      </w:pPr>
      <w:r>
        <w:rPr>
          <w:sz w:val="20"/>
        </w:rPr>
        <w:t xml:space="preserve">Министерство - министерство образования Новосибирской области;</w:t>
      </w:r>
    </w:p>
    <w:p>
      <w:pPr>
        <w:pStyle w:val="0"/>
        <w:spacing w:before="200" w:line-rule="auto"/>
        <w:ind w:firstLine="540"/>
        <w:jc w:val="both"/>
      </w:pPr>
      <w:r>
        <w:rPr>
          <w:sz w:val="20"/>
        </w:rPr>
        <w:t xml:space="preserve">учреждения - государственные учреждения Новосибирской области, подведомственные министерству образования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Новосибирской области "Развитие</w:t>
      </w:r>
    </w:p>
    <w:p>
      <w:pPr>
        <w:pStyle w:val="0"/>
        <w:jc w:val="right"/>
      </w:pPr>
      <w:r>
        <w:rPr>
          <w:sz w:val="20"/>
        </w:rPr>
        <w:t xml:space="preserve">государственной молодежной политики</w:t>
      </w:r>
    </w:p>
    <w:p>
      <w:pPr>
        <w:pStyle w:val="0"/>
        <w:jc w:val="right"/>
      </w:pPr>
      <w:r>
        <w:rPr>
          <w:sz w:val="20"/>
        </w:rPr>
        <w:t xml:space="preserve">Новосибирской области"</w:t>
      </w:r>
    </w:p>
    <w:p>
      <w:pPr>
        <w:pStyle w:val="0"/>
        <w:ind w:firstLine="540"/>
        <w:jc w:val="both"/>
      </w:pPr>
      <w:r>
        <w:rPr>
          <w:sz w:val="20"/>
        </w:rPr>
      </w:r>
    </w:p>
    <w:bookmarkStart w:id="814" w:name="P814"/>
    <w:bookmarkEnd w:id="814"/>
    <w:p>
      <w:pPr>
        <w:pStyle w:val="2"/>
        <w:jc w:val="center"/>
      </w:pPr>
      <w:r>
        <w:rPr>
          <w:sz w:val="20"/>
        </w:rPr>
        <w:t xml:space="preserve">ОСНОВНЫЕ МЕРОПРИЯТИЯ</w:t>
      </w:r>
    </w:p>
    <w:p>
      <w:pPr>
        <w:pStyle w:val="2"/>
        <w:jc w:val="center"/>
      </w:pPr>
      <w:r>
        <w:rPr>
          <w:sz w:val="20"/>
        </w:rPr>
        <w:t xml:space="preserve">государственной программы Новосибирской области "Развитие</w:t>
      </w:r>
    </w:p>
    <w:p>
      <w:pPr>
        <w:pStyle w:val="2"/>
        <w:jc w:val="center"/>
      </w:pPr>
      <w:r>
        <w:rPr>
          <w:sz w:val="20"/>
        </w:rPr>
        <w:t xml:space="preserve">государственной молодежной 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7"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29.03.2023 N 134-п)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530"/>
        <w:gridCol w:w="737"/>
        <w:gridCol w:w="454"/>
        <w:gridCol w:w="566"/>
        <w:gridCol w:w="567"/>
        <w:gridCol w:w="1020"/>
        <w:gridCol w:w="1020"/>
        <w:gridCol w:w="1020"/>
        <w:gridCol w:w="1020"/>
        <w:gridCol w:w="1020"/>
        <w:gridCol w:w="1020"/>
        <w:gridCol w:w="1020"/>
        <w:gridCol w:w="964"/>
        <w:gridCol w:w="3061"/>
      </w:tblGrid>
      <w:tr>
        <w:tc>
          <w:tcPr>
            <w:tcW w:w="2154" w:type="dxa"/>
            <w:vMerge w:val="restart"/>
          </w:tcPr>
          <w:p>
            <w:pPr>
              <w:pStyle w:val="0"/>
              <w:jc w:val="center"/>
            </w:pPr>
            <w:r>
              <w:rPr>
                <w:sz w:val="20"/>
              </w:rPr>
              <w:t xml:space="preserve">Наименование мероприятия</w:t>
            </w:r>
          </w:p>
        </w:tc>
        <w:tc>
          <w:tcPr>
            <w:gridSpan w:val="12"/>
            <w:tcW w:w="10994" w:type="dxa"/>
          </w:tcPr>
          <w:p>
            <w:pPr>
              <w:pStyle w:val="0"/>
              <w:jc w:val="center"/>
            </w:pPr>
            <w:r>
              <w:rPr>
                <w:sz w:val="20"/>
              </w:rPr>
              <w:t xml:space="preserve">Ресурсное обеспечение</w:t>
            </w:r>
          </w:p>
        </w:tc>
        <w:tc>
          <w:tcPr>
            <w:tcW w:w="964" w:type="dxa"/>
            <w:vMerge w:val="restart"/>
          </w:tcPr>
          <w:p>
            <w:pPr>
              <w:pStyle w:val="0"/>
              <w:jc w:val="center"/>
            </w:pPr>
            <w:r>
              <w:rPr>
                <w:sz w:val="20"/>
              </w:rPr>
              <w:t xml:space="preserve">ГРБС (ответственный исполнитель)</w:t>
            </w:r>
          </w:p>
        </w:tc>
        <w:tc>
          <w:tcPr>
            <w:tcW w:w="3061" w:type="dxa"/>
            <w:vMerge w:val="restart"/>
          </w:tcPr>
          <w:p>
            <w:pPr>
              <w:pStyle w:val="0"/>
              <w:jc w:val="center"/>
            </w:pPr>
            <w:r>
              <w:rPr>
                <w:sz w:val="20"/>
              </w:rPr>
              <w:t xml:space="preserve">Ожидаемый результат (краткое описание)</w:t>
            </w:r>
          </w:p>
        </w:tc>
      </w:tr>
      <w:tr>
        <w:tc>
          <w:tcPr>
            <w:vMerge w:val="continue"/>
          </w:tcPr>
          <w:p/>
        </w:tc>
        <w:tc>
          <w:tcPr>
            <w:tcW w:w="1530" w:type="dxa"/>
            <w:vMerge w:val="restart"/>
          </w:tcPr>
          <w:p>
            <w:pPr>
              <w:pStyle w:val="0"/>
              <w:jc w:val="center"/>
            </w:pPr>
            <w:r>
              <w:rPr>
                <w:sz w:val="20"/>
              </w:rPr>
              <w:t xml:space="preserve">источники</w:t>
            </w:r>
          </w:p>
        </w:tc>
        <w:tc>
          <w:tcPr>
            <w:gridSpan w:val="4"/>
            <w:tcW w:w="2324" w:type="dxa"/>
          </w:tcPr>
          <w:p>
            <w:pPr>
              <w:pStyle w:val="0"/>
              <w:jc w:val="center"/>
            </w:pPr>
            <w:r>
              <w:rPr>
                <w:sz w:val="20"/>
              </w:rPr>
              <w:t xml:space="preserve">код бюджетной классификации</w:t>
            </w:r>
          </w:p>
        </w:tc>
        <w:tc>
          <w:tcPr>
            <w:gridSpan w:val="7"/>
            <w:tcW w:w="7140" w:type="dxa"/>
          </w:tcPr>
          <w:p>
            <w:pPr>
              <w:pStyle w:val="0"/>
              <w:jc w:val="center"/>
            </w:pPr>
            <w:r>
              <w:rPr>
                <w:sz w:val="20"/>
              </w:rPr>
              <w:t xml:space="preserve">по годам реализации, тыс. руб.</w:t>
            </w:r>
          </w:p>
        </w:tc>
        <w:tc>
          <w:tcPr>
            <w:vMerge w:val="continue"/>
          </w:tcPr>
          <w:p/>
        </w:tc>
        <w:tc>
          <w:tcPr>
            <w:vMerge w:val="continue"/>
          </w:tcPr>
          <w:p/>
        </w:tc>
      </w:tr>
      <w:tr>
        <w:tc>
          <w:tcPr>
            <w:vMerge w:val="continue"/>
          </w:tcPr>
          <w:p/>
        </w:tc>
        <w:tc>
          <w:tcPr>
            <w:vMerge w:val="continue"/>
          </w:tcPr>
          <w:p/>
        </w:tc>
        <w:tc>
          <w:tcPr>
            <w:tcW w:w="737" w:type="dxa"/>
          </w:tcPr>
          <w:p>
            <w:pPr>
              <w:pStyle w:val="0"/>
              <w:jc w:val="center"/>
            </w:pPr>
            <w:r>
              <w:rPr>
                <w:sz w:val="20"/>
              </w:rPr>
              <w:t xml:space="preserve">ГРБС</w:t>
            </w:r>
          </w:p>
        </w:tc>
        <w:tc>
          <w:tcPr>
            <w:tcW w:w="454" w:type="dxa"/>
          </w:tcPr>
          <w:p>
            <w:pPr>
              <w:pStyle w:val="0"/>
              <w:jc w:val="center"/>
            </w:pPr>
            <w:r>
              <w:rPr>
                <w:sz w:val="20"/>
              </w:rPr>
              <w:t xml:space="preserve">ГП</w:t>
            </w:r>
          </w:p>
        </w:tc>
        <w:tc>
          <w:tcPr>
            <w:tcW w:w="566" w:type="dxa"/>
          </w:tcPr>
          <w:p>
            <w:pPr>
              <w:pStyle w:val="0"/>
              <w:jc w:val="center"/>
            </w:pPr>
            <w:r>
              <w:rPr>
                <w:sz w:val="20"/>
              </w:rPr>
              <w:t xml:space="preserve">пГП</w:t>
            </w:r>
          </w:p>
        </w:tc>
        <w:tc>
          <w:tcPr>
            <w:tcW w:w="567" w:type="dxa"/>
          </w:tcPr>
          <w:p>
            <w:pPr>
              <w:pStyle w:val="0"/>
              <w:jc w:val="center"/>
            </w:pPr>
            <w:r>
              <w:rPr>
                <w:sz w:val="20"/>
              </w:rPr>
              <w:t xml:space="preserve">ОМ</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tcW w:w="1020" w:type="dxa"/>
          </w:tcPr>
          <w:p>
            <w:pPr>
              <w:pStyle w:val="0"/>
              <w:jc w:val="center"/>
            </w:pPr>
            <w:r>
              <w:rPr>
                <w:sz w:val="20"/>
              </w:rPr>
              <w:t xml:space="preserve">2025</w:t>
            </w:r>
          </w:p>
        </w:tc>
        <w:tc>
          <w:tcPr>
            <w:vMerge w:val="continue"/>
          </w:tcPr>
          <w:p/>
        </w:tc>
        <w:tc>
          <w:tcPr>
            <w:vMerge w:val="continue"/>
          </w:tcPr>
          <w:p/>
        </w:tc>
      </w:tr>
      <w:tr>
        <w:tc>
          <w:tcPr>
            <w:tcW w:w="2154" w:type="dxa"/>
          </w:tcPr>
          <w:p>
            <w:pPr>
              <w:pStyle w:val="0"/>
              <w:jc w:val="center"/>
            </w:pPr>
            <w:r>
              <w:rPr>
                <w:sz w:val="20"/>
              </w:rPr>
              <w:t xml:space="preserve">1</w:t>
            </w:r>
          </w:p>
        </w:tc>
        <w:tc>
          <w:tcPr>
            <w:tcW w:w="1530" w:type="dxa"/>
          </w:tcPr>
          <w:p>
            <w:pPr>
              <w:pStyle w:val="0"/>
              <w:jc w:val="center"/>
            </w:pPr>
            <w:r>
              <w:rPr>
                <w:sz w:val="20"/>
              </w:rPr>
              <w:t xml:space="preserve">2</w:t>
            </w:r>
          </w:p>
        </w:tc>
        <w:tc>
          <w:tcPr>
            <w:tcW w:w="737" w:type="dxa"/>
          </w:tcPr>
          <w:p>
            <w:pPr>
              <w:pStyle w:val="0"/>
              <w:jc w:val="center"/>
            </w:pPr>
            <w:r>
              <w:rPr>
                <w:sz w:val="20"/>
              </w:rPr>
              <w:t xml:space="preserve">3</w:t>
            </w:r>
          </w:p>
        </w:tc>
        <w:tc>
          <w:tcPr>
            <w:tcW w:w="454" w:type="dxa"/>
          </w:tcPr>
          <w:p>
            <w:pPr>
              <w:pStyle w:val="0"/>
              <w:jc w:val="center"/>
            </w:pPr>
            <w:r>
              <w:rPr>
                <w:sz w:val="20"/>
              </w:rPr>
              <w:t xml:space="preserve">4</w:t>
            </w:r>
          </w:p>
        </w:tc>
        <w:tc>
          <w:tcPr>
            <w:tcW w:w="566" w:type="dxa"/>
          </w:tcPr>
          <w:p>
            <w:pPr>
              <w:pStyle w:val="0"/>
              <w:jc w:val="center"/>
            </w:pPr>
            <w:r>
              <w:rPr>
                <w:sz w:val="20"/>
              </w:rPr>
              <w:t xml:space="preserve">5</w:t>
            </w:r>
          </w:p>
        </w:tc>
        <w:tc>
          <w:tcPr>
            <w:tcW w:w="567"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964" w:type="dxa"/>
          </w:tcPr>
          <w:p>
            <w:pPr>
              <w:pStyle w:val="0"/>
              <w:jc w:val="center"/>
            </w:pPr>
            <w:r>
              <w:rPr>
                <w:sz w:val="20"/>
              </w:rPr>
              <w:t xml:space="preserve">14</w:t>
            </w:r>
          </w:p>
        </w:tc>
        <w:tc>
          <w:tcPr>
            <w:tcW w:w="3061" w:type="dxa"/>
          </w:tcPr>
          <w:p>
            <w:pPr>
              <w:pStyle w:val="0"/>
              <w:jc w:val="center"/>
            </w:pPr>
            <w:r>
              <w:rPr>
                <w:sz w:val="20"/>
              </w:rPr>
              <w:t xml:space="preserve">15</w:t>
            </w:r>
          </w:p>
        </w:tc>
      </w:tr>
      <w:tr>
        <w:tc>
          <w:tcPr>
            <w:gridSpan w:val="15"/>
            <w:tcW w:w="17173" w:type="dxa"/>
          </w:tcPr>
          <w:p>
            <w:pPr>
              <w:pStyle w:val="0"/>
              <w:outlineLvl w:val="2"/>
            </w:pPr>
            <w:r>
              <w:rPr>
                <w:sz w:val="20"/>
              </w:rPr>
              <w:t xml:space="preserve">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tc>
      </w:tr>
      <w:tr>
        <w:tc>
          <w:tcPr>
            <w:gridSpan w:val="15"/>
            <w:tcW w:w="17173" w:type="dxa"/>
          </w:tcPr>
          <w:p>
            <w:pPr>
              <w:pStyle w:val="0"/>
              <w:outlineLvl w:val="3"/>
            </w:pPr>
            <w:r>
              <w:rPr>
                <w:sz w:val="20"/>
              </w:rPr>
              <w:t xml:space="preserve">1. Задача 1. Вовлечение молодежи в социальную, экономическую, общественно-политическую и культурную жизнь общества</w:t>
            </w:r>
          </w:p>
        </w:tc>
      </w:tr>
      <w:tr>
        <w:tc>
          <w:tcPr>
            <w:tcW w:w="2154" w:type="dxa"/>
            <w:vMerge w:val="restart"/>
          </w:tcPr>
          <w:p>
            <w:pPr>
              <w:pStyle w:val="0"/>
            </w:pPr>
            <w:r>
              <w:rPr>
                <w:sz w:val="20"/>
              </w:rPr>
              <w:t xml:space="preserve">1.1. Организация и проведение мероприятий, направленных на развитие молодежного общественно-политического движения на территории Новосибирской области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01</w:t>
            </w:r>
          </w:p>
        </w:tc>
        <w:tc>
          <w:tcPr>
            <w:tcW w:w="1020" w:type="dxa"/>
          </w:tcPr>
          <w:p>
            <w:pPr>
              <w:pStyle w:val="0"/>
              <w:jc w:val="center"/>
            </w:pPr>
            <w:r>
              <w:rPr>
                <w:sz w:val="20"/>
              </w:rPr>
              <w:t xml:space="preserve">16802,9</w:t>
            </w:r>
          </w:p>
        </w:tc>
        <w:tc>
          <w:tcPr>
            <w:tcW w:w="1020" w:type="dxa"/>
          </w:tcPr>
          <w:p>
            <w:pPr>
              <w:pStyle w:val="0"/>
              <w:jc w:val="center"/>
            </w:pPr>
            <w:r>
              <w:rPr>
                <w:sz w:val="20"/>
              </w:rPr>
              <w:t xml:space="preserve">17802,9</w:t>
            </w:r>
          </w:p>
        </w:tc>
        <w:tc>
          <w:tcPr>
            <w:tcW w:w="1020" w:type="dxa"/>
          </w:tcPr>
          <w:p>
            <w:pPr>
              <w:pStyle w:val="0"/>
              <w:jc w:val="center"/>
            </w:pPr>
            <w:r>
              <w:rPr>
                <w:sz w:val="20"/>
              </w:rPr>
              <w:t xml:space="preserve">17886,7</w:t>
            </w:r>
          </w:p>
        </w:tc>
        <w:tc>
          <w:tcPr>
            <w:tcW w:w="1020" w:type="dxa"/>
          </w:tcPr>
          <w:p>
            <w:pPr>
              <w:pStyle w:val="0"/>
              <w:jc w:val="center"/>
            </w:pPr>
            <w:r>
              <w:rPr>
                <w:sz w:val="20"/>
              </w:rPr>
              <w:t xml:space="preserve">20432,4</w:t>
            </w:r>
          </w:p>
        </w:tc>
        <w:tc>
          <w:tcPr>
            <w:tcW w:w="1020" w:type="dxa"/>
          </w:tcPr>
          <w:p>
            <w:pPr>
              <w:pStyle w:val="0"/>
              <w:jc w:val="center"/>
            </w:pPr>
            <w:r>
              <w:rPr>
                <w:sz w:val="20"/>
              </w:rPr>
              <w:t xml:space="preserve">40284,8</w:t>
            </w:r>
          </w:p>
        </w:tc>
        <w:tc>
          <w:tcPr>
            <w:tcW w:w="1020" w:type="dxa"/>
          </w:tcPr>
          <w:p>
            <w:pPr>
              <w:pStyle w:val="0"/>
              <w:jc w:val="center"/>
            </w:pPr>
            <w:r>
              <w:rPr>
                <w:sz w:val="20"/>
              </w:rPr>
              <w:t xml:space="preserve">41122,1</w:t>
            </w:r>
          </w:p>
        </w:tc>
        <w:tc>
          <w:tcPr>
            <w:tcW w:w="1020" w:type="dxa"/>
          </w:tcPr>
          <w:p>
            <w:pPr>
              <w:pStyle w:val="0"/>
              <w:jc w:val="center"/>
            </w:pPr>
            <w:r>
              <w:rPr>
                <w:sz w:val="20"/>
              </w:rPr>
              <w:t xml:space="preserve">41824,6</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Планируется развитие молодежного общественно-политического движения на территории Новосибирской области с ежегодным охватом молодежи не менее 13895 человек</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tcW w:w="2154" w:type="dxa"/>
            <w:vMerge w:val="restart"/>
          </w:tcPr>
          <w:p>
            <w:pPr>
              <w:pStyle w:val="0"/>
            </w:pPr>
            <w:r>
              <w:rPr>
                <w:sz w:val="20"/>
              </w:rPr>
              <w:t xml:space="preserve">1.2. Организация и проведение мероприятий, направленных на популяризацию трудового воспитания молодежи на территории Новосибирской области</w:t>
            </w:r>
          </w:p>
        </w:tc>
        <w:tc>
          <w:tcPr>
            <w:tcW w:w="1530" w:type="dxa"/>
          </w:tcPr>
          <w:p>
            <w:pPr>
              <w:pStyle w:val="0"/>
            </w:pPr>
            <w:r>
              <w:rPr>
                <w:sz w:val="20"/>
              </w:rPr>
              <w:t xml:space="preserve">областной бюджет</w:t>
            </w:r>
          </w:p>
        </w:tc>
        <w:tc>
          <w:tcPr>
            <w:tcW w:w="737" w:type="dxa"/>
          </w:tcPr>
          <w:p>
            <w:pPr>
              <w:pStyle w:val="0"/>
            </w:pPr>
            <w:r>
              <w:rPr>
                <w:sz w:val="20"/>
              </w:rPr>
            </w:r>
          </w:p>
        </w:tc>
        <w:tc>
          <w:tcPr>
            <w:tcW w:w="454" w:type="dxa"/>
          </w:tcPr>
          <w:p>
            <w:pPr>
              <w:pStyle w:val="0"/>
            </w:pPr>
            <w:r>
              <w:rPr>
                <w:sz w:val="20"/>
              </w:rPr>
            </w:r>
          </w:p>
        </w:tc>
        <w:tc>
          <w:tcPr>
            <w:tcW w:w="566"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0,00</w:t>
            </w:r>
          </w:p>
        </w:tc>
        <w:tc>
          <w:tcPr>
            <w:tcW w:w="1020" w:type="dxa"/>
          </w:tcPr>
          <w:p>
            <w:pPr>
              <w:pStyle w:val="0"/>
              <w:jc w:val="center"/>
            </w:pPr>
            <w:r>
              <w:rPr>
                <w:sz w:val="20"/>
              </w:rPr>
              <w:t xml:space="preserve">11486,7</w:t>
            </w:r>
          </w:p>
        </w:tc>
        <w:tc>
          <w:tcPr>
            <w:tcW w:w="1020" w:type="dxa"/>
          </w:tcPr>
          <w:p>
            <w:pPr>
              <w:pStyle w:val="0"/>
              <w:jc w:val="center"/>
            </w:pPr>
            <w:r>
              <w:rPr>
                <w:sz w:val="20"/>
              </w:rPr>
              <w:t xml:space="preserve">11486,7</w:t>
            </w:r>
          </w:p>
        </w:tc>
        <w:tc>
          <w:tcPr>
            <w:tcW w:w="1020" w:type="dxa"/>
          </w:tcPr>
          <w:p>
            <w:pPr>
              <w:pStyle w:val="0"/>
              <w:jc w:val="center"/>
            </w:pPr>
            <w:r>
              <w:rPr>
                <w:sz w:val="20"/>
              </w:rPr>
              <w:t xml:space="preserve">11486,7</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Организация и проведение мероприятий, направленных на профессиональную ориентацию молодежи Новосибирской области, поддержку, развитие и популяризацию движения "Студенческие отряды".</w:t>
            </w:r>
          </w:p>
          <w:p>
            <w:pPr>
              <w:pStyle w:val="0"/>
            </w:pPr>
            <w:r>
              <w:rPr>
                <w:sz w:val="20"/>
              </w:rPr>
              <w:t xml:space="preserve">Планируется участие не менее 20365 человек ежегодно с 2023 года</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tcW w:w="2154" w:type="dxa"/>
            <w:vMerge w:val="restart"/>
          </w:tcPr>
          <w:p>
            <w:pPr>
              <w:pStyle w:val="0"/>
            </w:pPr>
            <w:r>
              <w:rPr>
                <w:sz w:val="20"/>
              </w:rPr>
              <w:t xml:space="preserve">1.3.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03</w:t>
            </w:r>
          </w:p>
        </w:tc>
        <w:tc>
          <w:tcPr>
            <w:tcW w:w="1020" w:type="dxa"/>
          </w:tcPr>
          <w:p>
            <w:pPr>
              <w:pStyle w:val="0"/>
              <w:jc w:val="center"/>
            </w:pPr>
            <w:r>
              <w:rPr>
                <w:sz w:val="20"/>
              </w:rPr>
              <w:t xml:space="preserve">32057,3</w:t>
            </w:r>
          </w:p>
        </w:tc>
        <w:tc>
          <w:tcPr>
            <w:tcW w:w="1020" w:type="dxa"/>
          </w:tcPr>
          <w:p>
            <w:pPr>
              <w:pStyle w:val="0"/>
              <w:jc w:val="center"/>
            </w:pPr>
            <w:r>
              <w:rPr>
                <w:sz w:val="20"/>
              </w:rPr>
              <w:t xml:space="preserve">33331,4</w:t>
            </w:r>
          </w:p>
        </w:tc>
        <w:tc>
          <w:tcPr>
            <w:tcW w:w="1020" w:type="dxa"/>
          </w:tcPr>
          <w:p>
            <w:pPr>
              <w:pStyle w:val="0"/>
              <w:jc w:val="center"/>
            </w:pPr>
            <w:r>
              <w:rPr>
                <w:sz w:val="20"/>
              </w:rPr>
              <w:t xml:space="preserve">50980,0</w:t>
            </w:r>
          </w:p>
        </w:tc>
        <w:tc>
          <w:tcPr>
            <w:tcW w:w="1020" w:type="dxa"/>
          </w:tcPr>
          <w:p>
            <w:pPr>
              <w:pStyle w:val="0"/>
              <w:jc w:val="center"/>
            </w:pPr>
            <w:r>
              <w:rPr>
                <w:sz w:val="20"/>
              </w:rPr>
              <w:t xml:space="preserve">61093,4</w:t>
            </w:r>
          </w:p>
        </w:tc>
        <w:tc>
          <w:tcPr>
            <w:tcW w:w="1020" w:type="dxa"/>
          </w:tcPr>
          <w:p>
            <w:pPr>
              <w:pStyle w:val="0"/>
              <w:jc w:val="center"/>
            </w:pPr>
            <w:r>
              <w:rPr>
                <w:sz w:val="20"/>
              </w:rPr>
              <w:t xml:space="preserve">79450,4</w:t>
            </w:r>
          </w:p>
        </w:tc>
        <w:tc>
          <w:tcPr>
            <w:tcW w:w="1020" w:type="dxa"/>
          </w:tcPr>
          <w:p>
            <w:pPr>
              <w:pStyle w:val="0"/>
              <w:jc w:val="center"/>
            </w:pPr>
            <w:r>
              <w:rPr>
                <w:sz w:val="20"/>
              </w:rPr>
              <w:t xml:space="preserve">77615,0</w:t>
            </w:r>
          </w:p>
        </w:tc>
        <w:tc>
          <w:tcPr>
            <w:tcW w:w="1020" w:type="dxa"/>
          </w:tcPr>
          <w:p>
            <w:pPr>
              <w:pStyle w:val="0"/>
              <w:jc w:val="center"/>
            </w:pPr>
            <w:r>
              <w:rPr>
                <w:sz w:val="20"/>
              </w:rPr>
              <w:t xml:space="preserve">80123,4</w:t>
            </w:r>
          </w:p>
        </w:tc>
        <w:tc>
          <w:tcPr>
            <w:tcW w:w="964" w:type="dxa"/>
            <w:vMerge w:val="restart"/>
          </w:tcPr>
          <w:p>
            <w:pPr>
              <w:pStyle w:val="0"/>
            </w:pPr>
            <w:r>
              <w:rPr>
                <w:sz w:val="20"/>
              </w:rPr>
              <w:t xml:space="preserve">Министерство, Учреждения, МТиСР НСО</w:t>
            </w:r>
          </w:p>
        </w:tc>
        <w:tc>
          <w:tcPr>
            <w:tcW w:w="3061" w:type="dxa"/>
            <w:vMerge w:val="restart"/>
          </w:tcPr>
          <w:p>
            <w:pPr>
              <w:pStyle w:val="0"/>
            </w:pPr>
            <w:r>
              <w:rPr>
                <w:sz w:val="20"/>
              </w:rPr>
              <w:t xml:space="preserve">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81100 человек ежегодно</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tcW w:w="2154" w:type="dxa"/>
            <w:vMerge w:val="restart"/>
          </w:tcPr>
          <w:p>
            <w:pPr>
              <w:pStyle w:val="0"/>
            </w:pPr>
            <w:r>
              <w:rPr>
                <w:sz w:val="20"/>
              </w:rPr>
              <w:t xml:space="preserve">1.4.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04</w:t>
            </w:r>
          </w:p>
        </w:tc>
        <w:tc>
          <w:tcPr>
            <w:tcW w:w="1020" w:type="dxa"/>
          </w:tcPr>
          <w:p>
            <w:pPr>
              <w:pStyle w:val="0"/>
              <w:jc w:val="center"/>
            </w:pPr>
            <w:r>
              <w:rPr>
                <w:sz w:val="20"/>
              </w:rPr>
              <w:t xml:space="preserve">10907,1</w:t>
            </w:r>
          </w:p>
        </w:tc>
        <w:tc>
          <w:tcPr>
            <w:tcW w:w="1020" w:type="dxa"/>
          </w:tcPr>
          <w:p>
            <w:pPr>
              <w:pStyle w:val="0"/>
              <w:jc w:val="center"/>
            </w:pPr>
            <w:r>
              <w:rPr>
                <w:sz w:val="20"/>
              </w:rPr>
              <w:t xml:space="preserve">10907,1</w:t>
            </w:r>
          </w:p>
        </w:tc>
        <w:tc>
          <w:tcPr>
            <w:tcW w:w="1020" w:type="dxa"/>
          </w:tcPr>
          <w:p>
            <w:pPr>
              <w:pStyle w:val="0"/>
              <w:jc w:val="center"/>
            </w:pPr>
            <w:r>
              <w:rPr>
                <w:sz w:val="20"/>
              </w:rPr>
              <w:t xml:space="preserve">11686,5</w:t>
            </w:r>
          </w:p>
        </w:tc>
        <w:tc>
          <w:tcPr>
            <w:tcW w:w="1020" w:type="dxa"/>
          </w:tcPr>
          <w:p>
            <w:pPr>
              <w:pStyle w:val="0"/>
              <w:jc w:val="center"/>
            </w:pPr>
            <w:r>
              <w:rPr>
                <w:sz w:val="20"/>
              </w:rPr>
              <w:t xml:space="preserve">13847,4</w:t>
            </w:r>
          </w:p>
        </w:tc>
        <w:tc>
          <w:tcPr>
            <w:tcW w:w="1020" w:type="dxa"/>
          </w:tcPr>
          <w:p>
            <w:pPr>
              <w:pStyle w:val="0"/>
              <w:jc w:val="center"/>
            </w:pPr>
            <w:r>
              <w:rPr>
                <w:sz w:val="20"/>
              </w:rPr>
              <w:t xml:space="preserve">21259,4</w:t>
            </w:r>
          </w:p>
        </w:tc>
        <w:tc>
          <w:tcPr>
            <w:tcW w:w="1020" w:type="dxa"/>
          </w:tcPr>
          <w:p>
            <w:pPr>
              <w:pStyle w:val="0"/>
              <w:jc w:val="center"/>
            </w:pPr>
            <w:r>
              <w:rPr>
                <w:sz w:val="20"/>
              </w:rPr>
              <w:t xml:space="preserve">16157,3</w:t>
            </w:r>
          </w:p>
        </w:tc>
        <w:tc>
          <w:tcPr>
            <w:tcW w:w="1020" w:type="dxa"/>
          </w:tcPr>
          <w:p>
            <w:pPr>
              <w:pStyle w:val="0"/>
              <w:jc w:val="center"/>
            </w:pPr>
            <w:r>
              <w:rPr>
                <w:sz w:val="20"/>
              </w:rPr>
              <w:t xml:space="preserve">16638,3</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Планируется популяризация молодежных стрит-культур, популяризация молодежного туризма как альтернативных форм досуга. Организация и проведение мероприятий, направленных на пропаганду среди молодежи здорового образа жизни. Ежегодное количество участников - не менее 8750 человек</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tcW w:w="2154" w:type="dxa"/>
            <w:vMerge w:val="restart"/>
          </w:tcPr>
          <w:p>
            <w:pPr>
              <w:pStyle w:val="0"/>
            </w:pPr>
            <w:r>
              <w:rPr>
                <w:sz w:val="20"/>
              </w:rPr>
              <w:t xml:space="preserve">1.5. Региональный проект "Социальная активность"</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Е8</w:t>
            </w:r>
          </w:p>
        </w:tc>
        <w:tc>
          <w:tcPr>
            <w:tcW w:w="1020" w:type="dxa"/>
          </w:tcPr>
          <w:p>
            <w:pPr>
              <w:pStyle w:val="0"/>
              <w:jc w:val="center"/>
            </w:pPr>
            <w:r>
              <w:rPr>
                <w:sz w:val="20"/>
              </w:rPr>
              <w:t xml:space="preserve">21126,9</w:t>
            </w:r>
          </w:p>
        </w:tc>
        <w:tc>
          <w:tcPr>
            <w:tcW w:w="1020" w:type="dxa"/>
          </w:tcPr>
          <w:p>
            <w:pPr>
              <w:pStyle w:val="0"/>
              <w:jc w:val="center"/>
            </w:pPr>
            <w:r>
              <w:rPr>
                <w:sz w:val="20"/>
              </w:rPr>
              <w:t xml:space="preserve">16959,9</w:t>
            </w:r>
          </w:p>
        </w:tc>
        <w:tc>
          <w:tcPr>
            <w:tcW w:w="1020" w:type="dxa"/>
          </w:tcPr>
          <w:p>
            <w:pPr>
              <w:pStyle w:val="0"/>
              <w:jc w:val="center"/>
            </w:pPr>
            <w:r>
              <w:rPr>
                <w:sz w:val="20"/>
              </w:rPr>
              <w:t xml:space="preserve">15391,6</w:t>
            </w:r>
          </w:p>
        </w:tc>
        <w:tc>
          <w:tcPr>
            <w:tcW w:w="1020" w:type="dxa"/>
          </w:tcPr>
          <w:p>
            <w:pPr>
              <w:pStyle w:val="0"/>
              <w:jc w:val="center"/>
            </w:pPr>
            <w:r>
              <w:rPr>
                <w:sz w:val="20"/>
              </w:rPr>
              <w:t xml:space="preserve">42277,9</w:t>
            </w:r>
          </w:p>
        </w:tc>
        <w:tc>
          <w:tcPr>
            <w:tcW w:w="1020" w:type="dxa"/>
          </w:tcPr>
          <w:p>
            <w:pPr>
              <w:pStyle w:val="0"/>
              <w:jc w:val="center"/>
            </w:pPr>
            <w:r>
              <w:rPr>
                <w:sz w:val="20"/>
              </w:rPr>
              <w:t xml:space="preserve">2705,1</w:t>
            </w:r>
          </w:p>
        </w:tc>
        <w:tc>
          <w:tcPr>
            <w:tcW w:w="1020" w:type="dxa"/>
          </w:tcPr>
          <w:p>
            <w:pPr>
              <w:pStyle w:val="0"/>
              <w:jc w:val="center"/>
            </w:pPr>
            <w:r>
              <w:rPr>
                <w:sz w:val="20"/>
              </w:rPr>
              <w:t xml:space="preserve">2911,5</w:t>
            </w:r>
          </w:p>
        </w:tc>
        <w:tc>
          <w:tcPr>
            <w:tcW w:w="1020" w:type="dxa"/>
          </w:tcPr>
          <w:p>
            <w:pPr>
              <w:pStyle w:val="0"/>
              <w:jc w:val="center"/>
            </w:pPr>
            <w:r>
              <w:rPr>
                <w:sz w:val="20"/>
              </w:rPr>
              <w:t xml:space="preserve">3038,0</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2025 году в добровольческую деятельность 0,246 млн. человек</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Е8</w:t>
            </w:r>
          </w:p>
        </w:tc>
        <w:tc>
          <w:tcPr>
            <w:tcW w:w="1020" w:type="dxa"/>
          </w:tcPr>
          <w:p>
            <w:pPr>
              <w:pStyle w:val="0"/>
              <w:jc w:val="center"/>
            </w:pPr>
            <w:r>
              <w:rPr>
                <w:sz w:val="20"/>
              </w:rPr>
              <w:t xml:space="preserve">9492,3</w:t>
            </w:r>
          </w:p>
        </w:tc>
        <w:tc>
          <w:tcPr>
            <w:tcW w:w="1020" w:type="dxa"/>
          </w:tcPr>
          <w:p>
            <w:pPr>
              <w:pStyle w:val="0"/>
              <w:jc w:val="center"/>
            </w:pPr>
            <w:r>
              <w:rPr>
                <w:sz w:val="20"/>
              </w:rPr>
              <w:t xml:space="preserve">8723,2</w:t>
            </w:r>
          </w:p>
        </w:tc>
        <w:tc>
          <w:tcPr>
            <w:tcW w:w="1020" w:type="dxa"/>
          </w:tcPr>
          <w:p>
            <w:pPr>
              <w:pStyle w:val="0"/>
              <w:jc w:val="center"/>
            </w:pPr>
            <w:r>
              <w:rPr>
                <w:sz w:val="20"/>
              </w:rPr>
              <w:t xml:space="preserve">5756,5</w:t>
            </w:r>
          </w:p>
        </w:tc>
        <w:tc>
          <w:tcPr>
            <w:tcW w:w="1020" w:type="dxa"/>
          </w:tcPr>
          <w:p>
            <w:pPr>
              <w:pStyle w:val="0"/>
              <w:jc w:val="center"/>
            </w:pPr>
            <w:r>
              <w:rPr>
                <w:sz w:val="20"/>
              </w:rPr>
              <w:t xml:space="preserve">8038,7</w:t>
            </w:r>
          </w:p>
        </w:tc>
        <w:tc>
          <w:tcPr>
            <w:tcW w:w="1020" w:type="dxa"/>
          </w:tcPr>
          <w:p>
            <w:pPr>
              <w:pStyle w:val="0"/>
              <w:jc w:val="center"/>
            </w:pPr>
            <w:r>
              <w:rPr>
                <w:sz w:val="20"/>
              </w:rPr>
              <w:t xml:space="preserve">5454,4</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tcW w:w="2154" w:type="dxa"/>
            <w:vMerge w:val="restart"/>
          </w:tcPr>
          <w:p>
            <w:pPr>
              <w:pStyle w:val="0"/>
            </w:pPr>
            <w:r>
              <w:rPr>
                <w:sz w:val="20"/>
              </w:rPr>
              <w:t xml:space="preserve">1.6. Региональный проект "Популяризация предпринимательства"</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I8</w:t>
            </w:r>
          </w:p>
        </w:tc>
        <w:tc>
          <w:tcPr>
            <w:tcW w:w="1020" w:type="dxa"/>
          </w:tcPr>
          <w:p>
            <w:pPr>
              <w:pStyle w:val="0"/>
              <w:jc w:val="center"/>
            </w:pPr>
            <w:r>
              <w:rPr>
                <w:sz w:val="20"/>
              </w:rPr>
              <w:t xml:space="preserve">497,9</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Формирование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составит 0,1 тыс. человек в 2019 году, количество вновь созданных субъектов малого и среднего предпринимательства участниками регионального проекта "Популяризация предпринимательства" в 2019 году составит 0,065 тыс. единиц;</w:t>
            </w:r>
          </w:p>
          <w:p>
            <w:pPr>
              <w:pStyle w:val="0"/>
            </w:pPr>
            <w:r>
              <w:rPr>
                <w:sz w:val="20"/>
              </w:rPr>
              <w:t xml:space="preserve">количество обученных основам ведения бизнеса, финансовой грамотности и иным навыкам предпринимательской деятельности по итогам участия в региональном проекте "Популяризация предпринимательства" в 2019 году составит 0,4 тыс. человек;</w:t>
            </w:r>
          </w:p>
          <w:p>
            <w:pPr>
              <w:pStyle w:val="0"/>
            </w:pPr>
            <w:r>
              <w:rPr>
                <w:sz w:val="20"/>
              </w:rPr>
              <w:t xml:space="preserve">количество физических лиц - участников регионального проекта "Популяризация предпринимательства" в 2019 году составит</w:t>
            </w:r>
          </w:p>
          <w:p>
            <w:pPr>
              <w:pStyle w:val="0"/>
            </w:pPr>
            <w:r>
              <w:rPr>
                <w:sz w:val="20"/>
              </w:rPr>
              <w:t xml:space="preserve">4,0 тыс. человек</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I8</w:t>
            </w:r>
          </w:p>
        </w:tc>
        <w:tc>
          <w:tcPr>
            <w:tcW w:w="1020" w:type="dxa"/>
          </w:tcPr>
          <w:p>
            <w:pPr>
              <w:pStyle w:val="0"/>
              <w:jc w:val="center"/>
            </w:pPr>
            <w:r>
              <w:rPr>
                <w:sz w:val="20"/>
              </w:rPr>
              <w:t xml:space="preserve">11948,1</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tcW w:w="2154" w:type="dxa"/>
            <w:vMerge w:val="restart"/>
          </w:tcPr>
          <w:p>
            <w:pPr>
              <w:pStyle w:val="0"/>
            </w:pPr>
            <w:r>
              <w:rPr>
                <w:sz w:val="20"/>
              </w:rPr>
              <w:t xml:space="preserve">1.7. Региональный проект "Развитие системы поддержки молодежи ("Молодежь России")"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ЕГ</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1020" w:type="dxa"/>
          </w:tcPr>
          <w:p>
            <w:pPr>
              <w:pStyle w:val="0"/>
              <w:jc w:val="center"/>
            </w:pPr>
            <w:r>
              <w:rPr>
                <w:sz w:val="20"/>
              </w:rPr>
              <w:t xml:space="preserve">1000,0</w:t>
            </w:r>
          </w:p>
        </w:tc>
        <w:tc>
          <w:tcPr>
            <w:tcW w:w="964" w:type="dxa"/>
          </w:tcPr>
          <w:p>
            <w:pPr>
              <w:pStyle w:val="0"/>
            </w:pPr>
            <w:r>
              <w:rPr>
                <w:sz w:val="20"/>
              </w:rPr>
              <w:t xml:space="preserve">Министерство, Учреждения</w:t>
            </w:r>
          </w:p>
        </w:tc>
        <w:tc>
          <w:tcPr>
            <w:tcW w:w="3061" w:type="dxa"/>
          </w:tcPr>
          <w:p>
            <w:pPr>
              <w:pStyle w:val="0"/>
            </w:pPr>
            <w:r>
              <w:rPr>
                <w:sz w:val="20"/>
              </w:rPr>
              <w:t xml:space="preserve">Формирование и обеспечение участия делегаций Новосибирской области в образовательных заездах для молодых деятелей культуры и искусств "Таврида" в составе арт-кластера "Таврида". Планируется участие не менее 72 человек ежегодно с 2023 года</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tcW w:w="964" w:type="dxa"/>
          </w:tcPr>
          <w:p>
            <w:pPr>
              <w:pStyle w:val="0"/>
            </w:pPr>
            <w:r>
              <w:rPr>
                <w:sz w:val="20"/>
              </w:rPr>
            </w:r>
          </w:p>
        </w:tc>
        <w:tc>
          <w:tcPr>
            <w:tcW w:w="3061" w:type="dxa"/>
          </w:tcPr>
          <w:p>
            <w:pPr>
              <w:pStyle w:val="0"/>
            </w:pPr>
            <w:r>
              <w:rPr>
                <w:sz w:val="20"/>
              </w:rPr>
            </w: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tcW w:w="964" w:type="dxa"/>
          </w:tcPr>
          <w:p>
            <w:pPr>
              <w:pStyle w:val="0"/>
            </w:pPr>
            <w:r>
              <w:rPr>
                <w:sz w:val="20"/>
              </w:rPr>
            </w:r>
          </w:p>
        </w:tc>
        <w:tc>
          <w:tcPr>
            <w:tcW w:w="3061" w:type="dxa"/>
          </w:tcPr>
          <w:p>
            <w:pPr>
              <w:pStyle w:val="0"/>
            </w:pPr>
            <w:r>
              <w:rPr>
                <w:sz w:val="20"/>
              </w:rPr>
            </w: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tcW w:w="964" w:type="dxa"/>
          </w:tcPr>
          <w:p>
            <w:pPr>
              <w:pStyle w:val="0"/>
            </w:pPr>
            <w:r>
              <w:rPr>
                <w:sz w:val="20"/>
              </w:rPr>
            </w:r>
          </w:p>
        </w:tc>
        <w:tc>
          <w:tcPr>
            <w:tcW w:w="3061" w:type="dxa"/>
          </w:tcPr>
          <w:p>
            <w:pPr>
              <w:pStyle w:val="0"/>
            </w:pPr>
            <w:r>
              <w:rPr>
                <w:sz w:val="20"/>
              </w:rPr>
            </w: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tcW w:w="964" w:type="dxa"/>
          </w:tcPr>
          <w:p>
            <w:pPr>
              <w:pStyle w:val="0"/>
            </w:pPr>
            <w:r>
              <w:rPr>
                <w:sz w:val="20"/>
              </w:rPr>
            </w:r>
          </w:p>
        </w:tc>
        <w:tc>
          <w:tcPr>
            <w:tcW w:w="3061" w:type="dxa"/>
          </w:tcPr>
          <w:p>
            <w:pPr>
              <w:pStyle w:val="0"/>
            </w:pPr>
            <w:r>
              <w:rPr>
                <w:sz w:val="20"/>
              </w:rPr>
            </w:r>
          </w:p>
        </w:tc>
      </w:tr>
      <w:tr>
        <w:tc>
          <w:tcPr>
            <w:gridSpan w:val="15"/>
            <w:tcW w:w="17173" w:type="dxa"/>
          </w:tcPr>
          <w:p>
            <w:pPr>
              <w:pStyle w:val="0"/>
              <w:outlineLvl w:val="3"/>
            </w:pPr>
            <w:r>
              <w:rPr>
                <w:sz w:val="20"/>
              </w:rPr>
              <w:t xml:space="preserve">2. Задача 2. Повышение эффективности деятельности в сфере молодежной политики</w:t>
            </w:r>
          </w:p>
        </w:tc>
      </w:tr>
      <w:tr>
        <w:tc>
          <w:tcPr>
            <w:tcW w:w="2154" w:type="dxa"/>
            <w:vMerge w:val="restart"/>
          </w:tcPr>
          <w:p>
            <w:pPr>
              <w:pStyle w:val="0"/>
            </w:pPr>
            <w:r>
              <w:rPr>
                <w:sz w:val="20"/>
              </w:rPr>
              <w:t xml:space="preserve">2.1. Организация и проведение мероприятий, направленных на поддержку системы информационного обеспечения молодежной политики Новосибирской области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05</w:t>
            </w:r>
          </w:p>
        </w:tc>
        <w:tc>
          <w:tcPr>
            <w:tcW w:w="1020" w:type="dxa"/>
          </w:tcPr>
          <w:p>
            <w:pPr>
              <w:pStyle w:val="0"/>
              <w:jc w:val="center"/>
            </w:pPr>
            <w:r>
              <w:rPr>
                <w:sz w:val="20"/>
              </w:rPr>
              <w:t xml:space="preserve">7144,3</w:t>
            </w:r>
          </w:p>
        </w:tc>
        <w:tc>
          <w:tcPr>
            <w:tcW w:w="1020" w:type="dxa"/>
          </w:tcPr>
          <w:p>
            <w:pPr>
              <w:pStyle w:val="0"/>
              <w:jc w:val="center"/>
            </w:pPr>
            <w:r>
              <w:rPr>
                <w:sz w:val="20"/>
              </w:rPr>
              <w:t xml:space="preserve">7144,3</w:t>
            </w:r>
          </w:p>
        </w:tc>
        <w:tc>
          <w:tcPr>
            <w:tcW w:w="1020" w:type="dxa"/>
          </w:tcPr>
          <w:p>
            <w:pPr>
              <w:pStyle w:val="0"/>
              <w:jc w:val="center"/>
            </w:pPr>
            <w:r>
              <w:rPr>
                <w:sz w:val="20"/>
              </w:rPr>
              <w:t xml:space="preserve">7233,5</w:t>
            </w:r>
          </w:p>
        </w:tc>
        <w:tc>
          <w:tcPr>
            <w:tcW w:w="1020" w:type="dxa"/>
          </w:tcPr>
          <w:p>
            <w:pPr>
              <w:pStyle w:val="0"/>
              <w:jc w:val="center"/>
            </w:pPr>
            <w:r>
              <w:rPr>
                <w:sz w:val="20"/>
              </w:rPr>
              <w:t xml:space="preserve">8248,3</w:t>
            </w:r>
          </w:p>
        </w:tc>
        <w:tc>
          <w:tcPr>
            <w:tcW w:w="1020" w:type="dxa"/>
          </w:tcPr>
          <w:p>
            <w:pPr>
              <w:pStyle w:val="0"/>
              <w:jc w:val="center"/>
            </w:pPr>
            <w:r>
              <w:rPr>
                <w:sz w:val="20"/>
              </w:rPr>
              <w:t xml:space="preserve">9134,5</w:t>
            </w:r>
          </w:p>
        </w:tc>
        <w:tc>
          <w:tcPr>
            <w:tcW w:w="1020" w:type="dxa"/>
          </w:tcPr>
          <w:p>
            <w:pPr>
              <w:pStyle w:val="0"/>
              <w:jc w:val="center"/>
            </w:pPr>
            <w:r>
              <w:rPr>
                <w:sz w:val="20"/>
              </w:rPr>
              <w:t xml:space="preserve">9710,1</w:t>
            </w:r>
          </w:p>
        </w:tc>
        <w:tc>
          <w:tcPr>
            <w:tcW w:w="1020" w:type="dxa"/>
          </w:tcPr>
          <w:p>
            <w:pPr>
              <w:pStyle w:val="0"/>
              <w:jc w:val="center"/>
            </w:pPr>
            <w:r>
              <w:rPr>
                <w:sz w:val="20"/>
              </w:rPr>
              <w:t xml:space="preserve">10062,5</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91300 человек</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tcW w:w="2154" w:type="dxa"/>
            <w:vMerge w:val="restart"/>
          </w:tcPr>
          <w:p>
            <w:pPr>
              <w:pStyle w:val="0"/>
            </w:pPr>
            <w:r>
              <w:rPr>
                <w:sz w:val="20"/>
              </w:rPr>
              <w:t xml:space="preserve">2.2. Организация и проведение мероприятий, направленных на методическое и кадровое обеспечение молодежной политики Новосибирской области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07</w:t>
            </w:r>
          </w:p>
        </w:tc>
        <w:tc>
          <w:tcPr>
            <w:tcW w:w="1020" w:type="dxa"/>
          </w:tcPr>
          <w:p>
            <w:pPr>
              <w:pStyle w:val="0"/>
              <w:jc w:val="center"/>
            </w:pPr>
            <w:r>
              <w:rPr>
                <w:sz w:val="20"/>
              </w:rPr>
              <w:t xml:space="preserve">23567,3</w:t>
            </w:r>
          </w:p>
        </w:tc>
        <w:tc>
          <w:tcPr>
            <w:tcW w:w="1020" w:type="dxa"/>
          </w:tcPr>
          <w:p>
            <w:pPr>
              <w:pStyle w:val="0"/>
              <w:jc w:val="center"/>
            </w:pPr>
            <w:r>
              <w:rPr>
                <w:sz w:val="20"/>
              </w:rPr>
              <w:t xml:space="preserve">22419,4</w:t>
            </w:r>
          </w:p>
        </w:tc>
        <w:tc>
          <w:tcPr>
            <w:tcW w:w="1020" w:type="dxa"/>
          </w:tcPr>
          <w:p>
            <w:pPr>
              <w:pStyle w:val="0"/>
              <w:jc w:val="center"/>
            </w:pPr>
            <w:r>
              <w:rPr>
                <w:sz w:val="20"/>
              </w:rPr>
              <w:t xml:space="preserve">22799,5</w:t>
            </w:r>
          </w:p>
        </w:tc>
        <w:tc>
          <w:tcPr>
            <w:tcW w:w="1020" w:type="dxa"/>
          </w:tcPr>
          <w:p>
            <w:pPr>
              <w:pStyle w:val="0"/>
              <w:jc w:val="center"/>
            </w:pPr>
            <w:r>
              <w:rPr>
                <w:sz w:val="20"/>
              </w:rPr>
              <w:t xml:space="preserve">30908,0</w:t>
            </w:r>
          </w:p>
        </w:tc>
        <w:tc>
          <w:tcPr>
            <w:tcW w:w="1020" w:type="dxa"/>
          </w:tcPr>
          <w:p>
            <w:pPr>
              <w:pStyle w:val="0"/>
              <w:jc w:val="center"/>
            </w:pPr>
            <w:r>
              <w:rPr>
                <w:sz w:val="20"/>
              </w:rPr>
              <w:t xml:space="preserve">45311,0</w:t>
            </w:r>
          </w:p>
        </w:tc>
        <w:tc>
          <w:tcPr>
            <w:tcW w:w="1020" w:type="dxa"/>
          </w:tcPr>
          <w:p>
            <w:pPr>
              <w:pStyle w:val="0"/>
              <w:jc w:val="center"/>
            </w:pPr>
            <w:r>
              <w:rPr>
                <w:sz w:val="20"/>
              </w:rPr>
              <w:t xml:space="preserve">36400,5</w:t>
            </w:r>
          </w:p>
        </w:tc>
        <w:tc>
          <w:tcPr>
            <w:tcW w:w="1020" w:type="dxa"/>
          </w:tcPr>
          <w:p>
            <w:pPr>
              <w:pStyle w:val="0"/>
              <w:jc w:val="center"/>
            </w:pPr>
            <w:r>
              <w:rPr>
                <w:sz w:val="20"/>
              </w:rPr>
              <w:t xml:space="preserve">37271,0</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17130 человек</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pPr>
            <w:r>
              <w:rPr>
                <w:sz w:val="20"/>
              </w:rPr>
            </w:r>
          </w:p>
        </w:tc>
        <w:tc>
          <w:tcPr>
            <w:vMerge w:val="continue"/>
          </w:tcPr>
          <w:p/>
        </w:tc>
        <w:tc>
          <w:tcPr>
            <w:vMerge w:val="continue"/>
          </w:tcPr>
          <w:p/>
        </w:tc>
      </w:tr>
      <w:tr>
        <w:tc>
          <w:tcPr>
            <w:tcW w:w="2154" w:type="dxa"/>
            <w:vMerge w:val="restart"/>
          </w:tcPr>
          <w:p>
            <w:pPr>
              <w:pStyle w:val="0"/>
            </w:pPr>
            <w:r>
              <w:rPr>
                <w:sz w:val="20"/>
              </w:rPr>
              <w:t xml:space="preserve">2.3. Организация и проведение мероприятий, направленных на поддержку инфраструктурного обеспечения молодежной политики Новосибирской области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06</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8000,0</w:t>
            </w:r>
          </w:p>
        </w:tc>
        <w:tc>
          <w:tcPr>
            <w:tcW w:w="1020" w:type="dxa"/>
          </w:tcPr>
          <w:p>
            <w:pPr>
              <w:pStyle w:val="0"/>
              <w:jc w:val="center"/>
            </w:pPr>
            <w:r>
              <w:rPr>
                <w:sz w:val="20"/>
              </w:rPr>
              <w:t xml:space="preserve">35400,0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vMerge w:val="restart"/>
          </w:tcPr>
          <w:p>
            <w:pPr>
              <w:pStyle w:val="0"/>
            </w:pPr>
            <w:r>
              <w:rPr>
                <w:sz w:val="20"/>
              </w:rPr>
              <w:t xml:space="preserve">Министерство, Учреждения</w:t>
            </w:r>
          </w:p>
        </w:tc>
        <w:tc>
          <w:tcPr>
            <w:tcW w:w="3061" w:type="dxa"/>
            <w:vMerge w:val="restart"/>
          </w:tcPr>
          <w:p>
            <w:pPr>
              <w:pStyle w:val="0"/>
            </w:pPr>
            <w:r>
              <w:rPr>
                <w:sz w:val="20"/>
              </w:rPr>
              <w:t xml:space="preserve">Осуществление поддержки существующей инфраструктуры в сфере государственной молодежной политики Новосибирской области путем проведения ремонта и реконструкции имущественного комплекса обособленного структурного подразделения "Юность" государственного бюджетного учреждения Новосибирской области "Агентство поддержки молодежных инициатив".</w:t>
            </w:r>
          </w:p>
          <w:p>
            <w:pPr>
              <w:pStyle w:val="0"/>
            </w:pPr>
            <w:r>
              <w:rPr>
                <w:sz w:val="20"/>
              </w:rPr>
              <w:t xml:space="preserve">Доля выполненных видов работ по ремонту и реконструкции имущественного комплекса учреждения составит 16,7% в 2021 году, 44,4% - в 2022 году (нарастающим итогом)</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tcW w:w="2154" w:type="dxa"/>
            <w:vMerge w:val="restart"/>
          </w:tcPr>
          <w:p>
            <w:pPr>
              <w:pStyle w:val="0"/>
            </w:pPr>
            <w:r>
              <w:rPr>
                <w:sz w:val="20"/>
              </w:rPr>
              <w:t xml:space="preserve">2.4. Укрепление и развитие материально-технической базы государственных учреждений молодежной политики</w:t>
            </w:r>
          </w:p>
        </w:tc>
        <w:tc>
          <w:tcPr>
            <w:tcW w:w="1530" w:type="dxa"/>
          </w:tcPr>
          <w:p>
            <w:pPr>
              <w:pStyle w:val="0"/>
            </w:pPr>
            <w:r>
              <w:rPr>
                <w:sz w:val="20"/>
              </w:rPr>
              <w:t xml:space="preserve">областной бюджет</w:t>
            </w:r>
          </w:p>
        </w:tc>
        <w:tc>
          <w:tcPr>
            <w:tcW w:w="737" w:type="dxa"/>
          </w:tcPr>
          <w:p>
            <w:pPr>
              <w:pStyle w:val="0"/>
              <w:jc w:val="center"/>
            </w:pPr>
            <w:r>
              <w:rPr>
                <w:sz w:val="20"/>
              </w:rPr>
              <w:t xml:space="preserve">136</w:t>
            </w:r>
          </w:p>
        </w:tc>
        <w:tc>
          <w:tcPr>
            <w:tcW w:w="454" w:type="dxa"/>
          </w:tcPr>
          <w:p>
            <w:pPr>
              <w:pStyle w:val="0"/>
              <w:jc w:val="center"/>
            </w:pPr>
            <w:r>
              <w:rPr>
                <w:sz w:val="20"/>
              </w:rPr>
              <w:t xml:space="preserve">19</w:t>
            </w:r>
          </w:p>
        </w:tc>
        <w:tc>
          <w:tcPr>
            <w:tcW w:w="566" w:type="dxa"/>
          </w:tcPr>
          <w:p>
            <w:pPr>
              <w:pStyle w:val="0"/>
              <w:jc w:val="center"/>
            </w:pPr>
            <w:r>
              <w:rPr>
                <w:sz w:val="20"/>
              </w:rPr>
              <w:t xml:space="preserve">0</w:t>
            </w:r>
          </w:p>
        </w:tc>
        <w:tc>
          <w:tcPr>
            <w:tcW w:w="567" w:type="dxa"/>
          </w:tcPr>
          <w:p>
            <w:pPr>
              <w:pStyle w:val="0"/>
              <w:jc w:val="center"/>
            </w:pPr>
            <w:r>
              <w:rPr>
                <w:sz w:val="20"/>
              </w:rPr>
              <w:t xml:space="preserve">06</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60400,0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pPr>
            <w:r>
              <w:rPr>
                <w:sz w:val="20"/>
              </w:rPr>
              <w:t xml:space="preserve">Министерство, Учреждения</w:t>
            </w:r>
          </w:p>
        </w:tc>
        <w:tc>
          <w:tcPr>
            <w:tcW w:w="3061" w:type="dxa"/>
          </w:tcPr>
          <w:p>
            <w:pPr>
              <w:pStyle w:val="0"/>
            </w:pPr>
            <w:r>
              <w:rPr>
                <w:sz w:val="20"/>
              </w:rPr>
              <w:t xml:space="preserve">Осуществление поддержки существующей инфраструктуры в сфере государственной молодежной политики Новосибирской области путем проведения ремонта и реконструкции имущественного комплекса обособленного структурного подразделения "Юность" государственного бюджетного учреждения Новосибирской области "Агентство поддержки молодежных инициатив".</w:t>
            </w:r>
          </w:p>
          <w:p>
            <w:pPr>
              <w:pStyle w:val="0"/>
            </w:pPr>
            <w:r>
              <w:rPr>
                <w:sz w:val="20"/>
              </w:rPr>
              <w:t xml:space="preserve">Доля выполненных видов работ по ремонту и реконструкции имущественного комплекса учреждения составит 72,2% в 2023 году</w:t>
            </w:r>
          </w:p>
        </w:tc>
      </w:tr>
      <w:tr>
        <w:tc>
          <w:tcPr>
            <w:vMerge w:val="continue"/>
          </w:tcPr>
          <w:p/>
        </w:tc>
        <w:tc>
          <w:tcPr>
            <w:tcW w:w="1530" w:type="dxa"/>
          </w:tcPr>
          <w:p>
            <w:pPr>
              <w:pStyle w:val="0"/>
            </w:pPr>
            <w:r>
              <w:rPr>
                <w:sz w:val="20"/>
              </w:rPr>
              <w:t xml:space="preserve">федеральный бюджет</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964" w:type="dxa"/>
          </w:tcPr>
          <w:p>
            <w:pPr>
              <w:pStyle w:val="0"/>
            </w:pPr>
            <w:r>
              <w:rPr>
                <w:sz w:val="20"/>
              </w:rPr>
            </w:r>
          </w:p>
        </w:tc>
        <w:tc>
          <w:tcPr>
            <w:tcW w:w="3061" w:type="dxa"/>
          </w:tcPr>
          <w:p>
            <w:pPr>
              <w:pStyle w:val="0"/>
            </w:pPr>
            <w:r>
              <w:rPr>
                <w:sz w:val="20"/>
              </w:rPr>
            </w: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964" w:type="dxa"/>
          </w:tcPr>
          <w:p>
            <w:pPr>
              <w:pStyle w:val="0"/>
            </w:pPr>
            <w:r>
              <w:rPr>
                <w:sz w:val="20"/>
              </w:rPr>
            </w:r>
          </w:p>
        </w:tc>
        <w:tc>
          <w:tcPr>
            <w:tcW w:w="3061" w:type="dxa"/>
          </w:tcPr>
          <w:p>
            <w:pPr>
              <w:pStyle w:val="0"/>
            </w:pPr>
            <w:r>
              <w:rPr>
                <w:sz w:val="20"/>
              </w:rPr>
            </w: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964" w:type="dxa"/>
          </w:tcPr>
          <w:p>
            <w:pPr>
              <w:pStyle w:val="0"/>
            </w:pPr>
            <w:r>
              <w:rPr>
                <w:sz w:val="20"/>
              </w:rPr>
            </w:r>
          </w:p>
        </w:tc>
        <w:tc>
          <w:tcPr>
            <w:tcW w:w="3061" w:type="dxa"/>
          </w:tcPr>
          <w:p>
            <w:pPr>
              <w:pStyle w:val="0"/>
            </w:pPr>
            <w:r>
              <w:rPr>
                <w:sz w:val="20"/>
              </w:rPr>
            </w: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964" w:type="dxa"/>
          </w:tcPr>
          <w:p>
            <w:pPr>
              <w:pStyle w:val="0"/>
            </w:pPr>
            <w:r>
              <w:rPr>
                <w:sz w:val="20"/>
              </w:rPr>
            </w:r>
          </w:p>
        </w:tc>
        <w:tc>
          <w:tcPr>
            <w:tcW w:w="3061" w:type="dxa"/>
          </w:tcPr>
          <w:p>
            <w:pPr>
              <w:pStyle w:val="0"/>
            </w:pPr>
            <w:r>
              <w:rPr>
                <w:sz w:val="20"/>
              </w:rPr>
            </w:r>
          </w:p>
        </w:tc>
      </w:tr>
      <w:tr>
        <w:tc>
          <w:tcPr>
            <w:tcW w:w="2154" w:type="dxa"/>
            <w:vMerge w:val="restart"/>
          </w:tcPr>
          <w:p>
            <w:pPr>
              <w:pStyle w:val="0"/>
            </w:pPr>
            <w:r>
              <w:rPr>
                <w:sz w:val="20"/>
              </w:rPr>
              <w:t xml:space="preserve">Итого по государственной программе</w:t>
            </w:r>
          </w:p>
        </w:tc>
        <w:tc>
          <w:tcPr>
            <w:tcW w:w="1530" w:type="dxa"/>
          </w:tcPr>
          <w:p>
            <w:pPr>
              <w:pStyle w:val="0"/>
            </w:pPr>
            <w:r>
              <w:rPr>
                <w:sz w:val="20"/>
              </w:rPr>
              <w:t xml:space="preserve">областной бюджет</w:t>
            </w:r>
          </w:p>
        </w:tc>
        <w:tc>
          <w:tcPr>
            <w:tcW w:w="737" w:type="dxa"/>
          </w:tcPr>
          <w:p>
            <w:pPr>
              <w:pStyle w:val="0"/>
            </w:pPr>
            <w:r>
              <w:rPr>
                <w:sz w:val="20"/>
              </w:rPr>
            </w:r>
          </w:p>
        </w:tc>
        <w:tc>
          <w:tcPr>
            <w:tcW w:w="454" w:type="dxa"/>
          </w:tcPr>
          <w:p>
            <w:pPr>
              <w:pStyle w:val="0"/>
            </w:pPr>
            <w:r>
              <w:rPr>
                <w:sz w:val="20"/>
              </w:rPr>
            </w:r>
          </w:p>
        </w:tc>
        <w:tc>
          <w:tcPr>
            <w:tcW w:w="566"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112103,7</w:t>
            </w:r>
          </w:p>
        </w:tc>
        <w:tc>
          <w:tcPr>
            <w:tcW w:w="1020" w:type="dxa"/>
          </w:tcPr>
          <w:p>
            <w:pPr>
              <w:pStyle w:val="0"/>
              <w:jc w:val="center"/>
            </w:pPr>
            <w:r>
              <w:rPr>
                <w:sz w:val="20"/>
              </w:rPr>
              <w:t xml:space="preserve">108565,0</w:t>
            </w:r>
          </w:p>
        </w:tc>
        <w:tc>
          <w:tcPr>
            <w:tcW w:w="1020" w:type="dxa"/>
          </w:tcPr>
          <w:p>
            <w:pPr>
              <w:pStyle w:val="0"/>
              <w:jc w:val="center"/>
            </w:pPr>
            <w:r>
              <w:rPr>
                <w:sz w:val="20"/>
              </w:rPr>
              <w:t xml:space="preserve">133977,8</w:t>
            </w:r>
          </w:p>
        </w:tc>
        <w:tc>
          <w:tcPr>
            <w:tcW w:w="1020" w:type="dxa"/>
          </w:tcPr>
          <w:p>
            <w:pPr>
              <w:pStyle w:val="0"/>
              <w:jc w:val="center"/>
            </w:pPr>
            <w:r>
              <w:rPr>
                <w:sz w:val="20"/>
              </w:rPr>
              <w:t xml:space="preserve">212207,4</w:t>
            </w:r>
          </w:p>
        </w:tc>
        <w:tc>
          <w:tcPr>
            <w:tcW w:w="1020" w:type="dxa"/>
          </w:tcPr>
          <w:p>
            <w:pPr>
              <w:pStyle w:val="0"/>
              <w:jc w:val="center"/>
            </w:pPr>
            <w:r>
              <w:rPr>
                <w:sz w:val="20"/>
              </w:rPr>
              <w:t xml:space="preserve">271031,9</w:t>
            </w:r>
          </w:p>
        </w:tc>
        <w:tc>
          <w:tcPr>
            <w:tcW w:w="1020" w:type="dxa"/>
          </w:tcPr>
          <w:p>
            <w:pPr>
              <w:pStyle w:val="0"/>
              <w:jc w:val="center"/>
            </w:pPr>
            <w:r>
              <w:rPr>
                <w:sz w:val="20"/>
              </w:rPr>
              <w:t xml:space="preserve">196403,2</w:t>
            </w:r>
          </w:p>
        </w:tc>
        <w:tc>
          <w:tcPr>
            <w:tcW w:w="1020" w:type="dxa"/>
          </w:tcPr>
          <w:p>
            <w:pPr>
              <w:pStyle w:val="0"/>
              <w:jc w:val="center"/>
            </w:pPr>
            <w:r>
              <w:rPr>
                <w:sz w:val="20"/>
              </w:rPr>
              <w:t xml:space="preserve">201444,5</w:t>
            </w:r>
          </w:p>
        </w:tc>
        <w:tc>
          <w:tcPr>
            <w:tcW w:w="964" w:type="dxa"/>
            <w:vMerge w:val="restart"/>
          </w:tcPr>
          <w:p>
            <w:pPr>
              <w:pStyle w:val="0"/>
              <w:jc w:val="center"/>
            </w:pPr>
            <w:r>
              <w:rPr>
                <w:sz w:val="20"/>
              </w:rPr>
              <w:t xml:space="preserve">x</w:t>
            </w:r>
          </w:p>
        </w:tc>
        <w:tc>
          <w:tcPr>
            <w:tcW w:w="3061" w:type="dxa"/>
            <w:vMerge w:val="restart"/>
          </w:tcPr>
          <w:p>
            <w:pPr>
              <w:pStyle w:val="0"/>
              <w:jc w:val="center"/>
            </w:pPr>
            <w:r>
              <w:rPr>
                <w:sz w:val="20"/>
              </w:rPr>
              <w:t xml:space="preserve">x</w:t>
            </w:r>
          </w:p>
        </w:tc>
      </w:tr>
      <w:tr>
        <w:tc>
          <w:tcPr>
            <w:vMerge w:val="continue"/>
          </w:tcPr>
          <w:p/>
        </w:tc>
        <w:tc>
          <w:tcPr>
            <w:tcW w:w="1530" w:type="dxa"/>
          </w:tcPr>
          <w:p>
            <w:pPr>
              <w:pStyle w:val="0"/>
            </w:pPr>
            <w:r>
              <w:rPr>
                <w:sz w:val="20"/>
              </w:rPr>
              <w:t xml:space="preserve">федеральный бюджет</w:t>
            </w:r>
          </w:p>
        </w:tc>
        <w:tc>
          <w:tcPr>
            <w:tcW w:w="737" w:type="dxa"/>
          </w:tcPr>
          <w:p>
            <w:pPr>
              <w:pStyle w:val="0"/>
            </w:pPr>
            <w:r>
              <w:rPr>
                <w:sz w:val="20"/>
              </w:rPr>
            </w:r>
          </w:p>
        </w:tc>
        <w:tc>
          <w:tcPr>
            <w:tcW w:w="454" w:type="dxa"/>
          </w:tcPr>
          <w:p>
            <w:pPr>
              <w:pStyle w:val="0"/>
            </w:pPr>
            <w:r>
              <w:rPr>
                <w:sz w:val="20"/>
              </w:rPr>
            </w:r>
          </w:p>
        </w:tc>
        <w:tc>
          <w:tcPr>
            <w:tcW w:w="566" w:type="dxa"/>
          </w:tcPr>
          <w:p>
            <w:pPr>
              <w:pStyle w:val="0"/>
            </w:pPr>
            <w:r>
              <w:rPr>
                <w:sz w:val="20"/>
              </w:rPr>
            </w:r>
          </w:p>
        </w:tc>
        <w:tc>
          <w:tcPr>
            <w:tcW w:w="567" w:type="dxa"/>
          </w:tcPr>
          <w:p>
            <w:pPr>
              <w:pStyle w:val="0"/>
            </w:pPr>
            <w:r>
              <w:rPr>
                <w:sz w:val="20"/>
              </w:rPr>
            </w:r>
          </w:p>
        </w:tc>
        <w:tc>
          <w:tcPr>
            <w:tcW w:w="1020" w:type="dxa"/>
          </w:tcPr>
          <w:p>
            <w:pPr>
              <w:pStyle w:val="0"/>
              <w:jc w:val="center"/>
            </w:pPr>
            <w:r>
              <w:rPr>
                <w:sz w:val="20"/>
              </w:rPr>
              <w:t xml:space="preserve">21440,4</w:t>
            </w:r>
          </w:p>
        </w:tc>
        <w:tc>
          <w:tcPr>
            <w:tcW w:w="1020" w:type="dxa"/>
          </w:tcPr>
          <w:p>
            <w:pPr>
              <w:pStyle w:val="0"/>
              <w:jc w:val="center"/>
            </w:pPr>
            <w:r>
              <w:rPr>
                <w:sz w:val="20"/>
              </w:rPr>
              <w:t xml:space="preserve">8723,2</w:t>
            </w:r>
          </w:p>
        </w:tc>
        <w:tc>
          <w:tcPr>
            <w:tcW w:w="1020" w:type="dxa"/>
          </w:tcPr>
          <w:p>
            <w:pPr>
              <w:pStyle w:val="0"/>
              <w:jc w:val="center"/>
            </w:pPr>
            <w:r>
              <w:rPr>
                <w:sz w:val="20"/>
              </w:rPr>
              <w:t xml:space="preserve">5756,5</w:t>
            </w:r>
          </w:p>
        </w:tc>
        <w:tc>
          <w:tcPr>
            <w:tcW w:w="1020" w:type="dxa"/>
          </w:tcPr>
          <w:p>
            <w:pPr>
              <w:pStyle w:val="0"/>
              <w:jc w:val="center"/>
            </w:pPr>
            <w:r>
              <w:rPr>
                <w:sz w:val="20"/>
              </w:rPr>
              <w:t xml:space="preserve">8038,7</w:t>
            </w:r>
          </w:p>
        </w:tc>
        <w:tc>
          <w:tcPr>
            <w:tcW w:w="1020" w:type="dxa"/>
          </w:tcPr>
          <w:p>
            <w:pPr>
              <w:pStyle w:val="0"/>
              <w:jc w:val="center"/>
            </w:pPr>
            <w:r>
              <w:rPr>
                <w:sz w:val="20"/>
              </w:rPr>
              <w:t xml:space="preserve">5454,4</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местные бюджеты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внебюджетные источники</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r>
        <w:tc>
          <w:tcPr>
            <w:vMerge w:val="continue"/>
          </w:tcPr>
          <w:p/>
        </w:tc>
        <w:tc>
          <w:tcPr>
            <w:tcW w:w="1530" w:type="dxa"/>
          </w:tcPr>
          <w:p>
            <w:pPr>
              <w:pStyle w:val="0"/>
            </w:pPr>
            <w:r>
              <w:rPr>
                <w:sz w:val="20"/>
              </w:rPr>
              <w:t xml:space="preserve">налоговые расходы</w:t>
            </w:r>
          </w:p>
        </w:tc>
        <w:tc>
          <w:tcPr>
            <w:tcW w:w="737" w:type="dxa"/>
          </w:tcPr>
          <w:p>
            <w:pPr>
              <w:pStyle w:val="0"/>
              <w:jc w:val="center"/>
            </w:pPr>
            <w:r>
              <w:rPr>
                <w:sz w:val="20"/>
              </w:rPr>
              <w:t xml:space="preserve">x</w:t>
            </w:r>
          </w:p>
        </w:tc>
        <w:tc>
          <w:tcPr>
            <w:tcW w:w="454" w:type="dxa"/>
          </w:tcPr>
          <w:p>
            <w:pPr>
              <w:pStyle w:val="0"/>
              <w:jc w:val="center"/>
            </w:pPr>
            <w:r>
              <w:rPr>
                <w:sz w:val="20"/>
              </w:rPr>
              <w:t xml:space="preserve">x</w:t>
            </w:r>
          </w:p>
        </w:tc>
        <w:tc>
          <w:tcPr>
            <w:tcW w:w="566" w:type="dxa"/>
          </w:tcPr>
          <w:p>
            <w:pPr>
              <w:pStyle w:val="0"/>
              <w:jc w:val="center"/>
            </w:pPr>
            <w:r>
              <w:rPr>
                <w:sz w:val="20"/>
              </w:rPr>
              <w:t xml:space="preserve">x</w:t>
            </w:r>
          </w:p>
        </w:tc>
        <w:tc>
          <w:tcPr>
            <w:tcW w:w="56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vMerge w:val="continue"/>
          </w:tcPr>
          <w:p/>
        </w:tc>
        <w:tc>
          <w:tcPr>
            <w:vMerge w:val="continue"/>
          </w:tcP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Применяемые сокращения:</w:t>
      </w:r>
    </w:p>
    <w:p>
      <w:pPr>
        <w:pStyle w:val="0"/>
        <w:spacing w:before="200" w:line-rule="auto"/>
        <w:ind w:firstLine="540"/>
        <w:jc w:val="both"/>
      </w:pPr>
      <w:r>
        <w:rPr>
          <w:sz w:val="20"/>
        </w:rPr>
        <w:t xml:space="preserve">ГП - государственная программа Новосибирской области;</w:t>
      </w:r>
    </w:p>
    <w:p>
      <w:pPr>
        <w:pStyle w:val="0"/>
        <w:spacing w:before="200" w:line-rule="auto"/>
        <w:ind w:firstLine="540"/>
        <w:jc w:val="both"/>
      </w:pPr>
      <w:r>
        <w:rPr>
          <w:sz w:val="20"/>
        </w:rPr>
        <w:t xml:space="preserve">ГРБС - главный распорядитель средств областного бюджета Новосибирской области;</w:t>
      </w:r>
    </w:p>
    <w:p>
      <w:pPr>
        <w:pStyle w:val="0"/>
        <w:spacing w:before="200" w:line-rule="auto"/>
        <w:ind w:firstLine="540"/>
        <w:jc w:val="both"/>
      </w:pPr>
      <w:r>
        <w:rPr>
          <w:sz w:val="20"/>
        </w:rPr>
        <w:t xml:space="preserve">Министерство - министерство образования Новосибирской области;</w:t>
      </w:r>
    </w:p>
    <w:p>
      <w:pPr>
        <w:pStyle w:val="0"/>
        <w:spacing w:before="200" w:line-rule="auto"/>
        <w:ind w:firstLine="540"/>
        <w:jc w:val="both"/>
      </w:pPr>
      <w:r>
        <w:rPr>
          <w:sz w:val="20"/>
        </w:rPr>
        <w:t xml:space="preserve">МТиСР - министерство труда и социального развития Новосибирской области;</w:t>
      </w:r>
    </w:p>
    <w:p>
      <w:pPr>
        <w:pStyle w:val="0"/>
        <w:spacing w:before="200" w:line-rule="auto"/>
        <w:ind w:firstLine="540"/>
        <w:jc w:val="both"/>
      </w:pPr>
      <w:r>
        <w:rPr>
          <w:sz w:val="20"/>
        </w:rPr>
        <w:t xml:space="preserve">ОМ - основное мероприятие государственной программы (подпрограммы) Новосибирской области;</w:t>
      </w:r>
    </w:p>
    <w:p>
      <w:pPr>
        <w:pStyle w:val="0"/>
        <w:spacing w:before="200" w:line-rule="auto"/>
        <w:ind w:firstLine="540"/>
        <w:jc w:val="both"/>
      </w:pPr>
      <w:r>
        <w:rPr>
          <w:sz w:val="20"/>
        </w:rPr>
        <w:t xml:space="preserve">пГП - подпрограмма государственной программы Новосибирской области;</w:t>
      </w:r>
    </w:p>
    <w:p>
      <w:pPr>
        <w:pStyle w:val="0"/>
        <w:spacing w:before="200" w:line-rule="auto"/>
        <w:ind w:firstLine="540"/>
        <w:jc w:val="both"/>
      </w:pPr>
      <w:r>
        <w:rPr>
          <w:sz w:val="20"/>
        </w:rPr>
        <w:t xml:space="preserve">Учреждения - государственные учреждения Новосибирской области, подведомственные министерству образования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Новосибирской области "Развитие</w:t>
      </w:r>
    </w:p>
    <w:p>
      <w:pPr>
        <w:pStyle w:val="0"/>
        <w:jc w:val="right"/>
      </w:pPr>
      <w:r>
        <w:rPr>
          <w:sz w:val="20"/>
        </w:rPr>
        <w:t xml:space="preserve">государственной молодежной политики</w:t>
      </w:r>
    </w:p>
    <w:p>
      <w:pPr>
        <w:pStyle w:val="0"/>
        <w:jc w:val="right"/>
      </w:pPr>
      <w:r>
        <w:rPr>
          <w:sz w:val="20"/>
        </w:rPr>
        <w:t xml:space="preserve">Новосибирской области"</w:t>
      </w:r>
    </w:p>
    <w:p>
      <w:pPr>
        <w:pStyle w:val="0"/>
        <w:ind w:firstLine="540"/>
        <w:jc w:val="both"/>
      </w:pPr>
      <w:r>
        <w:rPr>
          <w:sz w:val="20"/>
        </w:rPr>
      </w:r>
    </w:p>
    <w:bookmarkStart w:id="1655" w:name="P1655"/>
    <w:bookmarkEnd w:id="1655"/>
    <w:p>
      <w:pPr>
        <w:pStyle w:val="2"/>
        <w:jc w:val="center"/>
      </w:pPr>
      <w:r>
        <w:rPr>
          <w:sz w:val="20"/>
        </w:rPr>
        <w:t xml:space="preserve">СВОДНЫЕ ФИНАНСОВЫЕ ЗАТРАТЫ И НАЛОГОВЫЕ РАСХОДЫ</w:t>
      </w:r>
    </w:p>
    <w:p>
      <w:pPr>
        <w:pStyle w:val="2"/>
        <w:jc w:val="center"/>
      </w:pPr>
      <w:r>
        <w:rPr>
          <w:sz w:val="20"/>
        </w:rPr>
        <w:t xml:space="preserve">государственной программы Новосибирской области "Развитие</w:t>
      </w:r>
    </w:p>
    <w:p>
      <w:pPr>
        <w:pStyle w:val="2"/>
        <w:jc w:val="center"/>
      </w:pPr>
      <w:r>
        <w:rPr>
          <w:sz w:val="20"/>
        </w:rPr>
        <w:t xml:space="preserve">государственной молодежной 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8" w:tooltip="Постановление Правительства Новосибирской области от 29.03.2023 N 134-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29.03.2023 N 134-п)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303"/>
        <w:gridCol w:w="1077"/>
        <w:gridCol w:w="1077"/>
        <w:gridCol w:w="1077"/>
        <w:gridCol w:w="1077"/>
        <w:gridCol w:w="1077"/>
        <w:gridCol w:w="1077"/>
        <w:gridCol w:w="1077"/>
        <w:gridCol w:w="1077"/>
        <w:gridCol w:w="1077"/>
        <w:gridCol w:w="1077"/>
        <w:gridCol w:w="850"/>
      </w:tblGrid>
      <w:tr>
        <w:tc>
          <w:tcPr>
            <w:tcW w:w="1814" w:type="dxa"/>
            <w:vMerge w:val="restart"/>
          </w:tcPr>
          <w:p>
            <w:pPr>
              <w:pStyle w:val="0"/>
              <w:jc w:val="center"/>
            </w:pPr>
            <w:r>
              <w:rPr>
                <w:sz w:val="20"/>
              </w:rPr>
              <w:t xml:space="preserve">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gridSpan w:val="11"/>
            <w:tcW w:w="12073" w:type="dxa"/>
          </w:tcPr>
          <w:p>
            <w:pPr>
              <w:pStyle w:val="0"/>
              <w:jc w:val="center"/>
            </w:pPr>
            <w:r>
              <w:rPr>
                <w:sz w:val="20"/>
              </w:rPr>
              <w:t xml:space="preserve">Ресурсное обеспечение</w:t>
            </w:r>
          </w:p>
        </w:tc>
        <w:tc>
          <w:tcPr>
            <w:tcW w:w="850" w:type="dxa"/>
            <w:vMerge w:val="restart"/>
          </w:tcPr>
          <w:p>
            <w:pPr>
              <w:pStyle w:val="0"/>
              <w:jc w:val="center"/>
            </w:pPr>
            <w:r>
              <w:rPr>
                <w:sz w:val="20"/>
              </w:rPr>
              <w:t xml:space="preserve">Примечание</w:t>
            </w:r>
          </w:p>
        </w:tc>
      </w:tr>
      <w:tr>
        <w:tc>
          <w:tcPr>
            <w:vMerge w:val="continue"/>
          </w:tcPr>
          <w:p/>
        </w:tc>
        <w:tc>
          <w:tcPr>
            <w:tcW w:w="1303" w:type="dxa"/>
            <w:vMerge w:val="restart"/>
          </w:tcPr>
          <w:p>
            <w:pPr>
              <w:pStyle w:val="0"/>
              <w:jc w:val="center"/>
            </w:pPr>
            <w:r>
              <w:rPr>
                <w:sz w:val="20"/>
              </w:rPr>
              <w:t xml:space="preserve">всего</w:t>
            </w:r>
          </w:p>
        </w:tc>
        <w:tc>
          <w:tcPr>
            <w:gridSpan w:val="10"/>
            <w:tcW w:w="10770" w:type="dxa"/>
          </w:tcPr>
          <w:p>
            <w:pPr>
              <w:pStyle w:val="0"/>
              <w:jc w:val="center"/>
            </w:pPr>
            <w:r>
              <w:rPr>
                <w:sz w:val="20"/>
              </w:rPr>
              <w:t xml:space="preserve">по годам реализации, тыс. руб.</w:t>
            </w:r>
          </w:p>
        </w:tc>
        <w:tc>
          <w:tcPr>
            <w:vMerge w:val="continue"/>
          </w:tcPr>
          <w:p/>
        </w:tc>
      </w:tr>
      <w:tr>
        <w:tc>
          <w:tcPr>
            <w:vMerge w:val="continue"/>
          </w:tcPr>
          <w:p/>
        </w:tc>
        <w:tc>
          <w:tcPr>
            <w:vMerge w:val="continue"/>
          </w:tcPr>
          <w:p/>
        </w:tc>
        <w:tc>
          <w:tcPr>
            <w:tcW w:w="1077" w:type="dxa"/>
          </w:tcPr>
          <w:p>
            <w:pPr>
              <w:pStyle w:val="0"/>
              <w:jc w:val="center"/>
            </w:pPr>
            <w:r>
              <w:rPr>
                <w:sz w:val="20"/>
              </w:rPr>
              <w:t xml:space="preserve">2016</w:t>
            </w:r>
          </w:p>
        </w:tc>
        <w:tc>
          <w:tcPr>
            <w:tcW w:w="1077" w:type="dxa"/>
          </w:tcPr>
          <w:p>
            <w:pPr>
              <w:pStyle w:val="0"/>
              <w:jc w:val="center"/>
            </w:pPr>
            <w:r>
              <w:rPr>
                <w:sz w:val="20"/>
              </w:rPr>
              <w:t xml:space="preserve">2017</w:t>
            </w:r>
          </w:p>
        </w:tc>
        <w:tc>
          <w:tcPr>
            <w:tcW w:w="1077" w:type="dxa"/>
          </w:tcPr>
          <w:p>
            <w:pPr>
              <w:pStyle w:val="0"/>
              <w:jc w:val="center"/>
            </w:pPr>
            <w:r>
              <w:rPr>
                <w:sz w:val="20"/>
              </w:rPr>
              <w:t xml:space="preserve">2018</w:t>
            </w:r>
          </w:p>
        </w:tc>
        <w:tc>
          <w:tcPr>
            <w:tcW w:w="1077" w:type="dxa"/>
          </w:tcPr>
          <w:p>
            <w:pPr>
              <w:pStyle w:val="0"/>
              <w:jc w:val="center"/>
            </w:pPr>
            <w:r>
              <w:rPr>
                <w:sz w:val="20"/>
              </w:rPr>
              <w:t xml:space="preserve">2019</w:t>
            </w:r>
          </w:p>
        </w:tc>
        <w:tc>
          <w:tcPr>
            <w:tcW w:w="1077" w:type="dxa"/>
          </w:tcPr>
          <w:p>
            <w:pPr>
              <w:pStyle w:val="0"/>
              <w:jc w:val="center"/>
            </w:pPr>
            <w:r>
              <w:rPr>
                <w:sz w:val="20"/>
              </w:rPr>
              <w:t xml:space="preserve">2020</w:t>
            </w:r>
          </w:p>
        </w:tc>
        <w:tc>
          <w:tcPr>
            <w:tcW w:w="1077" w:type="dxa"/>
          </w:tcPr>
          <w:p>
            <w:pPr>
              <w:pStyle w:val="0"/>
              <w:jc w:val="center"/>
            </w:pPr>
            <w:r>
              <w:rPr>
                <w:sz w:val="20"/>
              </w:rPr>
              <w:t xml:space="preserve">2021</w:t>
            </w:r>
          </w:p>
        </w:tc>
        <w:tc>
          <w:tcPr>
            <w:tcW w:w="1077" w:type="dxa"/>
          </w:tcPr>
          <w:p>
            <w:pPr>
              <w:pStyle w:val="0"/>
              <w:jc w:val="center"/>
            </w:pPr>
            <w:r>
              <w:rPr>
                <w:sz w:val="20"/>
              </w:rPr>
              <w:t xml:space="preserve">2022</w:t>
            </w:r>
          </w:p>
        </w:tc>
        <w:tc>
          <w:tcPr>
            <w:tcW w:w="1077" w:type="dxa"/>
          </w:tcPr>
          <w:p>
            <w:pPr>
              <w:pStyle w:val="0"/>
              <w:jc w:val="center"/>
            </w:pPr>
            <w:r>
              <w:rPr>
                <w:sz w:val="20"/>
              </w:rPr>
              <w:t xml:space="preserve">2023</w:t>
            </w: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c>
          <w:tcPr>
            <w:vMerge w:val="continue"/>
          </w:tcPr>
          <w:p/>
        </w:tc>
      </w:tr>
      <w:tr>
        <w:tc>
          <w:tcPr>
            <w:tcW w:w="1814" w:type="dxa"/>
          </w:tcPr>
          <w:p>
            <w:pPr>
              <w:pStyle w:val="0"/>
              <w:jc w:val="center"/>
            </w:pPr>
            <w:r>
              <w:rPr>
                <w:sz w:val="20"/>
              </w:rPr>
              <w:t xml:space="preserve">1</w:t>
            </w:r>
          </w:p>
        </w:tc>
        <w:tc>
          <w:tcPr>
            <w:tcW w:w="1303"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c>
          <w:tcPr>
            <w:tcW w:w="1077" w:type="dxa"/>
          </w:tcPr>
          <w:p>
            <w:pPr>
              <w:pStyle w:val="0"/>
              <w:jc w:val="center"/>
            </w:pPr>
            <w:r>
              <w:rPr>
                <w:sz w:val="20"/>
              </w:rPr>
              <w:t xml:space="preserve">12</w:t>
            </w:r>
          </w:p>
        </w:tc>
        <w:tc>
          <w:tcPr>
            <w:tcW w:w="850" w:type="dxa"/>
          </w:tcPr>
          <w:p>
            <w:pPr>
              <w:pStyle w:val="0"/>
              <w:jc w:val="center"/>
            </w:pPr>
            <w:r>
              <w:rPr>
                <w:sz w:val="20"/>
              </w:rPr>
              <w:t xml:space="preserve">13</w:t>
            </w:r>
          </w:p>
        </w:tc>
      </w:tr>
      <w:tr>
        <w:tc>
          <w:tcPr>
            <w:gridSpan w:val="13"/>
            <w:tcW w:w="14737" w:type="dxa"/>
          </w:tcPr>
          <w:p>
            <w:pPr>
              <w:pStyle w:val="0"/>
              <w:outlineLvl w:val="2"/>
              <w:jc w:val="center"/>
            </w:pPr>
            <w:r>
              <w:rPr>
                <w:sz w:val="20"/>
              </w:rPr>
              <w:t xml:space="preserve">Министерство образования Новосибирской области</w:t>
            </w:r>
          </w:p>
        </w:tc>
      </w:tr>
      <w:tr>
        <w:tc>
          <w:tcPr>
            <w:tcW w:w="1814" w:type="dxa"/>
          </w:tcPr>
          <w:p>
            <w:pPr>
              <w:pStyle w:val="0"/>
            </w:pPr>
            <w:r>
              <w:rPr>
                <w:sz w:val="20"/>
              </w:rPr>
              <w:t xml:space="preserve">Всего финансовых затрат,</w:t>
            </w:r>
          </w:p>
          <w:p>
            <w:pPr>
              <w:pStyle w:val="0"/>
            </w:pPr>
            <w:r>
              <w:rPr>
                <w:sz w:val="20"/>
              </w:rPr>
              <w:t xml:space="preserve">в том числе из:</w:t>
            </w:r>
          </w:p>
        </w:tc>
        <w:tc>
          <w:tcPr>
            <w:tcW w:w="1303" w:type="dxa"/>
          </w:tcPr>
          <w:p>
            <w:pPr>
              <w:pStyle w:val="0"/>
              <w:jc w:val="center"/>
            </w:pPr>
            <w:r>
              <w:rPr>
                <w:sz w:val="20"/>
              </w:rPr>
              <w:t xml:space="preserve">1 586 604,3</w:t>
            </w:r>
          </w:p>
        </w:tc>
        <w:tc>
          <w:tcPr>
            <w:tcW w:w="1077" w:type="dxa"/>
          </w:tcPr>
          <w:p>
            <w:pPr>
              <w:pStyle w:val="0"/>
              <w:jc w:val="center"/>
            </w:pPr>
            <w:r>
              <w:rPr>
                <w:sz w:val="20"/>
              </w:rPr>
              <w:t xml:space="preserve">88 360,2</w:t>
            </w:r>
          </w:p>
        </w:tc>
        <w:tc>
          <w:tcPr>
            <w:tcW w:w="1077" w:type="dxa"/>
          </w:tcPr>
          <w:p>
            <w:pPr>
              <w:pStyle w:val="0"/>
              <w:jc w:val="center"/>
            </w:pPr>
            <w:r>
              <w:rPr>
                <w:sz w:val="20"/>
              </w:rPr>
              <w:t xml:space="preserve">93 971,0</w:t>
            </w:r>
          </w:p>
        </w:tc>
        <w:tc>
          <w:tcPr>
            <w:tcW w:w="1077" w:type="dxa"/>
          </w:tcPr>
          <w:p>
            <w:pPr>
              <w:pStyle w:val="0"/>
              <w:jc w:val="center"/>
            </w:pPr>
            <w:r>
              <w:rPr>
                <w:sz w:val="20"/>
              </w:rPr>
              <w:t xml:space="preserve">119 126,4</w:t>
            </w:r>
          </w:p>
        </w:tc>
        <w:tc>
          <w:tcPr>
            <w:tcW w:w="1077" w:type="dxa"/>
          </w:tcPr>
          <w:p>
            <w:pPr>
              <w:pStyle w:val="0"/>
              <w:jc w:val="center"/>
            </w:pPr>
            <w:r>
              <w:rPr>
                <w:sz w:val="20"/>
              </w:rPr>
              <w:t xml:space="preserve">133 544,1</w:t>
            </w:r>
          </w:p>
        </w:tc>
        <w:tc>
          <w:tcPr>
            <w:tcW w:w="1077" w:type="dxa"/>
          </w:tcPr>
          <w:p>
            <w:pPr>
              <w:pStyle w:val="0"/>
              <w:jc w:val="center"/>
            </w:pPr>
            <w:r>
              <w:rPr>
                <w:sz w:val="20"/>
              </w:rPr>
              <w:t xml:space="preserve">117 288,2</w:t>
            </w:r>
          </w:p>
        </w:tc>
        <w:tc>
          <w:tcPr>
            <w:tcW w:w="1077" w:type="dxa"/>
          </w:tcPr>
          <w:p>
            <w:pPr>
              <w:pStyle w:val="0"/>
              <w:jc w:val="center"/>
            </w:pPr>
            <w:r>
              <w:rPr>
                <w:sz w:val="20"/>
              </w:rPr>
              <w:t xml:space="preserve">139 734,3</w:t>
            </w:r>
          </w:p>
        </w:tc>
        <w:tc>
          <w:tcPr>
            <w:tcW w:w="1077" w:type="dxa"/>
          </w:tcPr>
          <w:p>
            <w:pPr>
              <w:pStyle w:val="0"/>
              <w:jc w:val="center"/>
            </w:pPr>
            <w:r>
              <w:rPr>
                <w:sz w:val="20"/>
              </w:rPr>
              <w:t xml:space="preserve">220 246,1</w:t>
            </w:r>
          </w:p>
        </w:tc>
        <w:tc>
          <w:tcPr>
            <w:tcW w:w="1077" w:type="dxa"/>
          </w:tcPr>
          <w:p>
            <w:pPr>
              <w:pStyle w:val="0"/>
              <w:jc w:val="center"/>
            </w:pPr>
            <w:r>
              <w:rPr>
                <w:sz w:val="20"/>
              </w:rPr>
              <w:t xml:space="preserve">276 486,3</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71 366,8</w:t>
            </w:r>
          </w:p>
        </w:tc>
        <w:tc>
          <w:tcPr>
            <w:tcW w:w="1077" w:type="dxa"/>
          </w:tcPr>
          <w:p>
            <w:pPr>
              <w:pStyle w:val="0"/>
              <w:jc w:val="center"/>
            </w:pPr>
            <w:r>
              <w:rPr>
                <w:sz w:val="20"/>
              </w:rPr>
              <w:t xml:space="preserve">7 666,3</w:t>
            </w:r>
          </w:p>
        </w:tc>
        <w:tc>
          <w:tcPr>
            <w:tcW w:w="1077" w:type="dxa"/>
          </w:tcPr>
          <w:p>
            <w:pPr>
              <w:pStyle w:val="0"/>
              <w:jc w:val="center"/>
            </w:pPr>
            <w:r>
              <w:rPr>
                <w:sz w:val="20"/>
              </w:rPr>
              <w:t xml:space="preserve">4 894,0</w:t>
            </w:r>
          </w:p>
        </w:tc>
        <w:tc>
          <w:tcPr>
            <w:tcW w:w="1077" w:type="dxa"/>
          </w:tcPr>
          <w:p>
            <w:pPr>
              <w:pStyle w:val="0"/>
              <w:jc w:val="center"/>
            </w:pPr>
            <w:r>
              <w:rPr>
                <w:sz w:val="20"/>
              </w:rPr>
              <w:t xml:space="preserve">9 393,3</w:t>
            </w:r>
          </w:p>
        </w:tc>
        <w:tc>
          <w:tcPr>
            <w:tcW w:w="1077" w:type="dxa"/>
          </w:tcPr>
          <w:p>
            <w:pPr>
              <w:pStyle w:val="0"/>
              <w:jc w:val="center"/>
            </w:pPr>
            <w:r>
              <w:rPr>
                <w:sz w:val="20"/>
              </w:rPr>
              <w:t xml:space="preserve">21 440,4</w:t>
            </w:r>
          </w:p>
        </w:tc>
        <w:tc>
          <w:tcPr>
            <w:tcW w:w="1077" w:type="dxa"/>
          </w:tcPr>
          <w:p>
            <w:pPr>
              <w:pStyle w:val="0"/>
              <w:jc w:val="center"/>
            </w:pPr>
            <w:r>
              <w:rPr>
                <w:sz w:val="20"/>
              </w:rPr>
              <w:t xml:space="preserve">8 723,2</w:t>
            </w:r>
          </w:p>
        </w:tc>
        <w:tc>
          <w:tcPr>
            <w:tcW w:w="1077" w:type="dxa"/>
          </w:tcPr>
          <w:p>
            <w:pPr>
              <w:pStyle w:val="0"/>
              <w:jc w:val="center"/>
            </w:pPr>
            <w:r>
              <w:rPr>
                <w:sz w:val="20"/>
              </w:rPr>
              <w:t xml:space="preserve">5 756,5</w:t>
            </w:r>
          </w:p>
        </w:tc>
        <w:tc>
          <w:tcPr>
            <w:tcW w:w="1077" w:type="dxa"/>
          </w:tcPr>
          <w:p>
            <w:pPr>
              <w:pStyle w:val="0"/>
              <w:jc w:val="center"/>
            </w:pPr>
            <w:r>
              <w:rPr>
                <w:sz w:val="20"/>
              </w:rPr>
              <w:t xml:space="preserve">8 038,7</w:t>
            </w:r>
          </w:p>
        </w:tc>
        <w:tc>
          <w:tcPr>
            <w:tcW w:w="1077" w:type="dxa"/>
          </w:tcPr>
          <w:p>
            <w:pPr>
              <w:pStyle w:val="0"/>
              <w:jc w:val="center"/>
            </w:pPr>
            <w:r>
              <w:rPr>
                <w:sz w:val="20"/>
              </w:rPr>
              <w:t xml:space="preserve">5 454,4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1 515 237,5</w:t>
            </w:r>
          </w:p>
        </w:tc>
        <w:tc>
          <w:tcPr>
            <w:tcW w:w="1077" w:type="dxa"/>
          </w:tcPr>
          <w:p>
            <w:pPr>
              <w:pStyle w:val="0"/>
              <w:jc w:val="center"/>
            </w:pPr>
            <w:r>
              <w:rPr>
                <w:sz w:val="20"/>
              </w:rPr>
              <w:t xml:space="preserve">80 693,9</w:t>
            </w:r>
          </w:p>
        </w:tc>
        <w:tc>
          <w:tcPr>
            <w:tcW w:w="1077" w:type="dxa"/>
          </w:tcPr>
          <w:p>
            <w:pPr>
              <w:pStyle w:val="0"/>
              <w:jc w:val="center"/>
            </w:pPr>
            <w:r>
              <w:rPr>
                <w:sz w:val="20"/>
              </w:rPr>
              <w:t xml:space="preserve">89 077,0</w:t>
            </w:r>
          </w:p>
        </w:tc>
        <w:tc>
          <w:tcPr>
            <w:tcW w:w="1077" w:type="dxa"/>
          </w:tcPr>
          <w:p>
            <w:pPr>
              <w:pStyle w:val="0"/>
              <w:jc w:val="center"/>
            </w:pPr>
            <w:r>
              <w:rPr>
                <w:sz w:val="20"/>
              </w:rPr>
              <w:t xml:space="preserve">109 733,1</w:t>
            </w:r>
          </w:p>
        </w:tc>
        <w:tc>
          <w:tcPr>
            <w:tcW w:w="1077" w:type="dxa"/>
          </w:tcPr>
          <w:p>
            <w:pPr>
              <w:pStyle w:val="0"/>
              <w:jc w:val="center"/>
            </w:pPr>
            <w:r>
              <w:rPr>
                <w:sz w:val="20"/>
              </w:rPr>
              <w:t xml:space="preserve">112 103,7</w:t>
            </w:r>
          </w:p>
        </w:tc>
        <w:tc>
          <w:tcPr>
            <w:tcW w:w="1077" w:type="dxa"/>
          </w:tcPr>
          <w:p>
            <w:pPr>
              <w:pStyle w:val="0"/>
              <w:jc w:val="center"/>
            </w:pPr>
            <w:r>
              <w:rPr>
                <w:sz w:val="20"/>
              </w:rPr>
              <w:t xml:space="preserve">108 565,0</w:t>
            </w:r>
          </w:p>
        </w:tc>
        <w:tc>
          <w:tcPr>
            <w:tcW w:w="1077" w:type="dxa"/>
          </w:tcPr>
          <w:p>
            <w:pPr>
              <w:pStyle w:val="0"/>
              <w:jc w:val="center"/>
            </w:pPr>
            <w:r>
              <w:rPr>
                <w:sz w:val="20"/>
              </w:rPr>
              <w:t xml:space="preserve">133 977,8</w:t>
            </w:r>
          </w:p>
        </w:tc>
        <w:tc>
          <w:tcPr>
            <w:tcW w:w="1077" w:type="dxa"/>
          </w:tcPr>
          <w:p>
            <w:pPr>
              <w:pStyle w:val="0"/>
              <w:jc w:val="center"/>
            </w:pPr>
            <w:r>
              <w:rPr>
                <w:sz w:val="20"/>
              </w:rPr>
              <w:t xml:space="preserve">212 207,4</w:t>
            </w:r>
          </w:p>
        </w:tc>
        <w:tc>
          <w:tcPr>
            <w:tcW w:w="1077" w:type="dxa"/>
          </w:tcPr>
          <w:p>
            <w:pPr>
              <w:pStyle w:val="0"/>
              <w:jc w:val="center"/>
            </w:pPr>
            <w:r>
              <w:rPr>
                <w:sz w:val="20"/>
              </w:rPr>
              <w:t xml:space="preserve">271 031,9</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Капитальные вложения,</w:t>
            </w:r>
          </w:p>
          <w:p>
            <w:pPr>
              <w:pStyle w:val="0"/>
            </w:pPr>
            <w:r>
              <w:rPr>
                <w:sz w:val="20"/>
              </w:rPr>
              <w:t xml:space="preserve">в том числе из:</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НИОКР &lt;*&gt;,</w:t>
            </w:r>
          </w:p>
          <w:p>
            <w:pPr>
              <w:pStyle w:val="0"/>
            </w:pPr>
            <w:r>
              <w:rPr>
                <w:sz w:val="20"/>
              </w:rPr>
              <w:t xml:space="preserve">в том числе из:</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Прочие расходы,</w:t>
            </w:r>
          </w:p>
          <w:p>
            <w:pPr>
              <w:pStyle w:val="0"/>
            </w:pPr>
            <w:r>
              <w:rPr>
                <w:sz w:val="20"/>
              </w:rPr>
              <w:t xml:space="preserve">в том числе из:</w:t>
            </w:r>
          </w:p>
        </w:tc>
        <w:tc>
          <w:tcPr>
            <w:tcW w:w="1303" w:type="dxa"/>
          </w:tcPr>
          <w:p>
            <w:pPr>
              <w:pStyle w:val="0"/>
              <w:jc w:val="center"/>
            </w:pPr>
            <w:r>
              <w:rPr>
                <w:sz w:val="20"/>
              </w:rPr>
              <w:t xml:space="preserve">1 586 604,3</w:t>
            </w:r>
          </w:p>
        </w:tc>
        <w:tc>
          <w:tcPr>
            <w:tcW w:w="1077" w:type="dxa"/>
          </w:tcPr>
          <w:p>
            <w:pPr>
              <w:pStyle w:val="0"/>
              <w:jc w:val="center"/>
            </w:pPr>
            <w:r>
              <w:rPr>
                <w:sz w:val="20"/>
              </w:rPr>
              <w:t xml:space="preserve">88 360,2</w:t>
            </w:r>
          </w:p>
        </w:tc>
        <w:tc>
          <w:tcPr>
            <w:tcW w:w="1077" w:type="dxa"/>
          </w:tcPr>
          <w:p>
            <w:pPr>
              <w:pStyle w:val="0"/>
              <w:jc w:val="center"/>
            </w:pPr>
            <w:r>
              <w:rPr>
                <w:sz w:val="20"/>
              </w:rPr>
              <w:t xml:space="preserve">93 971,0</w:t>
            </w:r>
          </w:p>
        </w:tc>
        <w:tc>
          <w:tcPr>
            <w:tcW w:w="1077" w:type="dxa"/>
          </w:tcPr>
          <w:p>
            <w:pPr>
              <w:pStyle w:val="0"/>
              <w:jc w:val="center"/>
            </w:pPr>
            <w:r>
              <w:rPr>
                <w:sz w:val="20"/>
              </w:rPr>
              <w:t xml:space="preserve">119 126,4</w:t>
            </w:r>
          </w:p>
        </w:tc>
        <w:tc>
          <w:tcPr>
            <w:tcW w:w="1077" w:type="dxa"/>
          </w:tcPr>
          <w:p>
            <w:pPr>
              <w:pStyle w:val="0"/>
              <w:jc w:val="center"/>
            </w:pPr>
            <w:r>
              <w:rPr>
                <w:sz w:val="20"/>
              </w:rPr>
              <w:t xml:space="preserve">133 544,1</w:t>
            </w:r>
          </w:p>
        </w:tc>
        <w:tc>
          <w:tcPr>
            <w:tcW w:w="1077" w:type="dxa"/>
          </w:tcPr>
          <w:p>
            <w:pPr>
              <w:pStyle w:val="0"/>
              <w:jc w:val="center"/>
            </w:pPr>
            <w:r>
              <w:rPr>
                <w:sz w:val="20"/>
              </w:rPr>
              <w:t xml:space="preserve">117 288,2</w:t>
            </w:r>
          </w:p>
        </w:tc>
        <w:tc>
          <w:tcPr>
            <w:tcW w:w="1077" w:type="dxa"/>
          </w:tcPr>
          <w:p>
            <w:pPr>
              <w:pStyle w:val="0"/>
              <w:jc w:val="center"/>
            </w:pPr>
            <w:r>
              <w:rPr>
                <w:sz w:val="20"/>
              </w:rPr>
              <w:t xml:space="preserve">139 734,3</w:t>
            </w:r>
          </w:p>
        </w:tc>
        <w:tc>
          <w:tcPr>
            <w:tcW w:w="1077" w:type="dxa"/>
          </w:tcPr>
          <w:p>
            <w:pPr>
              <w:pStyle w:val="0"/>
              <w:jc w:val="center"/>
            </w:pPr>
            <w:r>
              <w:rPr>
                <w:sz w:val="20"/>
              </w:rPr>
              <w:t xml:space="preserve">220 246,1</w:t>
            </w:r>
          </w:p>
        </w:tc>
        <w:tc>
          <w:tcPr>
            <w:tcW w:w="1077" w:type="dxa"/>
          </w:tcPr>
          <w:p>
            <w:pPr>
              <w:pStyle w:val="0"/>
              <w:jc w:val="center"/>
            </w:pPr>
            <w:r>
              <w:rPr>
                <w:sz w:val="20"/>
              </w:rPr>
              <w:t xml:space="preserve">276 486,3</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71 366,8</w:t>
            </w:r>
          </w:p>
        </w:tc>
        <w:tc>
          <w:tcPr>
            <w:tcW w:w="1077" w:type="dxa"/>
          </w:tcPr>
          <w:p>
            <w:pPr>
              <w:pStyle w:val="0"/>
              <w:jc w:val="center"/>
            </w:pPr>
            <w:r>
              <w:rPr>
                <w:sz w:val="20"/>
              </w:rPr>
              <w:t xml:space="preserve">7 666,3</w:t>
            </w:r>
          </w:p>
        </w:tc>
        <w:tc>
          <w:tcPr>
            <w:tcW w:w="1077" w:type="dxa"/>
          </w:tcPr>
          <w:p>
            <w:pPr>
              <w:pStyle w:val="0"/>
              <w:jc w:val="center"/>
            </w:pPr>
            <w:r>
              <w:rPr>
                <w:sz w:val="20"/>
              </w:rPr>
              <w:t xml:space="preserve">4 894,0</w:t>
            </w:r>
          </w:p>
        </w:tc>
        <w:tc>
          <w:tcPr>
            <w:tcW w:w="1077" w:type="dxa"/>
          </w:tcPr>
          <w:p>
            <w:pPr>
              <w:pStyle w:val="0"/>
              <w:jc w:val="center"/>
            </w:pPr>
            <w:r>
              <w:rPr>
                <w:sz w:val="20"/>
              </w:rPr>
              <w:t xml:space="preserve">9 393,3</w:t>
            </w:r>
          </w:p>
        </w:tc>
        <w:tc>
          <w:tcPr>
            <w:tcW w:w="1077" w:type="dxa"/>
          </w:tcPr>
          <w:p>
            <w:pPr>
              <w:pStyle w:val="0"/>
              <w:jc w:val="center"/>
            </w:pPr>
            <w:r>
              <w:rPr>
                <w:sz w:val="20"/>
              </w:rPr>
              <w:t xml:space="preserve">21 440,4</w:t>
            </w:r>
          </w:p>
        </w:tc>
        <w:tc>
          <w:tcPr>
            <w:tcW w:w="1077" w:type="dxa"/>
          </w:tcPr>
          <w:p>
            <w:pPr>
              <w:pStyle w:val="0"/>
              <w:jc w:val="center"/>
            </w:pPr>
            <w:r>
              <w:rPr>
                <w:sz w:val="20"/>
              </w:rPr>
              <w:t xml:space="preserve">8 723,2</w:t>
            </w:r>
          </w:p>
        </w:tc>
        <w:tc>
          <w:tcPr>
            <w:tcW w:w="1077" w:type="dxa"/>
          </w:tcPr>
          <w:p>
            <w:pPr>
              <w:pStyle w:val="0"/>
              <w:jc w:val="center"/>
            </w:pPr>
            <w:r>
              <w:rPr>
                <w:sz w:val="20"/>
              </w:rPr>
              <w:t xml:space="preserve">5 756,5</w:t>
            </w:r>
          </w:p>
        </w:tc>
        <w:tc>
          <w:tcPr>
            <w:tcW w:w="1077" w:type="dxa"/>
          </w:tcPr>
          <w:p>
            <w:pPr>
              <w:pStyle w:val="0"/>
              <w:jc w:val="center"/>
            </w:pPr>
            <w:r>
              <w:rPr>
                <w:sz w:val="20"/>
              </w:rPr>
              <w:t xml:space="preserve">8 038,7</w:t>
            </w:r>
          </w:p>
        </w:tc>
        <w:tc>
          <w:tcPr>
            <w:tcW w:w="1077" w:type="dxa"/>
          </w:tcPr>
          <w:p>
            <w:pPr>
              <w:pStyle w:val="0"/>
              <w:jc w:val="center"/>
            </w:pPr>
            <w:r>
              <w:rPr>
                <w:sz w:val="20"/>
              </w:rPr>
              <w:t xml:space="preserve">5 454,4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1 515 237,5</w:t>
            </w:r>
          </w:p>
        </w:tc>
        <w:tc>
          <w:tcPr>
            <w:tcW w:w="1077" w:type="dxa"/>
          </w:tcPr>
          <w:p>
            <w:pPr>
              <w:pStyle w:val="0"/>
              <w:jc w:val="center"/>
            </w:pPr>
            <w:r>
              <w:rPr>
                <w:sz w:val="20"/>
              </w:rPr>
              <w:t xml:space="preserve">80 693,9</w:t>
            </w:r>
          </w:p>
        </w:tc>
        <w:tc>
          <w:tcPr>
            <w:tcW w:w="1077" w:type="dxa"/>
          </w:tcPr>
          <w:p>
            <w:pPr>
              <w:pStyle w:val="0"/>
              <w:jc w:val="center"/>
            </w:pPr>
            <w:r>
              <w:rPr>
                <w:sz w:val="20"/>
              </w:rPr>
              <w:t xml:space="preserve">89 077,0</w:t>
            </w:r>
          </w:p>
        </w:tc>
        <w:tc>
          <w:tcPr>
            <w:tcW w:w="1077" w:type="dxa"/>
          </w:tcPr>
          <w:p>
            <w:pPr>
              <w:pStyle w:val="0"/>
              <w:jc w:val="center"/>
            </w:pPr>
            <w:r>
              <w:rPr>
                <w:sz w:val="20"/>
              </w:rPr>
              <w:t xml:space="preserve">109 733,1</w:t>
            </w:r>
          </w:p>
        </w:tc>
        <w:tc>
          <w:tcPr>
            <w:tcW w:w="1077" w:type="dxa"/>
          </w:tcPr>
          <w:p>
            <w:pPr>
              <w:pStyle w:val="0"/>
              <w:jc w:val="center"/>
            </w:pPr>
            <w:r>
              <w:rPr>
                <w:sz w:val="20"/>
              </w:rPr>
              <w:t xml:space="preserve">112 103,7</w:t>
            </w:r>
          </w:p>
        </w:tc>
        <w:tc>
          <w:tcPr>
            <w:tcW w:w="1077" w:type="dxa"/>
          </w:tcPr>
          <w:p>
            <w:pPr>
              <w:pStyle w:val="0"/>
              <w:jc w:val="center"/>
            </w:pPr>
            <w:r>
              <w:rPr>
                <w:sz w:val="20"/>
              </w:rPr>
              <w:t xml:space="preserve">108 565,0</w:t>
            </w:r>
          </w:p>
        </w:tc>
        <w:tc>
          <w:tcPr>
            <w:tcW w:w="1077" w:type="dxa"/>
          </w:tcPr>
          <w:p>
            <w:pPr>
              <w:pStyle w:val="0"/>
              <w:jc w:val="center"/>
            </w:pPr>
            <w:r>
              <w:rPr>
                <w:sz w:val="20"/>
              </w:rPr>
              <w:t xml:space="preserve">133 977,8</w:t>
            </w:r>
          </w:p>
        </w:tc>
        <w:tc>
          <w:tcPr>
            <w:tcW w:w="1077" w:type="dxa"/>
          </w:tcPr>
          <w:p>
            <w:pPr>
              <w:pStyle w:val="0"/>
              <w:jc w:val="center"/>
            </w:pPr>
            <w:r>
              <w:rPr>
                <w:sz w:val="20"/>
              </w:rPr>
              <w:t xml:space="preserve">212 207,4</w:t>
            </w:r>
          </w:p>
        </w:tc>
        <w:tc>
          <w:tcPr>
            <w:tcW w:w="1077" w:type="dxa"/>
          </w:tcPr>
          <w:p>
            <w:pPr>
              <w:pStyle w:val="0"/>
              <w:jc w:val="center"/>
            </w:pPr>
            <w:r>
              <w:rPr>
                <w:sz w:val="20"/>
              </w:rPr>
              <w:t xml:space="preserve">271 031,9</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Всего налоговых расходов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Всего по государственной программе:</w:t>
            </w:r>
          </w:p>
        </w:tc>
        <w:tc>
          <w:tcPr>
            <w:tcW w:w="1303"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850" w:type="dxa"/>
          </w:tcPr>
          <w:p>
            <w:pPr>
              <w:pStyle w:val="0"/>
            </w:pPr>
            <w:r>
              <w:rPr>
                <w:sz w:val="20"/>
              </w:rPr>
            </w:r>
          </w:p>
        </w:tc>
      </w:tr>
      <w:tr>
        <w:tc>
          <w:tcPr>
            <w:tcW w:w="1814" w:type="dxa"/>
          </w:tcPr>
          <w:p>
            <w:pPr>
              <w:pStyle w:val="0"/>
            </w:pPr>
            <w:r>
              <w:rPr>
                <w:sz w:val="20"/>
              </w:rPr>
              <w:t xml:space="preserve">Всего финансовых затрат,</w:t>
            </w:r>
          </w:p>
          <w:p>
            <w:pPr>
              <w:pStyle w:val="0"/>
            </w:pPr>
            <w:r>
              <w:rPr>
                <w:sz w:val="20"/>
              </w:rPr>
              <w:t xml:space="preserve">в том числе из:</w:t>
            </w:r>
          </w:p>
        </w:tc>
        <w:tc>
          <w:tcPr>
            <w:tcW w:w="1303" w:type="dxa"/>
          </w:tcPr>
          <w:p>
            <w:pPr>
              <w:pStyle w:val="0"/>
              <w:jc w:val="center"/>
            </w:pPr>
            <w:r>
              <w:rPr>
                <w:sz w:val="20"/>
              </w:rPr>
              <w:t xml:space="preserve">1 586 604,3</w:t>
            </w:r>
          </w:p>
        </w:tc>
        <w:tc>
          <w:tcPr>
            <w:tcW w:w="1077" w:type="dxa"/>
          </w:tcPr>
          <w:p>
            <w:pPr>
              <w:pStyle w:val="0"/>
              <w:jc w:val="center"/>
            </w:pPr>
            <w:r>
              <w:rPr>
                <w:sz w:val="20"/>
              </w:rPr>
              <w:t xml:space="preserve">88 360,2</w:t>
            </w:r>
          </w:p>
        </w:tc>
        <w:tc>
          <w:tcPr>
            <w:tcW w:w="1077" w:type="dxa"/>
          </w:tcPr>
          <w:p>
            <w:pPr>
              <w:pStyle w:val="0"/>
              <w:jc w:val="center"/>
            </w:pPr>
            <w:r>
              <w:rPr>
                <w:sz w:val="20"/>
              </w:rPr>
              <w:t xml:space="preserve">93 971,0</w:t>
            </w:r>
          </w:p>
        </w:tc>
        <w:tc>
          <w:tcPr>
            <w:tcW w:w="1077" w:type="dxa"/>
          </w:tcPr>
          <w:p>
            <w:pPr>
              <w:pStyle w:val="0"/>
              <w:jc w:val="center"/>
            </w:pPr>
            <w:r>
              <w:rPr>
                <w:sz w:val="20"/>
              </w:rPr>
              <w:t xml:space="preserve">119 126,4</w:t>
            </w:r>
          </w:p>
        </w:tc>
        <w:tc>
          <w:tcPr>
            <w:tcW w:w="1077" w:type="dxa"/>
          </w:tcPr>
          <w:p>
            <w:pPr>
              <w:pStyle w:val="0"/>
              <w:jc w:val="center"/>
            </w:pPr>
            <w:r>
              <w:rPr>
                <w:sz w:val="20"/>
              </w:rPr>
              <w:t xml:space="preserve">133 544,1</w:t>
            </w:r>
          </w:p>
        </w:tc>
        <w:tc>
          <w:tcPr>
            <w:tcW w:w="1077" w:type="dxa"/>
          </w:tcPr>
          <w:p>
            <w:pPr>
              <w:pStyle w:val="0"/>
              <w:jc w:val="center"/>
            </w:pPr>
            <w:r>
              <w:rPr>
                <w:sz w:val="20"/>
              </w:rPr>
              <w:t xml:space="preserve">117 288,2</w:t>
            </w:r>
          </w:p>
        </w:tc>
        <w:tc>
          <w:tcPr>
            <w:tcW w:w="1077" w:type="dxa"/>
          </w:tcPr>
          <w:p>
            <w:pPr>
              <w:pStyle w:val="0"/>
              <w:jc w:val="center"/>
            </w:pPr>
            <w:r>
              <w:rPr>
                <w:sz w:val="20"/>
              </w:rPr>
              <w:t xml:space="preserve">139 734,3</w:t>
            </w:r>
          </w:p>
        </w:tc>
        <w:tc>
          <w:tcPr>
            <w:tcW w:w="1077" w:type="dxa"/>
          </w:tcPr>
          <w:p>
            <w:pPr>
              <w:pStyle w:val="0"/>
              <w:jc w:val="center"/>
            </w:pPr>
            <w:r>
              <w:rPr>
                <w:sz w:val="20"/>
              </w:rPr>
              <w:t xml:space="preserve">220 246,1</w:t>
            </w:r>
          </w:p>
        </w:tc>
        <w:tc>
          <w:tcPr>
            <w:tcW w:w="1077" w:type="dxa"/>
          </w:tcPr>
          <w:p>
            <w:pPr>
              <w:pStyle w:val="0"/>
              <w:jc w:val="center"/>
            </w:pPr>
            <w:r>
              <w:rPr>
                <w:sz w:val="20"/>
              </w:rPr>
              <w:t xml:space="preserve">276 486,3</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71 366,8</w:t>
            </w:r>
          </w:p>
        </w:tc>
        <w:tc>
          <w:tcPr>
            <w:tcW w:w="1077" w:type="dxa"/>
          </w:tcPr>
          <w:p>
            <w:pPr>
              <w:pStyle w:val="0"/>
              <w:jc w:val="center"/>
            </w:pPr>
            <w:r>
              <w:rPr>
                <w:sz w:val="20"/>
              </w:rPr>
              <w:t xml:space="preserve">7 666,3</w:t>
            </w:r>
          </w:p>
        </w:tc>
        <w:tc>
          <w:tcPr>
            <w:tcW w:w="1077" w:type="dxa"/>
          </w:tcPr>
          <w:p>
            <w:pPr>
              <w:pStyle w:val="0"/>
              <w:jc w:val="center"/>
            </w:pPr>
            <w:r>
              <w:rPr>
                <w:sz w:val="20"/>
              </w:rPr>
              <w:t xml:space="preserve">4 894,0</w:t>
            </w:r>
          </w:p>
        </w:tc>
        <w:tc>
          <w:tcPr>
            <w:tcW w:w="1077" w:type="dxa"/>
          </w:tcPr>
          <w:p>
            <w:pPr>
              <w:pStyle w:val="0"/>
              <w:jc w:val="center"/>
            </w:pPr>
            <w:r>
              <w:rPr>
                <w:sz w:val="20"/>
              </w:rPr>
              <w:t xml:space="preserve">9 393,3</w:t>
            </w:r>
          </w:p>
        </w:tc>
        <w:tc>
          <w:tcPr>
            <w:tcW w:w="1077" w:type="dxa"/>
          </w:tcPr>
          <w:p>
            <w:pPr>
              <w:pStyle w:val="0"/>
              <w:jc w:val="center"/>
            </w:pPr>
            <w:r>
              <w:rPr>
                <w:sz w:val="20"/>
              </w:rPr>
              <w:t xml:space="preserve">21 440,4</w:t>
            </w:r>
          </w:p>
        </w:tc>
        <w:tc>
          <w:tcPr>
            <w:tcW w:w="1077" w:type="dxa"/>
          </w:tcPr>
          <w:p>
            <w:pPr>
              <w:pStyle w:val="0"/>
              <w:jc w:val="center"/>
            </w:pPr>
            <w:r>
              <w:rPr>
                <w:sz w:val="20"/>
              </w:rPr>
              <w:t xml:space="preserve">8 723,2</w:t>
            </w:r>
          </w:p>
        </w:tc>
        <w:tc>
          <w:tcPr>
            <w:tcW w:w="1077" w:type="dxa"/>
          </w:tcPr>
          <w:p>
            <w:pPr>
              <w:pStyle w:val="0"/>
              <w:jc w:val="center"/>
            </w:pPr>
            <w:r>
              <w:rPr>
                <w:sz w:val="20"/>
              </w:rPr>
              <w:t xml:space="preserve">5 756,5</w:t>
            </w:r>
          </w:p>
        </w:tc>
        <w:tc>
          <w:tcPr>
            <w:tcW w:w="1077" w:type="dxa"/>
          </w:tcPr>
          <w:p>
            <w:pPr>
              <w:pStyle w:val="0"/>
              <w:jc w:val="center"/>
            </w:pPr>
            <w:r>
              <w:rPr>
                <w:sz w:val="20"/>
              </w:rPr>
              <w:t xml:space="preserve">8 038,7</w:t>
            </w:r>
          </w:p>
        </w:tc>
        <w:tc>
          <w:tcPr>
            <w:tcW w:w="1077" w:type="dxa"/>
          </w:tcPr>
          <w:p>
            <w:pPr>
              <w:pStyle w:val="0"/>
              <w:jc w:val="center"/>
            </w:pPr>
            <w:r>
              <w:rPr>
                <w:sz w:val="20"/>
              </w:rPr>
              <w:t xml:space="preserve">5 454,4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1 515 237,5</w:t>
            </w:r>
          </w:p>
        </w:tc>
        <w:tc>
          <w:tcPr>
            <w:tcW w:w="1077" w:type="dxa"/>
          </w:tcPr>
          <w:p>
            <w:pPr>
              <w:pStyle w:val="0"/>
              <w:jc w:val="center"/>
            </w:pPr>
            <w:r>
              <w:rPr>
                <w:sz w:val="20"/>
              </w:rPr>
              <w:t xml:space="preserve">80 693,9</w:t>
            </w:r>
          </w:p>
        </w:tc>
        <w:tc>
          <w:tcPr>
            <w:tcW w:w="1077" w:type="dxa"/>
          </w:tcPr>
          <w:p>
            <w:pPr>
              <w:pStyle w:val="0"/>
              <w:jc w:val="center"/>
            </w:pPr>
            <w:r>
              <w:rPr>
                <w:sz w:val="20"/>
              </w:rPr>
              <w:t xml:space="preserve">89 077,0</w:t>
            </w:r>
          </w:p>
        </w:tc>
        <w:tc>
          <w:tcPr>
            <w:tcW w:w="1077" w:type="dxa"/>
          </w:tcPr>
          <w:p>
            <w:pPr>
              <w:pStyle w:val="0"/>
              <w:jc w:val="center"/>
            </w:pPr>
            <w:r>
              <w:rPr>
                <w:sz w:val="20"/>
              </w:rPr>
              <w:t xml:space="preserve">109 733,1</w:t>
            </w:r>
          </w:p>
        </w:tc>
        <w:tc>
          <w:tcPr>
            <w:tcW w:w="1077" w:type="dxa"/>
          </w:tcPr>
          <w:p>
            <w:pPr>
              <w:pStyle w:val="0"/>
              <w:jc w:val="center"/>
            </w:pPr>
            <w:r>
              <w:rPr>
                <w:sz w:val="20"/>
              </w:rPr>
              <w:t xml:space="preserve">112 103,7</w:t>
            </w:r>
          </w:p>
        </w:tc>
        <w:tc>
          <w:tcPr>
            <w:tcW w:w="1077" w:type="dxa"/>
          </w:tcPr>
          <w:p>
            <w:pPr>
              <w:pStyle w:val="0"/>
              <w:jc w:val="center"/>
            </w:pPr>
            <w:r>
              <w:rPr>
                <w:sz w:val="20"/>
              </w:rPr>
              <w:t xml:space="preserve">108 565,0</w:t>
            </w:r>
          </w:p>
        </w:tc>
        <w:tc>
          <w:tcPr>
            <w:tcW w:w="1077" w:type="dxa"/>
          </w:tcPr>
          <w:p>
            <w:pPr>
              <w:pStyle w:val="0"/>
              <w:jc w:val="center"/>
            </w:pPr>
            <w:r>
              <w:rPr>
                <w:sz w:val="20"/>
              </w:rPr>
              <w:t xml:space="preserve">133 977,8</w:t>
            </w:r>
          </w:p>
        </w:tc>
        <w:tc>
          <w:tcPr>
            <w:tcW w:w="1077" w:type="dxa"/>
          </w:tcPr>
          <w:p>
            <w:pPr>
              <w:pStyle w:val="0"/>
              <w:jc w:val="center"/>
            </w:pPr>
            <w:r>
              <w:rPr>
                <w:sz w:val="20"/>
              </w:rPr>
              <w:t xml:space="preserve">212 207,4</w:t>
            </w:r>
          </w:p>
        </w:tc>
        <w:tc>
          <w:tcPr>
            <w:tcW w:w="1077" w:type="dxa"/>
          </w:tcPr>
          <w:p>
            <w:pPr>
              <w:pStyle w:val="0"/>
              <w:jc w:val="center"/>
            </w:pPr>
            <w:r>
              <w:rPr>
                <w:sz w:val="20"/>
              </w:rPr>
              <w:t xml:space="preserve">271 031,9</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Капитальные вложения,</w:t>
            </w:r>
          </w:p>
          <w:p>
            <w:pPr>
              <w:pStyle w:val="0"/>
            </w:pPr>
            <w:r>
              <w:rPr>
                <w:sz w:val="20"/>
              </w:rPr>
              <w:t xml:space="preserve">в том числе из:</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НИОКР &lt;*&gt;,</w:t>
            </w:r>
          </w:p>
          <w:p>
            <w:pPr>
              <w:pStyle w:val="0"/>
            </w:pPr>
            <w:r>
              <w:rPr>
                <w:sz w:val="20"/>
              </w:rPr>
              <w:t xml:space="preserve">в том числе из:</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Прочие расходы,</w:t>
            </w:r>
          </w:p>
          <w:p>
            <w:pPr>
              <w:pStyle w:val="0"/>
            </w:pPr>
            <w:r>
              <w:rPr>
                <w:sz w:val="20"/>
              </w:rPr>
              <w:t xml:space="preserve">в том числе из:</w:t>
            </w:r>
          </w:p>
        </w:tc>
        <w:tc>
          <w:tcPr>
            <w:tcW w:w="1303" w:type="dxa"/>
          </w:tcPr>
          <w:p>
            <w:pPr>
              <w:pStyle w:val="0"/>
              <w:jc w:val="center"/>
            </w:pPr>
            <w:r>
              <w:rPr>
                <w:sz w:val="20"/>
              </w:rPr>
              <w:t xml:space="preserve">1 586 604,3</w:t>
            </w:r>
          </w:p>
        </w:tc>
        <w:tc>
          <w:tcPr>
            <w:tcW w:w="1077" w:type="dxa"/>
          </w:tcPr>
          <w:p>
            <w:pPr>
              <w:pStyle w:val="0"/>
              <w:jc w:val="center"/>
            </w:pPr>
            <w:r>
              <w:rPr>
                <w:sz w:val="20"/>
              </w:rPr>
              <w:t xml:space="preserve">88 360,2</w:t>
            </w:r>
          </w:p>
        </w:tc>
        <w:tc>
          <w:tcPr>
            <w:tcW w:w="1077" w:type="dxa"/>
          </w:tcPr>
          <w:p>
            <w:pPr>
              <w:pStyle w:val="0"/>
              <w:jc w:val="center"/>
            </w:pPr>
            <w:r>
              <w:rPr>
                <w:sz w:val="20"/>
              </w:rPr>
              <w:t xml:space="preserve">93 971,0</w:t>
            </w:r>
          </w:p>
        </w:tc>
        <w:tc>
          <w:tcPr>
            <w:tcW w:w="1077" w:type="dxa"/>
          </w:tcPr>
          <w:p>
            <w:pPr>
              <w:pStyle w:val="0"/>
              <w:jc w:val="center"/>
            </w:pPr>
            <w:r>
              <w:rPr>
                <w:sz w:val="20"/>
              </w:rPr>
              <w:t xml:space="preserve">119 126,4</w:t>
            </w:r>
          </w:p>
        </w:tc>
        <w:tc>
          <w:tcPr>
            <w:tcW w:w="1077" w:type="dxa"/>
          </w:tcPr>
          <w:p>
            <w:pPr>
              <w:pStyle w:val="0"/>
              <w:jc w:val="center"/>
            </w:pPr>
            <w:r>
              <w:rPr>
                <w:sz w:val="20"/>
              </w:rPr>
              <w:t xml:space="preserve">133 544,1</w:t>
            </w:r>
          </w:p>
        </w:tc>
        <w:tc>
          <w:tcPr>
            <w:tcW w:w="1077" w:type="dxa"/>
          </w:tcPr>
          <w:p>
            <w:pPr>
              <w:pStyle w:val="0"/>
              <w:jc w:val="center"/>
            </w:pPr>
            <w:r>
              <w:rPr>
                <w:sz w:val="20"/>
              </w:rPr>
              <w:t xml:space="preserve">117 288,2</w:t>
            </w:r>
          </w:p>
        </w:tc>
        <w:tc>
          <w:tcPr>
            <w:tcW w:w="1077" w:type="dxa"/>
          </w:tcPr>
          <w:p>
            <w:pPr>
              <w:pStyle w:val="0"/>
              <w:jc w:val="center"/>
            </w:pPr>
            <w:r>
              <w:rPr>
                <w:sz w:val="20"/>
              </w:rPr>
              <w:t xml:space="preserve">139 734,3</w:t>
            </w:r>
          </w:p>
        </w:tc>
        <w:tc>
          <w:tcPr>
            <w:tcW w:w="1077" w:type="dxa"/>
          </w:tcPr>
          <w:p>
            <w:pPr>
              <w:pStyle w:val="0"/>
              <w:jc w:val="center"/>
            </w:pPr>
            <w:r>
              <w:rPr>
                <w:sz w:val="20"/>
              </w:rPr>
              <w:t xml:space="preserve">220 246,1</w:t>
            </w:r>
          </w:p>
        </w:tc>
        <w:tc>
          <w:tcPr>
            <w:tcW w:w="1077" w:type="dxa"/>
          </w:tcPr>
          <w:p>
            <w:pPr>
              <w:pStyle w:val="0"/>
              <w:jc w:val="center"/>
            </w:pPr>
            <w:r>
              <w:rPr>
                <w:sz w:val="20"/>
              </w:rPr>
              <w:t xml:space="preserve">276 486,3</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федерального бюджета</w:t>
            </w:r>
          </w:p>
        </w:tc>
        <w:tc>
          <w:tcPr>
            <w:tcW w:w="1303" w:type="dxa"/>
          </w:tcPr>
          <w:p>
            <w:pPr>
              <w:pStyle w:val="0"/>
              <w:jc w:val="center"/>
            </w:pPr>
            <w:r>
              <w:rPr>
                <w:sz w:val="20"/>
              </w:rPr>
              <w:t xml:space="preserve">71 366,8</w:t>
            </w:r>
          </w:p>
        </w:tc>
        <w:tc>
          <w:tcPr>
            <w:tcW w:w="1077" w:type="dxa"/>
          </w:tcPr>
          <w:p>
            <w:pPr>
              <w:pStyle w:val="0"/>
              <w:jc w:val="center"/>
            </w:pPr>
            <w:r>
              <w:rPr>
                <w:sz w:val="20"/>
              </w:rPr>
              <w:t xml:space="preserve">7 666,3</w:t>
            </w:r>
          </w:p>
        </w:tc>
        <w:tc>
          <w:tcPr>
            <w:tcW w:w="1077" w:type="dxa"/>
          </w:tcPr>
          <w:p>
            <w:pPr>
              <w:pStyle w:val="0"/>
              <w:jc w:val="center"/>
            </w:pPr>
            <w:r>
              <w:rPr>
                <w:sz w:val="20"/>
              </w:rPr>
              <w:t xml:space="preserve">4 894,0</w:t>
            </w:r>
          </w:p>
        </w:tc>
        <w:tc>
          <w:tcPr>
            <w:tcW w:w="1077" w:type="dxa"/>
          </w:tcPr>
          <w:p>
            <w:pPr>
              <w:pStyle w:val="0"/>
              <w:jc w:val="center"/>
            </w:pPr>
            <w:r>
              <w:rPr>
                <w:sz w:val="20"/>
              </w:rPr>
              <w:t xml:space="preserve">9 393,3</w:t>
            </w:r>
          </w:p>
        </w:tc>
        <w:tc>
          <w:tcPr>
            <w:tcW w:w="1077" w:type="dxa"/>
          </w:tcPr>
          <w:p>
            <w:pPr>
              <w:pStyle w:val="0"/>
              <w:jc w:val="center"/>
            </w:pPr>
            <w:r>
              <w:rPr>
                <w:sz w:val="20"/>
              </w:rPr>
              <w:t xml:space="preserve">21 440,4</w:t>
            </w:r>
          </w:p>
        </w:tc>
        <w:tc>
          <w:tcPr>
            <w:tcW w:w="1077" w:type="dxa"/>
          </w:tcPr>
          <w:p>
            <w:pPr>
              <w:pStyle w:val="0"/>
              <w:jc w:val="center"/>
            </w:pPr>
            <w:r>
              <w:rPr>
                <w:sz w:val="20"/>
              </w:rPr>
              <w:t xml:space="preserve">8 723,2</w:t>
            </w:r>
          </w:p>
        </w:tc>
        <w:tc>
          <w:tcPr>
            <w:tcW w:w="1077" w:type="dxa"/>
          </w:tcPr>
          <w:p>
            <w:pPr>
              <w:pStyle w:val="0"/>
              <w:jc w:val="center"/>
            </w:pPr>
            <w:r>
              <w:rPr>
                <w:sz w:val="20"/>
              </w:rPr>
              <w:t xml:space="preserve">5 756,5</w:t>
            </w:r>
          </w:p>
        </w:tc>
        <w:tc>
          <w:tcPr>
            <w:tcW w:w="1077" w:type="dxa"/>
          </w:tcPr>
          <w:p>
            <w:pPr>
              <w:pStyle w:val="0"/>
              <w:jc w:val="center"/>
            </w:pPr>
            <w:r>
              <w:rPr>
                <w:sz w:val="20"/>
              </w:rPr>
              <w:t xml:space="preserve">8 038,7</w:t>
            </w:r>
          </w:p>
        </w:tc>
        <w:tc>
          <w:tcPr>
            <w:tcW w:w="1077" w:type="dxa"/>
          </w:tcPr>
          <w:p>
            <w:pPr>
              <w:pStyle w:val="0"/>
              <w:jc w:val="center"/>
            </w:pPr>
            <w:r>
              <w:rPr>
                <w:sz w:val="20"/>
              </w:rPr>
              <w:t xml:space="preserve">5 454,4</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областного бюджета</w:t>
            </w:r>
          </w:p>
        </w:tc>
        <w:tc>
          <w:tcPr>
            <w:tcW w:w="1303" w:type="dxa"/>
          </w:tcPr>
          <w:p>
            <w:pPr>
              <w:pStyle w:val="0"/>
              <w:jc w:val="center"/>
            </w:pPr>
            <w:r>
              <w:rPr>
                <w:sz w:val="20"/>
              </w:rPr>
              <w:t xml:space="preserve">1 515 237,5</w:t>
            </w:r>
          </w:p>
        </w:tc>
        <w:tc>
          <w:tcPr>
            <w:tcW w:w="1077" w:type="dxa"/>
          </w:tcPr>
          <w:p>
            <w:pPr>
              <w:pStyle w:val="0"/>
              <w:jc w:val="center"/>
            </w:pPr>
            <w:r>
              <w:rPr>
                <w:sz w:val="20"/>
              </w:rPr>
              <w:t xml:space="preserve">80 693,9</w:t>
            </w:r>
          </w:p>
        </w:tc>
        <w:tc>
          <w:tcPr>
            <w:tcW w:w="1077" w:type="dxa"/>
          </w:tcPr>
          <w:p>
            <w:pPr>
              <w:pStyle w:val="0"/>
              <w:jc w:val="center"/>
            </w:pPr>
            <w:r>
              <w:rPr>
                <w:sz w:val="20"/>
              </w:rPr>
              <w:t xml:space="preserve">89 077,0</w:t>
            </w:r>
          </w:p>
        </w:tc>
        <w:tc>
          <w:tcPr>
            <w:tcW w:w="1077" w:type="dxa"/>
          </w:tcPr>
          <w:p>
            <w:pPr>
              <w:pStyle w:val="0"/>
              <w:jc w:val="center"/>
            </w:pPr>
            <w:r>
              <w:rPr>
                <w:sz w:val="20"/>
              </w:rPr>
              <w:t xml:space="preserve">109 733,1</w:t>
            </w:r>
          </w:p>
        </w:tc>
        <w:tc>
          <w:tcPr>
            <w:tcW w:w="1077" w:type="dxa"/>
          </w:tcPr>
          <w:p>
            <w:pPr>
              <w:pStyle w:val="0"/>
              <w:jc w:val="center"/>
            </w:pPr>
            <w:r>
              <w:rPr>
                <w:sz w:val="20"/>
              </w:rPr>
              <w:t xml:space="preserve">112 103,7</w:t>
            </w:r>
          </w:p>
        </w:tc>
        <w:tc>
          <w:tcPr>
            <w:tcW w:w="1077" w:type="dxa"/>
          </w:tcPr>
          <w:p>
            <w:pPr>
              <w:pStyle w:val="0"/>
              <w:jc w:val="center"/>
            </w:pPr>
            <w:r>
              <w:rPr>
                <w:sz w:val="20"/>
              </w:rPr>
              <w:t xml:space="preserve">108 565,0</w:t>
            </w:r>
          </w:p>
        </w:tc>
        <w:tc>
          <w:tcPr>
            <w:tcW w:w="1077" w:type="dxa"/>
          </w:tcPr>
          <w:p>
            <w:pPr>
              <w:pStyle w:val="0"/>
              <w:jc w:val="center"/>
            </w:pPr>
            <w:r>
              <w:rPr>
                <w:sz w:val="20"/>
              </w:rPr>
              <w:t xml:space="preserve">133 977,8</w:t>
            </w:r>
          </w:p>
        </w:tc>
        <w:tc>
          <w:tcPr>
            <w:tcW w:w="1077" w:type="dxa"/>
          </w:tcPr>
          <w:p>
            <w:pPr>
              <w:pStyle w:val="0"/>
              <w:jc w:val="center"/>
            </w:pPr>
            <w:r>
              <w:rPr>
                <w:sz w:val="20"/>
              </w:rPr>
              <w:t xml:space="preserve">212 207,4</w:t>
            </w:r>
          </w:p>
        </w:tc>
        <w:tc>
          <w:tcPr>
            <w:tcW w:w="1077" w:type="dxa"/>
          </w:tcPr>
          <w:p>
            <w:pPr>
              <w:pStyle w:val="0"/>
              <w:jc w:val="center"/>
            </w:pPr>
            <w:r>
              <w:rPr>
                <w:sz w:val="20"/>
              </w:rPr>
              <w:t xml:space="preserve">271 031,9</w:t>
            </w:r>
          </w:p>
        </w:tc>
        <w:tc>
          <w:tcPr>
            <w:tcW w:w="1077" w:type="dxa"/>
          </w:tcPr>
          <w:p>
            <w:pPr>
              <w:pStyle w:val="0"/>
              <w:jc w:val="center"/>
            </w:pPr>
            <w:r>
              <w:rPr>
                <w:sz w:val="20"/>
              </w:rPr>
              <w:t xml:space="preserve">196 403,2</w:t>
            </w:r>
          </w:p>
        </w:tc>
        <w:tc>
          <w:tcPr>
            <w:tcW w:w="1077" w:type="dxa"/>
          </w:tcPr>
          <w:p>
            <w:pPr>
              <w:pStyle w:val="0"/>
              <w:jc w:val="center"/>
            </w:pPr>
            <w:r>
              <w:rPr>
                <w:sz w:val="20"/>
              </w:rPr>
              <w:t xml:space="preserve">201 444,5</w:t>
            </w:r>
          </w:p>
        </w:tc>
        <w:tc>
          <w:tcPr>
            <w:tcW w:w="850" w:type="dxa"/>
          </w:tcPr>
          <w:p>
            <w:pPr>
              <w:pStyle w:val="0"/>
            </w:pPr>
            <w:r>
              <w:rPr>
                <w:sz w:val="20"/>
              </w:rPr>
            </w:r>
          </w:p>
        </w:tc>
      </w:tr>
      <w:tr>
        <w:tc>
          <w:tcPr>
            <w:tcW w:w="1814" w:type="dxa"/>
          </w:tcPr>
          <w:p>
            <w:pPr>
              <w:pStyle w:val="0"/>
            </w:pPr>
            <w:r>
              <w:rPr>
                <w:sz w:val="20"/>
              </w:rPr>
              <w:t xml:space="preserve">местных бюджетов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внебюджетных источников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r>
        <w:tc>
          <w:tcPr>
            <w:tcW w:w="1814" w:type="dxa"/>
          </w:tcPr>
          <w:p>
            <w:pPr>
              <w:pStyle w:val="0"/>
            </w:pPr>
            <w:r>
              <w:rPr>
                <w:sz w:val="20"/>
              </w:rPr>
              <w:t xml:space="preserve">Всего налоговых расходов</w:t>
            </w:r>
          </w:p>
        </w:tc>
        <w:tc>
          <w:tcPr>
            <w:tcW w:w="1303"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850" w:type="dxa"/>
          </w:tcPr>
          <w:p>
            <w:pPr>
              <w:pStyle w:val="0"/>
            </w:pPr>
            <w:r>
              <w:rPr>
                <w:sz w:val="20"/>
              </w:rPr>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Научно-исследовательские и опытно-конструкторские работы.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13.07.2015 N 263-п</w:t>
      </w:r>
    </w:p>
    <w:p>
      <w:pPr>
        <w:pStyle w:val="0"/>
        <w:ind w:firstLine="540"/>
        <w:jc w:val="both"/>
      </w:pPr>
      <w:r>
        <w:rPr>
          <w:sz w:val="20"/>
        </w:rPr>
      </w:r>
    </w:p>
    <w:bookmarkStart w:id="2271" w:name="P2271"/>
    <w:bookmarkEnd w:id="2271"/>
    <w:p>
      <w:pPr>
        <w:pStyle w:val="2"/>
        <w:jc w:val="center"/>
      </w:pPr>
      <w:r>
        <w:rPr>
          <w:sz w:val="20"/>
        </w:rPr>
        <w:t xml:space="preserve">ПОРЯДОК</w:t>
      </w:r>
    </w:p>
    <w:p>
      <w:pPr>
        <w:pStyle w:val="2"/>
        <w:jc w:val="center"/>
      </w:pPr>
      <w:r>
        <w:rPr>
          <w:sz w:val="20"/>
        </w:rPr>
        <w:t xml:space="preserve">ФИНАНСИРОВАНИЯ ИЗ ОБЛАСТНОГО БЮДЖЕТА НОВОСИБИРСКОЙ ОБЛАСТИ</w:t>
      </w:r>
    </w:p>
    <w:p>
      <w:pPr>
        <w:pStyle w:val="2"/>
        <w:jc w:val="center"/>
      </w:pPr>
      <w:r>
        <w:rPr>
          <w:sz w:val="20"/>
        </w:rPr>
        <w:t xml:space="preserve">С УЧЕТОМ СУБСИДИЙ ИЗ ФЕДЕРАЛЬНОГО БЮДЖЕТА МЕРОПРИЯТИЙ,</w:t>
      </w:r>
    </w:p>
    <w:p>
      <w:pPr>
        <w:pStyle w:val="2"/>
        <w:jc w:val="center"/>
      </w:pPr>
      <w:r>
        <w:rPr>
          <w:sz w:val="20"/>
        </w:rPr>
        <w:t xml:space="preserve">ПРЕДУСМОТРЕННЫХ ГОСУДАРСТВЕННОЙ ПРОГРАММОЙ НОВОСИБИРСКОЙ</w:t>
      </w:r>
    </w:p>
    <w:p>
      <w:pPr>
        <w:pStyle w:val="2"/>
        <w:jc w:val="center"/>
      </w:pPr>
      <w:r>
        <w:rPr>
          <w:sz w:val="20"/>
        </w:rPr>
        <w:t xml:space="preserve">ОБЛАСТИ "РАЗВИТИЕ ГОСУДАРСТВЕННОЙ МОЛОДЕЖНОЙ</w:t>
      </w:r>
    </w:p>
    <w:p>
      <w:pPr>
        <w:pStyle w:val="2"/>
        <w:jc w:val="center"/>
      </w:pPr>
      <w:r>
        <w:rPr>
          <w:sz w:val="20"/>
        </w:rPr>
        <w:t xml:space="preserve">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Новосибирской области</w:t>
            </w:r>
          </w:p>
          <w:p>
            <w:pPr>
              <w:pStyle w:val="0"/>
              <w:jc w:val="center"/>
            </w:pPr>
            <w:r>
              <w:rPr>
                <w:sz w:val="20"/>
                <w:color w:val="392c69"/>
              </w:rPr>
              <w:t xml:space="preserve">от 27.12.2016 </w:t>
            </w:r>
            <w:hyperlink w:history="0" r:id="rId149"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color w:val="392c69"/>
              </w:rPr>
              <w:t xml:space="preserve">, от 21.08.2018 </w:t>
            </w:r>
            <w:hyperlink w:history="0" r:id="rId150"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color w:val="392c69"/>
              </w:rPr>
              <w:t xml:space="preserve">, от 28.05.2019 </w:t>
            </w:r>
            <w:hyperlink w:history="0" r:id="rId151"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N 205-п</w:t>
              </w:r>
            </w:hyperlink>
            <w:r>
              <w:rPr>
                <w:sz w:val="20"/>
                <w:color w:val="392c69"/>
              </w:rPr>
              <w:t xml:space="preserve">,</w:t>
            </w:r>
          </w:p>
          <w:p>
            <w:pPr>
              <w:pStyle w:val="0"/>
              <w:jc w:val="center"/>
            </w:pPr>
            <w:r>
              <w:rPr>
                <w:sz w:val="20"/>
                <w:color w:val="392c69"/>
              </w:rPr>
              <w:t xml:space="preserve">от 27.04.2021 </w:t>
            </w:r>
            <w:hyperlink w:history="0" r:id="rId152"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N 146-п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регламентирует финансирование из областного бюджета Новосибирской области (далее - областной бюджет) с учетом субсидии из федерального бюджета мероприятий, предусмотренных государственной </w:t>
      </w:r>
      <w:hyperlink w:history="0" w:anchor="P41" w:tooltip="ГОСУДАРСТВЕННАЯ ПРОГРАММА">
        <w:r>
          <w:rPr>
            <w:sz w:val="20"/>
            <w:color w:val="0000ff"/>
          </w:rPr>
          <w:t xml:space="preserve">программой</w:t>
        </w:r>
      </w:hyperlink>
      <w:r>
        <w:rPr>
          <w:sz w:val="20"/>
        </w:rPr>
        <w:t xml:space="preserve"> Новосибирской области "Развитие государственной молодежной политики Новосибирской области" (далее - государственная программа).</w:t>
      </w:r>
    </w:p>
    <w:p>
      <w:pPr>
        <w:pStyle w:val="0"/>
        <w:jc w:val="both"/>
      </w:pPr>
      <w:r>
        <w:rPr>
          <w:sz w:val="20"/>
        </w:rPr>
        <w:t xml:space="preserve">(в ред. постановлений Правительства Новосибирской области от 27.12.2016 </w:t>
      </w:r>
      <w:hyperlink w:history="0" r:id="rId153"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 от 28.05.2019 </w:t>
      </w:r>
      <w:hyperlink w:history="0" r:id="rId154" w:tooltip="Постановление Правительства Новосибирской области от 28.05.2019 N 205-п &quot;О внесении изменений в постановление Правительства Новосибирской области от 13.07.2015 N 263-п&quot; {КонсультантПлюс}">
        <w:r>
          <w:rPr>
            <w:sz w:val="20"/>
            <w:color w:val="0000ff"/>
          </w:rPr>
          <w:t xml:space="preserve">N 205-п</w:t>
        </w:r>
      </w:hyperlink>
      <w:r>
        <w:rPr>
          <w:sz w:val="20"/>
        </w:rPr>
        <w:t xml:space="preserve">)</w:t>
      </w:r>
    </w:p>
    <w:p>
      <w:pPr>
        <w:pStyle w:val="0"/>
        <w:spacing w:before="200" w:line-rule="auto"/>
        <w:ind w:firstLine="540"/>
        <w:jc w:val="both"/>
      </w:pPr>
      <w:r>
        <w:rPr>
          <w:sz w:val="20"/>
        </w:rPr>
        <w:t xml:space="preserve">2. Расходование средств областного бюджета на реализацию мероприятий государственной программы производится в соответствии с Бюджетным </w:t>
      </w:r>
      <w:hyperlink w:history="0" r:id="rId1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15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пределах объемов бюджетных ассигнований, предусмотренных на реализацию государственной программы законом Новосибирской области об областном бюджете Новосибирской области на текущий финансовый год и плановый период.</w:t>
      </w:r>
    </w:p>
    <w:p>
      <w:pPr>
        <w:pStyle w:val="0"/>
        <w:spacing w:before="200" w:line-rule="auto"/>
        <w:ind w:firstLine="540"/>
        <w:jc w:val="both"/>
      </w:pPr>
      <w:r>
        <w:rPr>
          <w:sz w:val="20"/>
        </w:rPr>
        <w:t xml:space="preserve">3. Финансирование мероприятий государственной программы осуществляется:</w:t>
      </w:r>
    </w:p>
    <w:p>
      <w:pPr>
        <w:pStyle w:val="0"/>
        <w:spacing w:before="200" w:line-rule="auto"/>
        <w:ind w:firstLine="540"/>
        <w:jc w:val="both"/>
      </w:pPr>
      <w:r>
        <w:rPr>
          <w:sz w:val="20"/>
        </w:rPr>
        <w:t xml:space="preserve">1) путем предоставления субсидий на реализацию мероприятий государственной программы в соответствии с </w:t>
      </w:r>
      <w:hyperlink w:history="0" r:id="rId157" w:tooltip="Постановление Правительства Новосибирской области от 16.02.2021 N 43-п (ред. от 25.10.2022) &quot;Об установлении Порядка определения объема и условий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образования Новосибирской области, на иные цели&quot; {КонсультантПлюс}">
        <w:r>
          <w:rPr>
            <w:sz w:val="20"/>
            <w:color w:val="0000ff"/>
          </w:rPr>
          <w:t xml:space="preserve">Порядком</w:t>
        </w:r>
      </w:hyperlink>
      <w:r>
        <w:rPr>
          <w:sz w:val="20"/>
        </w:rP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образования Новосибирской области, на иные цели, утвержденным постановлением Правительства Новосибирской области от 16.02.2021 N 43-п "Об установлении Порядка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образования Новосибирской области, на иные цели";</w:t>
      </w:r>
    </w:p>
    <w:p>
      <w:pPr>
        <w:pStyle w:val="0"/>
        <w:jc w:val="both"/>
      </w:pPr>
      <w:r>
        <w:rPr>
          <w:sz w:val="20"/>
        </w:rPr>
        <w:t xml:space="preserve">(пп. 1 в ред. </w:t>
      </w:r>
      <w:hyperlink w:history="0" r:id="rId158"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2) путем предоставления субсидий на выполнение государственного задания государственными бюджетными учреждениями Новосибирской области, являющимися исполнителями мероприятий государственной программы, в соответствии с </w:t>
      </w:r>
      <w:hyperlink w:history="0" r:id="rId159" w:tooltip="Постановление Правительства Новосибирской области от 14.10.2013 N 435-п (ред. от 06.06.2023) &quot;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quot; {КонсультантПлюс}">
        <w:r>
          <w:rPr>
            <w:sz w:val="20"/>
            <w:color w:val="0000ff"/>
          </w:rPr>
          <w:t xml:space="preserve">Порядком</w:t>
        </w:r>
      </w:hyperlink>
      <w:r>
        <w:rPr>
          <w:sz w:val="20"/>
        </w:rPr>
        <w:t xml:space="preserve">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 утвержденным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w:t>
      </w:r>
    </w:p>
    <w:p>
      <w:pPr>
        <w:pStyle w:val="0"/>
        <w:jc w:val="both"/>
      </w:pPr>
      <w:r>
        <w:rPr>
          <w:sz w:val="20"/>
        </w:rPr>
        <w:t xml:space="preserve">(в ред. </w:t>
      </w:r>
      <w:hyperlink w:history="0" r:id="rId160" w:tooltip="Постановление Правительства Новосибирской области от 27.04.2021 N 146-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27.04.2021 N 146-п)</w:t>
      </w:r>
    </w:p>
    <w:p>
      <w:pPr>
        <w:pStyle w:val="0"/>
        <w:spacing w:before="200" w:line-rule="auto"/>
        <w:ind w:firstLine="540"/>
        <w:jc w:val="both"/>
      </w:pPr>
      <w:r>
        <w:rPr>
          <w:sz w:val="20"/>
        </w:rPr>
        <w:t xml:space="preserve">4. Расходование средств областного бюджета Новосибирской области с учетом субсидии из федерального бюджета на реализацию мероприятий государственной программы осуществляется согласно перечню и графику проведения данных мероприятий в соответствии со сводной бюджетной росписью областного бюджета Новосибирской области и порядком составления и ведения сводной бюджетной росписи областного бюджета Новосибирской области, утверждаемыми министерством финансов и налоговой политики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министерству образования Новосибирской области (далее - Министерство).</w:t>
      </w:r>
    </w:p>
    <w:p>
      <w:pPr>
        <w:pStyle w:val="0"/>
        <w:jc w:val="both"/>
      </w:pPr>
      <w:r>
        <w:rPr>
          <w:sz w:val="20"/>
        </w:rPr>
        <w:t xml:space="preserve">(в ред. постановлений Правительства Новосибирской области от 27.12.2016 </w:t>
      </w:r>
      <w:hyperlink w:history="0" r:id="rId161"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N 445-п</w:t>
        </w:r>
      </w:hyperlink>
      <w:r>
        <w:rPr>
          <w:sz w:val="20"/>
        </w:rPr>
        <w:t xml:space="preserve">, от 21.08.2018 </w:t>
      </w:r>
      <w:hyperlink w:history="0" r:id="rId162" w:tooltip="Постановление Правительства Новосибирской области от 21.08.2018 N 356-п &quot;О внесении изменений в постановление Правительства Новосибирской области от 13.07.2015 N 263-п&quot; {КонсультантПлюс}">
        <w:r>
          <w:rPr>
            <w:sz w:val="20"/>
            <w:color w:val="0000ff"/>
          </w:rPr>
          <w:t xml:space="preserve">N 356-п</w:t>
        </w:r>
      </w:hyperlink>
      <w:r>
        <w:rPr>
          <w:sz w:val="20"/>
        </w:rPr>
        <w:t xml:space="preserve">)</w:t>
      </w:r>
    </w:p>
    <w:p>
      <w:pPr>
        <w:pStyle w:val="0"/>
        <w:spacing w:before="200" w:line-rule="auto"/>
        <w:ind w:firstLine="540"/>
        <w:jc w:val="both"/>
      </w:pPr>
      <w:r>
        <w:rPr>
          <w:sz w:val="20"/>
        </w:rPr>
        <w:t xml:space="preserve">5. Министерство ежемесячно формирует и представляет в министерство финансов и налоговой политики Новосибирской области заявку на выделение предельных объемов финансирования расходов по реализации мероприятий государственной программы в сроки, установленные министерством финансов и налоговой политики Новосибирской области.</w:t>
      </w:r>
    </w:p>
    <w:p>
      <w:pPr>
        <w:pStyle w:val="0"/>
        <w:spacing w:before="200" w:line-rule="auto"/>
        <w:ind w:firstLine="540"/>
        <w:jc w:val="both"/>
      </w:pPr>
      <w:r>
        <w:rPr>
          <w:sz w:val="20"/>
        </w:rPr>
        <w:t xml:space="preserve">6. Исключен. - </w:t>
      </w:r>
      <w:hyperlink w:history="0" r:id="rId163"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7.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pPr>
        <w:pStyle w:val="0"/>
        <w:spacing w:before="200" w:line-rule="auto"/>
        <w:ind w:firstLine="540"/>
        <w:jc w:val="both"/>
      </w:pPr>
      <w:r>
        <w:rPr>
          <w:sz w:val="20"/>
        </w:rPr>
        <w:t xml:space="preserve">8. Министерство представляет в министерство финансов и налоговой политики Новосибирской области и в министерство экономического развития Новосибирской области отчетность по форме и в сроки, установленные </w:t>
      </w:r>
      <w:hyperlink w:history="0" r:id="rId164" w:tooltip="Постановление Правительства Новосибирской области от 28.03.2014 N 125-п (ред. от 14.11.2022) &quot;О Порядке принятия решений о разработке государственных программ Новосибирской области, а также формирования и реализации указанных программ&quot; {КонсультантПлюс}">
        <w:r>
          <w:rPr>
            <w:sz w:val="20"/>
            <w:color w:val="0000ff"/>
          </w:rPr>
          <w:t xml:space="preserve">Порядком</w:t>
        </w:r>
      </w:hyperlink>
      <w:r>
        <w:rPr>
          <w:sz w:val="20"/>
        </w:rPr>
        <w:t xml:space="preserve"> принятия решений о разработке государственных программ Новосибирской области, а также формирования и реализации указанных программ, утвержденным постановлением Правительства Новосибирской области от 28.03.2014 N 125-п.</w:t>
      </w:r>
    </w:p>
    <w:p>
      <w:pPr>
        <w:pStyle w:val="0"/>
        <w:spacing w:before="200" w:line-rule="auto"/>
        <w:ind w:firstLine="540"/>
        <w:jc w:val="both"/>
      </w:pPr>
      <w:r>
        <w:rPr>
          <w:sz w:val="20"/>
        </w:rPr>
        <w:t xml:space="preserve">9. Министерство в пределах своих полномочий осуществляет контроль за правомерным, целевым, эффективным использованием средств областного бюджета с учетом субсидии из федерального бюджета.</w:t>
      </w:r>
    </w:p>
    <w:p>
      <w:pPr>
        <w:pStyle w:val="0"/>
        <w:jc w:val="both"/>
      </w:pPr>
      <w:r>
        <w:rPr>
          <w:sz w:val="20"/>
        </w:rPr>
        <w:t xml:space="preserve">(в ред. </w:t>
      </w:r>
      <w:hyperlink w:history="0" r:id="rId165"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27.12.2016 N 445-п)</w:t>
      </w:r>
    </w:p>
    <w:p>
      <w:pPr>
        <w:pStyle w:val="0"/>
        <w:spacing w:before="200" w:line-rule="auto"/>
        <w:ind w:firstLine="540"/>
        <w:jc w:val="both"/>
      </w:pPr>
      <w:r>
        <w:rPr>
          <w:sz w:val="20"/>
        </w:rPr>
        <w:t xml:space="preserve">10. Исполнители мероприятий государственной программы несут ответственность за нецелевое использование средств областного бюджета с учетом субсидии из федерального бюджета в соответствии с законодательством Российской Федерации.</w:t>
      </w:r>
    </w:p>
    <w:p>
      <w:pPr>
        <w:pStyle w:val="0"/>
        <w:jc w:val="both"/>
      </w:pPr>
      <w:r>
        <w:rPr>
          <w:sz w:val="20"/>
        </w:rPr>
        <w:t xml:space="preserve">(в ред. </w:t>
      </w:r>
      <w:hyperlink w:history="0" r:id="rId166" w:tooltip="Постановление Правительства Новосибирской области от 27.12.2016 N 445-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постановления</w:t>
        </w:r>
      </w:hyperlink>
      <w:r>
        <w:rPr>
          <w:sz w:val="20"/>
        </w:rPr>
        <w:t xml:space="preserve"> Правительства Новосибирской области от 27.12.2016 N 445-п)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приложений дана в соответствии с изменениями, внесенными </w:t>
            </w:r>
            <w:hyperlink w:history="0" r:id="rId167" w:tooltip="Постановление Правительства Новосибирской области от 23.05.2023 N 218-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color w:val="392c69"/>
              </w:rPr>
              <w:t xml:space="preserve"> Правительства Новосибирской области от 23.05.2023 N 218-п.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Новосибирской области</w:t>
      </w:r>
    </w:p>
    <w:p>
      <w:pPr>
        <w:pStyle w:val="0"/>
        <w:jc w:val="right"/>
      </w:pPr>
      <w:r>
        <w:rPr>
          <w:sz w:val="20"/>
        </w:rPr>
        <w:t xml:space="preserve">от 13.07.2015 N 263-п</w:t>
      </w:r>
    </w:p>
    <w:p>
      <w:pPr>
        <w:pStyle w:val="0"/>
        <w:ind w:firstLine="540"/>
        <w:jc w:val="both"/>
      </w:pPr>
      <w:r>
        <w:rPr>
          <w:sz w:val="20"/>
        </w:rPr>
      </w:r>
    </w:p>
    <w:bookmarkStart w:id="2312" w:name="P2312"/>
    <w:bookmarkEnd w:id="2312"/>
    <w:p>
      <w:pPr>
        <w:pStyle w:val="2"/>
        <w:jc w:val="center"/>
      </w:pPr>
      <w:r>
        <w:rPr>
          <w:sz w:val="20"/>
        </w:rPr>
        <w:t xml:space="preserve">ПОРЯДОК</w:t>
      </w:r>
    </w:p>
    <w:p>
      <w:pPr>
        <w:pStyle w:val="2"/>
        <w:jc w:val="center"/>
      </w:pPr>
      <w:r>
        <w:rPr>
          <w:sz w:val="20"/>
        </w:rPr>
        <w:t xml:space="preserve">ПРЕДОСТАВЛЕНИЯ ИЗ ОБЛАСТНОГО БЮДЖЕТА НОВОСИБИРСКОЙ ОБЛАСТИ</w:t>
      </w:r>
    </w:p>
    <w:p>
      <w:pPr>
        <w:pStyle w:val="2"/>
        <w:jc w:val="center"/>
      </w:pPr>
      <w:r>
        <w:rPr>
          <w:sz w:val="20"/>
        </w:rPr>
        <w:t xml:space="preserve">ГРАНТОВ В ФОРМЕ СУБСИДИЙ В ЦЕЛЯХ РЕАЛИЗАЦИИ ПРАКТИКИ</w:t>
      </w:r>
    </w:p>
    <w:p>
      <w:pPr>
        <w:pStyle w:val="2"/>
        <w:jc w:val="center"/>
      </w:pPr>
      <w:r>
        <w:rPr>
          <w:sz w:val="20"/>
        </w:rPr>
        <w:t xml:space="preserve">ПОДДЕРЖКИ ДОБРОВОЛЬЧЕСТВА (ВОЛОНТЕРСТВА), РЕАЛИЗУЕМОЙ</w:t>
      </w:r>
    </w:p>
    <w:p>
      <w:pPr>
        <w:pStyle w:val="2"/>
        <w:jc w:val="center"/>
      </w:pPr>
      <w:r>
        <w:rPr>
          <w:sz w:val="20"/>
        </w:rPr>
        <w:t xml:space="preserve">В НОВОСИБИРСКОЙ ОБЛАСТИ,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8" w:tooltip="Постановление Правительства Новосибирской области от 23.05.2023 N 218-п &quot;О внесении изменений в постановление Правительства Новосибирской области от 13.07.2015 N 263-п&quot; {КонсультантПлюс}">
              <w:r>
                <w:rPr>
                  <w:sz w:val="20"/>
                  <w:color w:val="0000ff"/>
                </w:rPr>
                <w:t xml:space="preserve">постановлением</w:t>
              </w:r>
            </w:hyperlink>
            <w:r>
              <w:rPr>
                <w:sz w:val="20"/>
                <w:color w:val="392c69"/>
              </w:rPr>
              <w:t xml:space="preserve"> Правительства Новосибирской области</w:t>
            </w:r>
          </w:p>
          <w:p>
            <w:pPr>
              <w:pStyle w:val="0"/>
              <w:jc w:val="center"/>
            </w:pPr>
            <w:r>
              <w:rPr>
                <w:sz w:val="20"/>
                <w:color w:val="392c69"/>
              </w:rPr>
              <w:t xml:space="preserve">от 23.05.2023 N 218-п)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bookmarkStart w:id="2323" w:name="P2323"/>
    <w:bookmarkEnd w:id="2323"/>
    <w:p>
      <w:pPr>
        <w:pStyle w:val="0"/>
        <w:ind w:firstLine="540"/>
        <w:jc w:val="both"/>
      </w:pPr>
      <w:r>
        <w:rPr>
          <w:sz w:val="20"/>
        </w:rPr>
        <w:t xml:space="preserve">1. Порядок предоставления из областного бюджета Новосибирской области грантов в форме субсидий (далее - гранты) в целях реализации практики поддержки добровольчества (волонтерства), реализуемой в Новосибирской области, в 2023 году (далее - Порядок) определяет цели, условия, процедуру предоставления из областного бюджета Новосибирской области грантов в рамках основного мероприятия 1.5 "Региональный проект "Социальная активность" государственной </w:t>
      </w:r>
      <w:hyperlink w:history="0" w:anchor="P41" w:tooltip="ГОСУДАРСТВЕННАЯ ПРОГРАММА">
        <w:r>
          <w:rPr>
            <w:sz w:val="20"/>
            <w:color w:val="0000ff"/>
          </w:rPr>
          <w:t xml:space="preserve">программы</w:t>
        </w:r>
      </w:hyperlink>
      <w:r>
        <w:rPr>
          <w:sz w:val="20"/>
        </w:rP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w:t>
      </w:r>
    </w:p>
    <w:p>
      <w:pPr>
        <w:pStyle w:val="0"/>
        <w:spacing w:before="200" w:line-rule="auto"/>
        <w:ind w:firstLine="540"/>
        <w:jc w:val="both"/>
      </w:pPr>
      <w:r>
        <w:rPr>
          <w:sz w:val="20"/>
        </w:rPr>
        <w:t xml:space="preserve">Гранты предоставляются в целях реализации проектов, включенных в заявку на участие во Всероссийском конкурсе лучших региональных практик поддержки волонтерства "Регион добрых дел", объявленном </w:t>
      </w:r>
      <w:hyperlink w:history="0" r:id="rId169" w:tooltip="Ссылка на КонсультантПлюс">
        <w:r>
          <w:rPr>
            <w:sz w:val="20"/>
            <w:color w:val="0000ff"/>
          </w:rPr>
          <w:t xml:space="preserve">приказом</w:t>
        </w:r>
      </w:hyperlink>
      <w:r>
        <w:rPr>
          <w:sz w:val="20"/>
        </w:rPr>
        <w:t xml:space="preserve"> Федерального агентства по делам молодежи от 28.03.2022 N 93 "О проведении Всероссийского конкурса лучших региональных практик поддержки волонтерства "Регион добрых дел" 2022 года" (далее - Всероссийский конкурс).</w:t>
      </w:r>
    </w:p>
    <w:p>
      <w:pPr>
        <w:pStyle w:val="0"/>
        <w:spacing w:before="200" w:line-rule="auto"/>
        <w:ind w:firstLine="540"/>
        <w:jc w:val="both"/>
      </w:pPr>
      <w:r>
        <w:rPr>
          <w:sz w:val="20"/>
        </w:rPr>
        <w:t xml:space="preserve">2. Порядок разработан в соответствии с </w:t>
      </w:r>
      <w:hyperlink w:history="0" r:id="rId1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Федеральным </w:t>
      </w:r>
      <w:hyperlink w:history="0" r:id="rId171"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7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73" w:tooltip="Закон Новосибирской области от 17.06.2020 N 485-ОЗ &quot;О разграничении полномочий органов государственной власти Новосибирской области в сфере добровольчества (волонтерства)&quot; (принят постановлением Законодательного Собрания Новосибирской области от 11.06.2020 N 485-ЗС) {КонсультантПлюс}">
        <w:r>
          <w:rPr>
            <w:sz w:val="20"/>
            <w:color w:val="0000ff"/>
          </w:rPr>
          <w:t xml:space="preserve">Законом</w:t>
        </w:r>
      </w:hyperlink>
      <w:r>
        <w:rPr>
          <w:sz w:val="20"/>
        </w:rPr>
        <w:t xml:space="preserve"> Новосибирской области от 17.06.2020 N 485-ОЗ "О разграничении полномочий органов государственной власти Новосибирской области в сфере добровольчества (волонтерства)", </w:t>
      </w:r>
      <w:hyperlink w:history="0" r:id="rId174" w:tooltip="Закон Новосибирской области от 07.11.2011 N 139-ОЗ (ред. от 04.06.2019) &quot;О государственной поддержке социально ориентированных некоммерческих организаций в Новосибирской области&quot; (принят постановлением Законодательного Собрания Новосибирской области от 27.10.2011 N 139-ЗС) {КонсультантПлюс}">
        <w:r>
          <w:rPr>
            <w:sz w:val="20"/>
            <w:color w:val="0000ff"/>
          </w:rPr>
          <w:t xml:space="preserve">Законом</w:t>
        </w:r>
      </w:hyperlink>
      <w:r>
        <w:rPr>
          <w:sz w:val="20"/>
        </w:rPr>
        <w:t xml:space="preserve"> Новосибирской области от 07.11.2011 N 139-ОЗ "О государственной поддержке социально ориентированных некоммерческих организаций в Новосибирской области".</w:t>
      </w:r>
    </w:p>
    <w:p>
      <w:pPr>
        <w:pStyle w:val="0"/>
        <w:spacing w:before="200" w:line-rule="auto"/>
        <w:ind w:firstLine="540"/>
        <w:jc w:val="both"/>
      </w:pPr>
      <w:r>
        <w:rPr>
          <w:sz w:val="20"/>
        </w:rPr>
        <w:t xml:space="preserve">3. Для целей настоящего Порядка используются следующие основные понятия:</w:t>
      </w:r>
    </w:p>
    <w:p>
      <w:pPr>
        <w:pStyle w:val="0"/>
        <w:spacing w:before="200" w:line-rule="auto"/>
        <w:ind w:firstLine="540"/>
        <w:jc w:val="both"/>
      </w:pPr>
      <w:r>
        <w:rPr>
          <w:sz w:val="20"/>
        </w:rPr>
        <w:t xml:space="preserve">1) практика поддержки добровольчества (волонтерства) - комплексная программа развития добровольческой (волонтерской) деятельности в Новосибирской области, которая позволяет достичь целей и задач Всероссийского конкурса и ключевых показателей результативности, предъявляемых к практикам поддержки добровольческой деятельности (волонтерства), определенным </w:t>
      </w:r>
      <w:hyperlink w:history="0" r:id="rId175" w:tooltip="Ссылка на КонсультантПлюс">
        <w:r>
          <w:rPr>
            <w:sz w:val="20"/>
            <w:color w:val="0000ff"/>
          </w:rPr>
          <w:t xml:space="preserve">Положением</w:t>
        </w:r>
      </w:hyperlink>
      <w:r>
        <w:rPr>
          <w:sz w:val="20"/>
        </w:rPr>
        <w:t xml:space="preserve"> о проведении Всероссийского конкурса лучших региональных практик поддержки волонтерства "Регион добрых дел", утвержденным приказом Федерального агентства по делам молодежи от 28.03.2022 N 93 (далее - приказ N 93), а также относящаяся к отдельным направлениям развития добровольческой (волонтерской) деятельности, определенным Положением о проведении Всероссийского конкурса;</w:t>
      </w:r>
    </w:p>
    <w:p>
      <w:pPr>
        <w:pStyle w:val="0"/>
        <w:spacing w:before="200" w:line-rule="auto"/>
        <w:ind w:firstLine="540"/>
        <w:jc w:val="both"/>
      </w:pPr>
      <w:r>
        <w:rPr>
          <w:sz w:val="20"/>
        </w:rPr>
        <w:t xml:space="preserve">2) проект - комплекс взаимосвязанных мероприятий, направленных на развитие волонтерской (добровольческой) деятельности и достижение конкретных общественно полезных результатов в рамках определенного срока и бюджета (далее - проект).</w:t>
      </w:r>
    </w:p>
    <w:p>
      <w:pPr>
        <w:pStyle w:val="0"/>
        <w:spacing w:before="200" w:line-rule="auto"/>
        <w:ind w:firstLine="540"/>
        <w:jc w:val="both"/>
      </w:pPr>
      <w:r>
        <w:rPr>
          <w:sz w:val="20"/>
        </w:rPr>
        <w:t xml:space="preserve">4. Министерство образования Новосибирской области (далее - министерство) является областным исполнительным органом Новосибирской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год.</w:t>
      </w:r>
    </w:p>
    <w:p>
      <w:pPr>
        <w:pStyle w:val="0"/>
        <w:spacing w:before="200" w:line-rule="auto"/>
        <w:ind w:firstLine="540"/>
        <w:jc w:val="both"/>
      </w:pPr>
      <w:r>
        <w:rPr>
          <w:sz w:val="20"/>
        </w:rPr>
        <w:t xml:space="preserve">Сведения о грантах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w:t>
      </w:r>
    </w:p>
    <w:p>
      <w:pPr>
        <w:pStyle w:val="0"/>
        <w:ind w:firstLine="540"/>
        <w:jc w:val="both"/>
      </w:pPr>
      <w:r>
        <w:rPr>
          <w:sz w:val="20"/>
        </w:rPr>
      </w:r>
    </w:p>
    <w:p>
      <w:pPr>
        <w:pStyle w:val="2"/>
        <w:outlineLvl w:val="1"/>
        <w:jc w:val="center"/>
      </w:pPr>
      <w:r>
        <w:rPr>
          <w:sz w:val="20"/>
        </w:rPr>
        <w:t xml:space="preserve">II. Условия и порядок предоставления грантов</w:t>
      </w:r>
    </w:p>
    <w:p>
      <w:pPr>
        <w:pStyle w:val="0"/>
        <w:ind w:firstLine="540"/>
        <w:jc w:val="both"/>
      </w:pPr>
      <w:r>
        <w:rPr>
          <w:sz w:val="20"/>
        </w:rPr>
      </w:r>
    </w:p>
    <w:bookmarkStart w:id="2334" w:name="P2334"/>
    <w:bookmarkEnd w:id="2334"/>
    <w:p>
      <w:pPr>
        <w:pStyle w:val="0"/>
        <w:ind w:firstLine="540"/>
        <w:jc w:val="both"/>
      </w:pPr>
      <w:r>
        <w:rPr>
          <w:sz w:val="20"/>
        </w:rPr>
        <w:t xml:space="preserve">5. Организациями, имеющими право на получение грантов, являются некоммерческие организации, государственное бюджетное учреждение, в отношении которого министерство не осуществляет функции и полномочия учредителя, проекты которых включены в состав региональной практики поддержки и развития добровольчества (волонтерства) "Регион добрых дел" Новосибирской области по итогам протокола заседания Экспертной комиссии Всероссийского конкурса лучших региональных практик поддержки волонтерства "Регион добрых дел" 2022 года от 05.07.2022 (далее - организации).</w:t>
      </w:r>
    </w:p>
    <w:bookmarkStart w:id="2335" w:name="P2335"/>
    <w:bookmarkEnd w:id="2335"/>
    <w:p>
      <w:pPr>
        <w:pStyle w:val="0"/>
        <w:spacing w:before="200" w:line-rule="auto"/>
        <w:ind w:firstLine="540"/>
        <w:jc w:val="both"/>
      </w:pPr>
      <w:r>
        <w:rPr>
          <w:sz w:val="20"/>
        </w:rPr>
        <w:t xml:space="preserve">6. Результатом, в целях достижения которого предоставляется грант (далее - результат предоставления гранта), является реализованный проект.</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гранта, являются количественные характеристики реализации проекта, указанные в заявке организации - победителя Всероссийского конкурса.</w:t>
      </w:r>
    </w:p>
    <w:p>
      <w:pPr>
        <w:pStyle w:val="0"/>
        <w:spacing w:before="200" w:line-rule="auto"/>
        <w:ind w:firstLine="540"/>
        <w:jc w:val="both"/>
      </w:pPr>
      <w:r>
        <w:rPr>
          <w:sz w:val="20"/>
        </w:rPr>
        <w:t xml:space="preserve">7. Объявление о начале приема заявок на получение гранта (далее - объявление) размещается на едином портале и официальном сайте министерства.</w:t>
      </w:r>
    </w:p>
    <w:p>
      <w:pPr>
        <w:pStyle w:val="0"/>
        <w:spacing w:before="200" w:line-rule="auto"/>
        <w:ind w:firstLine="540"/>
        <w:jc w:val="both"/>
      </w:pPr>
      <w:r>
        <w:rPr>
          <w:sz w:val="20"/>
        </w:rPr>
        <w:t xml:space="preserve">В объявлении указываются следующие сведения:</w:t>
      </w:r>
    </w:p>
    <w:p>
      <w:pPr>
        <w:pStyle w:val="0"/>
        <w:spacing w:before="200" w:line-rule="auto"/>
        <w:ind w:firstLine="540"/>
        <w:jc w:val="both"/>
      </w:pPr>
      <w:r>
        <w:rPr>
          <w:sz w:val="20"/>
        </w:rPr>
        <w:t xml:space="preserve">дата окончания приема заявок, которая не может быть ранее 5-го календарного дня, следующего за днем размещения объявления;</w:t>
      </w:r>
    </w:p>
    <w:p>
      <w:pPr>
        <w:pStyle w:val="0"/>
        <w:spacing w:before="200" w:line-rule="auto"/>
        <w:ind w:firstLine="540"/>
        <w:jc w:val="both"/>
      </w:pPr>
      <w:r>
        <w:rPr>
          <w:sz w:val="20"/>
        </w:rPr>
        <w:t xml:space="preserve">перечень прилагаемых документов к заявке, предусмотренных </w:t>
      </w:r>
      <w:hyperlink w:history="0" w:anchor="P2351" w:tooltip="9. Для получения гранта организация представляет в министерство следующие документы:">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результат предоставления гранта, указанный в </w:t>
      </w:r>
      <w:hyperlink w:history="0" w:anchor="P2335" w:tooltip="6. Результатом, в целях достижения которого предоставляется грант (далее - результат предоставления гранта), является реализованный проект.">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таких заявок, определяющий в том числе основания для возврата заявок и порядок внесения изменений.</w:t>
      </w:r>
    </w:p>
    <w:bookmarkStart w:id="2343" w:name="P2343"/>
    <w:bookmarkEnd w:id="2343"/>
    <w:p>
      <w:pPr>
        <w:pStyle w:val="0"/>
        <w:spacing w:before="200" w:line-rule="auto"/>
        <w:ind w:firstLine="540"/>
        <w:jc w:val="both"/>
      </w:pPr>
      <w:r>
        <w:rPr>
          <w:sz w:val="20"/>
        </w:rPr>
        <w:t xml:space="preserve">8. Организации должны соответствовать следующим требованиям:</w:t>
      </w:r>
    </w:p>
    <w:p>
      <w:pPr>
        <w:pStyle w:val="0"/>
        <w:spacing w:before="200" w:line-rule="auto"/>
        <w:ind w:firstLine="540"/>
        <w:jc w:val="both"/>
      </w:pPr>
      <w:r>
        <w:rPr>
          <w:sz w:val="20"/>
        </w:rPr>
        <w:t xml:space="preserve">1) на дату подачи документов:</w:t>
      </w:r>
    </w:p>
    <w:p>
      <w:pPr>
        <w:pStyle w:val="0"/>
        <w:spacing w:before="200" w:line-rule="auto"/>
        <w:ind w:firstLine="540"/>
        <w:jc w:val="both"/>
      </w:pPr>
      <w:r>
        <w:rPr>
          <w:sz w:val="20"/>
        </w:rPr>
        <w:t xml:space="preserve">а) у организаций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 за исключением субсидий, предоставляемых государственным учреждениям;</w:t>
      </w:r>
    </w:p>
    <w:p>
      <w:pPr>
        <w:pStyle w:val="0"/>
        <w:spacing w:before="200" w:line-rule="auto"/>
        <w:ind w:firstLine="540"/>
        <w:jc w:val="both"/>
      </w:pPr>
      <w:r>
        <w:rPr>
          <w:sz w:val="20"/>
        </w:rPr>
        <w:t xml:space="preserve">б) организации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организаций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г) организации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организации не должны получать средства из областного бюджета Новосибирской области на основании иных нормативных правовых актов на цели, установленные </w:t>
      </w:r>
      <w:hyperlink w:history="0" w:anchor="P2323" w:tooltip="1. Порядок предоставления из областного бюджета Новосибирской области грантов в форме субсидий (далее - гранты) в целях реализации практики поддержки добровольчества (волонтерства), реализуемой в Новосибирской области, в 2023 году (далее - Порядок) определяет цели, условия, процедуру предоставления из областного бюджета Новосибирской области грантов в рамках основного мероприятия 1.5 &quot;Региональный проект &quot;Социальная активность&quot; государственной программы Новосибирской области &quot;Развитие государственной мол...">
        <w:r>
          <w:rPr>
            <w:sz w:val="20"/>
            <w:color w:val="0000ff"/>
          </w:rPr>
          <w:t xml:space="preserve">пунктом 1</w:t>
        </w:r>
      </w:hyperlink>
      <w:r>
        <w:rPr>
          <w:sz w:val="20"/>
        </w:rPr>
        <w:t xml:space="preserve"> Порядка;</w:t>
      </w:r>
    </w:p>
    <w:p>
      <w:pPr>
        <w:pStyle w:val="0"/>
        <w:spacing w:before="200" w:line-rule="auto"/>
        <w:ind w:firstLine="540"/>
        <w:jc w:val="both"/>
      </w:pPr>
      <w:r>
        <w:rPr>
          <w:sz w:val="20"/>
        </w:rPr>
        <w:t xml:space="preserve">2)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указанной в </w:t>
      </w:r>
      <w:hyperlink w:history="0" w:anchor="P2370" w:tooltip="1) несоответствие организации требованиям, установленным в пунктах 8 - 11 настоящего Порядка;">
        <w:r>
          <w:rPr>
            <w:sz w:val="20"/>
            <w:color w:val="0000ff"/>
          </w:rPr>
          <w:t xml:space="preserve">подпункте 1 пункта 14</w:t>
        </w:r>
      </w:hyperlink>
      <w:r>
        <w:rPr>
          <w:sz w:val="20"/>
        </w:rPr>
        <w:t xml:space="preserve"> Порядка.</w:t>
      </w:r>
    </w:p>
    <w:bookmarkStart w:id="2351" w:name="P2351"/>
    <w:bookmarkEnd w:id="2351"/>
    <w:p>
      <w:pPr>
        <w:pStyle w:val="0"/>
        <w:spacing w:before="200" w:line-rule="auto"/>
        <w:ind w:firstLine="540"/>
        <w:jc w:val="both"/>
      </w:pPr>
      <w:r>
        <w:rPr>
          <w:sz w:val="20"/>
        </w:rPr>
        <w:t xml:space="preserve">9. Для получения гранта организация представляет в министерство следующие документы:</w:t>
      </w:r>
    </w:p>
    <w:p>
      <w:pPr>
        <w:pStyle w:val="0"/>
        <w:spacing w:before="200" w:line-rule="auto"/>
        <w:ind w:firstLine="540"/>
        <w:jc w:val="both"/>
      </w:pPr>
      <w:r>
        <w:rPr>
          <w:sz w:val="20"/>
        </w:rPr>
        <w:t xml:space="preserve">1) </w:t>
      </w:r>
      <w:hyperlink w:history="0" w:anchor="P2450" w:tooltip="                                  Заявка">
        <w:r>
          <w:rPr>
            <w:sz w:val="20"/>
            <w:color w:val="0000ff"/>
          </w:rPr>
          <w:t xml:space="preserve">заявку</w:t>
        </w:r>
      </w:hyperlink>
      <w:r>
        <w:rPr>
          <w:sz w:val="20"/>
        </w:rPr>
        <w:t xml:space="preserve"> на получение гранта по форме согласно приложению к настоящему Порядку, подписанную уполномоченным лицом организации;</w:t>
      </w:r>
    </w:p>
    <w:p>
      <w:pPr>
        <w:pStyle w:val="0"/>
        <w:spacing w:before="200" w:line-rule="auto"/>
        <w:ind w:firstLine="540"/>
        <w:jc w:val="both"/>
      </w:pPr>
      <w:r>
        <w:rPr>
          <w:sz w:val="20"/>
        </w:rPr>
        <w:t xml:space="preserve">2) копии учредительных документов;</w:t>
      </w:r>
    </w:p>
    <w:p>
      <w:pPr>
        <w:pStyle w:val="0"/>
        <w:spacing w:before="200" w:line-rule="auto"/>
        <w:ind w:firstLine="540"/>
        <w:jc w:val="both"/>
      </w:pPr>
      <w:r>
        <w:rPr>
          <w:sz w:val="20"/>
        </w:rPr>
        <w:t xml:space="preserve">3) смету расходов на реализацию проекта, согласованную в соответствии с </w:t>
      </w:r>
      <w:hyperlink w:history="0" r:id="rId176" w:tooltip="Ссылка на КонсультантПлюс">
        <w:r>
          <w:rPr>
            <w:sz w:val="20"/>
            <w:color w:val="0000ff"/>
          </w:rPr>
          <w:t xml:space="preserve">приказом</w:t>
        </w:r>
      </w:hyperlink>
      <w:r>
        <w:rPr>
          <w:sz w:val="20"/>
        </w:rPr>
        <w:t xml:space="preserve"> N 93;</w:t>
      </w:r>
    </w:p>
    <w:p>
      <w:pPr>
        <w:pStyle w:val="0"/>
        <w:spacing w:before="200" w:line-rule="auto"/>
        <w:ind w:firstLine="540"/>
        <w:jc w:val="both"/>
      </w:pPr>
      <w:r>
        <w:rPr>
          <w:sz w:val="20"/>
        </w:rPr>
        <w:t xml:space="preserve">4) паспорт проекта;</w:t>
      </w:r>
    </w:p>
    <w:p>
      <w:pPr>
        <w:pStyle w:val="0"/>
        <w:spacing w:before="200" w:line-rule="auto"/>
        <w:ind w:firstLine="540"/>
        <w:jc w:val="both"/>
      </w:pPr>
      <w:r>
        <w:rPr>
          <w:sz w:val="20"/>
        </w:rPr>
        <w:t xml:space="preserve">5) справку о банковских реквизитах организации, выданную банком или иной кредитной организацией;</w:t>
      </w:r>
    </w:p>
    <w:p>
      <w:pPr>
        <w:pStyle w:val="0"/>
        <w:spacing w:before="200" w:line-rule="auto"/>
        <w:ind w:firstLine="540"/>
        <w:jc w:val="both"/>
      </w:pPr>
      <w:r>
        <w:rPr>
          <w:sz w:val="20"/>
        </w:rPr>
        <w:t xml:space="preserve">6) копии документов, подтверждающих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10. Документы представляются в министерство в бумажном и электронном виде в отсканированной форме в формате pdf.</w:t>
      </w:r>
    </w:p>
    <w:p>
      <w:pPr>
        <w:pStyle w:val="0"/>
        <w:spacing w:before="200" w:line-rule="auto"/>
        <w:ind w:firstLine="540"/>
        <w:jc w:val="both"/>
      </w:pPr>
      <w:r>
        <w:rPr>
          <w:sz w:val="20"/>
        </w:rPr>
        <w:t xml:space="preserve">В бумажном виде документы представляются лично или через организации почтовой связи в министерство по адресу: 630007, г. Новосибирск, Красный проспект, 18, каб. 609.</w:t>
      </w:r>
    </w:p>
    <w:p>
      <w:pPr>
        <w:pStyle w:val="0"/>
        <w:spacing w:before="200" w:line-rule="auto"/>
        <w:ind w:firstLine="540"/>
        <w:jc w:val="both"/>
      </w:pPr>
      <w:r>
        <w:rPr>
          <w:sz w:val="20"/>
        </w:rPr>
        <w:t xml:space="preserve">В электронном виде документы направляются на электронную почту министерства: minobr@nso.ru с указанием темы письма "Гранты РДД".</w:t>
      </w:r>
    </w:p>
    <w:bookmarkStart w:id="2361" w:name="P2361"/>
    <w:bookmarkEnd w:id="2361"/>
    <w:p>
      <w:pPr>
        <w:pStyle w:val="0"/>
        <w:spacing w:before="200" w:line-rule="auto"/>
        <w:ind w:firstLine="540"/>
        <w:jc w:val="both"/>
      </w:pPr>
      <w:r>
        <w:rPr>
          <w:sz w:val="20"/>
        </w:rPr>
        <w:t xml:space="preserve">11. Требования, предъявляемые к документам:</w:t>
      </w:r>
    </w:p>
    <w:p>
      <w:pPr>
        <w:pStyle w:val="0"/>
        <w:spacing w:before="200" w:line-rule="auto"/>
        <w:ind w:firstLine="540"/>
        <w:jc w:val="both"/>
      </w:pPr>
      <w:r>
        <w:rPr>
          <w:sz w:val="20"/>
        </w:rPr>
        <w:t xml:space="preserve">1) все документы должны быть представлены на русском языке;</w:t>
      </w:r>
    </w:p>
    <w:p>
      <w:pPr>
        <w:pStyle w:val="0"/>
        <w:spacing w:before="200" w:line-rule="auto"/>
        <w:ind w:firstLine="540"/>
        <w:jc w:val="both"/>
      </w:pPr>
      <w:r>
        <w:rPr>
          <w:sz w:val="20"/>
        </w:rPr>
        <w:t xml:space="preserve">2) шрифт текста должен быть четким и хорошо читаемым;</w:t>
      </w:r>
    </w:p>
    <w:p>
      <w:pPr>
        <w:pStyle w:val="0"/>
        <w:spacing w:before="200" w:line-rule="auto"/>
        <w:ind w:firstLine="540"/>
        <w:jc w:val="both"/>
      </w:pPr>
      <w:r>
        <w:rPr>
          <w:sz w:val="20"/>
        </w:rPr>
        <w:t xml:space="preserve">3) в документах, в том числе отсканированных, не допускаются помарки, сторонние изображения (в том числе на полях документов);</w:t>
      </w:r>
    </w:p>
    <w:p>
      <w:pPr>
        <w:pStyle w:val="0"/>
        <w:spacing w:before="200" w:line-rule="auto"/>
        <w:ind w:firstLine="540"/>
        <w:jc w:val="both"/>
      </w:pPr>
      <w:r>
        <w:rPr>
          <w:sz w:val="20"/>
        </w:rPr>
        <w:t xml:space="preserve">4) копии документов, представленные заявителем в бумажном виде, должны быть заверены руководителем заявителя или другим уполномоченным лицом.</w:t>
      </w:r>
    </w:p>
    <w:p>
      <w:pPr>
        <w:pStyle w:val="0"/>
        <w:spacing w:before="200" w:line-rule="auto"/>
        <w:ind w:firstLine="540"/>
        <w:jc w:val="both"/>
      </w:pPr>
      <w:r>
        <w:rPr>
          <w:sz w:val="20"/>
        </w:rPr>
        <w:t xml:space="preserve">12. Организация вправе внести изменения в заявку в срок до завершения приема заявок, направив письменный запрос в адрес министерства о возврате заявки для внесения в него изменений. Новая заявка должна быть представлена в срок до завершения приема заявок.</w:t>
      </w:r>
    </w:p>
    <w:p>
      <w:pPr>
        <w:pStyle w:val="0"/>
        <w:spacing w:before="200" w:line-rule="auto"/>
        <w:ind w:firstLine="540"/>
        <w:jc w:val="both"/>
      </w:pPr>
      <w:r>
        <w:rPr>
          <w:sz w:val="20"/>
        </w:rPr>
        <w:t xml:space="preserve">Организация вправе отозвать заявку путем направления в министерство соответствующего уведомления в срок до принятия министерством решения о предоставлении гранта либо об отказе в предоставлении гранта. Министерство в течение трех рабочих дней после получения указанного уведомления возвращает заявку организации.</w:t>
      </w:r>
    </w:p>
    <w:p>
      <w:pPr>
        <w:pStyle w:val="0"/>
        <w:spacing w:before="200" w:line-rule="auto"/>
        <w:ind w:firstLine="540"/>
        <w:jc w:val="both"/>
      </w:pPr>
      <w:r>
        <w:rPr>
          <w:sz w:val="20"/>
        </w:rPr>
        <w:t xml:space="preserve">13. Документы регистрируются министерством в течение трех рабочих дней со дня их поступления.</w:t>
      </w:r>
    </w:p>
    <w:p>
      <w:pPr>
        <w:pStyle w:val="0"/>
        <w:spacing w:before="200" w:line-rule="auto"/>
        <w:ind w:firstLine="540"/>
        <w:jc w:val="both"/>
      </w:pPr>
      <w:r>
        <w:rPr>
          <w:sz w:val="20"/>
        </w:rPr>
        <w:t xml:space="preserve">14. Основаниями для отклонения заявок организации на стадии рассмотрения и оценки заявок являются:</w:t>
      </w:r>
    </w:p>
    <w:bookmarkStart w:id="2370" w:name="P2370"/>
    <w:bookmarkEnd w:id="2370"/>
    <w:p>
      <w:pPr>
        <w:pStyle w:val="0"/>
        <w:spacing w:before="200" w:line-rule="auto"/>
        <w:ind w:firstLine="540"/>
        <w:jc w:val="both"/>
      </w:pPr>
      <w:r>
        <w:rPr>
          <w:sz w:val="20"/>
        </w:rPr>
        <w:t xml:space="preserve">1) несоответствие организации требованиям, установленным в </w:t>
      </w:r>
      <w:hyperlink w:history="0" w:anchor="P2343" w:tooltip="8. Организации должны соответствовать следующим требованиям:">
        <w:r>
          <w:rPr>
            <w:sz w:val="20"/>
            <w:color w:val="0000ff"/>
          </w:rPr>
          <w:t xml:space="preserve">пунктах 8</w:t>
        </w:r>
      </w:hyperlink>
      <w:r>
        <w:rPr>
          <w:sz w:val="20"/>
        </w:rPr>
        <w:t xml:space="preserve"> - </w:t>
      </w:r>
      <w:hyperlink w:history="0" w:anchor="P2361" w:tooltip="11. Требования, предъявляемые к документам:">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2) 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3) подача организацией заявки после даты и (или) времени, определенных для подачи заявки;</w:t>
      </w:r>
    </w:p>
    <w:bookmarkStart w:id="2373" w:name="P2373"/>
    <w:bookmarkEnd w:id="2373"/>
    <w:p>
      <w:pPr>
        <w:pStyle w:val="0"/>
        <w:spacing w:before="200" w:line-rule="auto"/>
        <w:ind w:firstLine="540"/>
        <w:jc w:val="both"/>
      </w:pPr>
      <w:r>
        <w:rPr>
          <w:sz w:val="20"/>
        </w:rPr>
        <w:t xml:space="preserve">4) несоответствие представленных организацией заявок и документов требованиям к заявкам организаций, установленным в объявлении.</w:t>
      </w:r>
    </w:p>
    <w:p>
      <w:pPr>
        <w:pStyle w:val="0"/>
        <w:spacing w:before="200" w:line-rule="auto"/>
        <w:ind w:firstLine="540"/>
        <w:jc w:val="both"/>
      </w:pPr>
      <w:r>
        <w:rPr>
          <w:sz w:val="20"/>
        </w:rPr>
        <w:t xml:space="preserve">При наличии оснований для отклонения заявки министерство в течение трех рабочих дней со дня регистрации заявки направляет организации письменное уведомление об отклонении заявки с указанием причин такого отклонения по адресу, указанному в заявке.</w:t>
      </w:r>
    </w:p>
    <w:p>
      <w:pPr>
        <w:pStyle w:val="0"/>
        <w:spacing w:before="200" w:line-rule="auto"/>
        <w:ind w:firstLine="540"/>
        <w:jc w:val="both"/>
      </w:pPr>
      <w:r>
        <w:rPr>
          <w:sz w:val="20"/>
        </w:rPr>
        <w:t xml:space="preserve">Организация, заявка которой была отклонена по основаниям, указанным в </w:t>
      </w:r>
      <w:hyperlink w:history="0" w:anchor="P2370" w:tooltip="1) несоответствие организации требованиям, установленным в пунктах 8 - 11 настоящего Порядка;">
        <w:r>
          <w:rPr>
            <w:sz w:val="20"/>
            <w:color w:val="0000ff"/>
          </w:rPr>
          <w:t xml:space="preserve">подпунктах 1</w:t>
        </w:r>
      </w:hyperlink>
      <w:r>
        <w:rPr>
          <w:sz w:val="20"/>
        </w:rPr>
        <w:t xml:space="preserve">, </w:t>
      </w:r>
      <w:hyperlink w:history="0" w:anchor="P2373" w:tooltip="4) несоответствие представленных организацией заявок и документов требованиям к заявкам организаций, установленным в объявлении.">
        <w:r>
          <w:rPr>
            <w:sz w:val="20"/>
            <w:color w:val="0000ff"/>
          </w:rPr>
          <w:t xml:space="preserve">4</w:t>
        </w:r>
      </w:hyperlink>
      <w:r>
        <w:rPr>
          <w:sz w:val="20"/>
        </w:rPr>
        <w:t xml:space="preserve"> настоящего пункта, вправе повторно подать доработанную заявку, но не позднее установленного министерством срока окончания приема заявок.</w:t>
      </w:r>
    </w:p>
    <w:p>
      <w:pPr>
        <w:pStyle w:val="0"/>
        <w:spacing w:before="200" w:line-rule="auto"/>
        <w:ind w:firstLine="540"/>
        <w:jc w:val="both"/>
      </w:pPr>
      <w:r>
        <w:rPr>
          <w:sz w:val="20"/>
        </w:rPr>
        <w:t xml:space="preserve">15. Министерство на стадии проверки документов организации, представленных в соответствии с </w:t>
      </w:r>
      <w:hyperlink w:history="0" w:anchor="P2343" w:tooltip="8. Организации должны соответствовать следующим требованиям:">
        <w:r>
          <w:rPr>
            <w:sz w:val="20"/>
            <w:color w:val="0000ff"/>
          </w:rPr>
          <w:t xml:space="preserve">пунктами 8</w:t>
        </w:r>
      </w:hyperlink>
      <w:r>
        <w:rPr>
          <w:sz w:val="20"/>
        </w:rPr>
        <w:t xml:space="preserve">, </w:t>
      </w:r>
      <w:hyperlink w:history="0" w:anchor="P2351" w:tooltip="9. Для получения гранта организация представляет в министерство следующие документы:">
        <w:r>
          <w:rPr>
            <w:sz w:val="20"/>
            <w:color w:val="0000ff"/>
          </w:rPr>
          <w:t xml:space="preserve">9</w:t>
        </w:r>
      </w:hyperlink>
      <w:r>
        <w:rPr>
          <w:sz w:val="20"/>
        </w:rPr>
        <w:t xml:space="preserve">, </w:t>
      </w:r>
      <w:hyperlink w:history="0" w:anchor="P2361" w:tooltip="11. Требования, предъявляемые к документам:">
        <w:r>
          <w:rPr>
            <w:sz w:val="20"/>
            <w:color w:val="0000ff"/>
          </w:rPr>
          <w:t xml:space="preserve">11</w:t>
        </w:r>
      </w:hyperlink>
      <w:r>
        <w:rPr>
          <w:sz w:val="20"/>
        </w:rPr>
        <w:t xml:space="preserve"> Порядка, в рамках межведомственного информационного взаимодействия запрашивает в соответствующих органах и организациях следующие документы:</w:t>
      </w:r>
    </w:p>
    <w:p>
      <w:pPr>
        <w:pStyle w:val="0"/>
        <w:spacing w:before="200" w:line-rule="auto"/>
        <w:ind w:firstLine="540"/>
        <w:jc w:val="both"/>
      </w:pPr>
      <w:r>
        <w:rPr>
          <w:sz w:val="20"/>
        </w:rPr>
        <w:t xml:space="preserve">1) справку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выданную налоговым органом по месту регистрации организации не ранее чем за один месяц до дня представления главному распорядителю;</w:t>
      </w:r>
    </w:p>
    <w:p>
      <w:pPr>
        <w:pStyle w:val="0"/>
        <w:spacing w:before="200" w:line-rule="auto"/>
        <w:ind w:firstLine="540"/>
        <w:jc w:val="both"/>
      </w:pPr>
      <w:r>
        <w:rPr>
          <w:sz w:val="20"/>
        </w:rPr>
        <w:t xml:space="preserve">2) выписку из Единого государственного реестра юридических лиц;</w:t>
      </w:r>
    </w:p>
    <w:p>
      <w:pPr>
        <w:pStyle w:val="0"/>
        <w:spacing w:before="200" w:line-rule="auto"/>
        <w:ind w:firstLine="540"/>
        <w:jc w:val="both"/>
      </w:pPr>
      <w:r>
        <w:rPr>
          <w:sz w:val="20"/>
        </w:rPr>
        <w:t xml:space="preserve">3) сведения, содержащиеся в реестре дисквалифицированных лиц, в виде выписки о конкретном дисквалифицированном лице либо информации об отсутствии запрашиваемых сведений.</w:t>
      </w:r>
    </w:p>
    <w:p>
      <w:pPr>
        <w:pStyle w:val="0"/>
        <w:spacing w:before="200" w:line-rule="auto"/>
        <w:ind w:firstLine="540"/>
        <w:jc w:val="both"/>
      </w:pPr>
      <w:r>
        <w:rPr>
          <w:sz w:val="20"/>
        </w:rPr>
        <w:t xml:space="preserve">Организация вправе представить данные документы при подаче заявки в министерство по собственной инициативе.</w:t>
      </w:r>
    </w:p>
    <w:p>
      <w:pPr>
        <w:pStyle w:val="0"/>
        <w:spacing w:before="200" w:line-rule="auto"/>
        <w:ind w:firstLine="540"/>
        <w:jc w:val="both"/>
      </w:pPr>
      <w:r>
        <w:rPr>
          <w:sz w:val="20"/>
        </w:rPr>
        <w:t xml:space="preserve">16. Министерство в течение десяти календарных дней со дня окончания приема заявок от организаций рассматривает их и принимает решение в форме приказа министерства о предоставлении гранта и заключении соглашения (договора) либо при наличии оснований для отказа в предоставлении гранта, указанных в </w:t>
      </w:r>
      <w:hyperlink w:history="0" w:anchor="P2383" w:tooltip="17. Министерство отказывает организации в предоставлении гранта по следующим основаниям:">
        <w:r>
          <w:rPr>
            <w:sz w:val="20"/>
            <w:color w:val="0000ff"/>
          </w:rPr>
          <w:t xml:space="preserve">пункте 17</w:t>
        </w:r>
      </w:hyperlink>
      <w:r>
        <w:rPr>
          <w:sz w:val="20"/>
        </w:rPr>
        <w:t xml:space="preserve"> Порядка, направляет организации письменное уведомление об отказе в предоставлении гранта с указанием причин такого отказа по адресу, указанному в заявке.</w:t>
      </w:r>
    </w:p>
    <w:p>
      <w:pPr>
        <w:pStyle w:val="0"/>
        <w:spacing w:before="200" w:line-rule="auto"/>
        <w:ind w:firstLine="540"/>
        <w:jc w:val="both"/>
      </w:pPr>
      <w:r>
        <w:rPr>
          <w:sz w:val="20"/>
        </w:rPr>
        <w:t xml:space="preserve">Организации, получившие отказ в предоставлении гранта, имеют право на повторное обращение в течение десяти рабочих дней со дня его получения при условии устранения причин или изменения обстоятельств, вследствие которых им было отказано.</w:t>
      </w:r>
    </w:p>
    <w:bookmarkStart w:id="2383" w:name="P2383"/>
    <w:bookmarkEnd w:id="2383"/>
    <w:p>
      <w:pPr>
        <w:pStyle w:val="0"/>
        <w:spacing w:before="200" w:line-rule="auto"/>
        <w:ind w:firstLine="540"/>
        <w:jc w:val="both"/>
      </w:pPr>
      <w:r>
        <w:rPr>
          <w:sz w:val="20"/>
        </w:rPr>
        <w:t xml:space="preserve">17. Министерство отказывает организации в предоставлении гранта по следующим основаниям:</w:t>
      </w:r>
    </w:p>
    <w:p>
      <w:pPr>
        <w:pStyle w:val="0"/>
        <w:spacing w:before="200" w:line-rule="auto"/>
        <w:ind w:firstLine="540"/>
        <w:jc w:val="both"/>
      </w:pPr>
      <w:r>
        <w:rPr>
          <w:sz w:val="20"/>
        </w:rPr>
        <w:t xml:space="preserve">1) несоответствие организации требованию, установленному </w:t>
      </w:r>
      <w:hyperlink w:history="0" w:anchor="P2334" w:tooltip="5. Организациями, имеющими право на получение грантов, являются некоммерческие организации, государственное бюджетное учреждение, в отношении которого министерство не осуществляет функции и полномочия учредителя, проекты которых включены в состав региональной практики поддержки и развития добровольчества (волонтерства) &quot;Регион добрых дел&quot; Новосибирской области по итогам протокола заседания Экспертной комиссии Всероссийского конкурса лучших региональных практик поддержки волонтерства &quot;Регион добрых дел&quot; 2...">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2)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3) несоответствие целевого назначения гранта видам деятельности организации, указанным в ее учредительных документах;</w:t>
      </w:r>
    </w:p>
    <w:p>
      <w:pPr>
        <w:pStyle w:val="0"/>
        <w:spacing w:before="200" w:line-rule="auto"/>
        <w:ind w:firstLine="540"/>
        <w:jc w:val="both"/>
      </w:pPr>
      <w:r>
        <w:rPr>
          <w:sz w:val="20"/>
        </w:rPr>
        <w:t xml:space="preserve">4) несоответствие представленных организацией документов требованиям, определенным в объявлении или непредставление (представление не в полном объеме) указанных документов.</w:t>
      </w:r>
    </w:p>
    <w:bookmarkStart w:id="2388" w:name="P2388"/>
    <w:bookmarkEnd w:id="2388"/>
    <w:p>
      <w:pPr>
        <w:pStyle w:val="0"/>
        <w:spacing w:before="200" w:line-rule="auto"/>
        <w:ind w:firstLine="540"/>
        <w:jc w:val="both"/>
      </w:pPr>
      <w:r>
        <w:rPr>
          <w:sz w:val="20"/>
        </w:rPr>
        <w:t xml:space="preserve">18. Приказ министерства о предоставлении гранта подлежит опубликованию на официальном сайте министерства в течение пяти рабочих дней со дня издания.</w:t>
      </w:r>
    </w:p>
    <w:p>
      <w:pPr>
        <w:pStyle w:val="0"/>
        <w:spacing w:before="200" w:line-rule="auto"/>
        <w:ind w:firstLine="540"/>
        <w:jc w:val="both"/>
      </w:pPr>
      <w:r>
        <w:rPr>
          <w:sz w:val="20"/>
        </w:rPr>
        <w:t xml:space="preserve">19. Министерство в течение 20 рабочих дней с момента издания приказа заключает соглашение (договор) с каждой организацией, успешно прошедшей отбор (далее - получатель гранта).</w:t>
      </w:r>
    </w:p>
    <w:p>
      <w:pPr>
        <w:pStyle w:val="0"/>
        <w:spacing w:before="200" w:line-rule="auto"/>
        <w:ind w:firstLine="540"/>
        <w:jc w:val="both"/>
      </w:pPr>
      <w:r>
        <w:rPr>
          <w:sz w:val="20"/>
        </w:rPr>
        <w:t xml:space="preserve">20. В случае отказа организации от заключения соглашения (договора) в срок, установленный </w:t>
      </w:r>
      <w:hyperlink w:history="0" w:anchor="P2388" w:tooltip="18. Приказ министерства о предоставлении гранта подлежит опубликованию на официальном сайте министерства в течение пяти рабочих дней со дня издания.">
        <w:r>
          <w:rPr>
            <w:sz w:val="20"/>
            <w:color w:val="0000ff"/>
          </w:rPr>
          <w:t xml:space="preserve">пунктом 18</w:t>
        </w:r>
      </w:hyperlink>
      <w:r>
        <w:rPr>
          <w:sz w:val="20"/>
        </w:rPr>
        <w:t xml:space="preserve"> Порядка, такая организация признается уклонившейся от заключения соглашения (договора). В течение пяти рабочих дней со дня истечения срока, установленного пунктом 18 Порядка, министерство направляет такой организации уведомление о признании ее уклонившейся от заключения соглашения (договора).</w:t>
      </w:r>
    </w:p>
    <w:p>
      <w:pPr>
        <w:pStyle w:val="0"/>
        <w:spacing w:before="200" w:line-rule="auto"/>
        <w:ind w:firstLine="540"/>
        <w:jc w:val="both"/>
      </w:pPr>
      <w:r>
        <w:rPr>
          <w:sz w:val="20"/>
        </w:rPr>
        <w:t xml:space="preserve">21. Соглашение (договор), дополнительное соглашение о внесении изменений, а также дополнительное соглашение о расторжении соглашения (при необходимости) заключается в соответствии с типовой </w:t>
      </w:r>
      <w:hyperlink w:history="0" r:id="rId177" w:tooltip="Приказ МФ и НП Новосибирской области от 29.08.2019 N 53-НПА (ред. от 03.05.2023) &quot;Об утверждении типовой формы соглашения (договора) о предоставлении из областного бюджета Новосибир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исполнительными органами государственной власти Новосибирской области конкурсов бюджетным и автономным учреждениям, включая учреждения, в отношении которых указанные орган {КонсультантПлюс}">
        <w:r>
          <w:rPr>
            <w:sz w:val="20"/>
            <w:color w:val="0000ff"/>
          </w:rPr>
          <w:t xml:space="preserve">формой</w:t>
        </w:r>
      </w:hyperlink>
      <w:r>
        <w:rPr>
          <w:sz w:val="20"/>
        </w:rPr>
        <w:t xml:space="preserve">, утвержденной приказом министерства финансов и налоговой политики Новосибирской области от 29.08.2019 N 53-НПА "Об утверждении типовой формы соглашения (договора) о предоставлении из областного бюджета Новосибирской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исполнительными органами государственной власти Новосибирской области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pPr>
        <w:pStyle w:val="0"/>
        <w:spacing w:before="200" w:line-rule="auto"/>
        <w:ind w:firstLine="540"/>
        <w:jc w:val="both"/>
      </w:pPr>
      <w:r>
        <w:rPr>
          <w:sz w:val="20"/>
        </w:rPr>
        <w:t xml:space="preserve">22. В соглашении (договоре) указываются:</w:t>
      </w:r>
    </w:p>
    <w:p>
      <w:pPr>
        <w:pStyle w:val="0"/>
        <w:spacing w:before="200" w:line-rule="auto"/>
        <w:ind w:firstLine="540"/>
        <w:jc w:val="both"/>
      </w:pPr>
      <w:r>
        <w:rPr>
          <w:sz w:val="20"/>
        </w:rPr>
        <w:t xml:space="preserve">1) достигнутые или планируемые результаты предоставления гранта, под которыми понимаются результаты деятельности (действий) получателя гранта, соответствующие результату мероприятия 1.5 "Региональный проект "Социальная активность" государственной </w:t>
      </w:r>
      <w:hyperlink w:history="0" w:anchor="P41" w:tooltip="ГОСУДАРСТВЕННАЯ ПРОГРАММА">
        <w:r>
          <w:rPr>
            <w:sz w:val="20"/>
            <w:color w:val="0000ff"/>
          </w:rPr>
          <w:t xml:space="preserve">программы</w:t>
        </w:r>
      </w:hyperlink>
      <w:r>
        <w:rPr>
          <w:sz w:val="20"/>
        </w:rP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 а также их характеристики (показатели, необходимые для достижения результатов предоставления гранта), значения которых устанавливаются в соглашении (договоре).</w:t>
      </w:r>
    </w:p>
    <w:p>
      <w:pPr>
        <w:pStyle w:val="0"/>
        <w:spacing w:before="200" w:line-rule="auto"/>
        <w:ind w:firstLine="540"/>
        <w:jc w:val="both"/>
      </w:pPr>
      <w:r>
        <w:rPr>
          <w:sz w:val="20"/>
        </w:rPr>
        <w:t xml:space="preserve">Результаты предоставления субсидии должны быть конкретными, измеримыми, с указанием в соглашениях (договорах)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w:t>
      </w:r>
      <w:hyperlink w:history="0" r:id="rId17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субсидий, утвержденным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2) срок (периодичность) перечисления гранта в соответствии с бюджетным законодательством Российской Федерации;</w:t>
      </w:r>
    </w:p>
    <w:p>
      <w:pPr>
        <w:pStyle w:val="0"/>
        <w:spacing w:before="200" w:line-rule="auto"/>
        <w:ind w:firstLine="540"/>
        <w:jc w:val="both"/>
      </w:pPr>
      <w:r>
        <w:rPr>
          <w:sz w:val="20"/>
        </w:rPr>
        <w:t xml:space="preserve">3) банковские реквизиты организации, на которые перечисляется грант;</w:t>
      </w:r>
    </w:p>
    <w:p>
      <w:pPr>
        <w:pStyle w:val="0"/>
        <w:spacing w:before="200" w:line-rule="auto"/>
        <w:ind w:firstLine="540"/>
        <w:jc w:val="both"/>
      </w:pPr>
      <w:r>
        <w:rPr>
          <w:sz w:val="20"/>
        </w:rPr>
        <w:t xml:space="preserve">4) условие о согласии организации на осуществление в отношении нее проверки министерством и уполномоченным органом государственного финансового контроля соблюдения условий и порядка предоставления гранта,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pPr>
        <w:pStyle w:val="0"/>
        <w:spacing w:before="200" w:line-rule="auto"/>
        <w:ind w:firstLine="540"/>
        <w:jc w:val="both"/>
      </w:pPr>
      <w:r>
        <w:rPr>
          <w:sz w:val="20"/>
        </w:rPr>
        <w:t xml:space="preserve">5) условие о согласии организации,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1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(договор);</w:t>
      </w:r>
    </w:p>
    <w:p>
      <w:pPr>
        <w:pStyle w:val="0"/>
        <w:spacing w:before="200" w:line-rule="auto"/>
        <w:ind w:firstLine="540"/>
        <w:jc w:val="both"/>
      </w:pPr>
      <w:r>
        <w:rPr>
          <w:sz w:val="20"/>
        </w:rPr>
        <w:t xml:space="preserve">6) условие о согласовании новых условий соглашения (договора) или о расторжении соглашения (договора)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(договоре).</w:t>
      </w:r>
    </w:p>
    <w:p>
      <w:pPr>
        <w:pStyle w:val="0"/>
        <w:spacing w:before="200" w:line-rule="auto"/>
        <w:ind w:firstLine="540"/>
        <w:jc w:val="both"/>
      </w:pPr>
      <w:r>
        <w:rPr>
          <w:sz w:val="20"/>
        </w:rPr>
        <w:t xml:space="preserve">23. Перечисление гранта осуществляется на расчетный счет получателя гранта (за исключением грантов, подлежащих в соответствии с бюджетным законодательством Российской Федерации казначейскому сопровождению) в течение 20 рабочих дней со дня заключения соглашения (договора).</w:t>
      </w:r>
    </w:p>
    <w:p>
      <w:pPr>
        <w:pStyle w:val="0"/>
        <w:spacing w:before="200" w:line-rule="auto"/>
        <w:ind w:firstLine="540"/>
        <w:jc w:val="both"/>
      </w:pPr>
      <w:r>
        <w:rPr>
          <w:sz w:val="20"/>
        </w:rPr>
        <w:t xml:space="preserve">24. Грант предоставляется на основании подписанного организацией и министерством соглашения (договора) в пределах лимитов бюджетных обязательств, установленных министерству на текущий финансовый год в соответствии со сводной бюджетной росписью и кассовым планом областного бюджета Новосибирской области.</w:t>
      </w:r>
    </w:p>
    <w:p>
      <w:pPr>
        <w:pStyle w:val="0"/>
        <w:spacing w:before="200" w:line-rule="auto"/>
        <w:ind w:firstLine="540"/>
        <w:jc w:val="both"/>
      </w:pPr>
      <w:r>
        <w:rPr>
          <w:sz w:val="20"/>
        </w:rPr>
        <w:t xml:space="preserve">25. Объем субсидии, предоставляемой организации, определяется в соответствии со сметами проектов, включенных в состав региональной практики поддержки и развития добровольчества (волонтерства) "Регион добрых дел" Новосибирской области по итогам протокола заседания Экспертной комиссии Всероссийского конкурса лучших региональных практик поддержки волонтерства "Регион добрых дел" 2022 года от 05.07.2022.</w:t>
      </w:r>
    </w:p>
    <w:p>
      <w:pPr>
        <w:pStyle w:val="0"/>
        <w:spacing w:before="200" w:line-rule="auto"/>
        <w:ind w:firstLine="540"/>
        <w:jc w:val="both"/>
      </w:pPr>
      <w:r>
        <w:rPr>
          <w:sz w:val="20"/>
        </w:rPr>
        <w:t xml:space="preserve">В случае увеличения объема собственных средств получателя грантов и (или) привлеченных средств, направленных на исполнение мероприятий по реализации проекта, размер гранта изменению не подлежит.</w:t>
      </w:r>
    </w:p>
    <w:p>
      <w:pPr>
        <w:pStyle w:val="0"/>
        <w:spacing w:before="200" w:line-rule="auto"/>
        <w:ind w:firstLine="540"/>
        <w:jc w:val="both"/>
      </w:pPr>
      <w:r>
        <w:rPr>
          <w:sz w:val="20"/>
        </w:rPr>
        <w:t xml:space="preserve">26. В случае уменьшения министерству как получателю бюджетных средств ранее доведенных лимитов бюджетных обязательств на предоставление грантов, приводящего к невозможности предоставления гранта в размере, определенном в соглашении (договоре), министерство в течение двух рабочих дней со дня уменьшения ранее доведенных лимитов бюджетных обязательств на предоставление грантов уведомляет об этом получателей грантов и направляет предложение о заключении дополнительного соглашения к соглашению (договору) или о расторжении соглашения (договора) при недостижении согласия по новым условиям с приложением проекта дополнительного соглашения к соглашению (договору).</w:t>
      </w:r>
    </w:p>
    <w:p>
      <w:pPr>
        <w:pStyle w:val="0"/>
        <w:spacing w:before="200" w:line-rule="auto"/>
        <w:ind w:firstLine="540"/>
        <w:jc w:val="both"/>
      </w:pPr>
      <w:r>
        <w:rPr>
          <w:sz w:val="20"/>
        </w:rPr>
        <w:t xml:space="preserve">27. Министерство направляет получателю гранта уведомление с дополнительным соглашением посредством почтовой связи или вручает лично получателю гранта (его представителю).</w:t>
      </w:r>
    </w:p>
    <w:p>
      <w:pPr>
        <w:pStyle w:val="0"/>
        <w:spacing w:before="200" w:line-rule="auto"/>
        <w:ind w:firstLine="540"/>
        <w:jc w:val="both"/>
      </w:pPr>
      <w:r>
        <w:rPr>
          <w:sz w:val="20"/>
        </w:rPr>
        <w:t xml:space="preserve">28. Предоставленные гранты должны быть использованы в сроки, предусмотренные соглашениями (договорами).</w:t>
      </w:r>
    </w:p>
    <w:p>
      <w:pPr>
        <w:pStyle w:val="0"/>
        <w:ind w:firstLine="540"/>
        <w:jc w:val="both"/>
      </w:pPr>
      <w:r>
        <w:rPr>
          <w:sz w:val="20"/>
        </w:rPr>
      </w:r>
    </w:p>
    <w:p>
      <w:pPr>
        <w:pStyle w:val="2"/>
        <w:outlineLvl w:val="1"/>
        <w:jc w:val="center"/>
      </w:pPr>
      <w:r>
        <w:rPr>
          <w:sz w:val="20"/>
        </w:rPr>
        <w:t xml:space="preserve">III. Требования к отчетности</w:t>
      </w:r>
    </w:p>
    <w:p>
      <w:pPr>
        <w:pStyle w:val="0"/>
        <w:ind w:firstLine="540"/>
        <w:jc w:val="both"/>
      </w:pPr>
      <w:r>
        <w:rPr>
          <w:sz w:val="20"/>
        </w:rPr>
      </w:r>
    </w:p>
    <w:bookmarkStart w:id="2410" w:name="P2410"/>
    <w:bookmarkEnd w:id="2410"/>
    <w:p>
      <w:pPr>
        <w:pStyle w:val="0"/>
        <w:ind w:firstLine="540"/>
        <w:jc w:val="both"/>
      </w:pPr>
      <w:r>
        <w:rPr>
          <w:sz w:val="20"/>
        </w:rPr>
        <w:t xml:space="preserve">29. Получатели грантов представляют министерству отчеты о достижении значений результатов предоставления грантов и об осуществлении расходов, источником финансового обеспечения которых является грант, по формам, определенным типовой </w:t>
      </w:r>
      <w:hyperlink w:history="0" r:id="rId181" w:tooltip="Приказ МФ и НП Новосибирской области от 29.08.2019 N 53-НПА (ред. от 03.05.2023) &quot;Об утверждении типовой формы соглашения (договора) о предоставлении из областного бюджета Новосибир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исполнительными органами государственной власти Новосибирской области конкурсов бюджетным и автономным учреждениям, включая учреждения, в отношении которых указанные орган {КонсультантПлюс}">
        <w:r>
          <w:rPr>
            <w:sz w:val="20"/>
            <w:color w:val="0000ff"/>
          </w:rPr>
          <w:t xml:space="preserve">формой</w:t>
        </w:r>
      </w:hyperlink>
      <w:r>
        <w:rPr>
          <w:sz w:val="20"/>
        </w:rPr>
        <w:t xml:space="preserve"> соглашения (договора), утвержденной приказом министерства финансов и налоговой политики Новосибирской области от 29.08.2019 N 53-НПА "Об утверждении типовой формы соглашения (договора) о предоставлении из областного бюджета Новосибирской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исполнительными органами государственной власти Новосибирской области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pPr>
        <w:pStyle w:val="0"/>
        <w:spacing w:before="200" w:line-rule="auto"/>
        <w:ind w:firstLine="540"/>
        <w:jc w:val="both"/>
      </w:pPr>
      <w:r>
        <w:rPr>
          <w:sz w:val="20"/>
        </w:rPr>
        <w:t xml:space="preserve">30. Отчеты, указанные в </w:t>
      </w:r>
      <w:hyperlink w:history="0" w:anchor="P2410" w:tooltip="29. Получатели грантов представляют министерству отчеты о достижении значений результатов предоставления грантов и об осуществлении расходов, источником финансового обеспечения которых является грант, по формам, определенным типовой формой соглашения (договора), утвержденной приказом министерства финансов и налоговой политики Новосибирской области от 29.08.2019 N 53-НПА &quot;Об утверждении типовой формы соглашения (договора) о предоставлении из областного бюджета Новосибирской области некоммерческим организа...">
        <w:r>
          <w:rPr>
            <w:sz w:val="20"/>
            <w:color w:val="0000ff"/>
          </w:rPr>
          <w:t xml:space="preserve">пункте 29</w:t>
        </w:r>
      </w:hyperlink>
      <w:r>
        <w:rPr>
          <w:sz w:val="20"/>
        </w:rPr>
        <w:t xml:space="preserve"> Порядка, представляются министерству ежеквартально до 5 числа месяца, следующего за отчетным кварталом.</w:t>
      </w:r>
    </w:p>
    <w:p>
      <w:pPr>
        <w:pStyle w:val="0"/>
        <w:spacing w:before="200" w:line-rule="auto"/>
        <w:ind w:firstLine="540"/>
        <w:jc w:val="both"/>
      </w:pPr>
      <w:r>
        <w:rPr>
          <w:sz w:val="20"/>
        </w:rPr>
        <w:t xml:space="preserve">31. Министерство вправе устанавливать в соглашении (договоре) сроки и формы представления получателем гранта дополнительной отчетности.</w:t>
      </w:r>
    </w:p>
    <w:p>
      <w:pPr>
        <w:pStyle w:val="0"/>
        <w:ind w:firstLine="540"/>
        <w:jc w:val="both"/>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ответственность за их нарушение</w:t>
      </w:r>
    </w:p>
    <w:p>
      <w:pPr>
        <w:pStyle w:val="0"/>
        <w:ind w:firstLine="540"/>
        <w:jc w:val="both"/>
      </w:pPr>
      <w:r>
        <w:rPr>
          <w:sz w:val="20"/>
        </w:rPr>
      </w:r>
    </w:p>
    <w:p>
      <w:pPr>
        <w:pStyle w:val="0"/>
        <w:ind w:firstLine="540"/>
        <w:jc w:val="both"/>
      </w:pPr>
      <w:r>
        <w:rPr>
          <w:sz w:val="20"/>
        </w:rPr>
        <w:t xml:space="preserve">32. При предоставлении грантов министерством осуществляется проверка соблюдения получателем гранта порядка и условий предоставления грантов, в том числе в части достижения результатов предоставления гранта, а также проверка органом государственного финансового контроля в соответствии со </w:t>
      </w:r>
      <w:hyperlink w:history="0" r:id="rId1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33. В случае нарушения получателем гранта условий, установленных при предоставлении гранта, выявленного в том числе по фактам проверок, проведенных министерством и органом государственного финансового контроля, министерство и орган государственного финансового контроля в течение десяти рабочих дней со дня установления факта нарушения письменно направляет получателю гранта требование о возврате гранта в областной бюджет Новосибирской области.</w:t>
      </w:r>
    </w:p>
    <w:p>
      <w:pPr>
        <w:pStyle w:val="0"/>
        <w:spacing w:before="200" w:line-rule="auto"/>
        <w:ind w:firstLine="540"/>
        <w:jc w:val="both"/>
      </w:pPr>
      <w:r>
        <w:rPr>
          <w:sz w:val="20"/>
        </w:rPr>
        <w:t xml:space="preserve">Получатель гранта обязан в течение 30 рабочих дней с момента получения требования о возврате гранта в областной бюджет перечислить сумму денежных средств, указанных в требовании, в областной бюджет Новосибирской области.</w:t>
      </w:r>
    </w:p>
    <w:p>
      <w:pPr>
        <w:pStyle w:val="0"/>
        <w:spacing w:before="200" w:line-rule="auto"/>
        <w:ind w:firstLine="540"/>
        <w:jc w:val="both"/>
      </w:pPr>
      <w:r>
        <w:rPr>
          <w:sz w:val="20"/>
        </w:rPr>
        <w:t xml:space="preserve">В случае отказа получателя гранта от добровольного возврата, а также невозврата гранта по истечении сроков, указанных в требовании, взыскание указанных средств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34. В случае недостижения значений результатов предоставления гранта, установленных соглашением (договором), министерство в течение десяти рабочих дней со дня установления факта нарушения письменно направляет получателю гранта требование о возврате средств гранта пропорционально доле недостижения значения результата.</w:t>
      </w:r>
    </w:p>
    <w:p>
      <w:pPr>
        <w:pStyle w:val="0"/>
        <w:spacing w:before="200" w:line-rule="auto"/>
        <w:ind w:firstLine="540"/>
        <w:jc w:val="both"/>
      </w:pPr>
      <w:r>
        <w:rPr>
          <w:sz w:val="20"/>
        </w:rPr>
        <w:t xml:space="preserve">Объем средств, подлежащих возврату в областной бюджет, рассчитывается по формуле:</w:t>
      </w:r>
    </w:p>
    <w:p>
      <w:pPr>
        <w:pStyle w:val="0"/>
        <w:ind w:firstLine="540"/>
        <w:jc w:val="both"/>
      </w:pPr>
      <w:r>
        <w:rPr>
          <w:sz w:val="20"/>
        </w:rPr>
      </w:r>
    </w:p>
    <w:p>
      <w:pPr>
        <w:pStyle w:val="0"/>
        <w:ind w:firstLine="540"/>
        <w:jc w:val="both"/>
      </w:pPr>
      <w:r>
        <w:rPr>
          <w:sz w:val="20"/>
        </w:rPr>
        <w:t xml:space="preserve">V возврата = (V гранта i x (n - m) / n), где:</w:t>
      </w:r>
    </w:p>
    <w:p>
      <w:pPr>
        <w:pStyle w:val="0"/>
        <w:ind w:firstLine="540"/>
        <w:jc w:val="both"/>
      </w:pPr>
      <w:r>
        <w:rPr>
          <w:sz w:val="20"/>
        </w:rPr>
      </w:r>
    </w:p>
    <w:p>
      <w:pPr>
        <w:pStyle w:val="0"/>
        <w:ind w:firstLine="540"/>
        <w:jc w:val="both"/>
      </w:pPr>
      <w:r>
        <w:rPr>
          <w:sz w:val="20"/>
        </w:rPr>
        <w:t xml:space="preserve">V возврата - объем средств, подлежащий возврату;</w:t>
      </w:r>
    </w:p>
    <w:p>
      <w:pPr>
        <w:pStyle w:val="0"/>
        <w:spacing w:before="200" w:line-rule="auto"/>
        <w:ind w:firstLine="540"/>
        <w:jc w:val="both"/>
      </w:pPr>
      <w:r>
        <w:rPr>
          <w:sz w:val="20"/>
        </w:rPr>
        <w:t xml:space="preserve">V гранта i - размер гранта, предоставленного получателю гранта в отчетном финансовом году;</w:t>
      </w:r>
    </w:p>
    <w:p>
      <w:pPr>
        <w:pStyle w:val="0"/>
        <w:spacing w:before="200" w:line-rule="auto"/>
        <w:ind w:firstLine="540"/>
        <w:jc w:val="both"/>
      </w:pPr>
      <w:r>
        <w:rPr>
          <w:sz w:val="20"/>
        </w:rPr>
        <w:t xml:space="preserve">m - фактическое значение показателя;</w:t>
      </w:r>
    </w:p>
    <w:p>
      <w:pPr>
        <w:pStyle w:val="0"/>
        <w:spacing w:before="200" w:line-rule="auto"/>
        <w:ind w:firstLine="540"/>
        <w:jc w:val="both"/>
      </w:pPr>
      <w:r>
        <w:rPr>
          <w:sz w:val="20"/>
        </w:rPr>
        <w:t xml:space="preserve">n - плановое значение показателя.</w:t>
      </w:r>
    </w:p>
    <w:p>
      <w:pPr>
        <w:pStyle w:val="0"/>
        <w:spacing w:before="200" w:line-rule="auto"/>
        <w:ind w:firstLine="540"/>
        <w:jc w:val="both"/>
      </w:pPr>
      <w:r>
        <w:rPr>
          <w:sz w:val="20"/>
        </w:rPr>
        <w:t xml:space="preserve">Средства гранта, подлежащие возврату в связи с недостижением значения результата предоставления гранта, перечисляются в бюджет Новосибирской области в течение 30 рабочих дней с момента получения требования о возврате средств гранта пропорционально доле недостижения значения результата предоставления гранта в областной бюджет Новосибирской области.</w:t>
      </w:r>
    </w:p>
    <w:p>
      <w:pPr>
        <w:pStyle w:val="0"/>
        <w:spacing w:before="200" w:line-rule="auto"/>
        <w:ind w:firstLine="540"/>
        <w:jc w:val="both"/>
      </w:pPr>
      <w:r>
        <w:rPr>
          <w:sz w:val="20"/>
        </w:rPr>
        <w:t xml:space="preserve">35. Министерство и орган финансового контроля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w:t>
      </w:r>
      <w:hyperlink w:history="0" r:id="rId184"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36. Получатель гранта несет ответственность за представление недостоверных сведений и за нецелевое использование гранта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из областного бюджета</w:t>
      </w:r>
    </w:p>
    <w:p>
      <w:pPr>
        <w:pStyle w:val="0"/>
        <w:jc w:val="right"/>
      </w:pPr>
      <w:r>
        <w:rPr>
          <w:sz w:val="20"/>
        </w:rPr>
        <w:t xml:space="preserve">Новосибирской области грантов</w:t>
      </w:r>
    </w:p>
    <w:p>
      <w:pPr>
        <w:pStyle w:val="0"/>
        <w:jc w:val="right"/>
      </w:pPr>
      <w:r>
        <w:rPr>
          <w:sz w:val="20"/>
        </w:rPr>
        <w:t xml:space="preserve">в форме субсидий в целях реализации</w:t>
      </w:r>
    </w:p>
    <w:p>
      <w:pPr>
        <w:pStyle w:val="0"/>
        <w:jc w:val="right"/>
      </w:pPr>
      <w:r>
        <w:rPr>
          <w:sz w:val="20"/>
        </w:rPr>
        <w:t xml:space="preserve">практики поддержки добровольчества</w:t>
      </w:r>
    </w:p>
    <w:p>
      <w:pPr>
        <w:pStyle w:val="0"/>
        <w:jc w:val="right"/>
      </w:pPr>
      <w:r>
        <w:rPr>
          <w:sz w:val="20"/>
        </w:rPr>
        <w:t xml:space="preserve">(волонтерства), реализуемой в</w:t>
      </w:r>
    </w:p>
    <w:p>
      <w:pPr>
        <w:pStyle w:val="0"/>
        <w:jc w:val="right"/>
      </w:pPr>
      <w:r>
        <w:rPr>
          <w:sz w:val="20"/>
        </w:rPr>
        <w:t xml:space="preserve">Новосибирской области, в 2023 году</w:t>
      </w:r>
    </w:p>
    <w:p>
      <w:pPr>
        <w:pStyle w:val="0"/>
        <w:ind w:firstLine="540"/>
        <w:jc w:val="both"/>
      </w:pPr>
      <w:r>
        <w:rPr>
          <w:sz w:val="20"/>
        </w:rPr>
      </w:r>
    </w:p>
    <w:p>
      <w:pPr>
        <w:pStyle w:val="0"/>
      </w:pPr>
      <w:r>
        <w:rPr>
          <w:sz w:val="20"/>
        </w:rPr>
        <w:t xml:space="preserve">Форма</w:t>
      </w:r>
    </w:p>
    <w:p>
      <w:pPr>
        <w:pStyle w:val="0"/>
        <w:ind w:firstLine="540"/>
        <w:jc w:val="both"/>
      </w:pPr>
      <w:r>
        <w:rPr>
          <w:sz w:val="20"/>
        </w:rPr>
      </w:r>
    </w:p>
    <w:bookmarkStart w:id="2450" w:name="P2450"/>
    <w:bookmarkEnd w:id="2450"/>
    <w:p>
      <w:pPr>
        <w:pStyle w:val="1"/>
        <w:jc w:val="both"/>
      </w:pPr>
      <w:r>
        <w:rPr>
          <w:sz w:val="20"/>
        </w:rPr>
        <w:t xml:space="preserve">                                  Заявка</w:t>
      </w:r>
    </w:p>
    <w:p>
      <w:pPr>
        <w:pStyle w:val="1"/>
        <w:jc w:val="both"/>
      </w:pPr>
      <w:r>
        <w:rPr>
          <w:sz w:val="20"/>
        </w:rPr>
        <w:t xml:space="preserve">          на получение гранта в форме субсидии в целях реализации</w:t>
      </w:r>
    </w:p>
    <w:p>
      <w:pPr>
        <w:pStyle w:val="1"/>
        <w:jc w:val="both"/>
      </w:pPr>
      <w:r>
        <w:rPr>
          <w:sz w:val="20"/>
        </w:rPr>
        <w:t xml:space="preserve">            практики поддержки добровольчества (волонтерства),</w:t>
      </w:r>
    </w:p>
    <w:p>
      <w:pPr>
        <w:pStyle w:val="1"/>
        <w:jc w:val="both"/>
      </w:pPr>
      <w:r>
        <w:rPr>
          <w:sz w:val="20"/>
        </w:rPr>
        <w:t xml:space="preserve">             реализуемой в Новосибирской области, в 2023 году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получателя гранта)</w:t>
      </w:r>
    </w:p>
    <w:p>
      <w:pPr>
        <w:pStyle w:val="1"/>
        <w:jc w:val="both"/>
      </w:pPr>
      <w:r>
        <w:rPr>
          <w:sz w:val="20"/>
          <w:color w:val="392c69"/>
        </w:rPr>
        <w:t xml:space="preserve">КонсультантПлюс: примечание.</w:t>
      </w:r>
    </w:p>
    <w:p>
      <w:pPr>
        <w:pStyle w:val="1"/>
        <w:jc w:val="both"/>
      </w:pPr>
      <w:r>
        <w:rPr>
          <w:sz w:val="20"/>
          <w:color w:val="392c69"/>
        </w:rPr>
        <w:t xml:space="preserve">В  официальном  тексте  документа, видимо, допущена опечатка: постановление</w:t>
      </w:r>
    </w:p>
    <w:p>
      <w:pPr>
        <w:pStyle w:val="1"/>
        <w:jc w:val="both"/>
      </w:pPr>
      <w:r>
        <w:rPr>
          <w:sz w:val="20"/>
          <w:color w:val="392c69"/>
        </w:rPr>
        <w:t xml:space="preserve">Правительства   Новосибирской  области  N  263-п  издано  13.07.2015,  а не</w:t>
      </w:r>
    </w:p>
    <w:p>
      <w:pPr>
        <w:pStyle w:val="1"/>
        <w:jc w:val="both"/>
      </w:pPr>
      <w:r>
        <w:rPr>
          <w:sz w:val="20"/>
          <w:color w:val="392c69"/>
        </w:rPr>
        <w:t xml:space="preserve">15.07.2015.</w:t>
      </w:r>
    </w:p>
    <w:p>
      <w:pPr>
        <w:pStyle w:val="1"/>
        <w:jc w:val="both"/>
      </w:pPr>
      <w:r>
        <w:rPr>
          <w:sz w:val="20"/>
        </w:rPr>
        <w:t xml:space="preserve">в   соответствии   с   </w:t>
      </w:r>
      <w:hyperlink w:history="0" w:anchor="P2312" w:tooltip="ПОРЯДОК">
        <w:r>
          <w:rPr>
            <w:sz w:val="20"/>
            <w:color w:val="0000ff"/>
          </w:rPr>
          <w:t xml:space="preserve">Порядком</w:t>
        </w:r>
      </w:hyperlink>
      <w:r>
        <w:rPr>
          <w:sz w:val="20"/>
        </w:rPr>
        <w:t xml:space="preserve">   предоставления   из   областного  бюджета</w:t>
      </w:r>
    </w:p>
    <w:p>
      <w:pPr>
        <w:pStyle w:val="1"/>
        <w:jc w:val="both"/>
      </w:pPr>
      <w:r>
        <w:rPr>
          <w:sz w:val="20"/>
        </w:rPr>
        <w:t xml:space="preserve">Новосибирской  области грантов в форме субсидий в целях реализации практики</w:t>
      </w:r>
    </w:p>
    <w:p>
      <w:pPr>
        <w:pStyle w:val="1"/>
        <w:jc w:val="both"/>
      </w:pPr>
      <w:r>
        <w:rPr>
          <w:sz w:val="20"/>
        </w:rPr>
        <w:t xml:space="preserve">поддержки   добровольчества  (волонтерства),  реализуемой  в  Новосибирской</w:t>
      </w:r>
    </w:p>
    <w:p>
      <w:pPr>
        <w:pStyle w:val="1"/>
        <w:jc w:val="both"/>
      </w:pPr>
      <w:r>
        <w:rPr>
          <w:sz w:val="20"/>
        </w:rPr>
        <w:t xml:space="preserve">области,   в   2023   году,   установленным   постановлением  Правительства</w:t>
      </w:r>
    </w:p>
    <w:p>
      <w:pPr>
        <w:pStyle w:val="1"/>
        <w:jc w:val="both"/>
      </w:pPr>
      <w:r>
        <w:rPr>
          <w:sz w:val="20"/>
        </w:rPr>
        <w:t xml:space="preserve">Новосибирской  области от 15 июля 2015 г. N 263-п (далее - Порядок), просит</w:t>
      </w:r>
    </w:p>
    <w:p>
      <w:pPr>
        <w:pStyle w:val="1"/>
        <w:jc w:val="both"/>
      </w:pPr>
      <w:r>
        <w:rPr>
          <w:sz w:val="20"/>
        </w:rPr>
        <w:t xml:space="preserve">предоставить                             грант                            в</w:t>
      </w:r>
    </w:p>
    <w:p>
      <w:pPr>
        <w:pStyle w:val="1"/>
        <w:jc w:val="both"/>
      </w:pPr>
      <w:r>
        <w:rPr>
          <w:sz w:val="20"/>
        </w:rPr>
        <w:t xml:space="preserve">размере ___________________________________________________________________</w:t>
      </w:r>
    </w:p>
    <w:p>
      <w:pPr>
        <w:pStyle w:val="1"/>
        <w:jc w:val="both"/>
      </w:pPr>
      <w:r>
        <w:rPr>
          <w:sz w:val="20"/>
        </w:rPr>
        <w:t xml:space="preserve">                                  (сумма прописью)</w:t>
      </w:r>
    </w:p>
    <w:p>
      <w:pPr>
        <w:pStyle w:val="1"/>
        <w:jc w:val="both"/>
      </w:pPr>
      <w:r>
        <w:rPr>
          <w:sz w:val="20"/>
        </w:rPr>
        <w:t xml:space="preserve">рублей в целях ____________________________________________________________</w:t>
      </w:r>
    </w:p>
    <w:p>
      <w:pPr>
        <w:pStyle w:val="1"/>
        <w:jc w:val="both"/>
      </w:pPr>
      <w:r>
        <w:rPr>
          <w:sz w:val="20"/>
        </w:rPr>
        <w:t xml:space="preserve">                                (целевое назначение гранта)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Сведения о юридическом лице (далее - получатель):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5102"/>
      </w:tblGrid>
      <w:tr>
        <w:tc>
          <w:tcPr>
            <w:tcW w:w="3969" w:type="dxa"/>
          </w:tcPr>
          <w:p>
            <w:pPr>
              <w:pStyle w:val="0"/>
            </w:pPr>
            <w:r>
              <w:rPr>
                <w:sz w:val="20"/>
              </w:rPr>
              <w:t xml:space="preserve">Наименование получателя</w:t>
            </w:r>
          </w:p>
        </w:tc>
        <w:tc>
          <w:tcPr>
            <w:tcW w:w="5102" w:type="dxa"/>
          </w:tcPr>
          <w:p>
            <w:pPr>
              <w:pStyle w:val="0"/>
            </w:pPr>
            <w:r>
              <w:rPr>
                <w:sz w:val="20"/>
              </w:rPr>
            </w:r>
          </w:p>
        </w:tc>
      </w:tr>
      <w:tr>
        <w:tc>
          <w:tcPr>
            <w:tcW w:w="3969" w:type="dxa"/>
          </w:tcPr>
          <w:p>
            <w:pPr>
              <w:pStyle w:val="0"/>
            </w:pPr>
            <w:r>
              <w:rPr>
                <w:sz w:val="20"/>
              </w:rPr>
              <w:t xml:space="preserve">Дата регистрации получателя</w:t>
            </w:r>
          </w:p>
        </w:tc>
        <w:tc>
          <w:tcPr>
            <w:tcW w:w="5102" w:type="dxa"/>
          </w:tcPr>
          <w:p>
            <w:pPr>
              <w:pStyle w:val="0"/>
            </w:pPr>
            <w:r>
              <w:rPr>
                <w:sz w:val="20"/>
              </w:rPr>
            </w:r>
          </w:p>
        </w:tc>
      </w:tr>
      <w:tr>
        <w:tc>
          <w:tcPr>
            <w:tcW w:w="3969" w:type="dxa"/>
          </w:tcPr>
          <w:p>
            <w:pPr>
              <w:pStyle w:val="0"/>
            </w:pPr>
            <w:r>
              <w:rPr>
                <w:sz w:val="20"/>
              </w:rPr>
              <w:t xml:space="preserve">Юридический адрес получателя</w:t>
            </w:r>
          </w:p>
        </w:tc>
        <w:tc>
          <w:tcPr>
            <w:tcW w:w="5102" w:type="dxa"/>
          </w:tcPr>
          <w:p>
            <w:pPr>
              <w:pStyle w:val="0"/>
            </w:pPr>
            <w:r>
              <w:rPr>
                <w:sz w:val="20"/>
              </w:rPr>
            </w:r>
          </w:p>
        </w:tc>
      </w:tr>
      <w:tr>
        <w:tc>
          <w:tcPr>
            <w:tcW w:w="3969" w:type="dxa"/>
          </w:tcPr>
          <w:p>
            <w:pPr>
              <w:pStyle w:val="0"/>
            </w:pPr>
            <w:r>
              <w:rPr>
                <w:sz w:val="20"/>
              </w:rPr>
              <w:t xml:space="preserve">Фактический адрес организации-заявителя</w:t>
            </w:r>
          </w:p>
        </w:tc>
        <w:tc>
          <w:tcPr>
            <w:tcW w:w="5102" w:type="dxa"/>
          </w:tcPr>
          <w:p>
            <w:pPr>
              <w:pStyle w:val="0"/>
            </w:pPr>
            <w:r>
              <w:rPr>
                <w:sz w:val="20"/>
              </w:rPr>
            </w:r>
          </w:p>
        </w:tc>
      </w:tr>
      <w:tr>
        <w:tc>
          <w:tcPr>
            <w:tcW w:w="3969" w:type="dxa"/>
          </w:tcPr>
          <w:p>
            <w:pPr>
              <w:pStyle w:val="0"/>
            </w:pPr>
            <w:r>
              <w:rPr>
                <w:sz w:val="20"/>
              </w:rPr>
              <w:t xml:space="preserve">Телефон получателя</w:t>
            </w:r>
          </w:p>
          <w:p>
            <w:pPr>
              <w:pStyle w:val="0"/>
            </w:pPr>
            <w:r>
              <w:rPr>
                <w:sz w:val="20"/>
              </w:rPr>
              <w:t xml:space="preserve">(с указанием кода города)</w:t>
            </w:r>
          </w:p>
        </w:tc>
        <w:tc>
          <w:tcPr>
            <w:tcW w:w="5102" w:type="dxa"/>
          </w:tcPr>
          <w:p>
            <w:pPr>
              <w:pStyle w:val="0"/>
            </w:pPr>
            <w:r>
              <w:rPr>
                <w:sz w:val="20"/>
              </w:rPr>
            </w:r>
          </w:p>
        </w:tc>
      </w:tr>
      <w:tr>
        <w:tc>
          <w:tcPr>
            <w:tcW w:w="3969" w:type="dxa"/>
          </w:tcPr>
          <w:p>
            <w:pPr>
              <w:pStyle w:val="0"/>
            </w:pPr>
            <w:r>
              <w:rPr>
                <w:sz w:val="20"/>
              </w:rPr>
              <w:t xml:space="preserve">Электронный адрес получателя</w:t>
            </w:r>
          </w:p>
        </w:tc>
        <w:tc>
          <w:tcPr>
            <w:tcW w:w="5102" w:type="dxa"/>
          </w:tcPr>
          <w:p>
            <w:pPr>
              <w:pStyle w:val="0"/>
            </w:pPr>
            <w:r>
              <w:rPr>
                <w:sz w:val="20"/>
              </w:rPr>
            </w:r>
          </w:p>
        </w:tc>
      </w:tr>
      <w:tr>
        <w:tc>
          <w:tcPr>
            <w:tcW w:w="3969" w:type="dxa"/>
          </w:tcPr>
          <w:p>
            <w:pPr>
              <w:pStyle w:val="0"/>
            </w:pPr>
            <w:r>
              <w:rPr>
                <w:sz w:val="20"/>
              </w:rPr>
              <w:t xml:space="preserve">Реквизиты российской кредитной организации, в которой открыт счет:</w:t>
            </w:r>
          </w:p>
          <w:p>
            <w:pPr>
              <w:pStyle w:val="0"/>
            </w:pPr>
            <w:r>
              <w:rPr>
                <w:sz w:val="20"/>
              </w:rPr>
              <w:t xml:space="preserve">адрес с указанием почтового индекса (юридический и фактический);</w:t>
            </w:r>
          </w:p>
          <w:p>
            <w:pPr>
              <w:pStyle w:val="0"/>
            </w:pPr>
            <w:r>
              <w:rPr>
                <w:sz w:val="20"/>
              </w:rPr>
              <w:t xml:space="preserve">ИНН;</w:t>
            </w:r>
          </w:p>
          <w:p>
            <w:pPr>
              <w:pStyle w:val="0"/>
            </w:pPr>
            <w:r>
              <w:rPr>
                <w:sz w:val="20"/>
              </w:rPr>
              <w:t xml:space="preserve">КПП;</w:t>
            </w:r>
          </w:p>
          <w:p>
            <w:pPr>
              <w:pStyle w:val="0"/>
            </w:pPr>
            <w:r>
              <w:rPr>
                <w:sz w:val="20"/>
              </w:rPr>
              <w:t xml:space="preserve">БИК;</w:t>
            </w:r>
          </w:p>
          <w:p>
            <w:pPr>
              <w:pStyle w:val="0"/>
            </w:pPr>
            <w:r>
              <w:rPr>
                <w:sz w:val="20"/>
              </w:rPr>
              <w:t xml:space="preserve">расчетный счет;</w:t>
            </w:r>
          </w:p>
          <w:p>
            <w:pPr>
              <w:pStyle w:val="0"/>
            </w:pPr>
            <w:r>
              <w:rPr>
                <w:sz w:val="20"/>
              </w:rPr>
              <w:t xml:space="preserve">корреспондентский счет;</w:t>
            </w:r>
          </w:p>
          <w:p>
            <w:pPr>
              <w:pStyle w:val="0"/>
            </w:pPr>
            <w:r>
              <w:rPr>
                <w:sz w:val="20"/>
              </w:rPr>
              <w:t xml:space="preserve">наименование банка</w:t>
            </w:r>
          </w:p>
        </w:tc>
        <w:tc>
          <w:tcPr>
            <w:tcW w:w="5102" w:type="dxa"/>
          </w:tcPr>
          <w:p>
            <w:pPr>
              <w:pStyle w:val="0"/>
            </w:pPr>
            <w:r>
              <w:rPr>
                <w:sz w:val="20"/>
              </w:rPr>
            </w:r>
          </w:p>
        </w:tc>
      </w:tr>
      <w:tr>
        <w:tc>
          <w:tcPr>
            <w:tcW w:w="3969" w:type="dxa"/>
          </w:tcPr>
          <w:p>
            <w:pPr>
              <w:pStyle w:val="0"/>
            </w:pPr>
            <w:r>
              <w:rPr>
                <w:sz w:val="20"/>
              </w:rPr>
              <w:t xml:space="preserve">Руководитель получателя</w:t>
            </w:r>
          </w:p>
        </w:tc>
        <w:tc>
          <w:tcPr>
            <w:tcW w:w="5102" w:type="dxa"/>
          </w:tcPr>
          <w:p>
            <w:pPr>
              <w:pStyle w:val="0"/>
            </w:pPr>
            <w:r>
              <w:rPr>
                <w:sz w:val="20"/>
              </w:rPr>
            </w:r>
          </w:p>
        </w:tc>
      </w:tr>
    </w:tbl>
    <w:p>
      <w:pPr>
        <w:pStyle w:val="0"/>
        <w:ind w:firstLine="540"/>
        <w:jc w:val="both"/>
      </w:pPr>
      <w:r>
        <w:rPr>
          <w:sz w:val="20"/>
        </w:rPr>
      </w:r>
    </w:p>
    <w:p>
      <w:pPr>
        <w:pStyle w:val="0"/>
        <w:ind w:firstLine="540"/>
        <w:jc w:val="both"/>
      </w:pPr>
      <w:r>
        <w:rPr>
          <w:sz w:val="20"/>
        </w:rPr>
        <w:t xml:space="preserve">Настоящей заявкой подтверждаю:</w:t>
      </w:r>
    </w:p>
    <w:p>
      <w:pPr>
        <w:pStyle w:val="0"/>
        <w:spacing w:before="200" w:line-rule="auto"/>
        <w:ind w:firstLine="540"/>
        <w:jc w:val="both"/>
      </w:pPr>
      <w:r>
        <w:rPr>
          <w:sz w:val="20"/>
        </w:rPr>
        <w:t xml:space="preserve">отсутствие факта получения средств из областного бюджета Новосибирской области на основании иных нормативных правовых актов Новосибирской области на цели, установленные </w:t>
      </w:r>
      <w:hyperlink w:history="0" w:anchor="P2323" w:tooltip="1. Порядок предоставления из областного бюджета Новосибирской области грантов в форме субсидий (далее - гранты) в целях реализации практики поддержки добровольчества (волонтерства), реализуемой в Новосибирской области, в 2023 году (далее - Порядок) определяет цели, условия, процедуру предоставления из областного бюджета Новосибирской области грантов в рамках основного мероприятия 1.5 &quot;Региональный проект &quot;Социальная активность&quot; государственной программы Новосибирской области &quot;Развитие государственной мол...">
        <w:r>
          <w:rPr>
            <w:sz w:val="20"/>
            <w:color w:val="0000ff"/>
          </w:rPr>
          <w:t xml:space="preserve">пунктом 1</w:t>
        </w:r>
      </w:hyperlink>
      <w:r>
        <w:rPr>
          <w:sz w:val="20"/>
        </w:rPr>
        <w:t xml:space="preserve"> Порядка;</w:t>
      </w:r>
    </w:p>
    <w:p>
      <w:pPr>
        <w:pStyle w:val="0"/>
        <w:spacing w:before="200" w:line-rule="auto"/>
        <w:ind w:firstLine="540"/>
        <w:jc w:val="both"/>
      </w:pPr>
      <w:r>
        <w:rPr>
          <w:sz w:val="20"/>
        </w:rPr>
        <w:t xml:space="preserve">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 за исключением субсидий, предоставляемых государственным учреждениям;</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540"/>
        <w:jc w:val="both"/>
      </w:pPr>
      <w:r>
        <w:rPr>
          <w:sz w:val="20"/>
        </w:rPr>
      </w:r>
    </w:p>
    <w:p>
      <w:pPr>
        <w:pStyle w:val="0"/>
        <w:ind w:firstLine="540"/>
        <w:jc w:val="both"/>
      </w:pPr>
      <w:r>
        <w:rPr>
          <w:sz w:val="20"/>
        </w:rPr>
        <w:t xml:space="preserve">Настоящей заявкой гарантирую достоверность представленных сведений и документов.</w:t>
      </w:r>
    </w:p>
    <w:p>
      <w:pPr>
        <w:pStyle w:val="0"/>
        <w:spacing w:before="200" w:line-rule="auto"/>
        <w:ind w:firstLine="540"/>
        <w:jc w:val="both"/>
      </w:pPr>
      <w:r>
        <w:rPr>
          <w:sz w:val="20"/>
        </w:rPr>
        <w:t xml:space="preserve">К заявке прилагаю:</w:t>
      </w:r>
    </w:p>
    <w:p>
      <w:pPr>
        <w:pStyle w:val="0"/>
        <w:spacing w:before="200" w:line-rule="auto"/>
        <w:ind w:firstLine="540"/>
        <w:jc w:val="both"/>
      </w:pPr>
      <w:r>
        <w:rPr>
          <w:sz w:val="20"/>
        </w:rPr>
        <w:t xml:space="preserve">1)</w:t>
      </w:r>
    </w:p>
    <w:p>
      <w:pPr>
        <w:pStyle w:val="0"/>
        <w:spacing w:before="200" w:line-rule="auto"/>
        <w:ind w:firstLine="540"/>
        <w:jc w:val="both"/>
      </w:pPr>
      <w:r>
        <w:rPr>
          <w:sz w:val="20"/>
        </w:rPr>
        <w:t xml:space="preserve">2)</w:t>
      </w:r>
    </w:p>
    <w:p>
      <w:pPr>
        <w:pStyle w:val="0"/>
        <w:spacing w:before="200" w:line-rule="auto"/>
        <w:ind w:firstLine="540"/>
        <w:jc w:val="both"/>
      </w:pPr>
      <w:r>
        <w:rPr>
          <w:sz w:val="20"/>
        </w:rPr>
        <w:t xml:space="preserve">3)</w:t>
      </w:r>
    </w:p>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551"/>
        <w:gridCol w:w="340"/>
        <w:gridCol w:w="2835"/>
        <w:gridCol w:w="510"/>
        <w:gridCol w:w="2835"/>
      </w:tblGrid>
      <w:tr>
        <w:tc>
          <w:tcPr>
            <w:tcW w:w="255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835" w:type="dxa"/>
            <w:tcBorders>
              <w:top w:val="nil"/>
              <w:left w:val="nil"/>
              <w:right w:val="nil"/>
            </w:tcBorders>
          </w:tcPr>
          <w:p>
            <w:pPr>
              <w:pStyle w:val="0"/>
            </w:pPr>
            <w:r>
              <w:rPr>
                <w:sz w:val="20"/>
              </w:rPr>
            </w:r>
          </w:p>
        </w:tc>
      </w:tr>
      <w:tr>
        <w:tc>
          <w:tcPr>
            <w:tcW w:w="2551" w:type="dxa"/>
            <w:tcBorders>
              <w:left w:val="nil"/>
              <w:bottom w:val="nil"/>
              <w:right w:val="nil"/>
            </w:tcBorders>
          </w:tcPr>
          <w:p>
            <w:pPr>
              <w:pStyle w:val="0"/>
              <w:jc w:val="center"/>
            </w:pPr>
            <w:r>
              <w:rPr>
                <w:sz w:val="20"/>
              </w:rPr>
              <w:t xml:space="preserve">дата заполнения</w:t>
            </w:r>
          </w:p>
        </w:tc>
        <w:tc>
          <w:tcPr>
            <w:tcW w:w="340" w:type="dxa"/>
            <w:tcBorders>
              <w:top w:val="nil"/>
              <w:left w:val="nil"/>
              <w:bottom w:val="nil"/>
              <w:right w:val="nil"/>
            </w:tcBorders>
          </w:tcPr>
          <w:p>
            <w:pPr>
              <w:pStyle w:val="0"/>
            </w:pPr>
            <w:r>
              <w:rPr>
                <w:sz w:val="20"/>
              </w:rPr>
            </w:r>
          </w:p>
        </w:tc>
        <w:tc>
          <w:tcPr>
            <w:tcW w:w="2835" w:type="dxa"/>
            <w:tcBorders>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2835" w:type="dxa"/>
            <w:tcBorders>
              <w:left w:val="nil"/>
              <w:bottom w:val="nil"/>
              <w:right w:val="nil"/>
            </w:tcBorders>
          </w:tcPr>
          <w:p>
            <w:pPr>
              <w:pStyle w:val="0"/>
              <w:jc w:val="center"/>
            </w:pPr>
            <w:r>
              <w:rPr>
                <w:sz w:val="20"/>
              </w:rPr>
              <w:t xml:space="preserve">расшифровка подписи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13.07.2015 N 263-п</w:t>
            <w:br/>
            <w:t>(ред. от 23.05.2023)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13.07.2015 N 263-п</w:t>
            <w:br/>
            <w:t>(ред. от 23.05.2023)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5659D4B2A54F1E72F74E3D2CFDC2BADE9BBB8E4CE1CE404D4194F8DDD0FF21672973DF2588F6A4EDBF677290CE354073604086182941F8BEA8B0j9j6H" TargetMode = "External"/>
	<Relationship Id="rId8" Type="http://schemas.openxmlformats.org/officeDocument/2006/relationships/hyperlink" Target="consultantplus://offline/ref=825659D4B2A54F1E72F74E3D2CFDC2BADE9BBB8E4DECC3464B4194F8DDD0FF21672973DF2588F6A4EDBF677290CE354073604086182941F8BEA8B0j9j6H" TargetMode = "External"/>
	<Relationship Id="rId9" Type="http://schemas.openxmlformats.org/officeDocument/2006/relationships/hyperlink" Target="consultantplus://offline/ref=825659D4B2A54F1E72F74E3D2CFDC2BADE9BBB8E4DEFCF434A4194F8DDD0FF21672973DF2588F6A4EDBF677290CE354073604086182941F8BEA8B0j9j6H" TargetMode = "External"/>
	<Relationship Id="rId10" Type="http://schemas.openxmlformats.org/officeDocument/2006/relationships/hyperlink" Target="consultantplus://offline/ref=825659D4B2A54F1E72F74E3D2CFDC2BADE9BBB8E45E9C743484DC9F2D589F32360262CC822C1FAA5EDBF67779E91305562384F87053747E0A2AAB297jAjFH" TargetMode = "External"/>
	<Relationship Id="rId11" Type="http://schemas.openxmlformats.org/officeDocument/2006/relationships/hyperlink" Target="consultantplus://offline/ref=825659D4B2A54F1E72F74E3D2CFDC2BADE9BBB8E45E9C3454E4CC9F2D589F32360262CC822C1FAA5EDBF67779E91305562384F87053747E0A2AAB297jAjFH" TargetMode = "External"/>
	<Relationship Id="rId12" Type="http://schemas.openxmlformats.org/officeDocument/2006/relationships/hyperlink" Target="consultantplus://offline/ref=825659D4B2A54F1E72F74E3D2CFDC2BADE9BBB8E45E9C1464A42C9F2D589F32360262CC822C1FAA5EDBF67779E91305562384F87053747E0A2AAB297jAjFH" TargetMode = "External"/>
	<Relationship Id="rId13" Type="http://schemas.openxmlformats.org/officeDocument/2006/relationships/hyperlink" Target="consultantplus://offline/ref=825659D4B2A54F1E72F74E3D2CFDC2BADE9BBB8E45E8C7494E4AC9F2D589F32360262CC822C1FAA5EDBF67779E91305562384F87053747E0A2AAB297jAjFH" TargetMode = "External"/>
	<Relationship Id="rId14" Type="http://schemas.openxmlformats.org/officeDocument/2006/relationships/hyperlink" Target="consultantplus://offline/ref=825659D4B2A54F1E72F74E3D2CFDC2BADE9BBB8E45E8CE444E42C9F2D589F32360262CC822C1FAA5EDBF67779E91305562384F87053747E0A2AAB297jAjFH" TargetMode = "External"/>
	<Relationship Id="rId15" Type="http://schemas.openxmlformats.org/officeDocument/2006/relationships/hyperlink" Target="consultantplus://offline/ref=825659D4B2A54F1E72F74E3D2CFDC2BADE9BBB8E45E8CF444D4CC9F2D589F32360262CC822C1FAA5EDBF67779E91305562384F87053747E0A2AAB297jAjFH" TargetMode = "External"/>
	<Relationship Id="rId16" Type="http://schemas.openxmlformats.org/officeDocument/2006/relationships/hyperlink" Target="consultantplus://offline/ref=825659D4B2A54F1E72F74E3D2CFDC2BADE9BBB8E45EBCF454F4AC9F2D589F32360262CC822C1FAA5EDBF67779E91305562384F87053747E0A2AAB297jAjFH" TargetMode = "External"/>
	<Relationship Id="rId17" Type="http://schemas.openxmlformats.org/officeDocument/2006/relationships/hyperlink" Target="consultantplus://offline/ref=825659D4B2A54F1E72F74E3D2CFDC2BADE9BBB8E45EACF404842C9F2D589F32360262CC822C1FAA5EDBF67779E91305562384F87053747E0A2AAB297jAjFH" TargetMode = "External"/>
	<Relationship Id="rId18" Type="http://schemas.openxmlformats.org/officeDocument/2006/relationships/hyperlink" Target="consultantplus://offline/ref=825659D4B2A54F1E72F74E3D2CFDC2BADE9BBB8E45EDC343454CC9F2D589F32360262CC822C1FAA5EDBF67779E91305562384F87053747E0A2AAB297jAjFH" TargetMode = "External"/>
	<Relationship Id="rId19" Type="http://schemas.openxmlformats.org/officeDocument/2006/relationships/hyperlink" Target="consultantplus://offline/ref=825659D4B2A54F1E72F74E3D2CFDC2BADE9BBB8E45EDCF434A4BC9F2D589F32360262CC822C1FAA5EDBF67779E91305562384F87053747E0A2AAB297jAjFH" TargetMode = "External"/>
	<Relationship Id="rId20" Type="http://schemas.openxmlformats.org/officeDocument/2006/relationships/hyperlink" Target="consultantplus://offline/ref=825659D4B2A54F1E72F74E3D2CFDC2BADE9BBB8E45EFC6494A4BC9F2D589F32360262CC822C1FAA5EDBF67779E91305562384F87053747E0A2AAB297jAjFH" TargetMode = "External"/>
	<Relationship Id="rId21" Type="http://schemas.openxmlformats.org/officeDocument/2006/relationships/hyperlink" Target="consultantplus://offline/ref=825659D4B2A54F1E72F74E3D2CFDC2BADE9BBB8E45EFC4444A4DC9F2D589F32360262CC822C1FAA5EDBF67779E91305562384F87053747E0A2AAB297jAjFH" TargetMode = "External"/>
	<Relationship Id="rId22" Type="http://schemas.openxmlformats.org/officeDocument/2006/relationships/hyperlink" Target="consultantplus://offline/ref=825659D4B2A54F1E72F74E3D2CFDC2BADE9BBB8E45ECC0454B4EC9F2D589F32360262CC822C1FAA5EDBF67749A91305562384F87053747E0A2AAB297jAjFH" TargetMode = "External"/>
	<Relationship Id="rId23" Type="http://schemas.openxmlformats.org/officeDocument/2006/relationships/hyperlink" Target="consultantplus://offline/ref=825659D4B2A54F1E72F74E3D2CFDC2BADE9BBB8E45E8CF444D4CC9F2D589F32360262CC822C1FAA5EDBF67779C91305562384F87053747E0A2AAB297jAjFH" TargetMode = "External"/>
	<Relationship Id="rId24" Type="http://schemas.openxmlformats.org/officeDocument/2006/relationships/hyperlink" Target="consultantplus://offline/ref=825659D4B2A54F1E72F74E3D2CFDC2BADE9BBB8E4DECC3464B4194F8DDD0FF21672973DF2588F6A4EDBF677190CE354073604086182941F8BEA8B0j9j6H" TargetMode = "External"/>
	<Relationship Id="rId25" Type="http://schemas.openxmlformats.org/officeDocument/2006/relationships/hyperlink" Target="consultantplus://offline/ref=825659D4B2A54F1E72F74E3D2CFDC2BADE9BBB8E45E8CF444D4CC9F2D589F32360262CC822C1FAA5EDBF67779C91305562384F87053747E0A2AAB297jAjFH" TargetMode = "External"/>
	<Relationship Id="rId26" Type="http://schemas.openxmlformats.org/officeDocument/2006/relationships/hyperlink" Target="consultantplus://offline/ref=825659D4B2A54F1E72F74E3D2CFDC2BADE9BBB8E45EFC4444A4DC9F2D589F32360262CC822C1FAA5EDBF67779D91305562384F87053747E0A2AAB297jAjFH" TargetMode = "External"/>
	<Relationship Id="rId27" Type="http://schemas.openxmlformats.org/officeDocument/2006/relationships/hyperlink" Target="consultantplus://offline/ref=825659D4B2A54F1E72F74E3D2CFDC2BADE9BBB8E45E8C7494E4AC9F2D589F32360262CC822C1FAA5EDBF67779D91305562384F87053747E0A2AAB297jAjFH" TargetMode = "External"/>
	<Relationship Id="rId28" Type="http://schemas.openxmlformats.org/officeDocument/2006/relationships/hyperlink" Target="consultantplus://offline/ref=825659D4B2A54F1E72F74E3D2CFDC2BADE9BBB8E45E8CE444E42C9F2D589F32360262CC822C1FAA5EDBF67779D91305562384F87053747E0A2AAB297jAjFH" TargetMode = "External"/>
	<Relationship Id="rId29" Type="http://schemas.openxmlformats.org/officeDocument/2006/relationships/hyperlink" Target="consultantplus://offline/ref=825659D4B2A54F1E72F74E3D2CFDC2BADE9BBB8E4CE1CE404D4194F8DDD0FF21672973DF2588F6A4EDBF677090CE354073604086182941F8BEA8B0j9j6H" TargetMode = "External"/>
	<Relationship Id="rId30" Type="http://schemas.openxmlformats.org/officeDocument/2006/relationships/hyperlink" Target="consultantplus://offline/ref=825659D4B2A54F1E72F74E3D2CFDC2BADE9BBB8E4DECC3464B4194F8DDD0FF21672973DF2588F6A4EDBF677090CE354073604086182941F8BEA8B0j9j6H" TargetMode = "External"/>
	<Relationship Id="rId31" Type="http://schemas.openxmlformats.org/officeDocument/2006/relationships/hyperlink" Target="consultantplus://offline/ref=825659D4B2A54F1E72F74E3D2CFDC2BADE9BBB8E4DEFCF434A4194F8DDD0FF21672973DF2588F6A4EDBF677290CE354073604086182941F8BEA8B0j9j6H" TargetMode = "External"/>
	<Relationship Id="rId32" Type="http://schemas.openxmlformats.org/officeDocument/2006/relationships/hyperlink" Target="consultantplus://offline/ref=825659D4B2A54F1E72F74E3D2CFDC2BADE9BBB8E45E9C743484DC9F2D589F32360262CC822C1FAA5EDBF67779D91305562384F87053747E0A2AAB297jAjFH" TargetMode = "External"/>
	<Relationship Id="rId33" Type="http://schemas.openxmlformats.org/officeDocument/2006/relationships/hyperlink" Target="consultantplus://offline/ref=825659D4B2A54F1E72F74E3D2CFDC2BADE9BBB8E45E9C3454E4CC9F2D589F32360262CC822C1FAA5EDBF67779391305562384F87053747E0A2AAB297jAjFH" TargetMode = "External"/>
	<Relationship Id="rId34" Type="http://schemas.openxmlformats.org/officeDocument/2006/relationships/hyperlink" Target="consultantplus://offline/ref=825659D4B2A54F1E72F74E3D2CFDC2BADE9BBB8E45E9C1464A42C9F2D589F32360262CC822C1FAA5EDBF67779D91305562384F87053747E0A2AAB297jAjFH" TargetMode = "External"/>
	<Relationship Id="rId35" Type="http://schemas.openxmlformats.org/officeDocument/2006/relationships/hyperlink" Target="consultantplus://offline/ref=825659D4B2A54F1E72F74E3D2CFDC2BADE9BBB8E45E8C7494E4AC9F2D589F32360262CC822C1FAA5EDBF67779391305562384F87053747E0A2AAB297jAjFH" TargetMode = "External"/>
	<Relationship Id="rId36" Type="http://schemas.openxmlformats.org/officeDocument/2006/relationships/hyperlink" Target="consultantplus://offline/ref=825659D4B2A54F1E72F74E3D2CFDC2BADE9BBB8E45E8CE444E42C9F2D589F32360262CC822C1FAA5EDBF67779C91305562384F87053747E0A2AAB297jAjFH" TargetMode = "External"/>
	<Relationship Id="rId37" Type="http://schemas.openxmlformats.org/officeDocument/2006/relationships/hyperlink" Target="consultantplus://offline/ref=825659D4B2A54F1E72F74E3D2CFDC2BADE9BBB8E45E8CF444D4CC9F2D589F32360262CC822C1FAA5EDBF67779391305562384F87053747E0A2AAB297jAjFH" TargetMode = "External"/>
	<Relationship Id="rId38" Type="http://schemas.openxmlformats.org/officeDocument/2006/relationships/hyperlink" Target="consultantplus://offline/ref=825659D4B2A54F1E72F74E3D2CFDC2BADE9BBB8E45EBCF454F4AC9F2D589F32360262CC822C1FAA5EDBF67779D91305562384F87053747E0A2AAB297jAjFH" TargetMode = "External"/>
	<Relationship Id="rId39" Type="http://schemas.openxmlformats.org/officeDocument/2006/relationships/hyperlink" Target="consultantplus://offline/ref=825659D4B2A54F1E72F74E3D2CFDC2BADE9BBB8E45EACF404842C9F2D589F32360262CC822C1FAA5EDBF67779D91305562384F87053747E0A2AAB297jAjFH" TargetMode = "External"/>
	<Relationship Id="rId40" Type="http://schemas.openxmlformats.org/officeDocument/2006/relationships/hyperlink" Target="consultantplus://offline/ref=825659D4B2A54F1E72F74E3D2CFDC2BADE9BBB8E45EDC343454CC9F2D589F32360262CC822C1FAA5EDBF67779D91305562384F87053747E0A2AAB297jAjFH" TargetMode = "External"/>
	<Relationship Id="rId41" Type="http://schemas.openxmlformats.org/officeDocument/2006/relationships/hyperlink" Target="consultantplus://offline/ref=825659D4B2A54F1E72F74E3D2CFDC2BADE9BBB8E45EDCF434A4BC9F2D589F32360262CC822C1FAA5EDBF67779D91305562384F87053747E0A2AAB297jAjFH" TargetMode = "External"/>
	<Relationship Id="rId42" Type="http://schemas.openxmlformats.org/officeDocument/2006/relationships/hyperlink" Target="consultantplus://offline/ref=825659D4B2A54F1E72F74E3D2CFDC2BADE9BBB8E45EFC6494A4BC9F2D589F32360262CC822C1FAA5EDBF67779D91305562384F87053747E0A2AAB297jAjFH" TargetMode = "External"/>
	<Relationship Id="rId43" Type="http://schemas.openxmlformats.org/officeDocument/2006/relationships/hyperlink" Target="consultantplus://offline/ref=825659D4B2A54F1E72F74E3D2CFDC2BADE9BBB8E45E8CF444D4CC9F2D589F32360262CC822C1FAA5EDBF67769A91305562384F87053747E0A2AAB297jAjFH" TargetMode = "External"/>
	<Relationship Id="rId44" Type="http://schemas.openxmlformats.org/officeDocument/2006/relationships/hyperlink" Target="consultantplus://offline/ref=825659D4B2A54F1E72F74E3D2CFDC2BADE9BBB8E45E8CF444D4CC9F2D589F32360262CC822C1FAA5EDBF67769991305562384F87053747E0A2AAB297jAjFH" TargetMode = "External"/>
	<Relationship Id="rId45" Type="http://schemas.openxmlformats.org/officeDocument/2006/relationships/hyperlink" Target="consultantplus://offline/ref=825659D4B2A54F1E72F74E3D2CFDC2BADE9BBB8E45E9C1464A42C9F2D589F32360262CC822C1FAA5EDBF67779391305562384F87053747E0A2AAB297jAjFH" TargetMode = "External"/>
	<Relationship Id="rId46" Type="http://schemas.openxmlformats.org/officeDocument/2006/relationships/hyperlink" Target="consultantplus://offline/ref=825659D4B2A54F1E72F74E3D2CFDC2BADE9BBB8E45E8C7494E4AC9F2D589F32360262CC822C1FAA5EDBF67769B91305562384F87053747E0A2AAB297jAjFH" TargetMode = "External"/>
	<Relationship Id="rId47" Type="http://schemas.openxmlformats.org/officeDocument/2006/relationships/hyperlink" Target="consultantplus://offline/ref=825659D4B2A54F1E72F74E3D2CFDC2BADE9BBB8E45E9C1464A42C9F2D589F32360262CC822C1FAA5EDBF67779291305562384F87053747E0A2AAB297jAjFH" TargetMode = "External"/>
	<Relationship Id="rId48" Type="http://schemas.openxmlformats.org/officeDocument/2006/relationships/hyperlink" Target="consultantplus://offline/ref=825659D4B2A54F1E72F74E3D2CFDC2BADE9BBB8E45E8C7494E4AC9F2D589F32360262CC822C1FAA5EDBF67769A91305562384F87053747E0A2AAB297jAjFH" TargetMode = "External"/>
	<Relationship Id="rId49" Type="http://schemas.openxmlformats.org/officeDocument/2006/relationships/hyperlink" Target="consultantplus://offline/ref=825659D4B2A54F1E72F74E3D2CFDC2BADE9BBB8E45E8CE444E42C9F2D589F32360262CC822C1FAA5EDBF67779291305562384F87053747E0A2AAB297jAjFH" TargetMode = "External"/>
	<Relationship Id="rId50" Type="http://schemas.openxmlformats.org/officeDocument/2006/relationships/hyperlink" Target="consultantplus://offline/ref=825659D4B2A54F1E72F74E3D2CFDC2BADE9BBB8E45EFC6494A4BC9F2D589F32360262CC822C1FAA5EDBF67779391305562384F87053747E0A2AAB297jAjFH" TargetMode = "External"/>
	<Relationship Id="rId51" Type="http://schemas.openxmlformats.org/officeDocument/2006/relationships/hyperlink" Target="consultantplus://offline/ref=825659D4B2A54F1E72F74E3D2CFDC2BADE9BBB8E45EBCF454F4AC9F2D589F32360262CC822C1FAA5EDBF67779391305562384F87053747E0A2AAB297jAjFH" TargetMode = "External"/>
	<Relationship Id="rId52" Type="http://schemas.openxmlformats.org/officeDocument/2006/relationships/hyperlink" Target="consultantplus://offline/ref=825659D4B2A54F1E72F74E3D2CFDC2BADE9BBB8E45EFC6494A4BC9F2D589F32360262CC822C1FAA5EDBF67769891305562384F87053747E0A2AAB297jAjFH" TargetMode = "External"/>
	<Relationship Id="rId53" Type="http://schemas.openxmlformats.org/officeDocument/2006/relationships/hyperlink" Target="consultantplus://offline/ref=825659D4B2A54F1E72F74E3D2CFDC2BADE9BBB8E45EFC6494A4BC9F2D589F32360262CC822C1FAA5EDBF67769F91305562384F87053747E0A2AAB297jAjFH" TargetMode = "External"/>
	<Relationship Id="rId54" Type="http://schemas.openxmlformats.org/officeDocument/2006/relationships/hyperlink" Target="consultantplus://offline/ref=825659D4B2A54F1E72F74E3D2CFDC2BADE9BBB8E45EBCF454F4AC9F2D589F32360262CC822C1FAA5EDBF67769F91305562384F87053747E0A2AAB297jAjFH" TargetMode = "External"/>
	<Relationship Id="rId55" Type="http://schemas.openxmlformats.org/officeDocument/2006/relationships/hyperlink" Target="consultantplus://offline/ref=825659D4B2A54F1E72F74E3D2CFDC2BADE9BBB8E45EBCF454F4AC9F2D589F32360262CC822C1FAA5EDBF67769291305562384F87053747E0A2AAB297jAjFH" TargetMode = "External"/>
	<Relationship Id="rId56" Type="http://schemas.openxmlformats.org/officeDocument/2006/relationships/hyperlink" Target="consultantplus://offline/ref=825659D4B2A54F1E72F74E3D2CFDC2BADE9BBB8E45E8CF444D4CC9F2D589F32360262CC822C1FAA5EDBF67769391305562384F87053747E0A2AAB297jAjFH" TargetMode = "External"/>
	<Relationship Id="rId57" Type="http://schemas.openxmlformats.org/officeDocument/2006/relationships/hyperlink" Target="consultantplus://offline/ref=825659D4B2A54F1E72F74E3D2CFDC2BADE9BBB8E45EBCF454F4AC9F2D589F32360262CC822C1FAA5EDBF67769291305562384F87053747E0A2AAB297jAjFH" TargetMode = "External"/>
	<Relationship Id="rId58" Type="http://schemas.openxmlformats.org/officeDocument/2006/relationships/hyperlink" Target="consultantplus://offline/ref=825659D4B2A54F1E72F74E3D2CFDC2BADE9BBB8E45EACF404842C9F2D589F32360262CC822C1FAA5EDBF67759A91305562384F87053747E0A2AAB297jAjFH" TargetMode = "External"/>
	<Relationship Id="rId59" Type="http://schemas.openxmlformats.org/officeDocument/2006/relationships/hyperlink" Target="consultantplus://offline/ref=825659D4B2A54F1E72F74E3D2CFDC2BADE9BBB8E45EFC6494A4BC9F2D589F32360262CC822C1FAA5EDBF67769291305562384F87053747E0A2AAB297jAjFH" TargetMode = "External"/>
	<Relationship Id="rId60" Type="http://schemas.openxmlformats.org/officeDocument/2006/relationships/hyperlink" Target="consultantplus://offline/ref=825659D4B2A54F1E72F74E3D2CFDC2BADE9BBB8E45E8CE444E42C9F2D589F32360262CC822C1FAA5EDBF67769F91305562384F87053747E0A2AAB297jAjFH" TargetMode = "External"/>
	<Relationship Id="rId61" Type="http://schemas.openxmlformats.org/officeDocument/2006/relationships/hyperlink" Target="consultantplus://offline/ref=825659D4B2A54F1E72F74E3D2CFDC2BADE9BBB8E45EDC343454CC9F2D589F32360262CC822C1FAA5EDBF67769D91305562384F87053747E0A2AAB297jAjFH" TargetMode = "External"/>
	<Relationship Id="rId62" Type="http://schemas.openxmlformats.org/officeDocument/2006/relationships/hyperlink" Target="consultantplus://offline/ref=825659D4B2A54F1E72F74E3D2CFDC2BADE9BBB8E45EACF404842C9F2D589F32360262CC822C1FAA5EDBF67749A91305562384F87053747E0A2AAB297jAjFH" TargetMode = "External"/>
	<Relationship Id="rId63" Type="http://schemas.openxmlformats.org/officeDocument/2006/relationships/hyperlink" Target="consultantplus://offline/ref=825659D4B2A54F1E72F750303A919CB3D497E78540E0CD17111ECFA58AD9F57620662A9D6185F7ACE8B43326DFCF690625734283182B47E4jBjFH" TargetMode = "External"/>
	<Relationship Id="rId64" Type="http://schemas.openxmlformats.org/officeDocument/2006/relationships/hyperlink" Target="consultantplus://offline/ref=825659D4B2A54F1E72F74E3D2CFDC2BADE9BBB8E45EACF404842C9F2D589F32360262CC822C1FAA5EDBF67749991305562384F87053747E0A2AAB297jAjFH" TargetMode = "External"/>
	<Relationship Id="rId65" Type="http://schemas.openxmlformats.org/officeDocument/2006/relationships/hyperlink" Target="consultantplus://offline/ref=825659D4B2A54F1E72F750303A919CB3D490ED8342E0CD17111ECFA58AD9F576326672916386E9A4EBA1657799j9j9H" TargetMode = "External"/>
	<Relationship Id="rId66" Type="http://schemas.openxmlformats.org/officeDocument/2006/relationships/hyperlink" Target="consultantplus://offline/ref=825659D4B2A54F1E72F750303A919CB3D697E48B47ECCD17111ECFA58AD9F576326672916386E9A4EBA1657799j9j9H" TargetMode = "External"/>
	<Relationship Id="rId67" Type="http://schemas.openxmlformats.org/officeDocument/2006/relationships/hyperlink" Target="consultantplus://offline/ref=825659D4B2A54F1E72F74E3D2CFDC2BADE9BBB8E45ECC1474A4DC9F2D589F32360262CC822C1FAA5EDBF65749F91305562384F87053747E0A2AAB297jAjFH" TargetMode = "External"/>
	<Relationship Id="rId68" Type="http://schemas.openxmlformats.org/officeDocument/2006/relationships/hyperlink" Target="consultantplus://offline/ref=825659D4B2A54F1E72F750303A919CB3D497E78540E0CD17111ECFA58AD9F576326672916386E9A4EBA1657799j9j9H" TargetMode = "External"/>
	<Relationship Id="rId69" Type="http://schemas.openxmlformats.org/officeDocument/2006/relationships/hyperlink" Target="consultantplus://offline/ref=825659D4B2A54F1E72F750303A919CB3D497E78540E0CD17111ECFA58AD9F57620662A9D6185F7A2EEB43326DFCF690625734283182B47E4jBjFH" TargetMode = "External"/>
	<Relationship Id="rId70" Type="http://schemas.openxmlformats.org/officeDocument/2006/relationships/hyperlink" Target="consultantplus://offline/ref=825659D4B2A54F1E72F74E3D2CFDC2BADE9BBB8E45EACF404842C9F2D589F32360262CC822C1FAA5EDBF67749F91305562384F87053747E0A2AAB297jAjFH" TargetMode = "External"/>
	<Relationship Id="rId71" Type="http://schemas.openxmlformats.org/officeDocument/2006/relationships/hyperlink" Target="consultantplus://offline/ref=825659D4B2A54F1E72F74E3D2CFDC2BADE9BBB8E45EACF404842C9F2D589F32360262CC822C1FAA5EDBF67749D91305562384F87053747E0A2AAB297jAjFH" TargetMode = "External"/>
	<Relationship Id="rId72" Type="http://schemas.openxmlformats.org/officeDocument/2006/relationships/hyperlink" Target="consultantplus://offline/ref=825659D4B2A54F1E72F74E3D2CFDC2BADE9BBB8E4DECC3464B4194F8DDD0FF21672973DF2588F6A4EDBF657F90CE354073604086182941F8BEA8B0j9j6H" TargetMode = "External"/>
	<Relationship Id="rId73" Type="http://schemas.openxmlformats.org/officeDocument/2006/relationships/hyperlink" Target="consultantplus://offline/ref=825659D4B2A54F1E72F74E3D2CFDC2BADE9BBB8E4DECC3464B4194F8DDD0FF21672973DF2588F6A4EDBF647690CE354073604086182941F8BEA8B0j9j6H" TargetMode = "External"/>
	<Relationship Id="rId74" Type="http://schemas.openxmlformats.org/officeDocument/2006/relationships/hyperlink" Target="consultantplus://offline/ref=825659D4B2A54F1E72F74E3D2CFDC2BADE9BBB8E4DECC3464B4194F8DDD0FF21672973DF2588F6A4EDBF647590CE354073604086182941F8BEA8B0j9j6H" TargetMode = "External"/>
	<Relationship Id="rId75" Type="http://schemas.openxmlformats.org/officeDocument/2006/relationships/hyperlink" Target="consultantplus://offline/ref=825659D4B2A54F1E72F74E3D2CFDC2BADE9BBB8E45EFC6494A4BC9F2D589F32360262CC822C1FAA5EDBF67759F91305562384F87053747E0A2AAB297jAjFH" TargetMode = "External"/>
	<Relationship Id="rId76" Type="http://schemas.openxmlformats.org/officeDocument/2006/relationships/hyperlink" Target="consultantplus://offline/ref=825659D4B2A54F1E72F74E3D2CFDC2BADE9BBB8E45E8CF444D4CC9F2D589F32360262CC822C1FAA5EDBF67749F91305562384F87053747E0A2AAB297jAjFH" TargetMode = "External"/>
	<Relationship Id="rId77" Type="http://schemas.openxmlformats.org/officeDocument/2006/relationships/hyperlink" Target="consultantplus://offline/ref=825659D4B2A54F1E72F74E3D2CFDC2BADE9BBB8E45E8CF444D4CC9F2D589F32360262CC822C1FAA5EDBF67749E91305562384F87053747E0A2AAB297jAjFH" TargetMode = "External"/>
	<Relationship Id="rId78" Type="http://schemas.openxmlformats.org/officeDocument/2006/relationships/hyperlink" Target="consultantplus://offline/ref=825659D4B2A54F1E72F74E3D2CFDC2BADE9BBB8E4CE1CE404D4194F8DDD0FF21672973DF2588F6A4EDBF657090CE354073604086182941F8BEA8B0j9j6H" TargetMode = "External"/>
	<Relationship Id="rId79" Type="http://schemas.openxmlformats.org/officeDocument/2006/relationships/hyperlink" Target="consultantplus://offline/ref=825659D4B2A54F1E72F74E3D2CFDC2BADE9BBB8E4DEFCF434A4194F8DDD0FF21672973DF2588F6A4EDBF657690CE354073604086182941F8BEA8B0j9j6H" TargetMode = "External"/>
	<Relationship Id="rId80" Type="http://schemas.openxmlformats.org/officeDocument/2006/relationships/hyperlink" Target="consultantplus://offline/ref=825659D4B2A54F1E72F74E3D2CFDC2BADE9BBB8E4CE1CE404D4194F8DDD0FF21672973DF2588F6A4EDBF657F90CE354073604086182941F8BEA8B0j9j6H" TargetMode = "External"/>
	<Relationship Id="rId81" Type="http://schemas.openxmlformats.org/officeDocument/2006/relationships/hyperlink" Target="consultantplus://offline/ref=825659D4B2A54F1E72F74E3D2CFDC2BADE9BBB8E4DECC3464B4194F8DDD0FF21672973DF2588F6A4EDBF647E90CE354073604086182941F8BEA8B0j9j6H" TargetMode = "External"/>
	<Relationship Id="rId82" Type="http://schemas.openxmlformats.org/officeDocument/2006/relationships/hyperlink" Target="consultantplus://offline/ref=825659D4B2A54F1E72F74E3D2CFDC2BADE9BBB8E4DEFCF434A4194F8DDD0FF21672973DF2588F6A4EDBF657490CE354073604086182941F8BEA8B0j9j6H" TargetMode = "External"/>
	<Relationship Id="rId83" Type="http://schemas.openxmlformats.org/officeDocument/2006/relationships/hyperlink" Target="consultantplus://offline/ref=825659D4B2A54F1E72F74E3D2CFDC2BADE9BBB8E45E9C1464A42C9F2D589F32360262CC822C1FAA5EDBF67759D91305562384F87053747E0A2AAB297jAjFH" TargetMode = "External"/>
	<Relationship Id="rId84" Type="http://schemas.openxmlformats.org/officeDocument/2006/relationships/hyperlink" Target="consultantplus://offline/ref=825659D4B2A54F1E72F74E3D2CFDC2BADE9BBB8E45E9C1464A42C9F2D589F32360262CC822C1FAA5EDBF67759C91305562384F87053747E0A2AAB297jAjFH" TargetMode = "External"/>
	<Relationship Id="rId85" Type="http://schemas.openxmlformats.org/officeDocument/2006/relationships/hyperlink" Target="consultantplus://offline/ref=825659D4B2A54F1E72F74E3D2CFDC2BADE9BBB8E4DECC3464B4194F8DDD0FF21672973DF2588F6A4EDBF637790CE354073604086182941F8BEA8B0j9j6H" TargetMode = "External"/>
	<Relationship Id="rId86" Type="http://schemas.openxmlformats.org/officeDocument/2006/relationships/hyperlink" Target="consultantplus://offline/ref=825659D4B2A54F1E72F74E3D2CFDC2BADE9BBB8E45E9C743484DC9F2D589F32360262CC822C1FAA5EDBF67759891305562384F87053747E0A2AAB297jAjFH" TargetMode = "External"/>
	<Relationship Id="rId87" Type="http://schemas.openxmlformats.org/officeDocument/2006/relationships/hyperlink" Target="consultantplus://offline/ref=825659D4B2A54F1E72F74E3D2CFDC2BADE9BBB8E45E8C7494E4AC9F2D589F32360262CC822C1FAA5EDBF67749B91305562384F87053747E0A2AAB297jAjFH" TargetMode = "External"/>
	<Relationship Id="rId88" Type="http://schemas.openxmlformats.org/officeDocument/2006/relationships/hyperlink" Target="consultantplus://offline/ref=825659D4B2A54F1E72F74E3D2CFDC2BADE9BBB8E4DECC3464B4194F8DDD0FF21672973DF2588F6A4EDBF637590CE354073604086182941F8BEA8B0j9j6H" TargetMode = "External"/>
	<Relationship Id="rId89" Type="http://schemas.openxmlformats.org/officeDocument/2006/relationships/hyperlink" Target="consultantplus://offline/ref=825659D4B2A54F1E72F74E3D2CFDC2BADE9BBB8E45E9C1464A42C9F2D589F32360262CC822C1FAA5EDBF67759391305562384F87053747E0A2AAB297jAjFH" TargetMode = "External"/>
	<Relationship Id="rId90" Type="http://schemas.openxmlformats.org/officeDocument/2006/relationships/hyperlink" Target="consultantplus://offline/ref=825659D4B2A54F1E72F74E3D2CFDC2BADE9BBB8E4CE1CE404D4194F8DDD0FF21672973DF2588F6A4EDBF657E90CE354073604086182941F8BEA8B0j9j6H" TargetMode = "External"/>
	<Relationship Id="rId91" Type="http://schemas.openxmlformats.org/officeDocument/2006/relationships/hyperlink" Target="consultantplus://offline/ref=825659D4B2A54F1E72F74E3D2CFDC2BADE9BBB8E4DEFCF434A4194F8DDD0FF21672973DF2588F6A4EDBF657390CE354073604086182941F8BEA8B0j9j6H" TargetMode = "External"/>
	<Relationship Id="rId92" Type="http://schemas.openxmlformats.org/officeDocument/2006/relationships/hyperlink" Target="consultantplus://offline/ref=825659D4B2A54F1E72F74E3D2CFDC2BADE9BBB8E4DEFCF434A4194F8DDD0FF21672973DF2588F6A4EDBF657190CE354073604086182941F8BEA8B0j9j6H" TargetMode = "External"/>
	<Relationship Id="rId93" Type="http://schemas.openxmlformats.org/officeDocument/2006/relationships/hyperlink" Target="consultantplus://offline/ref=825659D4B2A54F1E72F74E3D2CFDC2BADE9BBB8E4CE1CE404D4194F8DDD0FF21672973DF2588F6A4EDBF647790CE354073604086182941F8BEA8B0j9j6H" TargetMode = "External"/>
	<Relationship Id="rId94" Type="http://schemas.openxmlformats.org/officeDocument/2006/relationships/hyperlink" Target="consultantplus://offline/ref=825659D4B2A54F1E72F74E3D2CFDC2BADE9BBB8E4DECC3464B4194F8DDD0FF21672973DF2588F6A4EDBF637490CE354073604086182941F8BEA8B0j9j6H" TargetMode = "External"/>
	<Relationship Id="rId95" Type="http://schemas.openxmlformats.org/officeDocument/2006/relationships/hyperlink" Target="consultantplus://offline/ref=825659D4B2A54F1E72F74E3D2CFDC2BADE9BBB8E45E9C743484DC9F2D589F32360262CC822C1FAA5EDBF67759D91305562384F87053747E0A2AAB297jAjFH" TargetMode = "External"/>
	<Relationship Id="rId96" Type="http://schemas.openxmlformats.org/officeDocument/2006/relationships/hyperlink" Target="consultantplus://offline/ref=825659D4B2A54F1E72F74E3D2CFDC2BADE9BBB8E45E9C1464A42C9F2D589F32360262CC822C1FAA5EDBF67759291305562384F87053747E0A2AAB297jAjFH" TargetMode = "External"/>
	<Relationship Id="rId97" Type="http://schemas.openxmlformats.org/officeDocument/2006/relationships/hyperlink" Target="consultantplus://offline/ref=825659D4B2A54F1E72F74E3D2CFDC2BADE9BBB8E45E9C1464A42C9F2D589F32360262CC822C1FAA5EDBF67749B91305562384F87053747E0A2AAB297jAjFH" TargetMode = "External"/>
	<Relationship Id="rId98" Type="http://schemas.openxmlformats.org/officeDocument/2006/relationships/hyperlink" Target="consultantplus://offline/ref=825659D4B2A54F1E72F74E3D2CFDC2BADE9BBB8E45E9C1464A42C9F2D589F32360262CC822C1FAA5EDBF67749A91305562384F87053747E0A2AAB297jAjFH" TargetMode = "External"/>
	<Relationship Id="rId99" Type="http://schemas.openxmlformats.org/officeDocument/2006/relationships/hyperlink" Target="consultantplus://offline/ref=825659D4B2A54F1E72F74E3D2CFDC2BADE9BBB8E4CE1CE404D4194F8DDD0FF21672973DF2588F6A4EDBF647690CE354073604086182941F8BEA8B0j9j6H" TargetMode = "External"/>
	<Relationship Id="rId100" Type="http://schemas.openxmlformats.org/officeDocument/2006/relationships/hyperlink" Target="consultantplus://offline/ref=825659D4B2A54F1E72F74E3D2CFDC2BADE9BBB8E4DEFCF434A4194F8DDD0FF21672973DF2588F6A4EDBF657090CE354073604086182941F8BEA8B0j9j6H" TargetMode = "External"/>
	<Relationship Id="rId101" Type="http://schemas.openxmlformats.org/officeDocument/2006/relationships/hyperlink" Target="consultantplus://offline/ref=825659D4B2A54F1E72F74E3D2CFDC2BADE9BBB8E45E9C1464A42C9F2D589F32360262CC822C1FAA5EDBF67749891305562384F87053747E0A2AAB297jAjFH" TargetMode = "External"/>
	<Relationship Id="rId102" Type="http://schemas.openxmlformats.org/officeDocument/2006/relationships/hyperlink" Target="consultantplus://offline/ref=825659D4B2A54F1E72F74E3D2CFDC2BADE9BBB8E4CE1CE404D4194F8DDD0FF21672973DF2588F6A4EDBF647590CE354073604086182941F8BEA8B0j9j6H" TargetMode = "External"/>
	<Relationship Id="rId103" Type="http://schemas.openxmlformats.org/officeDocument/2006/relationships/hyperlink" Target="consultantplus://offline/ref=825659D4B2A54F1E72F74E3D2CFDC2BADE9BBB8E4CE1CE404D4194F8DDD0FF21672973DF2588F6A4EDBF647490CE354073604086182941F8BEA8B0j9j6H" TargetMode = "External"/>
	<Relationship Id="rId104" Type="http://schemas.openxmlformats.org/officeDocument/2006/relationships/hyperlink" Target="consultantplus://offline/ref=825659D4B2A54F1E72F74E3D2CFDC2BADE9BBB8E45E9C1464A42C9F2D589F32360262CC822C1FAA5EDBF67749F91305562384F87053747E0A2AAB297jAjFH" TargetMode = "External"/>
	<Relationship Id="rId105" Type="http://schemas.openxmlformats.org/officeDocument/2006/relationships/hyperlink" Target="consultantplus://offline/ref=825659D4B2A54F1E72F74E3D2CFDC2BADE9BBB8E45E8C7494E4AC9F2D589F32360262CC822C1FAA5EDBF67749A91305562384F87053747E0A2AAB297jAjFH" TargetMode = "External"/>
	<Relationship Id="rId106" Type="http://schemas.openxmlformats.org/officeDocument/2006/relationships/hyperlink" Target="consultantplus://offline/ref=825659D4B2A54F1E72F74E3D2CFDC2BADE9BBB8E4CE1CE404D4194F8DDD0FF21672973DF2588F6A4EDBF647290CE354073604086182941F8BEA8B0j9j6H" TargetMode = "External"/>
	<Relationship Id="rId107" Type="http://schemas.openxmlformats.org/officeDocument/2006/relationships/hyperlink" Target="consultantplus://offline/ref=825659D4B2A54F1E72F74E3D2CFDC2BADE9BBB8E4DECC3464B4194F8DDD0FF21672973DF2588F6A4EDBF637390CE354073604086182941F8BEA8B0j9j6H" TargetMode = "External"/>
	<Relationship Id="rId108" Type="http://schemas.openxmlformats.org/officeDocument/2006/relationships/hyperlink" Target="consultantplus://offline/ref=825659D4B2A54F1E72F74E3D2CFDC2BADE9BBB8E4DECC3464B4194F8DDD0FF21672973DF2588F6A4EDBF637290CE354073604086182941F8BEA8B0j9j6H" TargetMode = "External"/>
	<Relationship Id="rId109" Type="http://schemas.openxmlformats.org/officeDocument/2006/relationships/hyperlink" Target="consultantplus://offline/ref=825659D4B2A54F1E72F74E3D2CFDC2BADE9BBB8E45E8CF444D4CC9F2D589F32360262CC822C1FAA5EDBF67749C91305562384F87053747E0A2AAB297jAjFH" TargetMode = "External"/>
	<Relationship Id="rId110" Type="http://schemas.openxmlformats.org/officeDocument/2006/relationships/hyperlink" Target="consultantplus://offline/ref=825659D4B2A54F1E72F74E3D2CFDC2BADE9BBB8E45E8CF444D4CC9F2D589F32360262CC822C1FAA5EDBF67749291305562384F87053747E0A2AAB297jAjFH" TargetMode = "External"/>
	<Relationship Id="rId111" Type="http://schemas.openxmlformats.org/officeDocument/2006/relationships/hyperlink" Target="consultantplus://offline/ref=825659D4B2A54F1E72F74E3D2CFDC2BADE9BBB8E45EBCF454F4AC9F2D589F32360262CC822C1FAA5EDBF67749B91305562384F87053747E0A2AAB297jAjFH" TargetMode = "External"/>
	<Relationship Id="rId112" Type="http://schemas.openxmlformats.org/officeDocument/2006/relationships/hyperlink" Target="consultantplus://offline/ref=825659D4B2A54F1E72F74E3D2CFDC2BADE9BBB8E45EACF404842C9F2D589F32360262CC822C1FAA5EDBF67739991305562384F87053747E0A2AAB297jAjFH" TargetMode = "External"/>
	<Relationship Id="rId113" Type="http://schemas.openxmlformats.org/officeDocument/2006/relationships/hyperlink" Target="consultantplus://offline/ref=825659D4B2A54F1E72F74E3D2CFDC2BADE9BBB8E45EFC6494A4BC9F2D589F32360262CC822C1FAA5EDBF67759D91305562384F87053747E0A2AAB297jAjFH" TargetMode = "External"/>
	<Relationship Id="rId114" Type="http://schemas.openxmlformats.org/officeDocument/2006/relationships/hyperlink" Target="consultantplus://offline/ref=825659D4B2A54F1E72F74E3D2CFDC2BADE9BBB8E45EBCF454F4AC9F2D589F32360262CC822C1FAA5EDBF67749F91305562384F87053747E0A2AAB297jAjFH" TargetMode = "External"/>
	<Relationship Id="rId115" Type="http://schemas.openxmlformats.org/officeDocument/2006/relationships/hyperlink" Target="consultantplus://offline/ref=825659D4B2A54F1E72F74E3D2CFDC2BADE9BBB8E45EACF404842C9F2D589F32360262CC822C1FAA5EDBF67739F91305562384F87053747E0A2AAB297jAjFH" TargetMode = "External"/>
	<Relationship Id="rId116" Type="http://schemas.openxmlformats.org/officeDocument/2006/relationships/hyperlink" Target="consultantplus://offline/ref=825659D4B2A54F1E72F74E3D2CFDC2BADE9BBB8E45EACF404842C9F2D589F32360262CC822C1FAA5EDBF67739E91305562384F87053747E0A2AAB297jAjFH" TargetMode = "External"/>
	<Relationship Id="rId117" Type="http://schemas.openxmlformats.org/officeDocument/2006/relationships/hyperlink" Target="consultantplus://offline/ref=825659D4B2A54F1E72F74E3D2CFDC2BADE9BBB8E45EACF404842C9F2D589F32360262CC822C1FAA5EDBF67739C91305562384F87053747E0A2AAB297jAjFH" TargetMode = "External"/>
	<Relationship Id="rId118" Type="http://schemas.openxmlformats.org/officeDocument/2006/relationships/hyperlink" Target="consultantplus://offline/ref=825659D4B2A54F1E72F74E3D2CFDC2BADE9BBB8E45EFC6494A4BC9F2D589F32360262CC822C1FAA5EDBF67759391305562384F87053747E0A2AAB297jAjFH" TargetMode = "External"/>
	<Relationship Id="rId119" Type="http://schemas.openxmlformats.org/officeDocument/2006/relationships/hyperlink" Target="consultantplus://offline/ref=825659D4B2A54F1E72F74E3D2CFDC2BADE9BBB8E45EFC6494A4BC9F2D589F32360262CC822C1FAA5EDBF67749B91305562384F87053747E0A2AAB297jAjFH" TargetMode = "External"/>
	<Relationship Id="rId120" Type="http://schemas.openxmlformats.org/officeDocument/2006/relationships/hyperlink" Target="consultantplus://offline/ref=825659D4B2A54F1E72F74E3D2CFDC2BADE9BBB8E45EBCF454F4AC9F2D589F32360262CC822C1FAA5EDBF67749E91305562384F87053747E0A2AAB297jAjFH" TargetMode = "External"/>
	<Relationship Id="rId121" Type="http://schemas.openxmlformats.org/officeDocument/2006/relationships/hyperlink" Target="consultantplus://offline/ref=825659D4B2A54F1E72F74E3D2CFDC2BADE9BBB8E45EFC6494A4BC9F2D589F32360262CC822C1FAA5EDBF67749A91305562384F87053747E0A2AAB297jAjFH" TargetMode = "External"/>
	<Relationship Id="rId122" Type="http://schemas.openxmlformats.org/officeDocument/2006/relationships/hyperlink" Target="consultantplus://offline/ref=825659D4B2A54F1E72F74E3D2CFDC2BADE9BBB8E45EACF404842C9F2D589F32360262CC822C1FAA5EDBF67739391305562384F87053747E0A2AAB297jAjFH" TargetMode = "External"/>
	<Relationship Id="rId123" Type="http://schemas.openxmlformats.org/officeDocument/2006/relationships/hyperlink" Target="consultantplus://offline/ref=825659D4B2A54F1E72F74E3D2CFDC2BADE9BBB8E45EACF404842C9F2D589F32360262CC822C1FAA5EDBF67739291305562384F87053747E0A2AAB297jAjFH" TargetMode = "External"/>
	<Relationship Id="rId124" Type="http://schemas.openxmlformats.org/officeDocument/2006/relationships/hyperlink" Target="consultantplus://offline/ref=825659D4B2A54F1E72F74E3D2CFDC2BADE9BBB8E45EBCF454F4AC9F2D589F32360262CC822C1FAA5EDBF67749D91305562384F87053747E0A2AAB297jAjFH" TargetMode = "External"/>
	<Relationship Id="rId125" Type="http://schemas.openxmlformats.org/officeDocument/2006/relationships/hyperlink" Target="consultantplus://offline/ref=825659D4B2A54F1E72F74E3D2CFDC2BADE9BBB8E45EDC343454CC9F2D589F32360262CC822C1FAA5EDBF67769C91305562384F87053747E0A2AAB297jAjFH" TargetMode = "External"/>
	<Relationship Id="rId126" Type="http://schemas.openxmlformats.org/officeDocument/2006/relationships/hyperlink" Target="consultantplus://offline/ref=825659D4B2A54F1E72F74E3D2CFDC2BADE9BBB8E45EDC343454CC9F2D589F32360262CC822C1FAA5EDBF67769291305562384F87053747E0A2AAB297jAjFH" TargetMode = "External"/>
	<Relationship Id="rId127" Type="http://schemas.openxmlformats.org/officeDocument/2006/relationships/hyperlink" Target="consultantplus://offline/ref=825659D4B2A54F1E72F74E3D2CFDC2BADE9BBB8E45EFC6494A4BC9F2D589F32360262CC822C1FAA5EDBF67749891305562384F87053747E0A2AAB297jAjFH" TargetMode = "External"/>
	<Relationship Id="rId128" Type="http://schemas.openxmlformats.org/officeDocument/2006/relationships/hyperlink" Target="consultantplus://offline/ref=825659D4B2A54F1E72F74E3D2CFDC2BADE9BBB8E45EFC6494A4BC9F2D589F32360262CC822C1FAA5EDBF67749F91305562384F87053747E0A2AAB297jAjFH" TargetMode = "External"/>
	<Relationship Id="rId129" Type="http://schemas.openxmlformats.org/officeDocument/2006/relationships/hyperlink" Target="consultantplus://offline/ref=825659D4B2A54F1E72F74E3D2CFDC2BADE9BBB8E45EFC6494A4BC9F2D589F32360262CC822C1FAA5EDBF67749D91305562384F87053747E0A2AAB297jAjFH" TargetMode = "External"/>
	<Relationship Id="rId130" Type="http://schemas.openxmlformats.org/officeDocument/2006/relationships/hyperlink" Target="consultantplus://offline/ref=825659D4B2A54F1E72F74E3D2CFDC2BADE9BBB8E45EACF404842C9F2D589F32360262CC822C1FAA5EDBF67729A91305562384F87053747E0A2AAB297jAjFH" TargetMode = "External"/>
	<Relationship Id="rId131" Type="http://schemas.openxmlformats.org/officeDocument/2006/relationships/hyperlink" Target="consultantplus://offline/ref=825659D4B2A54F1E72F74E3D2CFDC2BADE9BBB8E45EACF404842C9F2D589F32360262CC822C1FAA5EDBF67729891305562384F87053747E0A2AAB297jAjFH" TargetMode = "External"/>
	<Relationship Id="rId132" Type="http://schemas.openxmlformats.org/officeDocument/2006/relationships/hyperlink" Target="consultantplus://offline/ref=825659D4B2A54F1E72F74E3D2CFDC2BADE9BBB8E4DECC3464B4194F8DDD0FF21672973DF2588F6A4EDBF637090CE354073604086182941F8BEA8B0j9j6H" TargetMode = "External"/>
	<Relationship Id="rId133" Type="http://schemas.openxmlformats.org/officeDocument/2006/relationships/hyperlink" Target="consultantplus://offline/ref=825659D4B2A54F1E72F74E3D2CFDC2BADE9BBB8E4DECC3464B4194F8DDD0FF21672973DF2588F6A4EDBF637E90CE354073604086182941F8BEA8B0j9j6H" TargetMode = "External"/>
	<Relationship Id="rId134" Type="http://schemas.openxmlformats.org/officeDocument/2006/relationships/hyperlink" Target="consultantplus://offline/ref=825659D4B2A54F1E72F74E3D2CFDC2BADE9BBB8E45ECC1474A4DC9F2D589F32360262CC830C1A2A9EFBC79779D84660424j6jEH" TargetMode = "External"/>
	<Relationship Id="rId135" Type="http://schemas.openxmlformats.org/officeDocument/2006/relationships/hyperlink" Target="consultantplus://offline/ref=825659D4B2A54F1E72F74E3D2CFDC2BADE9BBB8E4CE1CE404D4194F8DDD0FF21672973DF2588F6A4EDBF647190CE354073604086182941F8BEA8B0j9j6H" TargetMode = "External"/>
	<Relationship Id="rId136" Type="http://schemas.openxmlformats.org/officeDocument/2006/relationships/hyperlink" Target="consultantplus://offline/ref=825659D4B2A54F1E72F74E3D2CFDC2BADE9BBB8E45EFC449484FC9F2D589F32360262CC822C1FAA5EDBF67779291305562384F87053747E0A2AAB297jAjFH" TargetMode = "External"/>
	<Relationship Id="rId137" Type="http://schemas.openxmlformats.org/officeDocument/2006/relationships/hyperlink" Target="consultantplus://offline/ref=825659D4B2A54F1E72F74E3D2CFDC2BADE9BBB8E45EACF404842C9F2D589F32360262CC822C1FAA5EDBF67729E91305562384F87053747E0A2AAB297jAjFH" TargetMode = "External"/>
	<Relationship Id="rId138" Type="http://schemas.openxmlformats.org/officeDocument/2006/relationships/hyperlink" Target="consultantplus://offline/ref=825659D4B2A54F1E72F74E3D2CFDC2BADE9BBB8E45EACF404842C9F2D589F32360262CC822C1FAA5EDBF67729C91305562384F87053747E0A2AAB297jAjFH" TargetMode = "External"/>
	<Relationship Id="rId139" Type="http://schemas.openxmlformats.org/officeDocument/2006/relationships/hyperlink" Target="consultantplus://offline/ref=825659D4B2A54F1E72F74E3D2CFDC2BADE9BBB8E45EACF404842C9F2D589F32360262CC822C1FAA5EDBF67729291305562384F87053747E0A2AAB297jAjFH" TargetMode = "External"/>
	<Relationship Id="rId140" Type="http://schemas.openxmlformats.org/officeDocument/2006/relationships/hyperlink" Target="consultantplus://offline/ref=825659D4B2A54F1E72F74E3D2CFDC2BADE9BBB8E45EFC6494A4BC9F2D589F32360262CC822C1FAA5EDBF67749C91305562384F87053747E0A2AAB297jAjFH" TargetMode = "External"/>
	<Relationship Id="rId141" Type="http://schemas.openxmlformats.org/officeDocument/2006/relationships/hyperlink" Target="consultantplus://offline/ref=825659D4B2A54F1E72F74E3D2CFDC2BADE9BBB8E45EFC6494A4BC9F2D589F32360262CC822C1FAA5EDBF67749391305562384F87053747E0A2AAB297jAjFH" TargetMode = "External"/>
	<Relationship Id="rId142" Type="http://schemas.openxmlformats.org/officeDocument/2006/relationships/hyperlink" Target="consultantplus://offline/ref=825659D4B2A54F1E72F74E3D2CFDC2BADE9BBB8E45EFC6494A4BC9F2D589F32360262CC822C1FAA5EDBF67749291305562384F87053747E0A2AAB297jAjFH" TargetMode = "External"/>
	<Relationship Id="rId143" Type="http://schemas.openxmlformats.org/officeDocument/2006/relationships/hyperlink" Target="consultantplus://offline/ref=825659D4B2A54F1E72F74E3D2CFDC2BADE9BBB8E45EFC6494A4BC9F2D589F32360262CC822C1FAA5EDBF67739B91305562384F87053747E0A2AAB297jAjFH" TargetMode = "External"/>
	<Relationship Id="rId144" Type="http://schemas.openxmlformats.org/officeDocument/2006/relationships/header" Target="header2.xml"/>
	<Relationship Id="rId145" Type="http://schemas.openxmlformats.org/officeDocument/2006/relationships/footer" Target="footer2.xml"/>
	<Relationship Id="rId146" Type="http://schemas.openxmlformats.org/officeDocument/2006/relationships/hyperlink" Target="consultantplus://offline/ref=825659D4B2A54F1E72F74E3D2CFDC2BADE9BBB8E45E8CF444D4CC9F2D589F32360262CC822C1FAA5EDBF66749891305562384F87053747E0A2AAB297jAjFH" TargetMode = "External"/>
	<Relationship Id="rId147" Type="http://schemas.openxmlformats.org/officeDocument/2006/relationships/hyperlink" Target="consultantplus://offline/ref=825659D4B2A54F1E72F74E3D2CFDC2BADE9BBB8E45EFC6494A4BC9F2D589F32360262CC822C1FAA5EDBF67739A91305562384F87053747E0A2AAB297jAjFH" TargetMode = "External"/>
	<Relationship Id="rId148" Type="http://schemas.openxmlformats.org/officeDocument/2006/relationships/hyperlink" Target="consultantplus://offline/ref=825659D4B2A54F1E72F74E3D2CFDC2BADE9BBB8E45EFC6494A4BC9F2D589F32360262CC822C1FAA5EDBF67739991305562384F87053747E0A2AAB297jAjFH" TargetMode = "External"/>
	<Relationship Id="rId149" Type="http://schemas.openxmlformats.org/officeDocument/2006/relationships/hyperlink" Target="consultantplus://offline/ref=825659D4B2A54F1E72F74E3D2CFDC2BADE9BBB8E4DECC3464B4194F8DDD0FF21672973DF2588F6A4EDBF6F7F90CE354073604086182941F8BEA8B0j9j6H" TargetMode = "External"/>
	<Relationship Id="rId150" Type="http://schemas.openxmlformats.org/officeDocument/2006/relationships/hyperlink" Target="consultantplus://offline/ref=825659D4B2A54F1E72F74E3D2CFDC2BADE9BBB8E45E8C7494E4AC9F2D589F32360262CC822C1FAA5EDBF67729891305562384F87053747E0A2AAB297jAjFH" TargetMode = "External"/>
	<Relationship Id="rId151" Type="http://schemas.openxmlformats.org/officeDocument/2006/relationships/hyperlink" Target="consultantplus://offline/ref=825659D4B2A54F1E72F74E3D2CFDC2BADE9BBB8E45E8CF444D4CC9F2D589F32360262CC822C1FAA5EDBF66749D91305562384F87053747E0A2AAB297jAjFH" TargetMode = "External"/>
	<Relationship Id="rId152" Type="http://schemas.openxmlformats.org/officeDocument/2006/relationships/hyperlink" Target="consultantplus://offline/ref=825659D4B2A54F1E72F74E3D2CFDC2BADE9BBB8E45EACF404842C9F2D589F32360262CC822C1FAA5EDBF677F9391305562384F87053747E0A2AAB297jAjFH" TargetMode = "External"/>
	<Relationship Id="rId153" Type="http://schemas.openxmlformats.org/officeDocument/2006/relationships/hyperlink" Target="consultantplus://offline/ref=825659D4B2A54F1E72F74E3D2CFDC2BADE9BBB8E4DECC3464B4194F8DDD0FF21672973DF2588F6A4EDBF6E7690CE354073604086182941F8BEA8B0j9j6H" TargetMode = "External"/>
	<Relationship Id="rId154" Type="http://schemas.openxmlformats.org/officeDocument/2006/relationships/hyperlink" Target="consultantplus://offline/ref=825659D4B2A54F1E72F74E3D2CFDC2BADE9BBB8E45E8CF444D4CC9F2D589F32360262CC822C1FAA5EDBF66749391305562384F87053747E0A2AAB297jAjFH" TargetMode = "External"/>
	<Relationship Id="rId155" Type="http://schemas.openxmlformats.org/officeDocument/2006/relationships/hyperlink" Target="consultantplus://offline/ref=825659D4B2A54F1E72F750303A919CB3D393E78147E9CD17111ECFA58AD9F576326672916386E9A4EBA1657799j9j9H" TargetMode = "External"/>
	<Relationship Id="rId156" Type="http://schemas.openxmlformats.org/officeDocument/2006/relationships/hyperlink" Target="consultantplus://offline/ref=825659D4B2A54F1E72F750303A919CB3D394ED8145ECCD17111ECFA58AD9F576326672916386E9A4EBA1657799j9j9H" TargetMode = "External"/>
	<Relationship Id="rId157" Type="http://schemas.openxmlformats.org/officeDocument/2006/relationships/hyperlink" Target="consultantplus://offline/ref=825659D4B2A54F1E72F74E3D2CFDC2BADE9BBB8E45ECC3494C4CC9F2D589F32360262CC822C1FAA5EDBF67769B91305562384F87053747E0A2AAB297jAjFH" TargetMode = "External"/>
	<Relationship Id="rId158" Type="http://schemas.openxmlformats.org/officeDocument/2006/relationships/hyperlink" Target="consultantplus://offline/ref=825659D4B2A54F1E72F74E3D2CFDC2BADE9BBB8E45EACF404842C9F2D589F32360262CC822C1FAA5EDBF677E9A91305562384F87053747E0A2AAB297jAjFH" TargetMode = "External"/>
	<Relationship Id="rId159" Type="http://schemas.openxmlformats.org/officeDocument/2006/relationships/hyperlink" Target="consultantplus://offline/ref=825659D4B2A54F1E72F74E3D2CFDC2BADE9BBB8E45EFC541484EC9F2D589F32360262CC822C1FAA5EDBF67769991305562384F87053747E0A2AAB297jAjFH" TargetMode = "External"/>
	<Relationship Id="rId160" Type="http://schemas.openxmlformats.org/officeDocument/2006/relationships/hyperlink" Target="consultantplus://offline/ref=825659D4B2A54F1E72F74E3D2CFDC2BADE9BBB8E45EACF404842C9F2D589F32360262CC822C1FAA5EDBF677E9891305562384F87053747E0A2AAB297jAjFH" TargetMode = "External"/>
	<Relationship Id="rId161" Type="http://schemas.openxmlformats.org/officeDocument/2006/relationships/hyperlink" Target="consultantplus://offline/ref=825659D4B2A54F1E72F74E3D2CFDC2BADE9BBB8E4DECC3464B4194F8DDD0FF21672973DF2588F6A4EDBF6E7590CE354073604086182941F8BEA8B0j9j6H" TargetMode = "External"/>
	<Relationship Id="rId162" Type="http://schemas.openxmlformats.org/officeDocument/2006/relationships/hyperlink" Target="consultantplus://offline/ref=825659D4B2A54F1E72F74E3D2CFDC2BADE9BBB8E45E8C7494E4AC9F2D589F32360262CC822C1FAA5EDBF67729891305562384F87053747E0A2AAB297jAjFH" TargetMode = "External"/>
	<Relationship Id="rId163" Type="http://schemas.openxmlformats.org/officeDocument/2006/relationships/hyperlink" Target="consultantplus://offline/ref=825659D4B2A54F1E72F74E3D2CFDC2BADE9BBB8E4DECC3464B4194F8DDD0FF21672973DF2588F6A4EDBF6E7290CE354073604086182941F8BEA8B0j9j6H" TargetMode = "External"/>
	<Relationship Id="rId164" Type="http://schemas.openxmlformats.org/officeDocument/2006/relationships/hyperlink" Target="consultantplus://offline/ref=825659D4B2A54F1E72F74E3D2CFDC2BADE9BBB8E45ECC0454B4EC9F2D589F32360262CC822C1FAA5EDBF67769C91305562384F87053747E0A2AAB297jAjFH" TargetMode = "External"/>
	<Relationship Id="rId165" Type="http://schemas.openxmlformats.org/officeDocument/2006/relationships/hyperlink" Target="consultantplus://offline/ref=825659D4B2A54F1E72F74E3D2CFDC2BADE9BBB8E4DECC3464B4194F8DDD0FF21672973DF2588F6A4EDBF6E7390CE354073604086182941F8BEA8B0j9j6H" TargetMode = "External"/>
	<Relationship Id="rId166" Type="http://schemas.openxmlformats.org/officeDocument/2006/relationships/hyperlink" Target="consultantplus://offline/ref=825659D4B2A54F1E72F74E3D2CFDC2BADE9BBB8E4DECC3464B4194F8DDD0FF21672973DF2588F6A4EDBF6E7390CE354073604086182941F8BEA8B0j9j6H" TargetMode = "External"/>
	<Relationship Id="rId167" Type="http://schemas.openxmlformats.org/officeDocument/2006/relationships/hyperlink" Target="consultantplus://offline/ref=825659D4B2A54F1E72F74E3D2CFDC2BADE9BBB8E45EFC4444A4DC9F2D589F32360262CC822C1FAA5EDBF67779391305562384F87053747E0A2AAB297jAjFH" TargetMode = "External"/>
	<Relationship Id="rId168" Type="http://schemas.openxmlformats.org/officeDocument/2006/relationships/hyperlink" Target="consultantplus://offline/ref=825659D4B2A54F1E72F74E3D2CFDC2BADE9BBB8E45EFC4444A4DC9F2D589F32360262CC822C1FAA5EDBF67779391305562384F87053747E0A2AAB297jAjFH" TargetMode = "External"/>
	<Relationship Id="rId169" Type="http://schemas.openxmlformats.org/officeDocument/2006/relationships/hyperlink" Target="consultantplus://offline/ref=825659D4B2A54F1E72F759293D919CB3D099ED8040E9CD17111ECFA58AD9F576326672916386E9A4EBA1657799j9j9H" TargetMode = "External"/>
	<Relationship Id="rId170" Type="http://schemas.openxmlformats.org/officeDocument/2006/relationships/hyperlink" Target="consultantplus://offline/ref=825659D4B2A54F1E72F750303A919CB3D393E78147E9CD17111ECFA58AD9F57620662A9B6382F4AFB9EE23229698671A266B5C87062Bj4j4H" TargetMode = "External"/>
	<Relationship Id="rId171" Type="http://schemas.openxmlformats.org/officeDocument/2006/relationships/hyperlink" Target="consultantplus://offline/ref=825659D4B2A54F1E72F750303A919CB3D393E18B45E1CD17111ECFA58AD9F57620662A996980FCF0BCFB327A99997A042073408504j2jAH" TargetMode = "External"/>
	<Relationship Id="rId172" Type="http://schemas.openxmlformats.org/officeDocument/2006/relationships/hyperlink" Target="consultantplus://offline/ref=825659D4B2A54F1E72F750303A919CB3D393E0804CE8CD17111ECFA58AD9F57620662A9D6185F7A5E5B43326DFCF690625734283182B47E4jBjFH" TargetMode = "External"/>
	<Relationship Id="rId173" Type="http://schemas.openxmlformats.org/officeDocument/2006/relationships/hyperlink" Target="consultantplus://offline/ref=825659D4B2A54F1E72F74E3D2CFDC2BADE9BBB8E45EAC6414B4FC9F2D589F32360262CC830C1A2A9EFBC79779D84660424j6jEH" TargetMode = "External"/>
	<Relationship Id="rId174" Type="http://schemas.openxmlformats.org/officeDocument/2006/relationships/hyperlink" Target="consultantplus://offline/ref=825659D4B2A54F1E72F74E3D2CFDC2BADE9BBB8E45E8CF474543C9F2D589F32360262CC822C1FAA5EDBF677F9A91305562384F87053747E0A2AAB297jAjFH" TargetMode = "External"/>
	<Relationship Id="rId175" Type="http://schemas.openxmlformats.org/officeDocument/2006/relationships/hyperlink" Target="consultantplus://offline/ref=825659D4B2A54F1E72F759293D919CB3D099ED8040E9CD17111ECFA58AD9F57620662A9D6185F7A5E8B43326DFCF690625734283182B47E4jBjFH" TargetMode = "External"/>
	<Relationship Id="rId176" Type="http://schemas.openxmlformats.org/officeDocument/2006/relationships/hyperlink" Target="consultantplus://offline/ref=825659D4B2A54F1E72F759293D919CB3D099ED8040E9CD17111ECFA58AD9F576326672916386E9A4EBA1657799j9j9H" TargetMode = "External"/>
	<Relationship Id="rId177" Type="http://schemas.openxmlformats.org/officeDocument/2006/relationships/hyperlink" Target="consultantplus://offline/ref=825659D4B2A54F1E72F74E3D2CFDC2BADE9BBB8E45EFC4404842C9F2D589F32360262CC822C1FAA5EDBF6E759291305562384F87053747E0A2AAB297jAjFH" TargetMode = "External"/>
	<Relationship Id="rId178" Type="http://schemas.openxmlformats.org/officeDocument/2006/relationships/hyperlink" Target="consultantplus://offline/ref=825659D4B2A54F1E72F750303A919CB3D390E58743E1CD17111ECFA58AD9F57620662A9D6185F7A5EEB43326DFCF690625734283182B47E4jBjFH" TargetMode = "External"/>
	<Relationship Id="rId179" Type="http://schemas.openxmlformats.org/officeDocument/2006/relationships/hyperlink" Target="consultantplus://offline/ref=825659D4B2A54F1E72F750303A919CB3D393E78147E9CD17111ECFA58AD9F57620662A9F6685F3AFB9EE23229698671A266B5C87062Bj4j4H" TargetMode = "External"/>
	<Relationship Id="rId180" Type="http://schemas.openxmlformats.org/officeDocument/2006/relationships/hyperlink" Target="consultantplus://offline/ref=825659D4B2A54F1E72F750303A919CB3D393E78147E9CD17111ECFA58AD9F57620662A9F6687F5AFB9EE23229698671A266B5C87062Bj4j4H" TargetMode = "External"/>
	<Relationship Id="rId181" Type="http://schemas.openxmlformats.org/officeDocument/2006/relationships/hyperlink" Target="consultantplus://offline/ref=825659D4B2A54F1E72F74E3D2CFDC2BADE9BBB8E45EFC4404842C9F2D589F32360262CC822C1FAA5EDBF6E759291305562384F87053747E0A2AAB297jAjFH" TargetMode = "External"/>
	<Relationship Id="rId182" Type="http://schemas.openxmlformats.org/officeDocument/2006/relationships/hyperlink" Target="consultantplus://offline/ref=825659D4B2A54F1E72F750303A919CB3D393E78147E9CD17111ECFA58AD9F57620662A9F6685F3AFB9EE23229698671A266B5C87062Bj4j4H" TargetMode = "External"/>
	<Relationship Id="rId183" Type="http://schemas.openxmlformats.org/officeDocument/2006/relationships/hyperlink" Target="consultantplus://offline/ref=825659D4B2A54F1E72F750303A919CB3D393E78147E9CD17111ECFA58AD9F57620662A9F6687F5AFB9EE23229698671A266B5C87062Bj4j4H" TargetMode = "External"/>
	<Relationship Id="rId184" Type="http://schemas.openxmlformats.org/officeDocument/2006/relationships/hyperlink" Target="consultantplus://offline/ref=825659D4B2A54F1E72F750303A919CB3D390E58743E1CD17111ECFA58AD9F576326672916386E9A4EBA1657799j9j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13.07.2015 N 263-п
(ред. от 23.05.2023)
"Об утверждении государственной программы Новосибирской области "Развитие государственной молодежной политики Новосибирской области"</dc:title>
  <dcterms:created xsi:type="dcterms:W3CDTF">2023-06-23T07:35:34Z</dcterms:created>
</cp:coreProperties>
</file>