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МНиИП Новосибирской области от 16.10.2023 N 152-НПА</w:t>
              <w:br/>
              <w:t xml:space="preserve">"О конкурсной комиссии по проведению конкурса на право получения грантов в форме субсидий из областного бюджета Новосибирской области некоммерческим организациям, не являющимся казенными учреждениями, на создание научных лабораторий под руководством молодых ученых"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НАУКИ И ИННОВАЦИОННОЙ ПОЛИТИКИ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октября 2023 г. N 152-НПА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ПРОВЕДЕНИЮ КОНКУРСА НА ПРАВО</w:t>
      </w:r>
    </w:p>
    <w:p>
      <w:pPr>
        <w:pStyle w:val="2"/>
        <w:jc w:val="center"/>
      </w:pPr>
      <w:r>
        <w:rPr>
          <w:sz w:val="20"/>
        </w:rPr>
        <w:t xml:space="preserve">ПОЛУЧЕНИЯ ГРАНТОВ В ФОРМЕ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КАЗЕННЫМИ УЧРЕЖДЕНИЯМИ, НА СОЗДАНИЕ НАУЧНЫХ</w:t>
      </w:r>
    </w:p>
    <w:p>
      <w:pPr>
        <w:pStyle w:val="2"/>
        <w:jc w:val="center"/>
      </w:pPr>
      <w:r>
        <w:rPr>
          <w:sz w:val="20"/>
        </w:rPr>
        <w:t xml:space="preserve">ЛАБОРАТОРИЙ ПОД РУКОВОДСТВОМ МОЛОДЫХ УЧЕНЫХ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Новосибирской области от 21.08.2018 N 358-п (ред. от 05.07.2021) &quot;Об утверждении Положения о министерстве науки и инновационной политики Новосиби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науки и инновационной политики Новосибирской области, утвержденным постановлением Правительства Новосибирской области от 21.08.2018 N 358-п "Об утверждении Положения о министерстве науки и инновационной политики Новосибирской области", и </w:t>
      </w:r>
      <w:hyperlink w:history="0" r:id="rId8" w:tooltip="Постановление Правительства Новосибирской области от 31.12.2019 N 528-п (ред. от 13.09.2023) &quot;Об утверждении государственной программы Новосибирской области &quot;Стимулирование научной, научно-технической и инновационной деятельности в Новосибир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грантов в форме субсидий из областного бюджета Новосибирской области некоммерческим организациям, не являющимся казенными учреждениями, на создание научных лабораторий под руководством молодых ученых, установленным постановлением Правительства Новосибирской области от 31.12.2019 N 528-п "Об утверждении государственной программы Новосибирской области "Стимулирование научной, научно-технической и инновационной деятельности в Новосибирской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конкурсную комиссию по проведению конкурса на право получения грантов в форме субсидий из областного бюджета Новосибирской области некоммерческим организациям, не являющимся казенными учреждениями, на создание научных лабораторий под руководством молодых ученых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и ее </w:t>
      </w:r>
      <w:hyperlink w:history="0" w:anchor="P36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В.В.ВАСИЛЬЕВ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науки и</w:t>
      </w:r>
    </w:p>
    <w:p>
      <w:pPr>
        <w:pStyle w:val="0"/>
        <w:jc w:val="right"/>
      </w:pPr>
      <w:r>
        <w:rPr>
          <w:sz w:val="20"/>
        </w:rPr>
        <w:t xml:space="preserve">инновационной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16.10.2023 N 152-НПА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ПРОВЕДЕНИЮ КОНКУРСА НА ПРАВО</w:t>
      </w:r>
    </w:p>
    <w:p>
      <w:pPr>
        <w:pStyle w:val="2"/>
        <w:jc w:val="center"/>
      </w:pPr>
      <w:r>
        <w:rPr>
          <w:sz w:val="20"/>
        </w:rPr>
        <w:t xml:space="preserve">ПОЛУЧЕНИЯ ГРАНТОВ В ФОРМЕ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КАЗЕННЫМИ УЧРЕЖДЕНИЯМИ, НА СОЗДАНИЕ НАУЧНЫХ</w:t>
      </w:r>
    </w:p>
    <w:p>
      <w:pPr>
        <w:pStyle w:val="2"/>
        <w:jc w:val="center"/>
      </w:pPr>
      <w:r>
        <w:rPr>
          <w:sz w:val="20"/>
        </w:rPr>
        <w:t xml:space="preserve">ЛАБОРАТОРИЙ ПОД РУКОВОДСТВОМ МОЛОДЫХ УЧЕНЫХ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 конкурсной комиссии по проведению конкурса на право получения грантов в форме субсидий из областного бюджета Новосибирской области некоммерческим организациям, не являющимся казенными учреждениями, на создание научных лабораторий под руководством молодых ученых (далее - Положение) разработано в соответствии с </w:t>
      </w:r>
      <w:hyperlink w:history="0" r:id="rId9" w:tooltip="Постановление Правительства Новосибирской области от 31.12.2019 N 528-п (ред. от 13.09.2023) &quot;Об утверждении государственной программы Новосибирской области &quot;Стимулирование научной, научно-технической и инновационной деятельности в Новосибир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грантов в форме субсидий из областного бюджета Новосибирской области некоммерческим организациям, не являющимся казенными учреждениями, на создание научных лабораторий под руководством молодых ученых, установленным постановлением Правительства Новосибирской области от 31.12.2019 N 528-п "Об утверждении государственной программы Новосибирской области "Стимулирование научной, научно-технической и инновационной деятельности в Новосибирской области" (далее - Порядок), и определяет цели, порядок создания и организацию деятельности конкурсной комиссии по проведению конкурса на право получения грантов в форме субсидий из областного бюджета Новосибирской области некоммерческим организациям, не являющимся казенными учреждениями, на создание научных лабораторий под руководством молодых ученых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создается для проведения конкурса на право получения грантов в форме субсидий из областного бюджета Новосибирской области некоммерческим организациям, не являющимся казенными учреждениями, на создание научных лабораторий под руководством молодых ученых (далее - конкурс) с целью отбора заявок и определения получателей грантов в форме субсидий из областного бюджета Новосибирской области некоммерческим организациям, не являющимся казенными учреждениями, на создание научных лабораторий под руководством молодых ученых (далее - грант), а также оценки результатов создания научных лабораторий под руководством молодых ученых (далее - молодежная лаборатория) и реализации научно-технологических проектов, реализуемых молодежными лабораториями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комиссия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hyperlink w:history="0" r:id="rId11" w:tooltip="Устав Новосибирской области от 18.04.2005 N 282-ОЗ (ред. от 01.06.2022) (принят постановлением Новосибирского областного Совета депутатов от 31.03.2005 N 282-ОСД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Новосибирской области, законами Новосибирской области, Порядком и Положением.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Задачами комиссии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победителей конкурса в соответствии с </w:t>
      </w:r>
      <w:hyperlink w:history="0" w:anchor="P49" w:tooltip="5. С целью определения победителей конкурса комисси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Положения;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документов, поступивших в комиссию в соответствии с </w:t>
      </w:r>
      <w:hyperlink w:history="0" r:id="rId12" w:tooltip="Постановление Правительства Новосибирской области от 31.12.2019 N 528-п (ред. от 13.09.2023) &quot;Об утверждении государственной программы Новосибирской области &quot;Стимулирование научной, научно-технической и инновационной деятельности в Новосибирской области&quot; {КонсультантПлюс}">
        <w:r>
          <w:rPr>
            <w:sz w:val="20"/>
            <w:color w:val="0000ff"/>
          </w:rPr>
          <w:t xml:space="preserve">пунктом 65</w:t>
        </w:r>
      </w:hyperlink>
      <w:r>
        <w:rPr>
          <w:sz w:val="20"/>
        </w:rPr>
        <w:t xml:space="preserve"> Порядка, и дача: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результатов создания молодежных лабораторий и реализации проектов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предложений по предоставлению грантов на текущий год получателям гранта, достигшим ожидаемых результатов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предложений по наложению на получателя гранта штрафных санкций за недостижение установленных в Соглашении о предоставлении гранта значений результата(ов) предоставления гранта (в случае непризнания комиссией обоснованности причин недостижения указанных результатов).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 целью определения победителей конкурса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анализ и оценку поступивших заявок, с учетом рекомендаций по государственной поддержке проекта научно-производственной платформы научно-образовательного центра мирового уровня "Сибирский биотехнологический научно-образовательный центр", по всем критериям оценок заявок и их значениям (в баллах), установленным в </w:t>
      </w:r>
      <w:hyperlink w:history="0" r:id="rId13" w:tooltip="Постановление Правительства Новосибирской области от 31.12.2019 N 528-п (ред. от 13.09.2023) &quot;Об утверждении государственной программы Новосибирской области &quot;Стимулирование научной, научно-технической и инновационной деятельности в Новосибирской области&quot;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Порядку, результаты которых отражаются членом комиссии в оценочном </w:t>
      </w:r>
      <w:hyperlink w:history="0" w:anchor="P103" w:tooltip="                              Оценочный лист">
        <w:r>
          <w:rPr>
            <w:sz w:val="20"/>
            <w:color w:val="0000ff"/>
          </w:rPr>
          <w:t xml:space="preserve">листе</w:t>
        </w:r>
      </w:hyperlink>
      <w:r>
        <w:rPr>
          <w:sz w:val="20"/>
        </w:rPr>
        <w:t xml:space="preserve"> по форме согласно приложению N 1 к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итоговый балл заявки как среднее значение суммы баллов, присвоенных оценившими заявку членами комиссии (с округлением полученных чисел до десятых);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ранжирует оцененные заявки в зависимости от итогового балла заявки - от наибольшего значения к наименьшему, на основании указанного формируется рейтинг, в котором в зависимости от итогового балла на первой строке располагается заявка, набравшая по сравнению с другими заявками максимальный итоговый балл - наилучший результат, а остальные оцененные заявки располагаются со второй строки и ниже;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пороговое значение балла, набрав которое заявитель признается победителем конкурса, таким образом, чтобы общий размер грантов всех победителей конкурса не превышал доведенные министерству науки и инновационной политики Новосибирской области (далее - министерство) лимиты бюджетных обязательств, указанные в </w:t>
      </w:r>
      <w:hyperlink w:history="0" r:id="rId14" w:tooltip="Постановление Правительства Новосибирской области от 31.12.2019 N 528-п (ред. от 13.09.2023) &quot;Об утверждении государственной программы Новосибирской области &quot;Стимулирование научной, научно-технической и инновационной деятельности в Новосибирской области&quot;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формирует перечень победителей конкурса и размеров предоставляемых грантов и отражает его в протоколе конкурсной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создания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Комиссия создается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состав комиссии включаются сотрудники министерства, представители научных организаций и общественных объединений образовательных организаций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предотвращения возникновения конфликта интересов (личной заинтересованности) при выполнении задач, определенных </w:t>
      </w:r>
      <w:hyperlink w:history="0" w:anchor="P43" w:tooltip="4. Задачами комиссии являе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Положения, член комиссии, имеющий личную заинтересованность в получении гранта конкретным получателем гранта, в результатах проверки отчетов, в оценке результатов реализации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сообщает председателю комиссии о личной заинтересованности не позднее одного рабочего дня до дня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заседании комиссии берет отвод от голосования и участия в принятии решения об определении победителя(ей) конкурса, в результатах которого имеется личная заинтересованность.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у члена комиссии личной заинтересованности в итогах конкурса или иных обстоятельств, способных повлиять на участие члена комиссии в работе комиссии, указываются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личная заинтересованность обнаружена после принятия комиссией решения об определении победителя(ей) конкурса, такое решение подлежит пересмотру в порядке, определенном </w:t>
      </w:r>
      <w:hyperlink w:history="0" w:anchor="P49" w:tooltip="5. С целью определения победителей конкурса комисси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Положения, в течение двадцати рабочих дней после обнаружения личной заинтересованности.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Работой комиссии руководит председатель комиссии, в его отсутствие - заместитель председателя комиссии. Заседание комиссии считается правомочным, если в нем приняли участие более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комиссии проводятся в форме очного заседания либо заочного голосования. Очное заседание комиссии может проводиться посредством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Периодичность, повестка дня, срок и форма заседания комиссии устанавливаются председателем комиссии, в его отсутствие - заместителем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Подготовку заседания комиссии осуществляет секретарь комиссии. Секретарь комиссии направляет членам комиссии повестку дня и материалы для рассмотрения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Комиссия имеет право заслушивать на своих заседаниях: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презентации заявок, направленные заявителями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пояснения получателей грантов по содержанию документов, рассматриваемых комиссией в соответствии </w:t>
      </w:r>
      <w:hyperlink w:history="0" w:anchor="P45" w:tooltip="2) рассмотрение документов, поступивших в комиссию в соответствии с пунктом 65 Порядка, и дача:">
        <w:r>
          <w:rPr>
            <w:sz w:val="20"/>
            <w:color w:val="0000ff"/>
          </w:rPr>
          <w:t xml:space="preserve">подпунктом 2 пункта 4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проведении заседания комиссии в очной форме решение комиссии принимается путем открытого голосования простым большинством голосов от числа присутствующих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заседания комиссии в форме заочного голосования, решение комиссии принимается простым большинством голосов от числа принявших участие в заочном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комиссии обязаны лично участвовать в заседаниях комиссии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проведения заседания комиссии в форме заочного голосования, секретарь комиссии в срок не позднее одного рабочего дня до даты начала заочного голосования направляет посредством электронной почты членам комиссии уведомление о проведении заочного голосования и опросные </w:t>
      </w:r>
      <w:hyperlink w:history="0" w:anchor="P333" w:tooltip="                               ОПРОСНЫЙ ЛИСТ">
        <w:r>
          <w:rPr>
            <w:sz w:val="20"/>
            <w:color w:val="0000ff"/>
          </w:rPr>
          <w:t xml:space="preserve">листы</w:t>
        </w:r>
      </w:hyperlink>
      <w:r>
        <w:rPr>
          <w:sz w:val="20"/>
        </w:rPr>
        <w:t xml:space="preserve"> для заочного голосования по форме согласно приложению N 2 к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комиссии, получивший опросные листы для заочного голосования, заполняет их и направляет посредством электронной почты секретарю комиссии в срок, указанный в уведомлении. Заполненные опросные листы для заочного голосования являются неотъемлемой частью протокола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комиссии оформляются протоколом, который подписывается председателем комиссии, а в его отсутствие - заместителем председателя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Члены комиссии имеют право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Информационно-аналитическое и организационно-техническое обеспечение деятельности комиссии осуществляет министерство.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конкурсной комиссии по проведению</w:t>
      </w:r>
    </w:p>
    <w:p>
      <w:pPr>
        <w:pStyle w:val="0"/>
        <w:jc w:val="right"/>
      </w:pPr>
      <w:r>
        <w:rPr>
          <w:sz w:val="20"/>
        </w:rPr>
        <w:t xml:space="preserve">конкурса на право получения грантов в</w:t>
      </w:r>
    </w:p>
    <w:p>
      <w:pPr>
        <w:pStyle w:val="0"/>
        <w:jc w:val="right"/>
      </w:pPr>
      <w:r>
        <w:rPr>
          <w:sz w:val="20"/>
        </w:rPr>
        <w:t xml:space="preserve">форме 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 казенными</w:t>
      </w:r>
    </w:p>
    <w:p>
      <w:pPr>
        <w:pStyle w:val="0"/>
        <w:jc w:val="right"/>
      </w:pPr>
      <w:r>
        <w:rPr>
          <w:sz w:val="20"/>
        </w:rPr>
        <w:t xml:space="preserve">учреждениями, на создание научных</w:t>
      </w:r>
    </w:p>
    <w:p>
      <w:pPr>
        <w:pStyle w:val="0"/>
        <w:jc w:val="right"/>
      </w:pPr>
      <w:r>
        <w:rPr>
          <w:sz w:val="20"/>
        </w:rPr>
        <w:t xml:space="preserve">лабораторий под руководством</w:t>
      </w:r>
    </w:p>
    <w:p>
      <w:pPr>
        <w:pStyle w:val="0"/>
        <w:jc w:val="right"/>
      </w:pPr>
      <w:r>
        <w:rPr>
          <w:sz w:val="20"/>
        </w:rPr>
        <w:t xml:space="preserve">молодых ученых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3" w:name="P103"/>
    <w:bookmarkEnd w:id="103"/>
    <w:p>
      <w:pPr>
        <w:pStyle w:val="1"/>
        <w:jc w:val="both"/>
      </w:pPr>
      <w:r>
        <w:rPr>
          <w:sz w:val="20"/>
        </w:rPr>
        <w:t xml:space="preserve">                              Оценочный лист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члена конкурсной комиссии по проведению конкурса на право получения грантов</w:t>
      </w:r>
    </w:p>
    <w:p>
      <w:pPr>
        <w:pStyle w:val="1"/>
        <w:jc w:val="both"/>
      </w:pPr>
      <w:r>
        <w:rPr>
          <w:sz w:val="20"/>
        </w:rPr>
        <w:t xml:space="preserve">в  форме   субсидий   из   областного    бюджета    Новосибирской   области</w:t>
      </w:r>
    </w:p>
    <w:p>
      <w:pPr>
        <w:pStyle w:val="1"/>
        <w:jc w:val="both"/>
      </w:pPr>
      <w:r>
        <w:rPr>
          <w:sz w:val="20"/>
        </w:rPr>
        <w:t xml:space="preserve">некоммерческим    организациям,  не   являющимся  казенными   учреждениями,</w:t>
      </w:r>
    </w:p>
    <w:p>
      <w:pPr>
        <w:pStyle w:val="1"/>
        <w:jc w:val="both"/>
      </w:pPr>
      <w:r>
        <w:rPr>
          <w:sz w:val="20"/>
        </w:rPr>
        <w:t xml:space="preserve">на    создание    научных    лабораторий     под   руководством     молодых</w:t>
      </w:r>
    </w:p>
    <w:p>
      <w:pPr>
        <w:pStyle w:val="1"/>
        <w:jc w:val="both"/>
      </w:pPr>
      <w:r>
        <w:rPr>
          <w:sz w:val="20"/>
        </w:rPr>
        <w:t xml:space="preserve">ученых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по научно-технологическому проекту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проекта)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3"/>
        <w:gridCol w:w="3407"/>
        <w:gridCol w:w="1415"/>
        <w:gridCol w:w="1415"/>
      </w:tblGrid>
      <w:tr>
        <w:tc>
          <w:tcPr>
            <w:tcW w:w="28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</w:t>
            </w:r>
          </w:p>
        </w:tc>
        <w:tc>
          <w:tcPr>
            <w:tcW w:w="34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критерия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критерия (в баллах)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по результатам рассмотрения заявки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Научная обоснованность проекта</w:t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Актуальность планируемого научного исследования, значимость ожидаемых результатов и их вклад в развитие региона:</w:t>
            </w:r>
          </w:p>
        </w:tc>
        <w:tc>
          <w:tcPr>
            <w:tcW w:w="34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для региона с учетом </w:t>
            </w:r>
            <w:hyperlink w:history="0" r:id="rId15" w:tooltip="Постановление Правительства Новосибирской области от 19.03.2019 N 105-п (ред. от 27.12.2022) &quot;О Стратегии социально-экономического развития Новосибирской области на период до 2030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социально-экономического развития Новосибирской области на период до 2030 года, утвержденной постановлением Правительства Новосибирской области от 19.03.2019 N 105-п "О Стратегии социально-экономического развития Новосибирской области на период до 2030 года"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Актуальность проекта убедительно доказана, замечания члена конкурсной комиссии отсутствуют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Актуальность проекта недостаточно доказана, имеются замечания члена конкурсной комиссии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 Актуальность проекта не доказана, информация представлена общими фразами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Вклад в реализацию направлений Программы деятельности научно-образовательного центра мирового уровня "Сибирский биотехнологический научно-образовательный центр":</w:t>
            </w:r>
          </w:p>
        </w:tc>
        <w:tc>
          <w:tcPr>
            <w:tcW w:w="34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направлениям деятельности Программы деятельности научно-образовательного центра мирового уровня "Сибирский биотехнологический научно-образовательный центр" (далее СиббиоНОЦ), утвержденной Губернатором Новосибирской области, председателем наблюдательного совета СиббиоНОЦ А.А. Травниковым 25.05.2021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Существенный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 Средний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 Незначительный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Степень научной новизны исследований:</w:t>
            </w:r>
          </w:p>
        </w:tc>
        <w:tc>
          <w:tcPr>
            <w:tcW w:w="34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Оценивается уровень новизны научных исследований с учетом достижений российской и мировой науки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 Инновационная или прорывная новизна в мировом масштабе, способная изменить технологии в отрасли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 Сходные решения находятся в стадии пилотов в мире, в Российской Федерации отсутствуют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 Сходные решения находятся в стадии пилотов в Российской Федерации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Предлагаемые подходы для достижения заявленных результатов научного исследования, реализуемость предлагаемого научного исследования:</w:t>
            </w:r>
          </w:p>
        </w:tc>
        <w:tc>
          <w:tcPr>
            <w:tcW w:w="34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Оценивается: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степень новизны подходов и методов к решению поставленных в рамках научного исследования задач, их соответствие сложившейся мировой практике;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проработанность плана научных исследований и его реализуемость в установленные сроки и предлагаемыми методами; количественные значения целевых показателей предоставления гранта, адекватность принимаемых обязательств по достижению значений целевых показателей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 Степень новизны подходов и методов к решению поставленных в рамках научного исследования задач, их соответствие сложившейся мировой практике: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4.1.1. Новый подход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 Аналогичный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 Проработанность плана научных исследований и его реализуемость в установленные сроки и предлагаемыми методами: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4.2.1. Высокая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4.2.2. Недостаточная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 Количественные значения целевых показателей предоставления гранта, адекватность принимаемых обязательств по достижению значений целевых показателей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4.3.1. Обоснованные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4.3.2. Недостаточно обоснованные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4.3.3. Нет обоснований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Создание и развитие лаборатории в рамках проекта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План создания и развития лаборатории: &lt;*&gt;</w:t>
            </w:r>
          </w:p>
        </w:tc>
        <w:tc>
          <w:tcPr>
            <w:tcW w:w="34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Оценивается проработанность плана создания и развития лаборатории по выбранному направлению научного исследования, разнообразие реализуемых мероприятий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 Проработан достаточно, замечания отсутствуют</w:t>
            </w:r>
          </w:p>
        </w:tc>
        <w:tc>
          <w:tcPr>
            <w:vMerge w:val="continue"/>
          </w:tcPr>
          <w:p/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 Проработан недостаточно, имеются замечания членов конкурсной комиссии</w:t>
            </w:r>
          </w:p>
        </w:tc>
        <w:tc>
          <w:tcPr>
            <w:vMerge w:val="continue"/>
          </w:tcPr>
          <w:p/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5.3. Не проработан</w:t>
            </w:r>
          </w:p>
        </w:tc>
        <w:tc>
          <w:tcPr>
            <w:vMerge w:val="continue"/>
          </w:tcPr>
          <w:p/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Взаимодействие с индустриальными партнерами &lt;**&gt;</w:t>
            </w:r>
          </w:p>
        </w:tc>
        <w:tc>
          <w:tcPr>
            <w:tcW w:w="34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Оценивается проработанность плана взаимодействия с индустриальными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партнерами, размер денежных средств, дополнительно направляемых на создание лаборатории и проведение научного исследования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 Обосновано</w:t>
            </w:r>
          </w:p>
        </w:tc>
        <w:tc>
          <w:tcPr>
            <w:vMerge w:val="continue"/>
          </w:tcPr>
          <w:p/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 Обосновано недостаточно</w:t>
            </w:r>
          </w:p>
        </w:tc>
        <w:tc>
          <w:tcPr>
            <w:vMerge w:val="continue"/>
          </w:tcPr>
          <w:p/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6.3. Не обосновано</w:t>
            </w:r>
          </w:p>
        </w:tc>
        <w:tc>
          <w:tcPr>
            <w:vMerge w:val="continue"/>
          </w:tcPr>
          <w:p/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65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Профессиональный уровень руководителя и научного коллектива молодежной лаборатории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Научные достижения и уровень научных публикаций руководителя молодежной лаборатории по выбранному направлению научного исследования:</w:t>
            </w:r>
          </w:p>
        </w:tc>
        <w:tc>
          <w:tcPr>
            <w:tcW w:w="34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Оценивается: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научных результатов руководителя молодежной лаборатории, их соответствие мировому уровню по выбранному научному направлению; значение суммарного импакт-фактора публикаций руководителя молодежной лаборатории; количество публикаций за последние 3 года; количество (за последние 5 лет) студентов, защитивших свои выпускные квалификационные работы под руководством руководителя молодежной лаборатории;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(за последние 5 лет) научно-исследовательских проектов, выполненных под руководством руководителя молодежной лаборатории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 Уровень научных результатов руководителя молодежной лаборатории, их соответствие мировому уровню по выбранному научному направлению: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7.1.1. Высокий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7.1.2. Средний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7.3. Низкий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7.2. Значение суммарного импакт-фактора публикаций руководителя молодежной лаборатории за предыдущие 3 года: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7.2.1. Свыше 10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7.2.2. От 1 до 10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7.3.3. 0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7.3. Количество публикаций по теме проекта за предыдущие 3 года: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7.3.1. Свыше 10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7.3.2. От 1 до 10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7.3.3. 0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Оценка доклада руководителя молодежной лаборатории на конкурсной комиссии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10, в том числе: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2023 г.              _______________ (___________________)</w:t>
      </w:r>
    </w:p>
    <w:p>
      <w:pPr>
        <w:pStyle w:val="1"/>
        <w:jc w:val="both"/>
      </w:pPr>
      <w:r>
        <w:rPr>
          <w:sz w:val="20"/>
        </w:rPr>
        <w:t xml:space="preserve">          дата                            подпись       инициалы, фамилия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конкурсной комиссии по проведению</w:t>
      </w:r>
    </w:p>
    <w:p>
      <w:pPr>
        <w:pStyle w:val="0"/>
        <w:jc w:val="right"/>
      </w:pPr>
      <w:r>
        <w:rPr>
          <w:sz w:val="20"/>
        </w:rPr>
        <w:t xml:space="preserve">конкурса на предоставление грантов в</w:t>
      </w:r>
    </w:p>
    <w:p>
      <w:pPr>
        <w:pStyle w:val="0"/>
        <w:jc w:val="right"/>
      </w:pPr>
      <w:r>
        <w:rPr>
          <w:sz w:val="20"/>
        </w:rPr>
        <w:t xml:space="preserve">форме 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 казенными</w:t>
      </w:r>
    </w:p>
    <w:p>
      <w:pPr>
        <w:pStyle w:val="0"/>
        <w:jc w:val="right"/>
      </w:pPr>
      <w:r>
        <w:rPr>
          <w:sz w:val="20"/>
        </w:rPr>
        <w:t xml:space="preserve">учреждениями, на создание научных</w:t>
      </w:r>
    </w:p>
    <w:p>
      <w:pPr>
        <w:pStyle w:val="0"/>
        <w:jc w:val="right"/>
      </w:pPr>
      <w:r>
        <w:rPr>
          <w:sz w:val="20"/>
        </w:rPr>
        <w:t xml:space="preserve">лабораторий под руководством</w:t>
      </w:r>
    </w:p>
    <w:p>
      <w:pPr>
        <w:pStyle w:val="0"/>
        <w:jc w:val="right"/>
      </w:pPr>
      <w:r>
        <w:rPr>
          <w:sz w:val="20"/>
        </w:rPr>
        <w:t xml:space="preserve">молодых ученых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3" w:name="P333"/>
    <w:bookmarkEnd w:id="333"/>
    <w:p>
      <w:pPr>
        <w:pStyle w:val="1"/>
        <w:jc w:val="both"/>
      </w:pPr>
      <w:r>
        <w:rPr>
          <w:sz w:val="20"/>
        </w:rPr>
        <w:t xml:space="preserve">                               ОПРОСНЫЙ ЛИСТ</w:t>
      </w:r>
    </w:p>
    <w:p>
      <w:pPr>
        <w:pStyle w:val="1"/>
        <w:jc w:val="both"/>
      </w:pPr>
      <w:r>
        <w:rPr>
          <w:sz w:val="20"/>
        </w:rPr>
        <w:t xml:space="preserve">                         для заочного голосования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  вопросам,  внесенным  в повестку заседания комиссии, принимаю следующее</w:t>
      </w:r>
    </w:p>
    <w:p>
      <w:pPr>
        <w:pStyle w:val="1"/>
        <w:jc w:val="both"/>
      </w:pPr>
      <w:r>
        <w:rPr>
          <w:sz w:val="20"/>
        </w:rPr>
        <w:t xml:space="preserve">решение:</w:t>
      </w:r>
    </w:p>
    <w:p>
      <w:pPr>
        <w:pStyle w:val="1"/>
        <w:jc w:val="both"/>
      </w:pPr>
      <w:r>
        <w:rPr>
          <w:sz w:val="20"/>
        </w:rPr>
        <w:t xml:space="preserve">Вопросы повестки заседания комиссии 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850"/>
        <w:gridCol w:w="1134"/>
        <w:gridCol w:w="1701"/>
        <w:gridCol w:w="3118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Решение по вопросу повестки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"за"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"воздержался"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Предложения/замечания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202_ г.              _______________ (___________________)</w:t>
      </w:r>
    </w:p>
    <w:p>
      <w:pPr>
        <w:pStyle w:val="1"/>
        <w:jc w:val="both"/>
      </w:pPr>
      <w:r>
        <w:rPr>
          <w:sz w:val="20"/>
        </w:rPr>
        <w:t xml:space="preserve">          дата                            подпись       инициалы, фамилия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науки и</w:t>
      </w:r>
    </w:p>
    <w:p>
      <w:pPr>
        <w:pStyle w:val="0"/>
        <w:jc w:val="right"/>
      </w:pPr>
      <w:r>
        <w:rPr>
          <w:sz w:val="20"/>
        </w:rPr>
        <w:t xml:space="preserve">инновационной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16.10.2023 N 152-НПА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6" w:name="P366"/>
    <w:bookmarkEnd w:id="36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КОНКУРСА НА СОЗДАНИЕ</w:t>
      </w:r>
    </w:p>
    <w:p>
      <w:pPr>
        <w:pStyle w:val="2"/>
        <w:jc w:val="center"/>
      </w:pPr>
      <w:r>
        <w:rPr>
          <w:sz w:val="20"/>
        </w:rPr>
        <w:t xml:space="preserve">МОЛОДЕЖНОЙ ЛАБОРАТОРИИ ПО ПРОВЕДЕНИЮ КОНКУРСА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В ФОРМЕ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НОВОСИБИРСКОЙ ОБЛАСТИ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КАЗЕННЫМИ УЧРЕЖДЕНИЯМИ, НА СОЗДАНИЕ НАУЧНЫХ</w:t>
      </w:r>
    </w:p>
    <w:p>
      <w:pPr>
        <w:pStyle w:val="2"/>
        <w:jc w:val="center"/>
      </w:pPr>
      <w:r>
        <w:rPr>
          <w:sz w:val="20"/>
        </w:rPr>
        <w:t xml:space="preserve">ЛАБОРАТОРИЙ ПОД РУКОВОДСТВОМ МОЛОДЫХ УЧЕНЫХ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97"/>
        <w:gridCol w:w="5783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науки и инновационной политики Новосибирской области, председатель комиссии;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науки и инновационной политики Новосибирской области, заместитель председателя комиссии;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Дьякова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государственной поддержки, популяризации науки и инновационной деятельности управления научной и инновационной политики министерства науки и инновационной политики Новосибирской области, секретарь комиссии;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Курганова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научной и инновационной политики министерства науки и инновационной политики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Пахомов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правового обеспечения и кадровой политики министерства сельского хозяйства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Профорук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государственного автономного учреждения Новосибирской области "Новосибирский областной фонд поддержки науки и инновационной деятельности"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Рягузов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промышленности и предпринимательства министерства промышленности, торговли и развития предпринимательства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стратегического планирования программ и проектов министерства здравоохранения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Халчевская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(центра) кластерного развития государственного казенного учреждения Новосибирской области "Центр регионального развития"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Цой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отдела государственной поддержки, популяризации науки и инновационной деятельности управления научной и инновационной политики министерства науки и инновационной политики Новосибирской области.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МНиИП Новосибирской области от 16.10.2023 N 152-НПА</w:t>
            <w:br/>
            <w:t>"О конкурсной комиссии по проведению конкурса на право получе...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40993&amp;dst=100009" TargetMode = "External"/>
	<Relationship Id="rId8" Type="http://schemas.openxmlformats.org/officeDocument/2006/relationships/hyperlink" Target="https://login.consultant.ru/link/?req=doc&amp;base=RLAW049&amp;n=165663&amp;dst=108553" TargetMode = "External"/>
	<Relationship Id="rId9" Type="http://schemas.openxmlformats.org/officeDocument/2006/relationships/hyperlink" Target="https://login.consultant.ru/link/?req=doc&amp;base=RLAW049&amp;n=165663&amp;dst=108553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RLAW049&amp;n=157327" TargetMode = "External"/>
	<Relationship Id="rId12" Type="http://schemas.openxmlformats.org/officeDocument/2006/relationships/hyperlink" Target="https://login.consultant.ru/link/?req=doc&amp;base=RLAW049&amp;n=165663&amp;dst=108815" TargetMode = "External"/>
	<Relationship Id="rId13" Type="http://schemas.openxmlformats.org/officeDocument/2006/relationships/hyperlink" Target="https://login.consultant.ru/link/?req=doc&amp;base=RLAW049&amp;n=165663&amp;dst=108851" TargetMode = "External"/>
	<Relationship Id="rId14" Type="http://schemas.openxmlformats.org/officeDocument/2006/relationships/hyperlink" Target="https://login.consultant.ru/link/?req=doc&amp;base=RLAW049&amp;n=165663&amp;dst=108569" TargetMode = "External"/>
	<Relationship Id="rId15" Type="http://schemas.openxmlformats.org/officeDocument/2006/relationships/hyperlink" Target="https://login.consultant.ru/link/?req=doc&amp;base=RLAW049&amp;n=158112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МНиИП Новосибирской области от 16.10.2023 N 152-НПА
"О конкурсной комиссии по проведению конкурса на право получения грантов в форме субсидий из областного бюджета Новосибирской области некоммерческим организациям, не являющимся казенными учреждениями, на создание научных лабораторий под руководством молодых ученых"</dc:title>
  <dcterms:created xsi:type="dcterms:W3CDTF">2023-12-05T16:29:37Z</dcterms:created>
</cp:coreProperties>
</file>