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Новосибирской области от 22.12.2023 N 219-НПА</w:t>
              <w:br/>
              <w:t xml:space="preserve">"Об утверждении положения об общественном совете при министерстве строительства Новосибирской области, его состава и резерва общественного совета для замещения членов общественного совета, досрочно прекративших свои полномочия"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СТРОИТЕЛЬСТВА НОВОСИБИРСКОЙ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22 декабря 2023 г. N 219-НПА</w:t>
      </w:r>
    </w:p>
    <w:p>
      <w:pPr>
        <w:pStyle w:val="2"/>
        <w:ind w:firstLine="540"/>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СТРОИТЕЛЬСТВА НОВОСИБИРСКОЙ ОБЛАСТИ, ЕГО</w:t>
      </w:r>
    </w:p>
    <w:p>
      <w:pPr>
        <w:pStyle w:val="2"/>
        <w:jc w:val="center"/>
      </w:pPr>
      <w:r>
        <w:rPr>
          <w:sz w:val="20"/>
        </w:rPr>
        <w:t xml:space="preserve">СОСТАВА И РЕЗЕРВА ОБЩЕСТВЕННОГО СОВЕТА ДЛЯ ЗАМЕЩЕНИЯ ЧЛЕНОВ</w:t>
      </w:r>
    </w:p>
    <w:p>
      <w:pPr>
        <w:pStyle w:val="2"/>
        <w:jc w:val="center"/>
      </w:pPr>
      <w:r>
        <w:rPr>
          <w:sz w:val="20"/>
        </w:rPr>
        <w:t xml:space="preserve">ОБЩЕСТВЕННОГО СОВЕТА, ДОСРОЧНО ПРЕКРАТИВШИХ СВОИ ПОЛНОМОЧИЯ</w:t>
      </w:r>
    </w:p>
    <w:p>
      <w:pPr>
        <w:pStyle w:val="0"/>
        <w:ind w:firstLine="540"/>
        <w:jc w:val="both"/>
      </w:pPr>
      <w:r>
        <w:rPr>
          <w:sz w:val="20"/>
        </w:rPr>
      </w:r>
    </w:p>
    <w:p>
      <w:pPr>
        <w:pStyle w:val="0"/>
        <w:ind w:firstLine="540"/>
        <w:jc w:val="both"/>
      </w:pPr>
      <w:r>
        <w:rPr>
          <w:sz w:val="20"/>
        </w:rPr>
        <w:t xml:space="preserve">В соответствии со </w:t>
      </w:r>
      <w:hyperlink w:history="0" r:id="rId7"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статьей 4</w:t>
        </w:r>
      </w:hyperlink>
      <w:r>
        <w:rPr>
          <w:sz w:val="20"/>
        </w:rPr>
        <w:t xml:space="preserve"> Закона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8" w:tooltip="Постановление Правительства Новосибирской области от 01.12.2015 N 425-п (ред. от 28.11.2023) &quot;Об утверждении Типового положения об общественном совете при исполнительном органе государственной власти Новосибирской области&quot; {КонсультантПлюс}">
        <w:r>
          <w:rPr>
            <w:sz w:val="20"/>
            <w:color w:val="0000ff"/>
          </w:rPr>
          <w:t xml:space="preserve">пунктом 18</w:t>
        </w:r>
      </w:hyperlink>
      <w:r>
        <w:rPr>
          <w:sz w:val="20"/>
        </w:rPr>
        <w:t xml:space="preserve"> Типового положения об общественном совете при исполнительном органе государственной власти Новосибирской области, утвержденного постановлением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строительства Новосибирской области и его </w:t>
      </w:r>
      <w:hyperlink w:history="0" w:anchor="P403"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2) </w:t>
      </w:r>
      <w:hyperlink w:history="0" w:anchor="P467" w:tooltip="РЕЗЕРВ">
        <w:r>
          <w:rPr>
            <w:sz w:val="20"/>
            <w:color w:val="0000ff"/>
          </w:rPr>
          <w:t xml:space="preserve">резерв</w:t>
        </w:r>
      </w:hyperlink>
      <w:r>
        <w:rPr>
          <w:sz w:val="20"/>
        </w:rPr>
        <w:t xml:space="preserve"> общественного совета для замещения членов общественного совета, досрочно прекративших свои полномочия.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Приказ Минстроя Новосибирской области от 16.12.2020 N 653 (ред. от 14.11.2022) &quot;Об утверждении Положения об общественном совете при министерстве строительства Новосибирской области и его состава&quot; ------------ Утратил силу или отменен {КонсультантПлюс}">
        <w:r>
          <w:rPr>
            <w:sz w:val="20"/>
            <w:color w:val="0000ff"/>
          </w:rPr>
          <w:t xml:space="preserve">приказ</w:t>
        </w:r>
      </w:hyperlink>
      <w:r>
        <w:rPr>
          <w:sz w:val="20"/>
        </w:rPr>
        <w:t xml:space="preserve"> министерства строительства Новосибирской области от 16.12.2020 N 653 "Об утверждении положения об общественном совете при министерстве строительства Новосибирской области и его состава";</w:t>
      </w:r>
    </w:p>
    <w:p>
      <w:pPr>
        <w:pStyle w:val="0"/>
        <w:spacing w:before="200" w:line-rule="auto"/>
        <w:ind w:firstLine="540"/>
        <w:jc w:val="both"/>
      </w:pPr>
      <w:r>
        <w:rPr>
          <w:sz w:val="20"/>
        </w:rPr>
        <w:t xml:space="preserve">2) </w:t>
      </w:r>
      <w:hyperlink w:history="0" r:id="rId10" w:tooltip="Приказ Минстроя Новосибирской области от 14.11.2022 N 735 &quot;О внесении изменений в приказ министерства строительства Новосибирской области от 16.12.2020 N 653&quot; ------------ Утратил силу или отменен {КонсультантПлюс}">
        <w:r>
          <w:rPr>
            <w:sz w:val="20"/>
            <w:color w:val="0000ff"/>
          </w:rPr>
          <w:t xml:space="preserve">приказ</w:t>
        </w:r>
      </w:hyperlink>
      <w:r>
        <w:rPr>
          <w:sz w:val="20"/>
        </w:rPr>
        <w:t xml:space="preserve"> министерства строительства Новосибирской области от 14.11.2022 N 735 "О внесении изменений в приказ министерства строительства Новосибирской области от 16.12.2020 N 653".</w:t>
      </w:r>
    </w:p>
    <w:p>
      <w:pPr>
        <w:pStyle w:val="0"/>
        <w:spacing w:before="200" w:line-rule="auto"/>
        <w:ind w:firstLine="540"/>
        <w:jc w:val="both"/>
      </w:pPr>
      <w:r>
        <w:rPr>
          <w:sz w:val="20"/>
        </w:rPr>
        <w:t xml:space="preserve">3. Настоящий приказ вступает в силу 02.02.2024.</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А.В.КОЛМАКОВ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строительства</w:t>
      </w:r>
    </w:p>
    <w:p>
      <w:pPr>
        <w:pStyle w:val="0"/>
        <w:jc w:val="right"/>
      </w:pPr>
      <w:r>
        <w:rPr>
          <w:sz w:val="20"/>
        </w:rPr>
        <w:t xml:space="preserve">Новосибирской области</w:t>
      </w:r>
    </w:p>
    <w:p>
      <w:pPr>
        <w:pStyle w:val="0"/>
        <w:jc w:val="right"/>
      </w:pPr>
      <w:r>
        <w:rPr>
          <w:sz w:val="20"/>
        </w:rPr>
        <w:t xml:space="preserve">от 22.12.2023 N 219-НПА</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СТРОИТЕЛЬСТВА НОВОСИБИРСКОЙ ОБЛАСТИ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2"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определяет компетенцию, порядок формирования и деятельности общественного совета при министерстве строительства Новосибирской области (далее - общественный совет, министерство).</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строительства Новосибирской области (далее - министерство), в том числе осуществление общественного контроля за деятельностью министерства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министерства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4) организация и осуществление совместных действий министерства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5) привлечение к принятию управленческих решений в сфере деятельности министерства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министерства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министерству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министерства и их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65" w:name="P65"/>
    <w:bookmarkEnd w:id="65"/>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приказом министерства.</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spacing w:before="200" w:line-rule="auto"/>
        <w:ind w:firstLine="540"/>
        <w:jc w:val="both"/>
      </w:pPr>
      <w:r>
        <w:rPr>
          <w:sz w:val="20"/>
        </w:rPr>
        <w:t xml:space="preserve">8. Министерство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министерства совместно с советом Общественной палаты Новосибирской области.</w:t>
      </w:r>
    </w:p>
    <w:bookmarkStart w:id="71" w:name="P71"/>
    <w:bookmarkEnd w:id="71"/>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2) лица, замещающие государственные должности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bookmarkStart w:id="74" w:name="P74"/>
    <w:bookmarkEnd w:id="74"/>
    <w:p>
      <w:pPr>
        <w:pStyle w:val="0"/>
        <w:spacing w:before="200" w:line-rule="auto"/>
        <w:ind w:firstLine="540"/>
        <w:jc w:val="both"/>
      </w:pPr>
      <w:r>
        <w:rPr>
          <w:sz w:val="20"/>
        </w:rPr>
        <w:t xml:space="preserve">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w:t>
      </w:r>
      <w:hyperlink w:history="0" w:anchor="P75"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
        <w:r>
          <w:rPr>
            <w:sz w:val="20"/>
            <w:color w:val="0000ff"/>
          </w:rPr>
          <w:t xml:space="preserve">пункту 11</w:t>
        </w:r>
      </w:hyperlink>
      <w:r>
        <w:rPr>
          <w:sz w:val="20"/>
        </w:rPr>
        <w:t xml:space="preserve"> настоящего Положения.</w:t>
      </w:r>
    </w:p>
    <w:bookmarkStart w:id="75" w:name="P75"/>
    <w:bookmarkEnd w:id="75"/>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w:t>
      </w:r>
    </w:p>
    <w:bookmarkStart w:id="76" w:name="P76"/>
    <w:bookmarkEnd w:id="76"/>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74" w:tooltip="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77" w:name="P77"/>
    <w:bookmarkEnd w:id="77"/>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74" w:tooltip="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для утверждения.</w:t>
      </w:r>
    </w:p>
    <w:p>
      <w:pPr>
        <w:pStyle w:val="0"/>
        <w:spacing w:before="200" w:line-rule="auto"/>
        <w:ind w:firstLine="540"/>
        <w:jc w:val="both"/>
      </w:pPr>
      <w:r>
        <w:rPr>
          <w:sz w:val="20"/>
        </w:rPr>
        <w:t xml:space="preserve">12.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исполнительного органа власти в установленных федеральным и областным законодательством сферах, при котором формируется общественный совет.</w:t>
      </w:r>
    </w:p>
    <w:p>
      <w:pPr>
        <w:pStyle w:val="0"/>
        <w:spacing w:before="200" w:line-rule="auto"/>
        <w:ind w:firstLine="540"/>
        <w:jc w:val="both"/>
      </w:pPr>
      <w:r>
        <w:rPr>
          <w:sz w:val="20"/>
        </w:rPr>
        <w:t xml:space="preserve">13.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16" w:tooltip="Федеральный закон от 25.07.2002 N 114-ФЗ (ред. от 28.12.2022) &quot;О противодействии экстремистской деятельности&quot; (с изм. и доп., вступ. в силу с 15.07.2023)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17" w:tooltip="Федеральный закон от 25.07.2002 N 114-ФЗ (ред. от 28.12.2022) &quot;О противодействии экстремистской деятельности&quot; (с изм. и доп., вступ. в силу с 15.07.2023)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14. Кандидаты в состав общественного совета при министерстве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министерства,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15. Общественный совет создается по инициативе совета Общественной палаты Новосибирской области либо министра.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w:t>
      </w:r>
    </w:p>
    <w:p>
      <w:pPr>
        <w:pStyle w:val="0"/>
        <w:spacing w:before="200" w:line-rule="auto"/>
        <w:ind w:firstLine="540"/>
        <w:jc w:val="both"/>
      </w:pPr>
      <w:r>
        <w:rPr>
          <w:sz w:val="20"/>
        </w:rPr>
        <w:t xml:space="preserve">16. Решение о создании (формировании) общественного совета принимается министром.</w:t>
      </w:r>
    </w:p>
    <w:p>
      <w:pPr>
        <w:pStyle w:val="0"/>
        <w:spacing w:before="200" w:line-rule="auto"/>
        <w:ind w:firstLine="540"/>
        <w:jc w:val="both"/>
      </w:pPr>
      <w:r>
        <w:rPr>
          <w:sz w:val="20"/>
        </w:rPr>
        <w:t xml:space="preserve">17. В целях создания (формирования) состава общественного совета министерство размещает на официальном сайте министерства в информационно-телекоммуникационной сети Интернет (далее - официальный сайт)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18.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19.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bookmarkStart w:id="100" w:name="P100"/>
    <w:bookmarkEnd w:id="100"/>
    <w:p>
      <w:pPr>
        <w:pStyle w:val="0"/>
        <w:spacing w:before="200" w:line-rule="auto"/>
        <w:ind w:firstLine="540"/>
        <w:jc w:val="both"/>
      </w:pPr>
      <w:r>
        <w:rPr>
          <w:sz w:val="20"/>
        </w:rPr>
        <w:t xml:space="preserve">20.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spacing w:before="200" w:line-rule="auto"/>
        <w:ind w:firstLine="540"/>
        <w:jc w:val="both"/>
      </w:pPr>
      <w:r>
        <w:rPr>
          <w:sz w:val="20"/>
        </w:rPr>
        <w:t xml:space="preserve">1) </w:t>
      </w:r>
      <w:hyperlink w:history="0" w:anchor="P234"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271"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25"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377"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bookmarkStart w:id="105" w:name="P105"/>
    <w:bookmarkEnd w:id="105"/>
    <w:p>
      <w:pPr>
        <w:pStyle w:val="0"/>
        <w:spacing w:before="200" w:line-rule="auto"/>
        <w:ind w:firstLine="540"/>
        <w:jc w:val="both"/>
      </w:pPr>
      <w:r>
        <w:rPr>
          <w:sz w:val="20"/>
        </w:rPr>
        <w:t xml:space="preserve">21. При выдвижении кандидатов, указанных в </w:t>
      </w:r>
      <w:hyperlink w:history="0" w:anchor="P76" w:tooltip="1) кандидаты в члены общественного совета в количестве 3/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77"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bookmarkStart w:id="106" w:name="P106"/>
    <w:bookmarkEnd w:id="106"/>
    <w:p>
      <w:pPr>
        <w:pStyle w:val="0"/>
        <w:spacing w:before="200" w:line-rule="auto"/>
        <w:ind w:firstLine="540"/>
        <w:jc w:val="both"/>
      </w:pPr>
      <w:r>
        <w:rPr>
          <w:sz w:val="20"/>
        </w:rPr>
        <w:t xml:space="preserve">22. Министерство не позднее 14 рабочих дней со дня окончания приема документов, указанных в </w:t>
      </w:r>
      <w:hyperlink w:history="0" w:anchor="P100" w:tooltip="20.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20</w:t>
        </w:r>
      </w:hyperlink>
      <w:r>
        <w:rPr>
          <w:sz w:val="20"/>
        </w:rPr>
        <w:t xml:space="preserve">, </w:t>
      </w:r>
      <w:hyperlink w:history="0" w:anchor="P105" w:tooltip="21.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21</w:t>
        </w:r>
      </w:hyperlink>
      <w:r>
        <w:rPr>
          <w:sz w:val="20"/>
        </w:rPr>
        <w:t xml:space="preserve"> настоящего Положения, по согласованию с советом Общественной палаты Новосибирской области утверждает приказом министерства состав общественного совета, а также положение об общественном совете.</w:t>
      </w:r>
    </w:p>
    <w:p>
      <w:pPr>
        <w:pStyle w:val="0"/>
        <w:spacing w:before="200" w:line-rule="auto"/>
        <w:ind w:firstLine="540"/>
        <w:jc w:val="both"/>
      </w:pPr>
      <w:r>
        <w:rPr>
          <w:sz w:val="20"/>
        </w:rPr>
        <w:t xml:space="preserve">23.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министерством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министерство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министерством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74" w:tooltip="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пунктом 10</w:t>
        </w:r>
      </w:hyperlink>
      <w:r>
        <w:rPr>
          <w:sz w:val="20"/>
        </w:rPr>
        <w:t xml:space="preserve"> настоящего Положения.</w:t>
      </w:r>
    </w:p>
    <w:bookmarkStart w:id="111" w:name="P111"/>
    <w:bookmarkEnd w:id="111"/>
    <w:p>
      <w:pPr>
        <w:pStyle w:val="0"/>
        <w:spacing w:before="200" w:line-rule="auto"/>
        <w:ind w:firstLine="540"/>
        <w:jc w:val="both"/>
      </w:pPr>
      <w:r>
        <w:rPr>
          <w:sz w:val="20"/>
        </w:rPr>
        <w:t xml:space="preserve">24. В течение 5 рабочих дней со дня подписания приказа, указанного в </w:t>
      </w:r>
      <w:hyperlink w:history="0" w:anchor="P106" w:tooltip="22. Министерство не позднее 14 рабочих дней со дня окончания приема документов, указанных в пунктах 20, 21 настоящего Положения, по согласованию с советом Общественной палаты Новосибирской области утверждает приказом министерства состав общественного совета, а также положение об общественном совете.">
        <w:r>
          <w:rPr>
            <w:sz w:val="20"/>
            <w:color w:val="0000ff"/>
          </w:rPr>
          <w:t xml:space="preserve">пункте 22</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bookmarkStart w:id="112" w:name="P112"/>
    <w:bookmarkEnd w:id="112"/>
    <w:p>
      <w:pPr>
        <w:pStyle w:val="0"/>
        <w:spacing w:before="200" w:line-rule="auto"/>
        <w:ind w:firstLine="540"/>
        <w:jc w:val="both"/>
      </w:pPr>
      <w:r>
        <w:rPr>
          <w:sz w:val="20"/>
        </w:rPr>
        <w:t xml:space="preserve">25. Срок полномочий членов общественного совета составляет три года.</w:t>
      </w:r>
    </w:p>
    <w:p>
      <w:pPr>
        <w:pStyle w:val="0"/>
        <w:spacing w:before="200" w:line-rule="auto"/>
        <w:ind w:firstLine="540"/>
        <w:jc w:val="both"/>
      </w:pPr>
      <w:r>
        <w:rPr>
          <w:sz w:val="20"/>
        </w:rPr>
        <w:t xml:space="preserve">26.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 установленном </w:t>
      </w:r>
      <w:hyperlink w:history="0" w:anchor="P65"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27.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28.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29.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30. Заседания общественного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31.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министру.</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32.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7) в целях обобщения практики работы направляет в Общественную палату Новосибирской области и министерство ежегодный доклад;</w:t>
      </w:r>
    </w:p>
    <w:p>
      <w:pPr>
        <w:pStyle w:val="0"/>
        <w:spacing w:before="200" w:line-rule="auto"/>
        <w:ind w:firstLine="540"/>
        <w:jc w:val="both"/>
      </w:pPr>
      <w:r>
        <w:rPr>
          <w:sz w:val="20"/>
        </w:rPr>
        <w:t xml:space="preserve">8)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9)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33.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34.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министерства.</w:t>
      </w:r>
    </w:p>
    <w:p>
      <w:pPr>
        <w:pStyle w:val="0"/>
        <w:spacing w:before="200" w:line-rule="auto"/>
        <w:ind w:firstLine="540"/>
        <w:jc w:val="both"/>
      </w:pPr>
      <w:r>
        <w:rPr>
          <w:sz w:val="20"/>
        </w:rPr>
        <w:t xml:space="preserve">35.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spacing w:before="200" w:line-rule="auto"/>
        <w:ind w:firstLine="540"/>
        <w:jc w:val="both"/>
      </w:pPr>
      <w:r>
        <w:rPr>
          <w:sz w:val="20"/>
        </w:rPr>
        <w:t xml:space="preserve">36. Полномочия члена общественного совета прекращаются в случае:</w:t>
      </w:r>
    </w:p>
    <w:bookmarkStart w:id="160" w:name="P160"/>
    <w:bookmarkEnd w:id="160"/>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61" w:name="P161"/>
    <w:bookmarkEnd w:id="161"/>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1"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67" w:name="P167"/>
    <w:bookmarkEnd w:id="167"/>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10" w:tooltip="5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60"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министра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61" w:tooltip="2) смерти;">
        <w:r>
          <w:rPr>
            <w:sz w:val="20"/>
            <w:color w:val="0000ff"/>
          </w:rPr>
          <w:t xml:space="preserve">подпунктами 2</w:t>
        </w:r>
      </w:hyperlink>
      <w:r>
        <w:rPr>
          <w:sz w:val="20"/>
        </w:rPr>
        <w:t xml:space="preserve"> - </w:t>
      </w:r>
      <w:hyperlink w:history="0" w:anchor="P167"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министерства.</w:t>
      </w:r>
    </w:p>
    <w:bookmarkStart w:id="171" w:name="P171"/>
    <w:bookmarkEnd w:id="171"/>
    <w:p>
      <w:pPr>
        <w:pStyle w:val="0"/>
        <w:spacing w:before="200" w:line-rule="auto"/>
        <w:ind w:firstLine="540"/>
        <w:jc w:val="both"/>
      </w:pPr>
      <w:r>
        <w:rPr>
          <w:sz w:val="20"/>
        </w:rPr>
        <w:t xml:space="preserve">37.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w:t>
      </w:r>
    </w:p>
    <w:p>
      <w:pPr>
        <w:pStyle w:val="0"/>
        <w:spacing w:before="200" w:line-rule="auto"/>
        <w:ind w:firstLine="540"/>
        <w:jc w:val="both"/>
      </w:pPr>
      <w:r>
        <w:rPr>
          <w:sz w:val="20"/>
        </w:rPr>
        <w:t xml:space="preserve">В срок, предусмотренный </w:t>
      </w:r>
      <w:hyperlink w:history="0" w:anchor="P111" w:tooltip="24. В течение 5 рабочих дней со дня подписания приказа, указанного в пункте 22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
        <w:r>
          <w:rPr>
            <w:sz w:val="20"/>
            <w:color w:val="0000ff"/>
          </w:rPr>
          <w:t xml:space="preserve">пунктом 24</w:t>
        </w:r>
      </w:hyperlink>
      <w:r>
        <w:rPr>
          <w:sz w:val="20"/>
        </w:rPr>
        <w:t xml:space="preserve"> настоящего Положения, информация об изменении состава общественного совета размещается на официальном сайте министерства,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65"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38. Общественный совет досрочно прекращает свою деятельность в случае реорганизации, ликвидации министерства и в случае признания деятельности общественного совета неэффективной в соответствии с </w:t>
      </w:r>
      <w:hyperlink w:history="0" w:anchor="P171" w:tooltip="37.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
        <w:r>
          <w:rPr>
            <w:sz w:val="20"/>
            <w:color w:val="0000ff"/>
          </w:rPr>
          <w:t xml:space="preserve">пунктом 37</w:t>
        </w:r>
      </w:hyperlink>
      <w:r>
        <w:rPr>
          <w:sz w:val="20"/>
        </w:rPr>
        <w:t xml:space="preserve"> настоящего Положения.</w:t>
      </w:r>
    </w:p>
    <w:p>
      <w:pPr>
        <w:pStyle w:val="0"/>
        <w:spacing w:before="200" w:line-rule="auto"/>
        <w:ind w:firstLine="540"/>
        <w:jc w:val="both"/>
      </w:pPr>
      <w:r>
        <w:rPr>
          <w:sz w:val="20"/>
        </w:rPr>
        <w:t xml:space="preserve">39.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40.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p>
      <w:pPr>
        <w:pStyle w:val="0"/>
        <w:spacing w:before="200" w:line-rule="auto"/>
        <w:ind w:firstLine="540"/>
        <w:jc w:val="both"/>
      </w:pPr>
      <w:r>
        <w:rPr>
          <w:sz w:val="20"/>
        </w:rPr>
        <w:t xml:space="preserve">41.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министерством.</w:t>
      </w:r>
    </w:p>
    <w:p>
      <w:pPr>
        <w:pStyle w:val="0"/>
        <w:spacing w:before="200" w:line-rule="auto"/>
        <w:ind w:firstLine="540"/>
        <w:jc w:val="both"/>
      </w:pPr>
      <w:r>
        <w:rPr>
          <w:sz w:val="20"/>
        </w:rPr>
        <w:t xml:space="preserve">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 Формирование нового состава общественного совета осуществляется в порядке, установленном </w:t>
      </w:r>
      <w:hyperlink w:history="0" w:anchor="P65"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42.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43.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министерство. Срок хранения указанных документов не должен быть менее срока полномочий членов общественного совета, предусмотренного </w:t>
      </w:r>
      <w:hyperlink w:history="0" w:anchor="P112" w:tooltip="25. Срок полномочий членов общественного совета составляет три года.">
        <w:r>
          <w:rPr>
            <w:sz w:val="20"/>
            <w:color w:val="0000ff"/>
          </w:rPr>
          <w:t xml:space="preserve">пунктом 25</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 совета</w:t>
      </w:r>
    </w:p>
    <w:p>
      <w:pPr>
        <w:pStyle w:val="2"/>
        <w:jc w:val="center"/>
      </w:pPr>
      <w:r>
        <w:rPr>
          <w:sz w:val="20"/>
        </w:rPr>
        <w:t xml:space="preserve">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44. На официальном сайте министерства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45.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 общественного</w:t>
      </w:r>
    </w:p>
    <w:p>
      <w:pPr>
        <w:pStyle w:val="2"/>
        <w:jc w:val="center"/>
      </w:pPr>
      <w:r>
        <w:rPr>
          <w:sz w:val="20"/>
        </w:rPr>
        <w:t xml:space="preserve">контроля общественным советом</w:t>
      </w:r>
    </w:p>
    <w:p>
      <w:pPr>
        <w:pStyle w:val="0"/>
        <w:ind w:firstLine="540"/>
        <w:jc w:val="both"/>
      </w:pPr>
      <w:r>
        <w:rPr>
          <w:sz w:val="20"/>
        </w:rPr>
      </w:r>
    </w:p>
    <w:p>
      <w:pPr>
        <w:pStyle w:val="0"/>
        <w:ind w:firstLine="540"/>
        <w:jc w:val="both"/>
      </w:pPr>
      <w:r>
        <w:rPr>
          <w:sz w:val="20"/>
        </w:rPr>
        <w:t xml:space="preserve">46. Общественный совет вправе осуществлять общественный контроль одновременно в нескольких формах, указанных в Федеральном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47. Общественным советом устанавливается порядок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2"/>
        <w:outlineLvl w:val="1"/>
        <w:jc w:val="center"/>
      </w:pPr>
      <w:r>
        <w:rPr>
          <w:sz w:val="20"/>
        </w:rPr>
        <w:t xml:space="preserve">VII. Конфликт интересов</w:t>
      </w:r>
    </w:p>
    <w:p>
      <w:pPr>
        <w:pStyle w:val="0"/>
        <w:ind w:firstLine="540"/>
        <w:jc w:val="both"/>
      </w:pPr>
      <w:r>
        <w:rPr>
          <w:sz w:val="20"/>
        </w:rPr>
      </w:r>
    </w:p>
    <w:p>
      <w:pPr>
        <w:pStyle w:val="0"/>
        <w:ind w:firstLine="540"/>
        <w:jc w:val="both"/>
      </w:pPr>
      <w:r>
        <w:rPr>
          <w:sz w:val="20"/>
        </w:rPr>
        <w:t xml:space="preserve">48.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49.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50.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10" w:name="P210"/>
    <w:bookmarkEnd w:id="210"/>
    <w:p>
      <w:pPr>
        <w:pStyle w:val="0"/>
        <w:spacing w:before="200" w:line-rule="auto"/>
        <w:ind w:firstLine="540"/>
        <w:jc w:val="both"/>
      </w:pPr>
      <w:r>
        <w:rPr>
          <w:sz w:val="20"/>
        </w:rPr>
        <w:t xml:space="preserve">52.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34" w:name="P234"/>
    <w:bookmarkEnd w:id="234"/>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w:t>
      </w:r>
    </w:p>
    <w:p>
      <w:pPr>
        <w:pStyle w:val="1"/>
        <w:jc w:val="both"/>
      </w:pPr>
      <w:r>
        <w:rPr>
          <w:sz w:val="20"/>
        </w:rPr>
        <w:t xml:space="preserve">                    строительства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прошу  включить  меня  в  состав  общественного  совета по строительству на</w:t>
      </w:r>
    </w:p>
    <w:p>
      <w:pPr>
        <w:pStyle w:val="1"/>
        <w:jc w:val="both"/>
      </w:pPr>
      <w:r>
        <w:rPr>
          <w:sz w:val="20"/>
        </w:rPr>
        <w:t xml:space="preserve">территории Новосибирской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по строительству на</w:t>
      </w:r>
    </w:p>
    <w:p>
      <w:pPr>
        <w:pStyle w:val="1"/>
        <w:jc w:val="both"/>
      </w:pPr>
      <w:r>
        <w:rPr>
          <w:sz w:val="20"/>
        </w:rPr>
        <w:t xml:space="preserve">территории  Новосибирской  области,  и выражаю свое согласие войти в состав</w:t>
      </w:r>
    </w:p>
    <w:p>
      <w:pPr>
        <w:pStyle w:val="1"/>
        <w:jc w:val="both"/>
      </w:pPr>
      <w:r>
        <w:rPr>
          <w:sz w:val="20"/>
        </w:rPr>
        <w:t xml:space="preserve">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                 содержащего предложение о выдвижении кандидата</w:t>
      </w:r>
    </w:p>
    <w:p>
      <w:pPr>
        <w:pStyle w:val="1"/>
        <w:jc w:val="both"/>
      </w:pPr>
      <w:r>
        <w:rPr>
          <w:sz w:val="20"/>
        </w:rPr>
        <w:t xml:space="preserve">                   в члены общественного совета (при наличии)</w:t>
      </w:r>
    </w:p>
    <w:p>
      <w:pPr>
        <w:pStyle w:val="1"/>
        <w:jc w:val="both"/>
      </w:pPr>
      <w:r>
        <w:rPr>
          <w:sz w:val="20"/>
        </w:rPr>
      </w:r>
    </w:p>
    <w:p>
      <w:pPr>
        <w:pStyle w:val="1"/>
        <w:jc w:val="both"/>
      </w:pPr>
      <w:r>
        <w:rPr>
          <w:sz w:val="20"/>
        </w:rPr>
        <w:t xml:space="preserve">"___" __________ 20___ г. _______________/_________________________________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271" w:name="P271"/>
    <w:bookmarkEnd w:id="271"/>
    <w:p>
      <w:pPr>
        <w:pStyle w:val="0"/>
        <w:jc w:val="center"/>
      </w:pPr>
      <w:r>
        <w:rPr>
          <w:sz w:val="20"/>
        </w:rPr>
        <w:t xml:space="preserve">АНКЕТА</w:t>
      </w:r>
    </w:p>
    <w:p>
      <w:pPr>
        <w:pStyle w:val="0"/>
        <w:jc w:val="center"/>
      </w:pPr>
      <w:r>
        <w:rPr>
          <w:sz w:val="20"/>
        </w:rPr>
        <w:t xml:space="preserve">кандидата в общественный совет при министерстве</w:t>
      </w:r>
    </w:p>
    <w:p>
      <w:pPr>
        <w:pStyle w:val="0"/>
        <w:jc w:val="center"/>
      </w:pPr>
      <w:r>
        <w:rPr>
          <w:sz w:val="20"/>
        </w:rPr>
        <w:t xml:space="preserve">строительства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932"/>
        <w:gridCol w:w="3571"/>
      </w:tblGrid>
      <w:tr>
        <w:tc>
          <w:tcPr>
            <w:tcW w:w="566" w:type="dxa"/>
          </w:tcPr>
          <w:p>
            <w:pPr>
              <w:pStyle w:val="0"/>
              <w:jc w:val="center"/>
            </w:pPr>
            <w:r>
              <w:rPr>
                <w:sz w:val="20"/>
              </w:rPr>
              <w:t xml:space="preserve">N п/п</w:t>
            </w:r>
          </w:p>
        </w:tc>
        <w:tc>
          <w:tcPr>
            <w:tcW w:w="4932" w:type="dxa"/>
          </w:tcPr>
          <w:p>
            <w:pPr>
              <w:pStyle w:val="0"/>
              <w:jc w:val="center"/>
            </w:pPr>
            <w:r>
              <w:rPr>
                <w:sz w:val="20"/>
              </w:rPr>
              <w:t xml:space="preserve">Сведения о кандидате</w:t>
            </w:r>
          </w:p>
        </w:tc>
        <w:tc>
          <w:tcPr>
            <w:tcW w:w="3571"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4932" w:type="dxa"/>
          </w:tcPr>
          <w:p>
            <w:pPr>
              <w:pStyle w:val="0"/>
            </w:pPr>
            <w:r>
              <w:rPr>
                <w:sz w:val="20"/>
              </w:rPr>
              <w:t xml:space="preserve">Фамилия, имя, отчество (при наличии)</w:t>
            </w:r>
          </w:p>
        </w:tc>
        <w:tc>
          <w:tcPr>
            <w:tcW w:w="3571" w:type="dxa"/>
          </w:tcPr>
          <w:p>
            <w:pPr>
              <w:pStyle w:val="0"/>
            </w:pPr>
            <w:r>
              <w:rPr>
                <w:sz w:val="20"/>
              </w:rPr>
            </w:r>
          </w:p>
        </w:tc>
      </w:tr>
      <w:tr>
        <w:tc>
          <w:tcPr>
            <w:tcW w:w="566" w:type="dxa"/>
          </w:tcPr>
          <w:p>
            <w:pPr>
              <w:pStyle w:val="0"/>
              <w:jc w:val="center"/>
            </w:pPr>
            <w:r>
              <w:rPr>
                <w:sz w:val="20"/>
              </w:rPr>
              <w:t xml:space="preserve">2</w:t>
            </w:r>
          </w:p>
        </w:tc>
        <w:tc>
          <w:tcPr>
            <w:tcW w:w="4932" w:type="dxa"/>
          </w:tcPr>
          <w:p>
            <w:pPr>
              <w:pStyle w:val="0"/>
            </w:pPr>
            <w:r>
              <w:rPr>
                <w:sz w:val="20"/>
              </w:rPr>
              <w:t xml:space="preserve">Должность</w:t>
            </w:r>
          </w:p>
        </w:tc>
        <w:tc>
          <w:tcPr>
            <w:tcW w:w="3571" w:type="dxa"/>
          </w:tcPr>
          <w:p>
            <w:pPr>
              <w:pStyle w:val="0"/>
            </w:pPr>
            <w:r>
              <w:rPr>
                <w:sz w:val="20"/>
              </w:rPr>
            </w:r>
          </w:p>
        </w:tc>
      </w:tr>
      <w:tr>
        <w:tc>
          <w:tcPr>
            <w:tcW w:w="566" w:type="dxa"/>
          </w:tcPr>
          <w:p>
            <w:pPr>
              <w:pStyle w:val="0"/>
              <w:jc w:val="center"/>
            </w:pPr>
            <w:r>
              <w:rPr>
                <w:sz w:val="20"/>
              </w:rPr>
              <w:t xml:space="preserve">3</w:t>
            </w:r>
          </w:p>
        </w:tc>
        <w:tc>
          <w:tcPr>
            <w:tcW w:w="4932" w:type="dxa"/>
          </w:tcPr>
          <w:p>
            <w:pPr>
              <w:pStyle w:val="0"/>
            </w:pPr>
            <w:r>
              <w:rPr>
                <w:sz w:val="20"/>
              </w:rPr>
              <w:t xml:space="preserve">Дата рождения</w:t>
            </w:r>
          </w:p>
        </w:tc>
        <w:tc>
          <w:tcPr>
            <w:tcW w:w="3571" w:type="dxa"/>
          </w:tcPr>
          <w:p>
            <w:pPr>
              <w:pStyle w:val="0"/>
            </w:pPr>
            <w:r>
              <w:rPr>
                <w:sz w:val="20"/>
              </w:rPr>
            </w:r>
          </w:p>
        </w:tc>
      </w:tr>
      <w:tr>
        <w:tc>
          <w:tcPr>
            <w:tcW w:w="566" w:type="dxa"/>
          </w:tcPr>
          <w:p>
            <w:pPr>
              <w:pStyle w:val="0"/>
              <w:jc w:val="center"/>
            </w:pPr>
            <w:r>
              <w:rPr>
                <w:sz w:val="20"/>
              </w:rPr>
              <w:t xml:space="preserve">4</w:t>
            </w:r>
          </w:p>
        </w:tc>
        <w:tc>
          <w:tcPr>
            <w:tcW w:w="4932" w:type="dxa"/>
          </w:tcPr>
          <w:p>
            <w:pPr>
              <w:pStyle w:val="0"/>
            </w:pPr>
            <w:r>
              <w:rPr>
                <w:sz w:val="20"/>
              </w:rPr>
              <w:t xml:space="preserve">Место жительства</w:t>
            </w:r>
          </w:p>
        </w:tc>
        <w:tc>
          <w:tcPr>
            <w:tcW w:w="3571" w:type="dxa"/>
          </w:tcPr>
          <w:p>
            <w:pPr>
              <w:pStyle w:val="0"/>
            </w:pPr>
            <w:r>
              <w:rPr>
                <w:sz w:val="20"/>
              </w:rPr>
            </w:r>
          </w:p>
        </w:tc>
      </w:tr>
      <w:tr>
        <w:tc>
          <w:tcPr>
            <w:tcW w:w="566" w:type="dxa"/>
          </w:tcPr>
          <w:p>
            <w:pPr>
              <w:pStyle w:val="0"/>
              <w:jc w:val="center"/>
            </w:pPr>
            <w:r>
              <w:rPr>
                <w:sz w:val="20"/>
              </w:rPr>
              <w:t xml:space="preserve">5</w:t>
            </w:r>
          </w:p>
        </w:tc>
        <w:tc>
          <w:tcPr>
            <w:tcW w:w="4932" w:type="dxa"/>
          </w:tcPr>
          <w:p>
            <w:pPr>
              <w:pStyle w:val="0"/>
            </w:pPr>
            <w:r>
              <w:rPr>
                <w:sz w:val="20"/>
              </w:rPr>
              <w:t xml:space="preserve">Контактный телефон</w:t>
            </w:r>
          </w:p>
        </w:tc>
        <w:tc>
          <w:tcPr>
            <w:tcW w:w="3571" w:type="dxa"/>
          </w:tcPr>
          <w:p>
            <w:pPr>
              <w:pStyle w:val="0"/>
            </w:pPr>
            <w:r>
              <w:rPr>
                <w:sz w:val="20"/>
              </w:rPr>
            </w:r>
          </w:p>
        </w:tc>
      </w:tr>
      <w:tr>
        <w:tc>
          <w:tcPr>
            <w:tcW w:w="566" w:type="dxa"/>
          </w:tcPr>
          <w:p>
            <w:pPr>
              <w:pStyle w:val="0"/>
              <w:jc w:val="center"/>
            </w:pPr>
            <w:r>
              <w:rPr>
                <w:sz w:val="20"/>
              </w:rPr>
              <w:t xml:space="preserve">6</w:t>
            </w:r>
          </w:p>
        </w:tc>
        <w:tc>
          <w:tcPr>
            <w:tcW w:w="4932" w:type="dxa"/>
          </w:tcPr>
          <w:p>
            <w:pPr>
              <w:pStyle w:val="0"/>
            </w:pPr>
            <w:r>
              <w:rPr>
                <w:sz w:val="20"/>
              </w:rPr>
              <w:t xml:space="preserve">E-mail (при наличии)</w:t>
            </w:r>
          </w:p>
        </w:tc>
        <w:tc>
          <w:tcPr>
            <w:tcW w:w="3571" w:type="dxa"/>
          </w:tcPr>
          <w:p>
            <w:pPr>
              <w:pStyle w:val="0"/>
            </w:pPr>
            <w:r>
              <w:rPr>
                <w:sz w:val="20"/>
              </w:rPr>
            </w:r>
          </w:p>
        </w:tc>
      </w:tr>
      <w:tr>
        <w:tc>
          <w:tcPr>
            <w:tcW w:w="566" w:type="dxa"/>
          </w:tcPr>
          <w:p>
            <w:pPr>
              <w:pStyle w:val="0"/>
              <w:jc w:val="center"/>
            </w:pPr>
            <w:r>
              <w:rPr>
                <w:sz w:val="20"/>
              </w:rPr>
              <w:t xml:space="preserve">7</w:t>
            </w:r>
          </w:p>
        </w:tc>
        <w:tc>
          <w:tcPr>
            <w:tcW w:w="4932" w:type="dxa"/>
          </w:tcPr>
          <w:p>
            <w:pPr>
              <w:pStyle w:val="0"/>
            </w:pPr>
            <w:r>
              <w:rPr>
                <w:sz w:val="20"/>
              </w:rPr>
              <w:t xml:space="preserve">Уровень образования, наименование учебного заведения</w:t>
            </w:r>
          </w:p>
        </w:tc>
        <w:tc>
          <w:tcPr>
            <w:tcW w:w="3571" w:type="dxa"/>
          </w:tcPr>
          <w:p>
            <w:pPr>
              <w:pStyle w:val="0"/>
            </w:pPr>
            <w:r>
              <w:rPr>
                <w:sz w:val="20"/>
              </w:rPr>
            </w:r>
          </w:p>
        </w:tc>
      </w:tr>
      <w:tr>
        <w:tc>
          <w:tcPr>
            <w:tcW w:w="566" w:type="dxa"/>
          </w:tcPr>
          <w:p>
            <w:pPr>
              <w:pStyle w:val="0"/>
              <w:jc w:val="center"/>
            </w:pPr>
            <w:r>
              <w:rPr>
                <w:sz w:val="20"/>
              </w:rPr>
              <w:t xml:space="preserve">8</w:t>
            </w:r>
          </w:p>
        </w:tc>
        <w:tc>
          <w:tcPr>
            <w:tcW w:w="4932" w:type="dxa"/>
          </w:tcPr>
          <w:p>
            <w:pPr>
              <w:pStyle w:val="0"/>
            </w:pPr>
            <w:r>
              <w:rPr>
                <w:sz w:val="20"/>
              </w:rPr>
              <w:t xml:space="preserve">Наличие ученого звания, ученой степени</w:t>
            </w:r>
          </w:p>
        </w:tc>
        <w:tc>
          <w:tcPr>
            <w:tcW w:w="3571" w:type="dxa"/>
          </w:tcPr>
          <w:p>
            <w:pPr>
              <w:pStyle w:val="0"/>
            </w:pPr>
            <w:r>
              <w:rPr>
                <w:sz w:val="20"/>
              </w:rPr>
            </w:r>
          </w:p>
        </w:tc>
      </w:tr>
      <w:tr>
        <w:tc>
          <w:tcPr>
            <w:tcW w:w="566" w:type="dxa"/>
          </w:tcPr>
          <w:p>
            <w:pPr>
              <w:pStyle w:val="0"/>
              <w:jc w:val="center"/>
            </w:pPr>
            <w:r>
              <w:rPr>
                <w:sz w:val="20"/>
              </w:rPr>
              <w:t xml:space="preserve">9</w:t>
            </w:r>
          </w:p>
        </w:tc>
        <w:tc>
          <w:tcPr>
            <w:tcW w:w="4932" w:type="dxa"/>
          </w:tcPr>
          <w:p>
            <w:pPr>
              <w:pStyle w:val="0"/>
            </w:pPr>
            <w:r>
              <w:rPr>
                <w:sz w:val="20"/>
              </w:rPr>
              <w:t xml:space="preserve">Трудовая деятельность за последние 5 лет</w:t>
            </w:r>
          </w:p>
        </w:tc>
        <w:tc>
          <w:tcPr>
            <w:tcW w:w="3571" w:type="dxa"/>
          </w:tcPr>
          <w:p>
            <w:pPr>
              <w:pStyle w:val="0"/>
            </w:pPr>
            <w:r>
              <w:rPr>
                <w:sz w:val="20"/>
              </w:rPr>
            </w:r>
          </w:p>
        </w:tc>
      </w:tr>
      <w:tr>
        <w:tc>
          <w:tcPr>
            <w:tcW w:w="566" w:type="dxa"/>
          </w:tcPr>
          <w:p>
            <w:pPr>
              <w:pStyle w:val="0"/>
              <w:jc w:val="center"/>
            </w:pPr>
            <w:r>
              <w:rPr>
                <w:sz w:val="20"/>
              </w:rPr>
              <w:t xml:space="preserve">10</w:t>
            </w:r>
          </w:p>
        </w:tc>
        <w:tc>
          <w:tcPr>
            <w:tcW w:w="4932" w:type="dxa"/>
          </w:tcPr>
          <w:p>
            <w:pPr>
              <w:pStyle w:val="0"/>
            </w:pPr>
            <w:r>
              <w:rPr>
                <w:sz w:val="20"/>
              </w:rPr>
              <w:t xml:space="preserve">Общественная деятельность</w:t>
            </w:r>
          </w:p>
        </w:tc>
        <w:tc>
          <w:tcPr>
            <w:tcW w:w="3571" w:type="dxa"/>
          </w:tcPr>
          <w:p>
            <w:pPr>
              <w:pStyle w:val="0"/>
            </w:pPr>
            <w:r>
              <w:rPr>
                <w:sz w:val="20"/>
              </w:rPr>
            </w:r>
          </w:p>
        </w:tc>
      </w:tr>
      <w:tr>
        <w:tc>
          <w:tcPr>
            <w:tcW w:w="566" w:type="dxa"/>
          </w:tcPr>
          <w:p>
            <w:pPr>
              <w:pStyle w:val="0"/>
              <w:jc w:val="center"/>
            </w:pPr>
            <w:r>
              <w:rPr>
                <w:sz w:val="20"/>
              </w:rPr>
              <w:t xml:space="preserve">11</w:t>
            </w:r>
          </w:p>
        </w:tc>
        <w:tc>
          <w:tcPr>
            <w:tcW w:w="4932" w:type="dxa"/>
          </w:tcPr>
          <w:p>
            <w:pPr>
              <w:pStyle w:val="0"/>
            </w:pPr>
            <w:r>
              <w:rPr>
                <w:sz w:val="20"/>
              </w:rPr>
              <w:t xml:space="preserve">Наличие (отсутствие) неснятой или непогашенной судимости</w:t>
            </w:r>
          </w:p>
        </w:tc>
        <w:tc>
          <w:tcPr>
            <w:tcW w:w="3571" w:type="dxa"/>
          </w:tcPr>
          <w:p>
            <w:pPr>
              <w:pStyle w:val="0"/>
            </w:pPr>
            <w:r>
              <w:rPr>
                <w:sz w:val="20"/>
              </w:rPr>
            </w:r>
          </w:p>
        </w:tc>
      </w:tr>
      <w:tr>
        <w:tc>
          <w:tcPr>
            <w:tcW w:w="566" w:type="dxa"/>
          </w:tcPr>
          <w:p>
            <w:pPr>
              <w:pStyle w:val="0"/>
              <w:jc w:val="center"/>
            </w:pPr>
            <w:r>
              <w:rPr>
                <w:sz w:val="20"/>
              </w:rPr>
              <w:t xml:space="preserve">12</w:t>
            </w:r>
          </w:p>
        </w:tc>
        <w:tc>
          <w:tcPr>
            <w:tcW w:w="4932" w:type="dxa"/>
          </w:tcPr>
          <w:p>
            <w:pPr>
              <w:pStyle w:val="0"/>
            </w:pPr>
            <w:r>
              <w:rPr>
                <w:sz w:val="20"/>
              </w:rPr>
              <w:t xml:space="preserve">Дополнительная информация</w:t>
            </w:r>
          </w:p>
        </w:tc>
        <w:tc>
          <w:tcPr>
            <w:tcW w:w="357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pStyle w:val="0"/>
        <w:ind w:firstLine="540"/>
        <w:jc w:val="both"/>
      </w:pPr>
      <w:r>
        <w:rPr>
          <w:sz w:val="20"/>
        </w:rPr>
      </w:r>
    </w:p>
    <w:bookmarkStart w:id="325" w:name="P325"/>
    <w:bookmarkEnd w:id="325"/>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2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w:t>
      </w:r>
    </w:p>
    <w:p>
      <w:pPr>
        <w:pStyle w:val="1"/>
        <w:jc w:val="both"/>
      </w:pPr>
      <w:r>
        <w:rPr>
          <w:sz w:val="20"/>
        </w:rPr>
        <w:t xml:space="preserve">__________________________________________________________________________,</w:t>
      </w:r>
    </w:p>
    <w:p>
      <w:pPr>
        <w:pStyle w:val="1"/>
        <w:jc w:val="both"/>
      </w:pPr>
      <w:r>
        <w:rPr>
          <w:sz w:val="20"/>
        </w:rPr>
        <w:t xml:space="preserve">          (Общественной палате Новосибирской области/наименование</w:t>
      </w:r>
    </w:p>
    <w:p>
      <w:pPr>
        <w:pStyle w:val="1"/>
        <w:jc w:val="both"/>
      </w:pPr>
      <w:r>
        <w:rPr>
          <w:sz w:val="20"/>
        </w:rPr>
        <w:t xml:space="preserve">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министерстве  строительства</w:t>
      </w:r>
    </w:p>
    <w:p>
      <w:pPr>
        <w:pStyle w:val="1"/>
        <w:jc w:val="both"/>
      </w:pPr>
      <w:r>
        <w:rPr>
          <w:sz w:val="20"/>
        </w:rPr>
        <w:t xml:space="preserve">Новосибирской области.</w:t>
      </w:r>
    </w:p>
    <w:p>
      <w:pPr>
        <w:pStyle w:val="0"/>
        <w:ind w:firstLine="540"/>
        <w:jc w:val="both"/>
      </w:pPr>
      <w:r>
        <w:rPr>
          <w:sz w:val="20"/>
        </w:rPr>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министерства строительства Новосибирской области (далее - министерство) в информационно-телекоммуникационной сети Интернет и (или) на странице министерства,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21"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 __________ 20___ г. _______________/_________________________________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377" w:name="P377"/>
    <w:bookmarkEnd w:id="377"/>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министерстве  строительства  Новосибирской  области  и  при  которой  может</w:t>
      </w:r>
    </w:p>
    <w:p>
      <w:pPr>
        <w:pStyle w:val="1"/>
        <w:jc w:val="both"/>
      </w:pPr>
      <w:r>
        <w:rPr>
          <w:sz w:val="20"/>
        </w:rPr>
        <w:t xml:space="preserve">возникнуть    противоречие    между    личной   заинтересованностью   члена</w:t>
      </w:r>
    </w:p>
    <w:p>
      <w:pPr>
        <w:pStyle w:val="1"/>
        <w:jc w:val="both"/>
      </w:pPr>
      <w:r>
        <w:rPr>
          <w:sz w:val="20"/>
        </w:rPr>
        <w:t xml:space="preserve">общественного   совета   и   целями,  и  задачами  общественного  контроля,</w:t>
      </w:r>
    </w:p>
    <w:p>
      <w:pPr>
        <w:pStyle w:val="1"/>
        <w:jc w:val="both"/>
      </w:pPr>
      <w:r>
        <w:rPr>
          <w:sz w:val="20"/>
        </w:rPr>
        <w:t xml:space="preserve">установленными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w:t>
      </w:r>
    </w:p>
    <w:p>
      <w:pPr>
        <w:pStyle w:val="1"/>
        <w:jc w:val="both"/>
      </w:pPr>
      <w:r>
        <w:rPr>
          <w:sz w:val="20"/>
        </w:rPr>
        <w:t xml:space="preserve">общественного контроля в Российской Федерации".</w:t>
      </w:r>
    </w:p>
    <w:p>
      <w:pPr>
        <w:pStyle w:val="1"/>
        <w:jc w:val="both"/>
      </w:pPr>
      <w:r>
        <w:rPr>
          <w:sz w:val="20"/>
        </w:rPr>
      </w:r>
    </w:p>
    <w:p>
      <w:pPr>
        <w:pStyle w:val="1"/>
        <w:jc w:val="both"/>
      </w:pPr>
      <w:r>
        <w:rPr>
          <w:sz w:val="20"/>
        </w:rPr>
        <w:t xml:space="preserve">_______________/________________________________/ "___" __________ 20___ г.</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строительства</w:t>
      </w:r>
    </w:p>
    <w:p>
      <w:pPr>
        <w:pStyle w:val="0"/>
        <w:jc w:val="right"/>
      </w:pPr>
      <w:r>
        <w:rPr>
          <w:sz w:val="20"/>
        </w:rPr>
        <w:t xml:space="preserve">Новосибирской области</w:t>
      </w:r>
    </w:p>
    <w:p>
      <w:pPr>
        <w:pStyle w:val="0"/>
        <w:jc w:val="right"/>
      </w:pPr>
      <w:r>
        <w:rPr>
          <w:sz w:val="20"/>
        </w:rPr>
        <w:t xml:space="preserve">от 22.12.2023 N 219-НПА</w:t>
      </w:r>
    </w:p>
    <w:p>
      <w:pPr>
        <w:pStyle w:val="0"/>
        <w:ind w:firstLine="540"/>
        <w:jc w:val="both"/>
      </w:pPr>
      <w:r>
        <w:rPr>
          <w:sz w:val="20"/>
        </w:rPr>
      </w:r>
    </w:p>
    <w:bookmarkStart w:id="403" w:name="P403"/>
    <w:bookmarkEnd w:id="403"/>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СТРОИТЕЛЬСТВА НОВОСИБИРСКОЙ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91"/>
        <w:gridCol w:w="397"/>
        <w:gridCol w:w="5783"/>
      </w:tblGrid>
      <w:tr>
        <w:tc>
          <w:tcPr>
            <w:gridSpan w:val="3"/>
            <w:tcW w:w="9071" w:type="dxa"/>
            <w:tcBorders>
              <w:top w:val="nil"/>
              <w:left w:val="nil"/>
              <w:bottom w:val="nil"/>
              <w:right w:val="nil"/>
            </w:tcBorders>
          </w:tcPr>
          <w:p>
            <w:pPr>
              <w:pStyle w:val="0"/>
              <w:jc w:val="center"/>
            </w:pPr>
            <w:r>
              <w:rPr>
                <w:sz w:val="20"/>
              </w:rPr>
              <w:t xml:space="preserve">Члены Совета:</w:t>
            </w:r>
          </w:p>
        </w:tc>
      </w:tr>
      <w:tr>
        <w:tc>
          <w:tcPr>
            <w:tcW w:w="2891" w:type="dxa"/>
            <w:tcBorders>
              <w:top w:val="nil"/>
              <w:left w:val="nil"/>
              <w:bottom w:val="nil"/>
              <w:right w:val="nil"/>
            </w:tcBorders>
          </w:tcPr>
          <w:p>
            <w:pPr>
              <w:pStyle w:val="0"/>
            </w:pPr>
            <w:r>
              <w:rPr>
                <w:sz w:val="20"/>
              </w:rPr>
              <w:t xml:space="preserve">Багрова</w:t>
            </w:r>
          </w:p>
          <w:p>
            <w:pPr>
              <w:pStyle w:val="0"/>
            </w:pPr>
            <w:r>
              <w:rPr>
                <w:sz w:val="20"/>
              </w:rPr>
              <w:t xml:space="preserve">Наталья Викторовна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"Новосибирский государственный университет архитектуры, дизайна и искусств им. А.Д. Крячкова", профессор кафедры архитектуры, доктор культурологии;</w:t>
            </w:r>
          </w:p>
        </w:tc>
      </w:tr>
      <w:tr>
        <w:tc>
          <w:tcPr>
            <w:tcW w:w="2891" w:type="dxa"/>
            <w:tcBorders>
              <w:top w:val="nil"/>
              <w:left w:val="nil"/>
              <w:bottom w:val="nil"/>
              <w:right w:val="nil"/>
            </w:tcBorders>
          </w:tcPr>
          <w:p>
            <w:pPr>
              <w:pStyle w:val="0"/>
            </w:pPr>
            <w:r>
              <w:rPr>
                <w:sz w:val="20"/>
              </w:rPr>
              <w:t xml:space="preserve">Брацун</w:t>
            </w:r>
          </w:p>
          <w:p>
            <w:pPr>
              <w:pStyle w:val="0"/>
            </w:pPr>
            <w:r>
              <w:rPr>
                <w:sz w:val="20"/>
              </w:rPr>
              <w:t xml:space="preserve">Виктор Захарович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Совета ветеранов регионального отраслевого объединения работодателей "Союз строителей Новосибирской области";</w:t>
            </w:r>
          </w:p>
        </w:tc>
      </w:tr>
      <w:tr>
        <w:tc>
          <w:tcPr>
            <w:tcW w:w="2891" w:type="dxa"/>
            <w:tcBorders>
              <w:top w:val="nil"/>
              <w:left w:val="nil"/>
              <w:bottom w:val="nil"/>
              <w:right w:val="nil"/>
            </w:tcBorders>
          </w:tcPr>
          <w:p>
            <w:pPr>
              <w:pStyle w:val="0"/>
            </w:pPr>
            <w:r>
              <w:rPr>
                <w:sz w:val="20"/>
              </w:rPr>
              <w:t xml:space="preserve">Воронин</w:t>
            </w:r>
          </w:p>
          <w:p>
            <w:pPr>
              <w:pStyle w:val="0"/>
            </w:pPr>
            <w:r>
              <w:rPr>
                <w:sz w:val="20"/>
              </w:rPr>
              <w:t xml:space="preserve">Александр Алексеевич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АО "Бердский строительный трест";</w:t>
            </w:r>
          </w:p>
        </w:tc>
      </w:tr>
      <w:tr>
        <w:tc>
          <w:tcPr>
            <w:tcW w:w="2891" w:type="dxa"/>
            <w:tcBorders>
              <w:top w:val="nil"/>
              <w:left w:val="nil"/>
              <w:bottom w:val="nil"/>
              <w:right w:val="nil"/>
            </w:tcBorders>
          </w:tcPr>
          <w:p>
            <w:pPr>
              <w:pStyle w:val="0"/>
            </w:pPr>
            <w:r>
              <w:rPr>
                <w:sz w:val="20"/>
              </w:rPr>
              <w:t xml:space="preserve">Голощапов</w:t>
            </w:r>
          </w:p>
          <w:p>
            <w:pPr>
              <w:pStyle w:val="0"/>
            </w:pPr>
            <w:r>
              <w:rPr>
                <w:sz w:val="20"/>
              </w:rPr>
              <w:t xml:space="preserve">Станислав Владимирович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административно-хозяйственного отдела, заведующий отделением "Многофункциональный центр" ГАПОУ НСО "Новосибирский архитектурно-строительный колледж";</w:t>
            </w:r>
          </w:p>
        </w:tc>
      </w:tr>
      <w:tr>
        <w:tc>
          <w:tcPr>
            <w:tcW w:w="2891" w:type="dxa"/>
            <w:tcBorders>
              <w:top w:val="nil"/>
              <w:left w:val="nil"/>
              <w:bottom w:val="nil"/>
              <w:right w:val="nil"/>
            </w:tcBorders>
          </w:tcPr>
          <w:p>
            <w:pPr>
              <w:pStyle w:val="0"/>
            </w:pPr>
            <w:r>
              <w:rPr>
                <w:sz w:val="20"/>
              </w:rPr>
              <w:t xml:space="preserve">Долнаков</w:t>
            </w:r>
          </w:p>
          <w:p>
            <w:pPr>
              <w:pStyle w:val="0"/>
            </w:pPr>
            <w:r>
              <w:rPr>
                <w:sz w:val="20"/>
              </w:rPr>
              <w:t xml:space="preserve">Петр Александрович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ООО "ЗАПСИБНИИПРОЕКТ-2";</w:t>
            </w:r>
          </w:p>
        </w:tc>
      </w:tr>
      <w:tr>
        <w:tc>
          <w:tcPr>
            <w:tcW w:w="2891" w:type="dxa"/>
            <w:tcBorders>
              <w:top w:val="nil"/>
              <w:left w:val="nil"/>
              <w:bottom w:val="nil"/>
              <w:right w:val="nil"/>
            </w:tcBorders>
          </w:tcPr>
          <w:p>
            <w:pPr>
              <w:pStyle w:val="0"/>
            </w:pPr>
            <w:r>
              <w:rPr>
                <w:sz w:val="20"/>
              </w:rPr>
              <w:t xml:space="preserve">Евдокименко</w:t>
            </w:r>
          </w:p>
          <w:p>
            <w:pPr>
              <w:pStyle w:val="0"/>
            </w:pPr>
            <w:r>
              <w:rPr>
                <w:sz w:val="20"/>
              </w:rPr>
              <w:t xml:space="preserve">Александр Сергеевич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первый проректор Федерального государственного бюджетного образовательного учреждения высшего образования "Новосибирский государственный архитектурно-строительный университет (Сибстрин)";</w:t>
            </w:r>
          </w:p>
        </w:tc>
      </w:tr>
      <w:tr>
        <w:tc>
          <w:tcPr>
            <w:tcW w:w="2891" w:type="dxa"/>
            <w:tcBorders>
              <w:top w:val="nil"/>
              <w:left w:val="nil"/>
              <w:bottom w:val="nil"/>
              <w:right w:val="nil"/>
            </w:tcBorders>
          </w:tcPr>
          <w:p>
            <w:pPr>
              <w:pStyle w:val="0"/>
            </w:pPr>
            <w:r>
              <w:rPr>
                <w:sz w:val="20"/>
              </w:rPr>
              <w:t xml:space="preserve">Коновалова</w:t>
            </w:r>
          </w:p>
          <w:p>
            <w:pPr>
              <w:pStyle w:val="0"/>
            </w:pPr>
            <w:r>
              <w:rPr>
                <w:sz w:val="20"/>
              </w:rPr>
              <w:t xml:space="preserve">Елена Владимировна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исполнительный директор Ассоциации Региональное отраслевое объединение работодателей "Саморегулируемая организация строителей Сибирского региона";</w:t>
            </w:r>
          </w:p>
        </w:tc>
      </w:tr>
      <w:tr>
        <w:tc>
          <w:tcPr>
            <w:tcW w:w="2891" w:type="dxa"/>
            <w:tcBorders>
              <w:top w:val="nil"/>
              <w:left w:val="nil"/>
              <w:bottom w:val="nil"/>
              <w:right w:val="nil"/>
            </w:tcBorders>
          </w:tcPr>
          <w:p>
            <w:pPr>
              <w:pStyle w:val="0"/>
            </w:pPr>
            <w:r>
              <w:rPr>
                <w:sz w:val="20"/>
              </w:rPr>
              <w:t xml:space="preserve">Марков</w:t>
            </w:r>
          </w:p>
          <w:p>
            <w:pPr>
              <w:pStyle w:val="0"/>
            </w:pPr>
            <w:r>
              <w:rPr>
                <w:sz w:val="20"/>
              </w:rPr>
              <w:t xml:space="preserve">Михаил Николаевич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ООО "Концепт-Проект";</w:t>
            </w:r>
          </w:p>
        </w:tc>
      </w:tr>
      <w:tr>
        <w:tc>
          <w:tcPr>
            <w:tcW w:w="2891" w:type="dxa"/>
            <w:tcBorders>
              <w:top w:val="nil"/>
              <w:left w:val="nil"/>
              <w:bottom w:val="nil"/>
              <w:right w:val="nil"/>
            </w:tcBorders>
          </w:tcPr>
          <w:p>
            <w:pPr>
              <w:pStyle w:val="0"/>
            </w:pPr>
            <w:r>
              <w:rPr>
                <w:sz w:val="20"/>
              </w:rPr>
              <w:t xml:space="preserve">Обозный</w:t>
            </w:r>
          </w:p>
          <w:p>
            <w:pPr>
              <w:pStyle w:val="0"/>
            </w:pPr>
            <w:r>
              <w:rPr>
                <w:sz w:val="20"/>
              </w:rPr>
              <w:t xml:space="preserve">Дмитрий Александрович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службы контроля исполнения проекта ЦКП "СКИФ";</w:t>
            </w:r>
          </w:p>
        </w:tc>
      </w:tr>
      <w:tr>
        <w:tc>
          <w:tcPr>
            <w:tcW w:w="2891" w:type="dxa"/>
            <w:tcBorders>
              <w:top w:val="nil"/>
              <w:left w:val="nil"/>
              <w:bottom w:val="nil"/>
              <w:right w:val="nil"/>
            </w:tcBorders>
          </w:tcPr>
          <w:p>
            <w:pPr>
              <w:pStyle w:val="0"/>
            </w:pPr>
            <w:r>
              <w:rPr>
                <w:sz w:val="20"/>
              </w:rPr>
              <w:t xml:space="preserve">Панов</w:t>
            </w:r>
          </w:p>
          <w:p>
            <w:pPr>
              <w:pStyle w:val="0"/>
            </w:pPr>
            <w:r>
              <w:rPr>
                <w:sz w:val="20"/>
              </w:rPr>
              <w:t xml:space="preserve">Александр Алексеевич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Союза "Гильдии проектировщиков Сибири";</w:t>
            </w:r>
          </w:p>
        </w:tc>
      </w:tr>
      <w:tr>
        <w:tc>
          <w:tcPr>
            <w:tcW w:w="2891" w:type="dxa"/>
            <w:tcBorders>
              <w:top w:val="nil"/>
              <w:left w:val="nil"/>
              <w:bottom w:val="nil"/>
              <w:right w:val="nil"/>
            </w:tcBorders>
          </w:tcPr>
          <w:p>
            <w:pPr>
              <w:pStyle w:val="0"/>
            </w:pPr>
            <w:r>
              <w:rPr>
                <w:sz w:val="20"/>
              </w:rPr>
              <w:t xml:space="preserve">Федорченко</w:t>
            </w:r>
          </w:p>
          <w:p>
            <w:pPr>
              <w:pStyle w:val="0"/>
            </w:pPr>
            <w:r>
              <w:rPr>
                <w:sz w:val="20"/>
              </w:rPr>
              <w:t xml:space="preserve">Максим Владиславович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Совета Ассоциации строительных организаций Новосибирской области, вице-президент Российского союза строителей, координатор НОСТРОЙ и НОПРИЗ по Сибирскому федеральному округу;</w:t>
            </w:r>
          </w:p>
        </w:tc>
      </w:tr>
      <w:tr>
        <w:tc>
          <w:tcPr>
            <w:tcW w:w="2891" w:type="dxa"/>
            <w:tcBorders>
              <w:top w:val="nil"/>
              <w:left w:val="nil"/>
              <w:bottom w:val="nil"/>
              <w:right w:val="nil"/>
            </w:tcBorders>
          </w:tcPr>
          <w:p>
            <w:pPr>
              <w:pStyle w:val="0"/>
            </w:pPr>
            <w:r>
              <w:rPr>
                <w:sz w:val="20"/>
              </w:rPr>
              <w:t xml:space="preserve">Шушарина</w:t>
            </w:r>
          </w:p>
          <w:p>
            <w:pPr>
              <w:pStyle w:val="0"/>
            </w:pPr>
            <w:r>
              <w:rPr>
                <w:sz w:val="20"/>
              </w:rPr>
              <w:t xml:space="preserve">Елена Николаевна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генерального директора ООО "Группа компаний "СИБПРОДМОНТАЖ", заместитель председателя комиссии по вопросам ЖКХ, градостроительства, дорожного комплекса Общественной палаты Новосибирской области.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строительства</w:t>
      </w:r>
    </w:p>
    <w:p>
      <w:pPr>
        <w:pStyle w:val="0"/>
        <w:jc w:val="right"/>
      </w:pPr>
      <w:r>
        <w:rPr>
          <w:sz w:val="20"/>
        </w:rPr>
        <w:t xml:space="preserve">Новосибирской области</w:t>
      </w:r>
    </w:p>
    <w:p>
      <w:pPr>
        <w:pStyle w:val="0"/>
        <w:jc w:val="right"/>
      </w:pPr>
      <w:r>
        <w:rPr>
          <w:sz w:val="20"/>
        </w:rPr>
        <w:t xml:space="preserve">от 22.12.2023 N 219-НПА</w:t>
      </w:r>
    </w:p>
    <w:p>
      <w:pPr>
        <w:pStyle w:val="0"/>
        <w:ind w:firstLine="540"/>
        <w:jc w:val="both"/>
      </w:pPr>
      <w:r>
        <w:rPr>
          <w:sz w:val="20"/>
        </w:rPr>
      </w:r>
    </w:p>
    <w:bookmarkStart w:id="467" w:name="P467"/>
    <w:bookmarkEnd w:id="467"/>
    <w:p>
      <w:pPr>
        <w:pStyle w:val="2"/>
        <w:jc w:val="center"/>
      </w:pPr>
      <w:r>
        <w:rPr>
          <w:sz w:val="20"/>
        </w:rPr>
        <w:t xml:space="preserve">РЕЗЕРВ</w:t>
      </w:r>
    </w:p>
    <w:p>
      <w:pPr>
        <w:pStyle w:val="2"/>
        <w:jc w:val="center"/>
      </w:pPr>
      <w:r>
        <w:rPr>
          <w:sz w:val="20"/>
        </w:rPr>
        <w:t xml:space="preserve">ОБЩЕСТВЕННОГО СОВЕТА ДЛЯ ЗАМЕЩЕНИЯ ЧЛЕНОВ ОБЩЕСТВЕННОГО</w:t>
      </w:r>
    </w:p>
    <w:p>
      <w:pPr>
        <w:pStyle w:val="2"/>
        <w:jc w:val="center"/>
      </w:pPr>
      <w:r>
        <w:rPr>
          <w:sz w:val="20"/>
        </w:rPr>
        <w:t xml:space="preserve">СОВЕТА, ДОСРОЧНО ПРЕКРАТИВШИХ СВОИ ПОЛНОМОЧИЯ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08"/>
        <w:gridCol w:w="397"/>
        <w:gridCol w:w="6066"/>
      </w:tblGrid>
      <w:tr>
        <w:tc>
          <w:tcPr>
            <w:tcW w:w="2608" w:type="dxa"/>
            <w:tcBorders>
              <w:top w:val="nil"/>
              <w:left w:val="nil"/>
              <w:bottom w:val="nil"/>
              <w:right w:val="nil"/>
            </w:tcBorders>
          </w:tcPr>
          <w:p>
            <w:pPr>
              <w:pStyle w:val="0"/>
            </w:pPr>
            <w:r>
              <w:rPr>
                <w:sz w:val="20"/>
              </w:rPr>
              <w:t xml:space="preserve">Тимонов</w:t>
            </w:r>
          </w:p>
          <w:p>
            <w:pPr>
              <w:pStyle w:val="0"/>
            </w:pPr>
            <w:r>
              <w:rPr>
                <w:sz w:val="20"/>
              </w:rPr>
              <w:t xml:space="preserve">Виктор Александрович</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доцент кафедры градостроительства и ландшафтной архитектуры федерального государственного бюджетного образовательного учреждения высшего образования "Новосибирский государственный университет архитектуры, дизайна и искусств им. А.Д. Крячкова";</w:t>
            </w:r>
          </w:p>
        </w:tc>
      </w:tr>
      <w:tr>
        <w:tc>
          <w:tcPr>
            <w:tcW w:w="2608" w:type="dxa"/>
            <w:tcBorders>
              <w:top w:val="nil"/>
              <w:left w:val="nil"/>
              <w:bottom w:val="nil"/>
              <w:right w:val="nil"/>
            </w:tcBorders>
          </w:tcPr>
          <w:p>
            <w:pPr>
              <w:pStyle w:val="0"/>
            </w:pPr>
            <w:r>
              <w:rPr>
                <w:sz w:val="20"/>
              </w:rPr>
              <w:t xml:space="preserve">Середович</w:t>
            </w:r>
          </w:p>
          <w:p>
            <w:pPr>
              <w:pStyle w:val="0"/>
            </w:pPr>
            <w:r>
              <w:rPr>
                <w:sz w:val="20"/>
              </w:rPr>
              <w:t xml:space="preserve">Владимир Адольфович</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президент Ассоциации строительных организаций Новосибирской области, профессор, кандидат технических наук;</w:t>
            </w:r>
          </w:p>
        </w:tc>
      </w:tr>
      <w:tr>
        <w:tc>
          <w:tcPr>
            <w:tcW w:w="2608" w:type="dxa"/>
            <w:tcBorders>
              <w:top w:val="nil"/>
              <w:left w:val="nil"/>
              <w:bottom w:val="nil"/>
              <w:right w:val="nil"/>
            </w:tcBorders>
          </w:tcPr>
          <w:p>
            <w:pPr>
              <w:pStyle w:val="0"/>
            </w:pPr>
            <w:r>
              <w:rPr>
                <w:sz w:val="20"/>
              </w:rPr>
              <w:t xml:space="preserve">Остахов</w:t>
            </w:r>
          </w:p>
          <w:p>
            <w:pPr>
              <w:pStyle w:val="0"/>
            </w:pPr>
            <w:r>
              <w:rPr>
                <w:sz w:val="20"/>
              </w:rPr>
              <w:t xml:space="preserve">Виктор Александрович</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директор по развитию ООО "Юпитер", председатель строительного комитета НОО "Опора России", член НРО ВПР "Защитник", член штаба ОНФ НСО;</w:t>
            </w:r>
          </w:p>
        </w:tc>
      </w:tr>
      <w:tr>
        <w:tc>
          <w:tcPr>
            <w:tcW w:w="2608" w:type="dxa"/>
            <w:tcBorders>
              <w:top w:val="nil"/>
              <w:left w:val="nil"/>
              <w:bottom w:val="nil"/>
              <w:right w:val="nil"/>
            </w:tcBorders>
          </w:tcPr>
          <w:p>
            <w:pPr>
              <w:pStyle w:val="0"/>
            </w:pPr>
            <w:r>
              <w:rPr>
                <w:sz w:val="20"/>
              </w:rPr>
              <w:t xml:space="preserve">Русинов</w:t>
            </w:r>
          </w:p>
          <w:p>
            <w:pPr>
              <w:pStyle w:val="0"/>
            </w:pPr>
            <w:r>
              <w:rPr>
                <w:sz w:val="20"/>
              </w:rPr>
              <w:t xml:space="preserve">Александр Евгеньевич</w:t>
            </w:r>
          </w:p>
        </w:tc>
        <w:tc>
          <w:tcPr>
            <w:tcW w:w="397"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главный редактор газеты "Строительные ведомости", специалист по связям с общественностью Ассоциации строительных организаций Новосибирской области.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Новосибирской области от 22.12.2023 N 219-НПА</w:t>
            <w:br/>
            <w:t>"Об утверждении положения об общественном совете при 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97927&amp;dst=100013" TargetMode = "External"/>
	<Relationship Id="rId8" Type="http://schemas.openxmlformats.org/officeDocument/2006/relationships/hyperlink" Target="https://login.consultant.ru/link/?req=doc&amp;base=RLAW049&amp;n=167679&amp;dst=100061" TargetMode = "External"/>
	<Relationship Id="rId9" Type="http://schemas.openxmlformats.org/officeDocument/2006/relationships/hyperlink" Target="https://login.consultant.ru/link/?req=doc&amp;base=RLAW049&amp;n=156397" TargetMode = "External"/>
	<Relationship Id="rId10" Type="http://schemas.openxmlformats.org/officeDocument/2006/relationships/hyperlink" Target="https://login.consultant.ru/link/?req=doc&amp;base=RLAW049&amp;n=156332"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RLAW049&amp;n=97927"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449631" TargetMode = "External"/>
	<Relationship Id="rId15" Type="http://schemas.openxmlformats.org/officeDocument/2006/relationships/hyperlink" Target="https://login.consultant.ru/link/?req=doc&amp;base=LAW&amp;n=449631" TargetMode = "External"/>
	<Relationship Id="rId16" Type="http://schemas.openxmlformats.org/officeDocument/2006/relationships/hyperlink" Target="https://login.consultant.ru/link/?req=doc&amp;base=LAW&amp;n=436876" TargetMode = "External"/>
	<Relationship Id="rId17" Type="http://schemas.openxmlformats.org/officeDocument/2006/relationships/hyperlink" Target="https://login.consultant.ru/link/?req=doc&amp;base=LAW&amp;n=436876"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LAW&amp;n=314836" TargetMode = "External"/>
	<Relationship Id="rId20" Type="http://schemas.openxmlformats.org/officeDocument/2006/relationships/hyperlink" Target="https://login.consultant.ru/link/?req=doc&amp;base=LAW&amp;n=439201" TargetMode = "External"/>
	<Relationship Id="rId21" Type="http://schemas.openxmlformats.org/officeDocument/2006/relationships/hyperlink" Target="https://login.consultant.ru/link/?req=doc&amp;base=LAW&amp;n=439201&amp;dst=100109" TargetMode = "External"/>
	<Relationship Id="rId22" Type="http://schemas.openxmlformats.org/officeDocument/2006/relationships/hyperlink" Target="https://login.consultant.ru/link/?req=doc&amp;base=LAW&amp;n=314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Новосибирской области от 22.12.2023 N 219-НПА
"Об утверждении положения об общественном совете при министерстве строительства Новосибирской области, его состава и резерва общественного совета для замещения членов общественного совета, досрочно прекративших свои полномочия"</dc:title>
  <dcterms:created xsi:type="dcterms:W3CDTF">2024-06-11T17:52:18Z</dcterms:created>
</cp:coreProperties>
</file>