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внутренней политики и развития местного самоуправления Орловской области от 05.06.2025 N 97</w:t>
              <w:br/>
              <w:t xml:space="preserve">"Об утверждении Положения о привлечении экспертов к проведению отбора получателей грантов в форме субсидий из областного бюджета некоммерческим неправительственным организациям на развитие гражданского общества"</w:t>
              <w:br/>
              <w:t xml:space="preserve">(Зарегистрировано в Главном правовом управлении Администрации Губернатора и Правительства Орловской области 06.06.2025 N 265/2025)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Главном правовом управлении Администрации Губернатора и Правительства Орловской области 6 июня 2025 г. N 265/2025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ВНУТРЕННЕЙ ПОЛИТИКИ И РАЗВИТИЯ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ОРЛОВСКОЙ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5 июня 2025 г. N 97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ПРИВЛЕЧЕНИИ ЭКСПЕРТОВ К ПРОВЕДЕНИЮ ОТБОРА</w:t>
      </w:r>
    </w:p>
    <w:p>
      <w:pPr>
        <w:pStyle w:val="2"/>
        <w:jc w:val="center"/>
      </w:pPr>
      <w:r>
        <w:rPr>
          <w:sz w:val="20"/>
        </w:rPr>
        <w:t xml:space="preserve">ПОЛУЧАТЕЛЕЙ ГРАНТОВ В ФОРМЕ СУБСИДИЙ ИЗ ОБЛАСТНОГО</w:t>
      </w:r>
    </w:p>
    <w:p>
      <w:pPr>
        <w:pStyle w:val="2"/>
        <w:jc w:val="center"/>
      </w:pPr>
      <w:r>
        <w:rPr>
          <w:sz w:val="20"/>
        </w:rPr>
        <w:t xml:space="preserve">БЮДЖЕТА НЕКОММЕРЧЕСКИМ НЕПРАВИТЕЛЬСТВЕННЫМ ОРГАНИЗАЦИЯМ</w:t>
      </w:r>
    </w:p>
    <w:p>
      <w:pPr>
        <w:pStyle w:val="2"/>
        <w:jc w:val="center"/>
      </w:pPr>
      <w:r>
        <w:rPr>
          <w:sz w:val="20"/>
        </w:rPr>
        <w:t xml:space="preserve">НА РАЗВИТИЕ ГРАЖДАНСКОГО ОБЩЕСТВА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8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привлечении экспертов к проведению отбора получателей грантов в форме субсидий из областного бюджета некоммерческим неправительственным организациям на развитие гражданского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приказа оставляю за собой.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руководителя Департамента</w:t>
      </w:r>
    </w:p>
    <w:p>
      <w:pPr>
        <w:pStyle w:val="0"/>
        <w:jc w:val="right"/>
      </w:pPr>
      <w:r>
        <w:rPr>
          <w:sz w:val="20"/>
        </w:rPr>
        <w:t xml:space="preserve">внутренней политики и развития</w:t>
      </w:r>
    </w:p>
    <w:p>
      <w:pPr>
        <w:pStyle w:val="0"/>
        <w:jc w:val="right"/>
      </w:pPr>
      <w:r>
        <w:rPr>
          <w:sz w:val="20"/>
        </w:rPr>
        <w:t xml:space="preserve">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С.А.ЗОЦЬ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 внутренней политики</w:t>
      </w:r>
    </w:p>
    <w:p>
      <w:pPr>
        <w:pStyle w:val="0"/>
        <w:jc w:val="right"/>
      </w:pPr>
      <w:r>
        <w:rPr>
          <w:sz w:val="20"/>
        </w:rPr>
        <w:t xml:space="preserve">и развития местного самоуправления</w:t>
      </w:r>
    </w:p>
    <w:p>
      <w:pPr>
        <w:pStyle w:val="0"/>
        <w:jc w:val="right"/>
      </w:pPr>
      <w:r>
        <w:rPr>
          <w:sz w:val="20"/>
        </w:rPr>
        <w:t xml:space="preserve">Орловской области</w:t>
      </w:r>
    </w:p>
    <w:p>
      <w:pPr>
        <w:pStyle w:val="0"/>
        <w:jc w:val="right"/>
      </w:pPr>
      <w:r>
        <w:rPr>
          <w:sz w:val="20"/>
        </w:rPr>
        <w:t xml:space="preserve">от 5 июня 2025 г. N 97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ПРИВЛЕЧЕНИИ ЭКСПЕРТОВ К ПРОВЕДЕНИЮ</w:t>
      </w:r>
    </w:p>
    <w:p>
      <w:pPr>
        <w:pStyle w:val="2"/>
        <w:jc w:val="center"/>
      </w:pPr>
      <w:r>
        <w:rPr>
          <w:sz w:val="20"/>
        </w:rPr>
        <w:t xml:space="preserve">ОТБОРА ПОЛУЧАТЕЛЕЙ ГРАНТОВ В ФОРМЕ СУБСИДИЙ</w:t>
      </w:r>
    </w:p>
    <w:p>
      <w:pPr>
        <w:pStyle w:val="2"/>
        <w:jc w:val="center"/>
      </w:pPr>
      <w:r>
        <w:rPr>
          <w:sz w:val="20"/>
        </w:rPr>
        <w:t xml:space="preserve">ИЗ ОБЛАСТНОГО БЮДЖЕТА НЕКОММЕРЧЕСКИМ НЕПРАВИТЕЛЬСТВЕННЫМ</w:t>
      </w:r>
    </w:p>
    <w:p>
      <w:pPr>
        <w:pStyle w:val="2"/>
        <w:jc w:val="center"/>
      </w:pPr>
      <w:r>
        <w:rPr>
          <w:sz w:val="20"/>
        </w:rPr>
        <w:t xml:space="preserve">ОРГАНИЗАЦИЯМ НА РАЗВИТИЕ ГРАЖДАНСКОГО ОБЩЕСТВА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Департамент внутренней политики и развития местного самоуправления Орловской области (далее также - уполномоченный орган) в целях полного, всестороннего и объективного рассмотрения и оценки заявок, представленных в рамках отбора получателей гранта в форме субсидии из областного бюджета некоммерческим неправительственным организациям на развитие гражданского общества (далее также соответственно - заявки, отбор, грант), привлекает экспертов в соответствии с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Понятия и сокращения, используемые в настоящем Положении, употребляются в тех же значениях, что и в </w:t>
      </w:r>
      <w:hyperlink w:history="0" r:id="rId9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предоставления грантов в форме субсидий из областного бюджета некоммерческим неправительственным организациям на развитие гражданского общества, утвержденном постановлением Правительства Орловской области от 27 апреля 2021 года N 242 "Об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общества" (далее - Порядок), а также действующем законодательстве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целях обеспечения проведения отбора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эксперты должны обеспечить свой доступ к системе "Электронный бюджет"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а также авторизацию на Портале предоставления мер финансовой государственной поддержки по адресу </w:t>
      </w:r>
      <w:hyperlink w:history="0" r:id="rId10">
        <w:r>
          <w:rPr>
            <w:sz w:val="20"/>
            <w:color w:val="0000ff"/>
          </w:rPr>
          <w:t xml:space="preserve">https://promote.budget.gov.ru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Эксперты в пределах своей компетенции соблюдают конфиденциальность, коммерческую и иную охраняемой законом тайну в отношении информации о профессиональной деятельности некоммерческих неправительственных организаций, представивших заявки для участия в отборе (далее - участники отбора), и иной информации, ставшей известной эксперту в ходе рассмотрения заявки, и обязаны не разглашать указанную информацию.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Эксперты не допускаются до рассмотрения и оценки заявок в случае наличия у них признаков аффилированности с участниками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рамках экспертизы заявок определяется соответствие (несоответствие) заявок требованиям, установленным объявлением о проведении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Экспертами проводится экспертиза заявок по следующим вопросам: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соответствие направлениям (поднаправлениям) отбора, указанным в </w:t>
      </w:r>
      <w:hyperlink w:history="0" r:id="rId11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приложении 1</w:t>
        </w:r>
      </w:hyperlink>
      <w:r>
        <w:rPr>
          <w:sz w:val="20"/>
        </w:rPr>
        <w:t xml:space="preserve"> к Порядку;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актуальность задач, решение которых достигается в ходе реализации проекта, направленного на развитие гражданского общества и реализуемого на территории Орловской области (далее - проект);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соотношение планируемых расходов на реализацию проекта и его ожидаемых результатов;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наличие целевых показателей социально-экономической эффективности проекта, необходимых для достижения результата гранта, их соответствие задачам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соответствие запланированных мероприятий ожидаемым результатам реализации проекта;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наличие у некоммерческой неправительственной организации опыта осуществления деятельности, предполагаемой по проекту;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информационная открытость деятельности некоммерческой неправительственной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проект реализуется на территории нескольких муниципальных районов, городских и (или) муниципальных округов Орловской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собственный вклад некоммерческой неправительственной организации и дополнительные ресурсы, привлекаемые на реализацию проекта, перспективы его дальнейшего развития;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степень влияния мероприятий проекта на укрепление гражданского единства и межнационального и межконфессионального согласия, противодействие экстремистской деятельности 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степень влияния мероприятий проекта на укрепление традиционных российских духовно-нравственных ценностей.</w:t>
      </w:r>
    </w:p>
    <w:bookmarkStart w:id="64" w:name="P64"/>
    <w:bookmarkEnd w:id="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Уполномоченный орган в течение 5 рабочих дней со дня подписания протокола рассмотрения заявок, в зависимости от направлений (поднаправлений), указанных в </w:t>
      </w:r>
      <w:hyperlink w:history="0" r:id="rId12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приложении 1</w:t>
        </w:r>
      </w:hyperlink>
      <w:r>
        <w:rPr>
          <w:sz w:val="20"/>
        </w:rPr>
        <w:t xml:space="preserve"> к Порядку, по которым реализуются проекты, отобранные в составе заявки, привлекает экспертов, обладающих специальными знаниями в соответствующих сферах, путем направления им запросов на участие в проведении экспертизы заявок посредством системы "Электронный бюджет" (совершение указанных действий обеспечивается с учетом возможностей системы "Электронный бюджет"). В указанный срок уполномоченный орган утверждает своим приказом состав экспертов, принимающих участие в экспертизе заявок, и заключает с каждым экспертом договор о безвозмездном оказании услуг в порядке, установленном действующим законодательством Российской Федерации. Количество экспертов не ограничивается, но должно быть не менее 8.</w:t>
      </w:r>
    </w:p>
    <w:bookmarkStart w:id="65" w:name="P65"/>
    <w:bookmarkEnd w:id="6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орган в срок, указанный в </w:t>
      </w:r>
      <w:hyperlink w:history="0" w:anchor="P64" w:tooltip="8. Уполномоченный орган в течение 5 рабочих дней со дня подписания протокола рассмотрения заявок, в зависимости от направлений (поднаправлений), указанных в приложении 1 к Порядку, по которым реализуются проекты, отобранные в составе заявки, привлекает экспертов, обладающих специальными знаниями в соответствующих сферах, путем направления им запросов на участие в проведении экспертизы заявок посредством системы &quot;Электронный бюджет&quot; (совершение указанных действий обеспечивается с учетом возможностей систе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настоящего пункта, осуществляет допуск экспертов к заявкам с прилагаемыми документами, допущенным к участию в отборе, для проведения экспертизы указанных заявок посредством системы "Электронный бюджет".</w:t>
      </w:r>
    </w:p>
    <w:bookmarkStart w:id="66" w:name="P66"/>
    <w:bookmarkEnd w:id="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течение 10 рабочих дней со дня осуществления допуска, предусмотренного </w:t>
      </w:r>
      <w:hyperlink w:history="0" w:anchor="P65" w:tooltip="Уполномоченный орган в срок, указанный в абзаце первом настоящего пункта, осуществляет допуск экспертов к заявкам с прилагаемыми документами, допущенным к участию в отборе, для проведения экспертизы указанных заявок посредством системы &quot;Электронный бюджет&quot;.">
        <w:r>
          <w:rPr>
            <w:sz w:val="20"/>
            <w:color w:val="0000ff"/>
          </w:rPr>
          <w:t xml:space="preserve">абзацем вторым пункта 8</w:t>
        </w:r>
      </w:hyperlink>
      <w:r>
        <w:rPr>
          <w:sz w:val="20"/>
        </w:rPr>
        <w:t xml:space="preserve"> настоящего Положения, эксперты проводят экспертизу заявок путем рассмотрения и оценки каждой заявки по каждому критерию оценки, установленному в </w:t>
      </w:r>
      <w:hyperlink w:history="0" r:id="rId13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приложении 2</w:t>
        </w:r>
      </w:hyperlink>
      <w:r>
        <w:rPr>
          <w:sz w:val="20"/>
        </w:rPr>
        <w:t xml:space="preserve"> к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Присвоение баллов каждой заявке по каждому критерию оценки осуществляется целым числом в пределах шкалы, предусмотренной </w:t>
      </w:r>
      <w:hyperlink w:history="0" r:id="rId14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приложением 2</w:t>
        </w:r>
      </w:hyperlink>
      <w:r>
        <w:rPr>
          <w:sz w:val="20"/>
        </w:rPr>
        <w:t xml:space="preserve"> к Порядку. При присвоении баллов по каждому критерию оценки эксперт обосновывает свою оценку комментарием посредством системы "Электронный бюджет" (например, в комментарии эксперт указывает на конкретные ошибки (недочеты) по каждому критерию оценки и дает предложения по их устранению или доработке проекта в разрезе данного критерия оценки) (совершение указанных действий обеспечивается с учетом возможностей системы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баллов, присвоенных экспертом заявке, рассчитывается как сумма баллов, присвоенных заявке по каждому критерию оценки, умноженных на величину значимости соответствующего критерия оценки согласно </w:t>
      </w:r>
      <w:hyperlink w:history="0" r:id="rId15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приложению 2</w:t>
        </w:r>
      </w:hyperlink>
      <w:r>
        <w:rPr>
          <w:sz w:val="20"/>
        </w:rPr>
        <w:t xml:space="preserve"> к Порядку. Сумма величин значимости всех критериев оценки составляет 100 процентов.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Для оценки заявки эксперт использует информацию, допуск к которой получен им посредством системы "Электронный бюджет", информацию из открытых источников в информационно-телекоммуникационной сети Интернет, а также в рамках срока, установленного </w:t>
      </w:r>
      <w:hyperlink w:history="0" w:anchor="P66" w:tooltip="9. В течение 10 рабочих дней со дня осуществления допуска, предусмотренного абзацем вторым пункта 8 настоящего Положения, эксперты проводят экспертизу заявок путем рассмотрения и оценки каждой заявки по каждому критерию оценки, установленному в приложении 2 к Порядку.">
        <w:r>
          <w:rPr>
            <w:sz w:val="20"/>
            <w:color w:val="0000ff"/>
          </w:rPr>
          <w:t xml:space="preserve">абзацем первым пункта 9</w:t>
        </w:r>
      </w:hyperlink>
      <w:r>
        <w:rPr>
          <w:sz w:val="20"/>
        </w:rPr>
        <w:t xml:space="preserve"> настоящего Положения, осуществляет запрос у участника отбора разъяснений в отношении представленной им информации по проекту (при необходимости, обусловленной недостаточностью информации по проекту) (совершение указанных действий обеспечивается с учетом возможностей системы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По итогам экспертизы заявок эксперты в срок, указанный в </w:t>
      </w:r>
      <w:hyperlink w:history="0" w:anchor="P66" w:tooltip="9. В течение 10 рабочих дней со дня осуществления допуска, предусмотренного абзацем вторым пункта 8 настоящего Положения, эксперты проводят экспертизу заявок путем рассмотрения и оценки каждой заявки по каждому критерию оценки, установленному в приложении 2 к Порядку.">
        <w:r>
          <w:rPr>
            <w:sz w:val="20"/>
            <w:color w:val="0000ff"/>
          </w:rPr>
          <w:t xml:space="preserve">абзаце первом пункта 9</w:t>
        </w:r>
      </w:hyperlink>
      <w:r>
        <w:rPr>
          <w:sz w:val="20"/>
        </w:rPr>
        <w:t xml:space="preserve"> настоящего Положения, составляют экспертное заключение в отношении каждой из заявок, содержащее выводы о соответствии (несоответствии) заявок требованиям, установленным объявлением о проведении отбора, с указанием количества баллов, полученных по результатам оценки заявки по каждому критерию оценки и составляющих сумму баллов по заявке, посредством системы "Электронный бюджет" (совершение указанных действий обеспечивается с учетом возможностей системы "Электронный бюджет").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Выводы экспертов о соответствии (несоответствии) заявок требованиям, установленным объявлением о проведении отбора, и баллы, предложенные экспертами по результатам проведения экспертизы заявок, носят для конкурсной комиссии, созданной уполномоченным органом в соответствии с </w:t>
      </w:r>
      <w:hyperlink w:history="0" r:id="rId16" w:tooltip="Постановление Правительства Орловской области от 27.04.2021 N 242 (ред. от 15.05.2025) &quot;Об утверждении Порядка предоставления грантов в форме субсидий из областного бюджета некоммерческим неправительственным организациям на развитие гражданского общества&quot; ------------ Недействующая редакция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, обязательный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Комиссия не вправе изменить выводы экспертов о соответствии (несоответствии) заявок требованиям, установленным объявлением о проведении отбора, и баллы, предложенные экспертами по результатам проведения экспертизы заявок.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внутренней политики и развития местного самоуправления Орловской области от 05.06.2025 N 97</w:t>
            <w:br/>
            <w:t>"Об утве...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27&amp;n=104130" TargetMode = "External"/><Relationship Id="rId9" Type="http://schemas.openxmlformats.org/officeDocument/2006/relationships/hyperlink" Target="https://login.consultant.ru/link/?req=doc&amp;base=RLAW127&amp;n=104130&amp;dst=101012" TargetMode = "External"/><Relationship Id="rId10" Type="http://schemas.openxmlformats.org/officeDocument/2006/relationships/hyperlink" Target="https://promote.budget.gov.ru" TargetMode = "External"/><Relationship Id="rId11" Type="http://schemas.openxmlformats.org/officeDocument/2006/relationships/hyperlink" Target="https://login.consultant.ru/link/?req=doc&amp;base=RLAW127&amp;n=104130&amp;dst=101360" TargetMode = "External"/><Relationship Id="rId12" Type="http://schemas.openxmlformats.org/officeDocument/2006/relationships/hyperlink" Target="https://login.consultant.ru/link/?req=doc&amp;base=RLAW127&amp;n=104130&amp;dst=101360" TargetMode = "External"/><Relationship Id="rId13" Type="http://schemas.openxmlformats.org/officeDocument/2006/relationships/hyperlink" Target="https://login.consultant.ru/link/?req=doc&amp;base=RLAW127&amp;n=104130&amp;dst=101506" TargetMode = "External"/><Relationship Id="rId14" Type="http://schemas.openxmlformats.org/officeDocument/2006/relationships/hyperlink" Target="https://login.consultant.ru/link/?req=doc&amp;base=RLAW127&amp;n=104130&amp;dst=101506" TargetMode = "External"/><Relationship Id="rId15" Type="http://schemas.openxmlformats.org/officeDocument/2006/relationships/hyperlink" Target="https://login.consultant.ru/link/?req=doc&amp;base=RLAW127&amp;n=104130&amp;dst=101506" TargetMode = "External"/><Relationship Id="rId16" Type="http://schemas.openxmlformats.org/officeDocument/2006/relationships/hyperlink" Target="https://login.consultant.ru/link/?req=doc&amp;base=RLAW127&amp;n=104130&amp;dst=10101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внутренней политики и развития местного самоуправления Орловской области от 05.06.2025 N 97
"Об утверждении Положения о привлечении экспертов к проведению отбора получателей грантов в форме субсидий из областного бюджета некоммерческим неправительственным организациям на развитие гражданского общества"
(Зарегистрировано в Главном правовом управлении Администрации Губернатора и Правительства Орловской области 06.06.2025 N 265/2025)</dc:title>
  <dcterms:created xsi:type="dcterms:W3CDTF">2026-01-08T13:56:47Z</dcterms:created>
</cp:coreProperties>
</file>