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Указ Губернатора Орловской области от 12.08.2025 N 436</w:t>
              <w:br/>
              <w:t xml:space="preserve">"О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Орловской области"</w:t>
              <w:br/>
              <w:t xml:space="preserve">(вместе с "Положением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Орловской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ГУБЕРНАТОР ОРЛОВСКОЙ ОБЛАСТИ</w:t>
      </w:r>
    </w:p>
    <w:p>
      <w:pPr>
        <w:pStyle w:val="2"/>
        <w:jc w:val="center"/>
      </w:pPr>
      <w:r>
        <w:rPr>
          <w:sz w:val="20"/>
        </w:rPr>
      </w:r>
    </w:p>
    <w:p>
      <w:pPr>
        <w:pStyle w:val="2"/>
        <w:jc w:val="center"/>
      </w:pPr>
      <w:r>
        <w:rPr>
          <w:sz w:val="20"/>
        </w:rPr>
        <w:t xml:space="preserve">УКАЗ</w:t>
      </w:r>
    </w:p>
    <w:p>
      <w:pPr>
        <w:pStyle w:val="2"/>
        <w:jc w:val="center"/>
      </w:pPr>
      <w:r>
        <w:rPr>
          <w:sz w:val="20"/>
        </w:rPr>
        <w:t xml:space="preserve">от 12 августа 2025 г. N 436</w:t>
      </w:r>
    </w:p>
    <w:p>
      <w:pPr>
        <w:pStyle w:val="2"/>
        <w:jc w:val="center"/>
      </w:pPr>
      <w:r>
        <w:rPr>
          <w:sz w:val="20"/>
        </w:rPr>
      </w:r>
    </w:p>
    <w:p>
      <w:pPr>
        <w:pStyle w:val="2"/>
        <w:jc w:val="center"/>
      </w:pPr>
      <w:r>
        <w:rPr>
          <w:sz w:val="20"/>
        </w:rPr>
        <w:t xml:space="preserve">О 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 ИЛИ</w:t>
      </w:r>
    </w:p>
    <w:p>
      <w:pPr>
        <w:pStyle w:val="2"/>
        <w:jc w:val="center"/>
      </w:pPr>
      <w:r>
        <w:rPr>
          <w:sz w:val="20"/>
        </w:rPr>
        <w:t xml:space="preserve">ЗДОРОВЬЮ 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НА ТЕРРИТОРИИ</w:t>
      </w:r>
    </w:p>
    <w:p>
      <w:pPr>
        <w:pStyle w:val="2"/>
        <w:jc w:val="center"/>
      </w:pPr>
      <w:r>
        <w:rPr>
          <w:sz w:val="20"/>
        </w:rPr>
        <w:t xml:space="preserve">ОРЛОВСКОЙ ОБЛАСТИ</w:t>
      </w:r>
    </w:p>
    <w:p>
      <w:pPr>
        <w:pStyle w:val="0"/>
        <w:ind w:firstLine="54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7 марта 2023 года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w:t>
      </w:r>
      <w:hyperlink w:history="0" r:id="rId9"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6 мая 2022 года N 824 "Об утверждении Правил назначения и осуществления единовременных выплат, установленных указами Президента Российской Федерации от 30 апреля 2022 года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года N 640 "О мерах социальной защиты работников некоторых государственных предприятий" и от 14 ноября 2024 года N 968 "О дополнительных социальных гарантиях отдельным категориям лиц" постановляю:</w:t>
      </w:r>
    </w:p>
    <w:p>
      <w:pPr>
        <w:pStyle w:val="0"/>
        <w:ind w:firstLine="540"/>
        <w:jc w:val="both"/>
      </w:pPr>
      <w:r>
        <w:rPr>
          <w:sz w:val="20"/>
        </w:rPr>
      </w:r>
    </w:p>
    <w:bookmarkStart w:id="23" w:name="P23"/>
    <w:bookmarkEnd w:id="23"/>
    <w:p>
      <w:pPr>
        <w:pStyle w:val="0"/>
        <w:ind w:firstLine="540"/>
        <w:jc w:val="both"/>
      </w:pPr>
      <w:r>
        <w:rPr>
          <w:sz w:val="20"/>
        </w:rPr>
        <w:t xml:space="preserve">1. Создать комиссию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Орловской области, и утвердить ее </w:t>
      </w:r>
      <w:hyperlink w:history="0" w:anchor="P41" w:tooltip="СОСТАВ">
        <w:r>
          <w:rPr>
            <w:sz w:val="20"/>
            <w:color w:val="0000ff"/>
          </w:rPr>
          <w:t xml:space="preserve">состав</w:t>
        </w:r>
      </w:hyperlink>
      <w:r>
        <w:rPr>
          <w:sz w:val="20"/>
        </w:rPr>
        <w:t xml:space="preserve"> согласно приложению 1 к настоящему указу.</w:t>
      </w:r>
    </w:p>
    <w:p>
      <w:pPr>
        <w:pStyle w:val="0"/>
        <w:spacing w:before="200" w:lineRule="auto"/>
        <w:ind w:firstLine="540"/>
        <w:jc w:val="both"/>
      </w:pPr>
      <w:r>
        <w:rPr>
          <w:sz w:val="20"/>
        </w:rPr>
        <w:t xml:space="preserve">2. Возложить на комиссию, созданную в соответствии с </w:t>
      </w:r>
      <w:hyperlink w:history="0" w:anchor="P23" w:tooltip="1. Создать комиссию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
        <w:r>
          <w:rPr>
            <w:sz w:val="20"/>
            <w:color w:val="0000ff"/>
          </w:rPr>
          <w:t xml:space="preserve">пунктом 1</w:t>
        </w:r>
      </w:hyperlink>
      <w:r>
        <w:rPr>
          <w:sz w:val="20"/>
        </w:rPr>
        <w:t xml:space="preserve"> настоящего указа, полномочия по установлению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прибывших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(включая перевозки пассажиров и грузов) на этих территориях, до истечения одного года со дня прекращения волонтерской деятельности на этих территориях, возвращения с этих территорий и увечьем (ранением, травмой, контузией) или заболеванием, полученными ими при осуществлении волонтерской деятельности, выполнении соответствующих задач, работ (оказании услуг) на указанных территориях в соответствии с </w:t>
      </w:r>
      <w:hyperlink w:history="0" r:id="rId10"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6 мая 2022 года N 824 "Об утверждении Правил назначения и осуществления единовременных выплат, установленных указами Президента Российской Федерации от 30 апреля 2022 года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года N 640 "О мерах социальной защиты работников некоторых государственных предприятий" и от 14 ноября 2024 года N 968 "О дополнительных социальных гарантиях отдельным категориям лиц".</w:t>
      </w:r>
    </w:p>
    <w:p>
      <w:pPr>
        <w:pStyle w:val="0"/>
        <w:spacing w:before="200" w:lineRule="auto"/>
        <w:ind w:firstLine="540"/>
        <w:jc w:val="both"/>
      </w:pPr>
      <w:r>
        <w:rPr>
          <w:sz w:val="20"/>
        </w:rPr>
        <w:t xml:space="preserve">3. Утвердить </w:t>
      </w:r>
      <w:hyperlink w:history="0" w:anchor="P119" w:tooltip="ПОЛОЖЕНИЕ">
        <w:r>
          <w:rPr>
            <w:sz w:val="20"/>
            <w:color w:val="0000ff"/>
          </w:rPr>
          <w:t xml:space="preserve">Положение</w:t>
        </w:r>
      </w:hyperlink>
      <w:r>
        <w:rPr>
          <w:sz w:val="20"/>
        </w:rPr>
        <w:t xml:space="preserve">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Орловской области согласно приложению 2 к настоящему указу.</w:t>
      </w:r>
    </w:p>
    <w:p>
      <w:pPr>
        <w:pStyle w:val="0"/>
        <w:spacing w:before="200" w:lineRule="auto"/>
        <w:ind w:firstLine="540"/>
        <w:jc w:val="both"/>
      </w:pPr>
      <w:r>
        <w:rPr>
          <w:sz w:val="20"/>
        </w:rPr>
        <w:t xml:space="preserve">4. Настоящий указ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 Орловской области</w:t>
      </w:r>
    </w:p>
    <w:p>
      <w:pPr>
        <w:pStyle w:val="0"/>
        <w:jc w:val="right"/>
      </w:pPr>
      <w:r>
        <w:rPr>
          <w:sz w:val="20"/>
        </w:rPr>
        <w:t xml:space="preserve">В.А.ТАРАСОВ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1</w:t>
      </w:r>
    </w:p>
    <w:p>
      <w:pPr>
        <w:pStyle w:val="0"/>
        <w:jc w:val="right"/>
      </w:pPr>
      <w:r>
        <w:rPr>
          <w:sz w:val="20"/>
        </w:rPr>
        <w:t xml:space="preserve">к указу</w:t>
      </w:r>
    </w:p>
    <w:p>
      <w:pPr>
        <w:pStyle w:val="0"/>
        <w:jc w:val="right"/>
      </w:pPr>
      <w:r>
        <w:rPr>
          <w:sz w:val="20"/>
        </w:rPr>
        <w:t xml:space="preserve">Губернатора Орловской области</w:t>
      </w:r>
    </w:p>
    <w:p>
      <w:pPr>
        <w:pStyle w:val="0"/>
        <w:jc w:val="right"/>
      </w:pPr>
      <w:r>
        <w:rPr>
          <w:sz w:val="20"/>
        </w:rPr>
        <w:t xml:space="preserve">от 12 августа 2025 г. N 436</w:t>
      </w:r>
    </w:p>
    <w:p>
      <w:pPr>
        <w:pStyle w:val="0"/>
        <w:ind w:firstLine="540"/>
        <w:jc w:val="both"/>
      </w:pPr>
      <w:r>
        <w:rPr>
          <w:sz w:val="20"/>
        </w:rPr>
      </w:r>
    </w:p>
    <w:bookmarkStart w:id="41" w:name="P41"/>
    <w:bookmarkEnd w:id="41"/>
    <w:p>
      <w:pPr>
        <w:pStyle w:val="2"/>
        <w:jc w:val="center"/>
      </w:pPr>
      <w:r>
        <w:rPr>
          <w:sz w:val="20"/>
        </w:rPr>
        <w:t xml:space="preserve">СОСТАВ</w:t>
      </w:r>
    </w:p>
    <w:p>
      <w:pPr>
        <w:pStyle w:val="2"/>
        <w:jc w:val="center"/>
      </w:pPr>
      <w:r>
        <w:rPr>
          <w:sz w:val="20"/>
        </w:rPr>
        <w:t xml:space="preserve">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 ИЛИ</w:t>
      </w:r>
    </w:p>
    <w:p>
      <w:pPr>
        <w:pStyle w:val="2"/>
        <w:jc w:val="center"/>
      </w:pPr>
      <w:r>
        <w:rPr>
          <w:sz w:val="20"/>
        </w:rPr>
        <w:t xml:space="preserve">ЗДОРОВЬЮ 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НА ТЕРРИТОРИИ</w:t>
      </w:r>
    </w:p>
    <w:p>
      <w:pPr>
        <w:pStyle w:val="2"/>
        <w:jc w:val="center"/>
      </w:pPr>
      <w:r>
        <w:rPr>
          <w:sz w:val="20"/>
        </w:rPr>
        <w:t xml:space="preserve">ОРЛОВСКОЙ ОБЛАСТИ</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345"/>
        <w:gridCol w:w="494"/>
        <w:gridCol w:w="5159"/>
      </w:tblGrid>
      <w:tr>
        <w:tc>
          <w:tcPr>
            <w:tcW w:w="3345" w:type="dxa"/>
            <w:tcBorders>
              <w:top w:val="nil"/>
              <w:left w:val="nil"/>
              <w:bottom w:val="nil"/>
              <w:right w:val="nil"/>
            </w:tcBorders>
          </w:tcPr>
          <w:p>
            <w:pPr>
              <w:pStyle w:val="0"/>
            </w:pPr>
            <w:r>
              <w:rPr>
                <w:sz w:val="20"/>
              </w:rPr>
              <w:t xml:space="preserve">Патронова</w:t>
            </w:r>
          </w:p>
          <w:p>
            <w:pPr>
              <w:pStyle w:val="0"/>
            </w:pPr>
            <w:r>
              <w:rPr>
                <w:sz w:val="20"/>
              </w:rPr>
              <w:t xml:space="preserve">Ирина Александровна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заместитель Губернатора Орловской области в Правительстве Орловской области по внутренней политике, представитель Губернатора Орловской области в Орловском областном Совете народных депутатов, председатель комиссии</w:t>
            </w:r>
          </w:p>
        </w:tc>
      </w:tr>
      <w:tr>
        <w:tc>
          <w:tcPr>
            <w:tcW w:w="3345" w:type="dxa"/>
            <w:tcBorders>
              <w:top w:val="nil"/>
              <w:left w:val="nil"/>
              <w:bottom w:val="nil"/>
              <w:right w:val="nil"/>
            </w:tcBorders>
          </w:tcPr>
          <w:p>
            <w:pPr>
              <w:pStyle w:val="0"/>
            </w:pPr>
            <w:r>
              <w:rPr>
                <w:sz w:val="20"/>
              </w:rPr>
              <w:t xml:space="preserve">Самотолкина</w:t>
            </w:r>
          </w:p>
          <w:p>
            <w:pPr>
              <w:pStyle w:val="0"/>
            </w:pPr>
            <w:r>
              <w:rPr>
                <w:sz w:val="20"/>
              </w:rPr>
              <w:t xml:space="preserve">Ирина Анатольевна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руководитель Департамента молодежной политики и реализации патриотических проектов Орловской области, заместитель председателя комиссии</w:t>
            </w:r>
          </w:p>
        </w:tc>
      </w:tr>
      <w:tr>
        <w:tc>
          <w:tcPr>
            <w:tcW w:w="3345" w:type="dxa"/>
            <w:tcBorders>
              <w:top w:val="nil"/>
              <w:left w:val="nil"/>
              <w:bottom w:val="nil"/>
              <w:right w:val="nil"/>
            </w:tcBorders>
          </w:tcPr>
          <w:p>
            <w:pPr>
              <w:pStyle w:val="0"/>
            </w:pPr>
            <w:r>
              <w:rPr>
                <w:sz w:val="20"/>
              </w:rPr>
              <w:t xml:space="preserve">Чмелева</w:t>
            </w:r>
          </w:p>
          <w:p>
            <w:pPr>
              <w:pStyle w:val="0"/>
            </w:pPr>
            <w:r>
              <w:rPr>
                <w:sz w:val="20"/>
              </w:rPr>
              <w:t xml:space="preserve">Елена Николаевна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начальник отдела реализации проектов и программ управления молодежной политики Департамента молодежной политики и реализации патриотических проектов Орловской области, ответственный секретарь комиссии</w:t>
            </w:r>
          </w:p>
        </w:tc>
      </w:tr>
      <w:tr>
        <w:tc>
          <w:tcPr>
            <w:tcW w:w="3345" w:type="dxa"/>
            <w:tcBorders>
              <w:top w:val="nil"/>
              <w:left w:val="nil"/>
              <w:bottom w:val="nil"/>
              <w:right w:val="nil"/>
            </w:tcBorders>
          </w:tcPr>
          <w:p>
            <w:pPr>
              <w:pStyle w:val="0"/>
            </w:pPr>
            <w:r>
              <w:rPr>
                <w:sz w:val="20"/>
              </w:rPr>
              <w:t xml:space="preserve">Вакаренцева</w:t>
            </w:r>
          </w:p>
          <w:p>
            <w:pPr>
              <w:pStyle w:val="0"/>
            </w:pPr>
            <w:r>
              <w:rPr>
                <w:sz w:val="20"/>
              </w:rPr>
              <w:t xml:space="preserve">Юлия Витальевна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начальник управления региональной культурной политики Департамента культуры Орловской области</w:t>
            </w:r>
          </w:p>
        </w:tc>
      </w:tr>
      <w:tr>
        <w:tc>
          <w:tcPr>
            <w:tcW w:w="3345" w:type="dxa"/>
            <w:tcBorders>
              <w:top w:val="nil"/>
              <w:left w:val="nil"/>
              <w:bottom w:val="nil"/>
              <w:right w:val="nil"/>
            </w:tcBorders>
          </w:tcPr>
          <w:p>
            <w:pPr>
              <w:pStyle w:val="0"/>
            </w:pPr>
            <w:r>
              <w:rPr>
                <w:sz w:val="20"/>
              </w:rPr>
              <w:t xml:space="preserve">Варакина</w:t>
            </w:r>
          </w:p>
          <w:p>
            <w:pPr>
              <w:pStyle w:val="0"/>
            </w:pPr>
            <w:r>
              <w:rPr>
                <w:sz w:val="20"/>
              </w:rPr>
              <w:t xml:space="preserve">Ольга Сергеевна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заместитель руководителя Департамента молодежной политики и реализации патриотических проектов Орловской области</w:t>
            </w:r>
          </w:p>
        </w:tc>
      </w:tr>
      <w:tr>
        <w:tc>
          <w:tcPr>
            <w:tcW w:w="3345" w:type="dxa"/>
            <w:tcBorders>
              <w:top w:val="nil"/>
              <w:left w:val="nil"/>
              <w:bottom w:val="nil"/>
              <w:right w:val="nil"/>
            </w:tcBorders>
          </w:tcPr>
          <w:p>
            <w:pPr>
              <w:pStyle w:val="0"/>
            </w:pPr>
            <w:r>
              <w:rPr>
                <w:sz w:val="20"/>
              </w:rPr>
              <w:t xml:space="preserve">Данилевская</w:t>
            </w:r>
          </w:p>
          <w:p>
            <w:pPr>
              <w:pStyle w:val="0"/>
            </w:pPr>
            <w:r>
              <w:rPr>
                <w:sz w:val="20"/>
              </w:rPr>
              <w:t xml:space="preserve">Екатерина Владимировна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руководитель Департамента внутренней политики и развития местного самоуправления Орловской области</w:t>
            </w:r>
          </w:p>
        </w:tc>
      </w:tr>
      <w:tr>
        <w:tc>
          <w:tcPr>
            <w:tcW w:w="3345" w:type="dxa"/>
            <w:tcBorders>
              <w:top w:val="nil"/>
              <w:left w:val="nil"/>
              <w:bottom w:val="nil"/>
              <w:right w:val="nil"/>
            </w:tcBorders>
          </w:tcPr>
          <w:p>
            <w:pPr>
              <w:pStyle w:val="0"/>
            </w:pPr>
            <w:r>
              <w:rPr>
                <w:sz w:val="20"/>
              </w:rPr>
              <w:t xml:space="preserve">Другов</w:t>
            </w:r>
          </w:p>
          <w:p>
            <w:pPr>
              <w:pStyle w:val="0"/>
            </w:pPr>
            <w:r>
              <w:rPr>
                <w:sz w:val="20"/>
              </w:rPr>
              <w:t xml:space="preserve">Алексей Владимирович</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заместитель начальника управления - начальник отдела развития физической культуры и массового спорта управления развития физической культуры и спорта Департамента физической культуры и спорта Орловской области</w:t>
            </w:r>
          </w:p>
        </w:tc>
      </w:tr>
      <w:tr>
        <w:tc>
          <w:tcPr>
            <w:tcW w:w="3345" w:type="dxa"/>
            <w:tcBorders>
              <w:top w:val="nil"/>
              <w:left w:val="nil"/>
              <w:bottom w:val="nil"/>
              <w:right w:val="nil"/>
            </w:tcBorders>
          </w:tcPr>
          <w:p>
            <w:pPr>
              <w:pStyle w:val="0"/>
            </w:pPr>
            <w:r>
              <w:rPr>
                <w:sz w:val="20"/>
              </w:rPr>
              <w:t xml:space="preserve">Зюганова</w:t>
            </w:r>
          </w:p>
          <w:p>
            <w:pPr>
              <w:pStyle w:val="0"/>
            </w:pPr>
            <w:r>
              <w:rPr>
                <w:sz w:val="20"/>
              </w:rPr>
              <w:t xml:space="preserve">Олеся Ивановна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начальник управления молодежной политики Департамента молодежной политики и реализации патриотических проектов Орловской области</w:t>
            </w:r>
          </w:p>
        </w:tc>
      </w:tr>
      <w:tr>
        <w:tc>
          <w:tcPr>
            <w:tcW w:w="3345" w:type="dxa"/>
            <w:tcBorders>
              <w:top w:val="nil"/>
              <w:left w:val="nil"/>
              <w:bottom w:val="nil"/>
              <w:right w:val="nil"/>
            </w:tcBorders>
          </w:tcPr>
          <w:p>
            <w:pPr>
              <w:pStyle w:val="0"/>
            </w:pPr>
            <w:r>
              <w:rPr>
                <w:sz w:val="20"/>
              </w:rPr>
              <w:t xml:space="preserve">Каверин</w:t>
            </w:r>
          </w:p>
          <w:p>
            <w:pPr>
              <w:pStyle w:val="0"/>
            </w:pPr>
            <w:r>
              <w:rPr>
                <w:sz w:val="20"/>
              </w:rPr>
              <w:t xml:space="preserve">Анатолий Валентинович</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заместитель руководителя Департамента социальной защиты, опеки и попечительства, труда и занятости Орловской области</w:t>
            </w:r>
          </w:p>
        </w:tc>
      </w:tr>
      <w:tr>
        <w:tc>
          <w:tcPr>
            <w:tcW w:w="3345" w:type="dxa"/>
            <w:tcBorders>
              <w:top w:val="nil"/>
              <w:left w:val="nil"/>
              <w:bottom w:val="nil"/>
              <w:right w:val="nil"/>
            </w:tcBorders>
          </w:tcPr>
          <w:p>
            <w:pPr>
              <w:pStyle w:val="0"/>
            </w:pPr>
            <w:r>
              <w:rPr>
                <w:sz w:val="20"/>
              </w:rPr>
              <w:t xml:space="preserve">Николаев</w:t>
            </w:r>
          </w:p>
          <w:p>
            <w:pPr>
              <w:pStyle w:val="0"/>
            </w:pPr>
            <w:r>
              <w:rPr>
                <w:sz w:val="20"/>
              </w:rPr>
              <w:t xml:space="preserve">Владимир Олегович</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заместитель руководителя Департамента здравоохранения Орловской области - начальник управления здравоохранения Департамента здравоохранения Орловской области</w:t>
            </w:r>
          </w:p>
        </w:tc>
      </w:tr>
      <w:tr>
        <w:tc>
          <w:tcPr>
            <w:tcW w:w="3345" w:type="dxa"/>
            <w:tcBorders>
              <w:top w:val="nil"/>
              <w:left w:val="nil"/>
              <w:bottom w:val="nil"/>
              <w:right w:val="nil"/>
            </w:tcBorders>
          </w:tcPr>
          <w:p>
            <w:pPr>
              <w:pStyle w:val="0"/>
            </w:pPr>
            <w:r>
              <w:rPr>
                <w:sz w:val="20"/>
              </w:rPr>
              <w:t xml:space="preserve">Пухначева</w:t>
            </w:r>
          </w:p>
          <w:p>
            <w:pPr>
              <w:pStyle w:val="0"/>
            </w:pPr>
            <w:r>
              <w:rPr>
                <w:sz w:val="20"/>
              </w:rPr>
              <w:t xml:space="preserve">Екатерина Александровна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менеджер отдела профессионального образования управления профессионального и дополнительного образования Департамента образования Орловской области</w:t>
            </w:r>
          </w:p>
        </w:tc>
      </w:tr>
      <w:tr>
        <w:tc>
          <w:tcPr>
            <w:tcW w:w="3345" w:type="dxa"/>
            <w:tcBorders>
              <w:top w:val="nil"/>
              <w:left w:val="nil"/>
              <w:bottom w:val="nil"/>
              <w:right w:val="nil"/>
            </w:tcBorders>
          </w:tcPr>
          <w:p>
            <w:pPr>
              <w:pStyle w:val="0"/>
            </w:pPr>
            <w:r>
              <w:rPr>
                <w:sz w:val="20"/>
              </w:rPr>
              <w:t xml:space="preserve">Рязанов</w:t>
            </w:r>
          </w:p>
          <w:p>
            <w:pPr>
              <w:pStyle w:val="0"/>
            </w:pPr>
            <w:r>
              <w:rPr>
                <w:sz w:val="20"/>
              </w:rPr>
              <w:t xml:space="preserve">Андрей Сергеевич</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заместитель начальника отдела обеспечения пожарной безопасности и защиты от чрезвычайных ситуаций Управления по делам гражданской обороны, защиты от чрезвычайных ситуаций и пожарной безопасности Орловской области</w:t>
            </w:r>
          </w:p>
        </w:tc>
      </w:tr>
      <w:tr>
        <w:tc>
          <w:tcPr>
            <w:tcW w:w="3345" w:type="dxa"/>
            <w:tcBorders>
              <w:top w:val="nil"/>
              <w:left w:val="nil"/>
              <w:bottom w:val="nil"/>
              <w:right w:val="nil"/>
            </w:tcBorders>
          </w:tcPr>
          <w:p>
            <w:pPr>
              <w:pStyle w:val="0"/>
            </w:pPr>
            <w:r>
              <w:rPr>
                <w:sz w:val="20"/>
              </w:rPr>
              <w:t xml:space="preserve">Сигинур</w:t>
            </w:r>
          </w:p>
          <w:p>
            <w:pPr>
              <w:pStyle w:val="0"/>
            </w:pPr>
            <w:r>
              <w:rPr>
                <w:sz w:val="20"/>
              </w:rPr>
              <w:t xml:space="preserve">Ольга Владимировна</w:t>
            </w:r>
          </w:p>
        </w:tc>
        <w:tc>
          <w:tcPr>
            <w:tcW w:w="494" w:type="dxa"/>
            <w:tcBorders>
              <w:top w:val="nil"/>
              <w:left w:val="nil"/>
              <w:bottom w:val="nil"/>
              <w:right w:val="nil"/>
            </w:tcBorders>
          </w:tcPr>
          <w:p>
            <w:pPr>
              <w:pStyle w:val="0"/>
            </w:pPr>
            <w:r>
              <w:rPr>
                <w:sz w:val="20"/>
              </w:rPr>
              <w:t xml:space="preserve">-</w:t>
            </w:r>
          </w:p>
        </w:tc>
        <w:tc>
          <w:tcPr>
            <w:tcW w:w="5159" w:type="dxa"/>
            <w:tcBorders>
              <w:top w:val="nil"/>
              <w:left w:val="nil"/>
              <w:bottom w:val="nil"/>
              <w:right w:val="nil"/>
            </w:tcBorders>
          </w:tcPr>
          <w:p>
            <w:pPr>
              <w:pStyle w:val="0"/>
            </w:pPr>
            <w:r>
              <w:rPr>
                <w:sz w:val="20"/>
              </w:rPr>
              <w:t xml:space="preserve">начальник отдела организации страхования профессиональных рисков Отделения Фонда пенсионного и социального страхования Российской Федерации по Орловской области (по согласованию)</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2</w:t>
      </w:r>
    </w:p>
    <w:p>
      <w:pPr>
        <w:pStyle w:val="0"/>
        <w:jc w:val="right"/>
      </w:pPr>
      <w:r>
        <w:rPr>
          <w:sz w:val="20"/>
        </w:rPr>
        <w:t xml:space="preserve">к указу</w:t>
      </w:r>
    </w:p>
    <w:p>
      <w:pPr>
        <w:pStyle w:val="0"/>
        <w:jc w:val="right"/>
      </w:pPr>
      <w:r>
        <w:rPr>
          <w:sz w:val="20"/>
        </w:rPr>
        <w:t xml:space="preserve">Губернатора Орловской области</w:t>
      </w:r>
    </w:p>
    <w:p>
      <w:pPr>
        <w:pStyle w:val="0"/>
        <w:jc w:val="right"/>
      </w:pPr>
      <w:r>
        <w:rPr>
          <w:sz w:val="20"/>
        </w:rPr>
        <w:t xml:space="preserve">от 12 августа 2025 г. N 436</w:t>
      </w:r>
    </w:p>
    <w:p>
      <w:pPr>
        <w:pStyle w:val="0"/>
        <w:ind w:firstLine="540"/>
        <w:jc w:val="both"/>
      </w:pPr>
      <w:r>
        <w:rPr>
          <w:sz w:val="20"/>
        </w:rPr>
      </w:r>
    </w:p>
    <w:bookmarkStart w:id="119" w:name="P119"/>
    <w:bookmarkEnd w:id="119"/>
    <w:p>
      <w:pPr>
        <w:pStyle w:val="2"/>
        <w:jc w:val="center"/>
      </w:pPr>
      <w:r>
        <w:rPr>
          <w:sz w:val="20"/>
        </w:rPr>
        <w:t xml:space="preserve">ПОЛОЖЕНИЕ</w:t>
      </w:r>
    </w:p>
    <w:p>
      <w:pPr>
        <w:pStyle w:val="2"/>
        <w:jc w:val="center"/>
      </w:pPr>
      <w:r>
        <w:rPr>
          <w:sz w:val="20"/>
        </w:rPr>
        <w:t xml:space="preserve">О КОМИССИИ ПО УСТАНОВЛЕНИЮ ПРИЧИННО-СЛЕДСТВЕННОЙ СВЯЗИ</w:t>
      </w:r>
    </w:p>
    <w:p>
      <w:pPr>
        <w:pStyle w:val="2"/>
        <w:jc w:val="center"/>
      </w:pPr>
      <w:r>
        <w:rPr>
          <w:sz w:val="20"/>
        </w:rPr>
        <w:t xml:space="preserve">МЕЖДУ ПОЛУЧЕНИЕМ ВРЕДА ЖИЗНИ ИЛИ ЗДОРОВЬЮ ДОБРОВОЛЬЦА</w:t>
      </w:r>
    </w:p>
    <w:p>
      <w:pPr>
        <w:pStyle w:val="2"/>
        <w:jc w:val="center"/>
      </w:pPr>
      <w:r>
        <w:rPr>
          <w:sz w:val="20"/>
        </w:rPr>
        <w:t xml:space="preserve">(ВОЛОНТЕРА) И ОСУЩЕСТВЛЕНИЕМ ИМ ВИДА ДОБРОВОЛЬЧЕСКОЙ</w:t>
      </w:r>
    </w:p>
    <w:p>
      <w:pPr>
        <w:pStyle w:val="2"/>
        <w:jc w:val="center"/>
      </w:pPr>
      <w:r>
        <w:rPr>
          <w:sz w:val="20"/>
        </w:rPr>
        <w:t xml:space="preserve">(ВОЛОНТЕРСКОЙ) ДЕЯТЕЛЬНОСТИ, А ТАКЖЕ ПРИЧИННО-СЛЕДСТВЕННОЙ</w:t>
      </w:r>
    </w:p>
    <w:p>
      <w:pPr>
        <w:pStyle w:val="2"/>
        <w:jc w:val="center"/>
      </w:pPr>
      <w:r>
        <w:rPr>
          <w:sz w:val="20"/>
        </w:rPr>
        <w:t xml:space="preserve">СВЯЗИ МЕЖДУ СМЕРТЬЮ (ГИБЕЛЬЮ) ДОБРОВОЛЬЦА (ВОЛОНТЕРА)</w:t>
      </w:r>
    </w:p>
    <w:p>
      <w:pPr>
        <w:pStyle w:val="2"/>
        <w:jc w:val="center"/>
      </w:pPr>
      <w:r>
        <w:rPr>
          <w:sz w:val="20"/>
        </w:rPr>
        <w:t xml:space="preserve">И ВРЕДОМ ЖИЗНИ ИЛИ ЗДОРОВЬЮ ДОБРОВОЛЬЦА (ВОЛОНТЕРА),</w:t>
      </w:r>
    </w:p>
    <w:p>
      <w:pPr>
        <w:pStyle w:val="2"/>
        <w:jc w:val="center"/>
      </w:pPr>
      <w:r>
        <w:rPr>
          <w:sz w:val="20"/>
        </w:rPr>
        <w:t xml:space="preserve">ПОЛУЧЕННЫМ ДОБРОВОЛЬЦЕМ (ВОЛОНТЕРОМ) ПРИ ОСУЩЕСТВЛЕНИИ</w:t>
      </w:r>
    </w:p>
    <w:p>
      <w:pPr>
        <w:pStyle w:val="2"/>
        <w:jc w:val="center"/>
      </w:pPr>
      <w:r>
        <w:rPr>
          <w:sz w:val="20"/>
        </w:rPr>
        <w:t xml:space="preserve">ИМ ДОБРОВОЛЬЧЕСКОЙ (ВОЛОНТЕРСКОЙ) ДЕЯТЕЛЬНОСТИ, В СЛУЧАЕ</w:t>
      </w:r>
    </w:p>
    <w:p>
      <w:pPr>
        <w:pStyle w:val="2"/>
        <w:jc w:val="center"/>
      </w:pPr>
      <w:r>
        <w:rPr>
          <w:sz w:val="20"/>
        </w:rPr>
        <w:t xml:space="preserve">ЕСЛИ СМЕРТЬ (ГИБЕЛЬ) ДОБРОВОЛЬЦА (ВОЛОНТЕРА) НАСТУПИЛА</w:t>
      </w:r>
    </w:p>
    <w:p>
      <w:pPr>
        <w:pStyle w:val="2"/>
        <w:jc w:val="center"/>
      </w:pPr>
      <w:r>
        <w:rPr>
          <w:sz w:val="20"/>
        </w:rPr>
        <w:t xml:space="preserve">ДО ИСТЕЧЕНИЯ ОДНОГО ГОДА СО ДНЯ ПОЛУЧЕНИЯ ВРЕДА ЖИЗНИ ИЛИ</w:t>
      </w:r>
    </w:p>
    <w:p>
      <w:pPr>
        <w:pStyle w:val="2"/>
        <w:jc w:val="center"/>
      </w:pPr>
      <w:r>
        <w:rPr>
          <w:sz w:val="20"/>
        </w:rPr>
        <w:t xml:space="preserve">ЗДОРОВЬЮ 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НА ТЕРРИТОРИИ</w:t>
      </w:r>
    </w:p>
    <w:p>
      <w:pPr>
        <w:pStyle w:val="2"/>
        <w:jc w:val="center"/>
      </w:pPr>
      <w:r>
        <w:rPr>
          <w:sz w:val="20"/>
        </w:rPr>
        <w:t xml:space="preserve">ОРЛОВСКОЙ ОБЛАСТИ</w:t>
      </w:r>
    </w:p>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Настоящее Положение определяет общий порядок организации и деятельности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на территории Орловской области (далее - Комиссия).</w:t>
      </w:r>
    </w:p>
    <w:p>
      <w:pPr>
        <w:pStyle w:val="0"/>
        <w:spacing w:before="200" w:lineRule="auto"/>
        <w:ind w:firstLine="540"/>
        <w:jc w:val="both"/>
      </w:pPr>
      <w:r>
        <w:rPr>
          <w:sz w:val="20"/>
        </w:rPr>
        <w:t xml:space="preserve">2. Комиссия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12" w:tooltip="Устав (Основной Закон) Орловской области от 26.02.1996 N 7-ОЗ (принят ООД РФ 26.02.1996) (ред. от 05.11.2024) ------------ Недействующая редакция {КонсультантПлюс}">
        <w:r>
          <w:rPr>
            <w:sz w:val="20"/>
            <w:color w:val="0000ff"/>
          </w:rPr>
          <w:t xml:space="preserve">Уставом</w:t>
        </w:r>
      </w:hyperlink>
      <w:r>
        <w:rPr>
          <w:sz w:val="20"/>
        </w:rPr>
        <w:t xml:space="preserve"> (Основным Законом) Орловской области, иными законами Орловской области, указами и распоряжениями Губернатора Орловской области, постановлениями и распоряжениями Правительства Орловской области, иными нормативными правовыми актами Российской Федерации и нормативными правовыми актами Орловской области, а также настоящим Положением.</w:t>
      </w:r>
    </w:p>
    <w:p>
      <w:pPr>
        <w:pStyle w:val="0"/>
        <w:spacing w:before="200" w:lineRule="auto"/>
        <w:ind w:firstLine="540"/>
        <w:jc w:val="both"/>
      </w:pPr>
      <w:r>
        <w:rPr>
          <w:sz w:val="20"/>
        </w:rPr>
        <w:t xml:space="preserve">3. Комиссия осуществляет свою деятельность во взаимодействии с федеральными органами исполнительной власти, федеральными государственными органами, органами государственной власти Орловской области, органами местного самоуправления муниципальных образований Орловской области, иными органами и организациями (далее - органы и организации), индивидуальными предпринимателями.</w:t>
      </w:r>
    </w:p>
    <w:p>
      <w:pPr>
        <w:pStyle w:val="0"/>
        <w:spacing w:before="200" w:lineRule="auto"/>
        <w:ind w:firstLine="540"/>
        <w:jc w:val="both"/>
      </w:pPr>
      <w:r>
        <w:rPr>
          <w:sz w:val="20"/>
        </w:rPr>
        <w:t xml:space="preserve">4. Место нахождения Комиссии (место проведения заседаний Комиссии): 302021, г. Орел, пл. Ленина, д. 1.</w:t>
      </w:r>
    </w:p>
    <w:p>
      <w:pPr>
        <w:pStyle w:val="0"/>
        <w:ind w:firstLine="540"/>
        <w:jc w:val="both"/>
      </w:pPr>
      <w:r>
        <w:rPr>
          <w:sz w:val="20"/>
        </w:rPr>
      </w:r>
    </w:p>
    <w:p>
      <w:pPr>
        <w:pStyle w:val="2"/>
        <w:outlineLvl w:val="1"/>
        <w:jc w:val="center"/>
      </w:pPr>
      <w:r>
        <w:rPr>
          <w:sz w:val="20"/>
        </w:rPr>
        <w:t xml:space="preserve">II. Задачи, функции и права Комиссии</w:t>
      </w:r>
    </w:p>
    <w:p>
      <w:pPr>
        <w:pStyle w:val="0"/>
        <w:ind w:firstLine="540"/>
        <w:jc w:val="both"/>
      </w:pPr>
      <w:r>
        <w:rPr>
          <w:sz w:val="20"/>
        </w:rPr>
      </w:r>
    </w:p>
    <w:p>
      <w:pPr>
        <w:pStyle w:val="0"/>
        <w:ind w:firstLine="540"/>
        <w:jc w:val="both"/>
      </w:pPr>
      <w:r>
        <w:rPr>
          <w:sz w:val="20"/>
        </w:rPr>
        <w:t xml:space="preserve">5. Задачами Комиссии являются:</w:t>
      </w:r>
    </w:p>
    <w:p>
      <w:pPr>
        <w:pStyle w:val="0"/>
        <w:spacing w:before="200" w:lineRule="auto"/>
        <w:ind w:firstLine="540"/>
        <w:jc w:val="both"/>
      </w:pPr>
      <w:r>
        <w:rPr>
          <w:sz w:val="20"/>
        </w:rPr>
        <w:t xml:space="preserve">1) установление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причинно-следственная связь между получением вреда жизни или здоровью добровольца (волонтера) и осуществлением вида добровольческой (волонтерской) деятельности), в соответствии с </w:t>
      </w:r>
      <w:hyperlink w:history="0" r:id="rId13"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7 марта 2023 года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w:t>
      </w:r>
    </w:p>
    <w:p>
      <w:pPr>
        <w:pStyle w:val="0"/>
        <w:spacing w:before="200" w:lineRule="auto"/>
        <w:ind w:firstLine="540"/>
        <w:jc w:val="both"/>
      </w:pPr>
      <w:r>
        <w:rPr>
          <w:sz w:val="20"/>
        </w:rPr>
        <w:t xml:space="preserve">2) установление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прибывших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(включая перевозки пассажиров и грузов) на этих территориях, до истечения одного года со дня прекращения волонтерской деятельности на этих территориях, возвращения с этих территорий и увечьем (ранением, травмой, контузией) или заболеванием, полученными ими при осуществлении волонтерской деятельности, выполнении соответствующих задач, работ (оказании услуг) на указанных территориях (далее - причинно-следственная связь между смертью и полученным увечьем или заболеванием), в соответствии с </w:t>
      </w:r>
      <w:hyperlink w:history="0" r:id="rId14"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6 мая 2022 года N 824 "Об утверждении Правил назначения и осуществления единовременных выплат, установленных указами Президента Российской Федерации от 30 апреля 2022 года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года N 640 "О мерах социальной защиты работников некоторых государственных предприятий" и от 14 ноября 2024 года N 968 "О дополнительных социальных гарантиях отдельным категориям лиц".</w:t>
      </w:r>
    </w:p>
    <w:p>
      <w:pPr>
        <w:pStyle w:val="0"/>
        <w:spacing w:before="200" w:lineRule="auto"/>
        <w:ind w:firstLine="540"/>
        <w:jc w:val="both"/>
      </w:pPr>
      <w:r>
        <w:rPr>
          <w:sz w:val="20"/>
        </w:rPr>
        <w:t xml:space="preserve">6. Комиссия осуществляет следующие функции:</w:t>
      </w:r>
    </w:p>
    <w:bookmarkStart w:id="148" w:name="P148"/>
    <w:bookmarkEnd w:id="148"/>
    <w:p>
      <w:pPr>
        <w:pStyle w:val="0"/>
        <w:spacing w:before="200" w:lineRule="auto"/>
        <w:ind w:firstLine="540"/>
        <w:jc w:val="both"/>
      </w:pPr>
      <w:r>
        <w:rPr>
          <w:sz w:val="20"/>
        </w:rPr>
        <w:t xml:space="preserve">1) рассмотрение ходатайства об установлении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и приложенных к нему документов, указанных в </w:t>
      </w:r>
      <w:hyperlink w:history="0" r:id="rId15"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пункте 11</w:t>
        </w:r>
      </w:hyperlink>
      <w:r>
        <w:rPr>
          <w:sz w:val="20"/>
        </w:rPr>
        <w:t xml:space="preserve"> Правил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являющихся приложением 1 к Правилам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утвержденным постановлением Правительства Российской Федерации от 7 марта 2023 года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w:t>
      </w:r>
    </w:p>
    <w:bookmarkStart w:id="149" w:name="P149"/>
    <w:bookmarkEnd w:id="149"/>
    <w:p>
      <w:pPr>
        <w:pStyle w:val="0"/>
        <w:spacing w:before="200" w:lineRule="auto"/>
        <w:ind w:firstLine="540"/>
        <w:jc w:val="both"/>
      </w:pPr>
      <w:r>
        <w:rPr>
          <w:sz w:val="20"/>
        </w:rPr>
        <w:t xml:space="preserve">2) рассмотрение ходатайств об установлении причинно-следственной связи между смертью и полученным увечьем или заболеванием и документов, указанных в </w:t>
      </w:r>
      <w:hyperlink w:history="0" r:id="rId16" w:tooltip="Постановление Правительства РФ от 06.05.2022 N 824 (ред. от 19.12.2024) &quot;Об утверждении Правил назначения и осуществления единовременных выплат, установленных указами Президента Российской Федерации от 30 апреля 2022 г. N 247 &quot;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quot;, от 29 декабря 2022 г. N 972 &quot;О дополнительных социальных гарантиях лицам, направленным (командированным) на территории Донецкой  ------------ Недействующая редакция {КонсультантПлюс}">
        <w:r>
          <w:rPr>
            <w:sz w:val="20"/>
            <w:color w:val="0000ff"/>
          </w:rPr>
          <w:t xml:space="preserve">пункте 11</w:t>
        </w:r>
      </w:hyperlink>
      <w:r>
        <w:rPr>
          <w:sz w:val="20"/>
        </w:rPr>
        <w:t xml:space="preserve">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подведомственными органам публичной власти, иной организацией, индивидуальным предпринимателем и прибывших для непосредственного участия в выполнении работ (оказании услуг) по обеспечению жизнедеятельности населения и (или) восстановлению объектов инфраструктуры (в том числе по восстановлению вооружения, военной и специальной техники), фортификационному оборудованию рубежей и позиций на этих территориях (включая перевозки пассажиров и грузов), до истечения одного года со дня прекращения волонтерской деятельности на этих территориях, возвращения с этих территорий и увечьем (ранением, травмой, контузией) или заболеванием, полученными ими при осуществлении волонтерской деятельности, выполнении соответствующих задач, работ (оказании услуг) на указанных территориях, являющихся приложением к Правилам назначения и осуществления единовременных выплат, установленных указами Президента Российской Федерации от 30 апреля 2022 года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года N 640 "О мерах социальной защиты работников некоторых государственных предприятий" и от 14 ноября 2024 года N 968 "О дополнительных социальных гарантиях отдельным категориям лиц", утвержденным постановлением Правительства Российской Федерации от 6 мая 2022 года N 824 "Об утверждении Правил назначения и осуществления единовременных выплат, установленных указами Президента Российской Федерации от 30 апреля 2022 года N 247 "О поддержке волонтерской деятельности на территориях Донецкой Народной Республики, Луганской Народной Республики, Запорожской области и Херсонской области", от 29 декабря 2022 года N 972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N 518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года N 640 "О мерах социальной защиты работников некоторых государственных предприятий" и от 14 ноября 2024 года N 968 "О дополнительных социальных гарантиях отдельным категориям лиц";</w:t>
      </w:r>
    </w:p>
    <w:p>
      <w:pPr>
        <w:pStyle w:val="0"/>
        <w:spacing w:before="200" w:lineRule="auto"/>
        <w:ind w:firstLine="540"/>
        <w:jc w:val="both"/>
      </w:pPr>
      <w:r>
        <w:rPr>
          <w:sz w:val="20"/>
        </w:rPr>
        <w:t xml:space="preserve">3) подготовка заключений о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а также заключений о причинно-следственной связи между смертью и полученным увечьем или заболеванием.</w:t>
      </w:r>
    </w:p>
    <w:p>
      <w:pPr>
        <w:pStyle w:val="0"/>
        <w:spacing w:before="200" w:lineRule="auto"/>
        <w:ind w:firstLine="540"/>
        <w:jc w:val="both"/>
      </w:pPr>
      <w:r>
        <w:rPr>
          <w:sz w:val="20"/>
        </w:rPr>
        <w:t xml:space="preserve">7. Комиссия для решения возложенных на нее задач имеет право:</w:t>
      </w:r>
    </w:p>
    <w:p>
      <w:pPr>
        <w:pStyle w:val="0"/>
        <w:spacing w:before="200" w:lineRule="auto"/>
        <w:ind w:firstLine="540"/>
        <w:jc w:val="both"/>
      </w:pPr>
      <w:r>
        <w:rPr>
          <w:sz w:val="20"/>
        </w:rPr>
        <w:t xml:space="preserve">1) запрашивать и получать в установленном порядке необходимые материалы и информацию от органов и организаций, индивидуальных предпринимателей путем направления запросов по вопросам деятельности Комиссии;</w:t>
      </w:r>
    </w:p>
    <w:p>
      <w:pPr>
        <w:pStyle w:val="0"/>
        <w:spacing w:before="200" w:lineRule="auto"/>
        <w:ind w:firstLine="540"/>
        <w:jc w:val="both"/>
      </w:pPr>
      <w:r>
        <w:rPr>
          <w:sz w:val="20"/>
        </w:rPr>
        <w:t xml:space="preserve">2) 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3) приглашать для участия в работе Комиссии должностных лиц и специалистов (экспертов) органов и организаций, не входящих в состав Комиссии, по вопросам деятельности Комиссии.</w:t>
      </w:r>
    </w:p>
    <w:p>
      <w:pPr>
        <w:pStyle w:val="0"/>
        <w:ind w:firstLine="540"/>
        <w:jc w:val="both"/>
      </w:pPr>
      <w:r>
        <w:rPr>
          <w:sz w:val="20"/>
        </w:rPr>
      </w:r>
    </w:p>
    <w:p>
      <w:pPr>
        <w:pStyle w:val="2"/>
        <w:outlineLvl w:val="1"/>
        <w:jc w:val="center"/>
      </w:pPr>
      <w:r>
        <w:rPr>
          <w:sz w:val="20"/>
        </w:rPr>
        <w:t xml:space="preserve">III. Состав Комиссии. Организация деятельности Комиссии</w:t>
      </w:r>
    </w:p>
    <w:p>
      <w:pPr>
        <w:pStyle w:val="0"/>
        <w:ind w:firstLine="540"/>
        <w:jc w:val="both"/>
      </w:pPr>
      <w:r>
        <w:rPr>
          <w:sz w:val="20"/>
        </w:rPr>
      </w:r>
    </w:p>
    <w:p>
      <w:pPr>
        <w:pStyle w:val="0"/>
        <w:ind w:firstLine="540"/>
        <w:jc w:val="both"/>
      </w:pPr>
      <w:r>
        <w:rPr>
          <w:sz w:val="20"/>
        </w:rPr>
        <w:t xml:space="preserve">8. Комиссия состоит из председателя Комиссии, заместителя председателя Комиссии, ответственного секретаря Комиссии и иных членов Комиссии (далее также совместно - члены Комиссии).</w:t>
      </w:r>
    </w:p>
    <w:p>
      <w:pPr>
        <w:pStyle w:val="0"/>
        <w:spacing w:before="200" w:lineRule="auto"/>
        <w:ind w:firstLine="540"/>
        <w:jc w:val="both"/>
      </w:pPr>
      <w:r>
        <w:rPr>
          <w:sz w:val="20"/>
        </w:rPr>
        <w:t xml:space="preserve">Члены Комиссии осуществляют свою деятельность на безвозмездной основе, обладают равными правами при обсуждении рассматриваемых на заседании вопросов и не вправе разглашать сведения, ставшие им известными в ходе работы Комиссии.</w:t>
      </w:r>
    </w:p>
    <w:p>
      <w:pPr>
        <w:pStyle w:val="0"/>
        <w:spacing w:before="200" w:lineRule="auto"/>
        <w:ind w:firstLine="540"/>
        <w:jc w:val="both"/>
      </w:pPr>
      <w:r>
        <w:rPr>
          <w:sz w:val="20"/>
        </w:rPr>
        <w:t xml:space="preserve">9. Председатель Комиссии:</w:t>
      </w:r>
    </w:p>
    <w:p>
      <w:pPr>
        <w:pStyle w:val="0"/>
        <w:spacing w:before="200" w:lineRule="auto"/>
        <w:ind w:firstLine="540"/>
        <w:jc w:val="both"/>
      </w:pPr>
      <w:r>
        <w:rPr>
          <w:sz w:val="20"/>
        </w:rPr>
        <w:t xml:space="preserve">1) осуществляет общее руководство деятельностью Комиссии;</w:t>
      </w:r>
    </w:p>
    <w:p>
      <w:pPr>
        <w:pStyle w:val="0"/>
        <w:spacing w:before="200" w:lineRule="auto"/>
        <w:ind w:firstLine="540"/>
        <w:jc w:val="both"/>
      </w:pPr>
      <w:r>
        <w:rPr>
          <w:sz w:val="20"/>
        </w:rPr>
        <w:t xml:space="preserve">2) организует работу Комиссии, экспертные и аналитические мероприятия;</w:t>
      </w:r>
    </w:p>
    <w:p>
      <w:pPr>
        <w:pStyle w:val="0"/>
        <w:spacing w:before="200" w:lineRule="auto"/>
        <w:ind w:firstLine="540"/>
        <w:jc w:val="both"/>
      </w:pPr>
      <w:r>
        <w:rPr>
          <w:sz w:val="20"/>
        </w:rPr>
        <w:t xml:space="preserve">3) утверждает повестку заседания Комиссии не позднее чем за два рабочих дня до дня проведения заседания Комиссии;</w:t>
      </w:r>
    </w:p>
    <w:p>
      <w:pPr>
        <w:pStyle w:val="0"/>
        <w:spacing w:before="200" w:lineRule="auto"/>
        <w:ind w:firstLine="540"/>
        <w:jc w:val="both"/>
      </w:pPr>
      <w:r>
        <w:rPr>
          <w:sz w:val="20"/>
        </w:rPr>
        <w:t xml:space="preserve">4) принимает решение о созыве заседания Комиссии;</w:t>
      </w:r>
    </w:p>
    <w:p>
      <w:pPr>
        <w:pStyle w:val="0"/>
        <w:spacing w:before="200" w:lineRule="auto"/>
        <w:ind w:firstLine="540"/>
        <w:jc w:val="both"/>
      </w:pPr>
      <w:r>
        <w:rPr>
          <w:sz w:val="20"/>
        </w:rPr>
        <w:t xml:space="preserve">5) председательствует на заседаниях Комиссии;</w:t>
      </w:r>
    </w:p>
    <w:p>
      <w:pPr>
        <w:pStyle w:val="0"/>
        <w:spacing w:before="200" w:lineRule="auto"/>
        <w:ind w:firstLine="540"/>
        <w:jc w:val="both"/>
      </w:pPr>
      <w:r>
        <w:rPr>
          <w:sz w:val="20"/>
        </w:rPr>
        <w:t xml:space="preserve">6) подписывает запросы Комиссии о представлении необходимых материалов и информации;</w:t>
      </w:r>
    </w:p>
    <w:p>
      <w:pPr>
        <w:pStyle w:val="0"/>
        <w:spacing w:before="200" w:lineRule="auto"/>
        <w:ind w:firstLine="540"/>
        <w:jc w:val="both"/>
      </w:pPr>
      <w:r>
        <w:rPr>
          <w:sz w:val="20"/>
        </w:rPr>
        <w:t xml:space="preserve">7) определяет дату и время проведения заседания Комиссии;</w:t>
      </w:r>
    </w:p>
    <w:p>
      <w:pPr>
        <w:pStyle w:val="0"/>
        <w:spacing w:before="200" w:lineRule="auto"/>
        <w:ind w:firstLine="540"/>
        <w:jc w:val="both"/>
      </w:pPr>
      <w:r>
        <w:rPr>
          <w:sz w:val="20"/>
        </w:rPr>
        <w:t xml:space="preserve">8) дает поручения заместителю председателя Комиссии, ответственному секретарю Комиссии, иным членам Комиссии и контролирует их исполнение;</w:t>
      </w:r>
    </w:p>
    <w:p>
      <w:pPr>
        <w:pStyle w:val="0"/>
        <w:spacing w:before="200" w:lineRule="auto"/>
        <w:ind w:firstLine="540"/>
        <w:jc w:val="both"/>
      </w:pPr>
      <w:r>
        <w:rPr>
          <w:sz w:val="20"/>
        </w:rPr>
        <w:t xml:space="preserve">9) подписывает протокол, содержащий принятые на заседании Комиссии решения (далее - протокол), заключение о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заключение о причинно-следственной связи между смертью и полученным увечьем или заболеванием не позднее двух рабочих дней со дня проведения заседания Комиссии.</w:t>
      </w:r>
    </w:p>
    <w:p>
      <w:pPr>
        <w:pStyle w:val="0"/>
        <w:spacing w:before="200" w:lineRule="auto"/>
        <w:ind w:firstLine="540"/>
        <w:jc w:val="both"/>
      </w:pPr>
      <w:r>
        <w:rPr>
          <w:sz w:val="20"/>
        </w:rPr>
        <w:t xml:space="preserve">В период временного отсутствия председателя Комиссии его полномочия исполняет заместитель председателя Комиссии.</w:t>
      </w:r>
    </w:p>
    <w:p>
      <w:pPr>
        <w:pStyle w:val="0"/>
        <w:spacing w:before="200" w:lineRule="auto"/>
        <w:ind w:firstLine="540"/>
        <w:jc w:val="both"/>
      </w:pPr>
      <w:r>
        <w:rPr>
          <w:sz w:val="20"/>
        </w:rPr>
        <w:t xml:space="preserve">10. Ответственный секретарь Комиссии:</w:t>
      </w:r>
    </w:p>
    <w:p>
      <w:pPr>
        <w:pStyle w:val="0"/>
        <w:spacing w:before="200" w:lineRule="auto"/>
        <w:ind w:firstLine="540"/>
        <w:jc w:val="both"/>
      </w:pPr>
      <w:r>
        <w:rPr>
          <w:sz w:val="20"/>
        </w:rPr>
        <w:t xml:space="preserve">1) подготавливает и организует созыв заседания Комиссии;</w:t>
      </w:r>
    </w:p>
    <w:p>
      <w:pPr>
        <w:pStyle w:val="0"/>
        <w:spacing w:before="200" w:lineRule="auto"/>
        <w:ind w:firstLine="540"/>
        <w:jc w:val="both"/>
      </w:pPr>
      <w:r>
        <w:rPr>
          <w:sz w:val="20"/>
        </w:rPr>
        <w:t xml:space="preserve">2) формирует проект повестки заседания Комиссии, обеспечивает подготовку необходимых материалов к заседанию Комиссии не позднее чем за три рабочих дня до дня проведения заседания Комиссии;</w:t>
      </w:r>
    </w:p>
    <w:p>
      <w:pPr>
        <w:pStyle w:val="0"/>
        <w:spacing w:before="200" w:lineRule="auto"/>
        <w:ind w:firstLine="540"/>
        <w:jc w:val="both"/>
      </w:pPr>
      <w:r>
        <w:rPr>
          <w:sz w:val="20"/>
        </w:rPr>
        <w:t xml:space="preserve">3) обеспечивает подготовку проекта протокола, представляет его для подписания председателю Комиссии и всем членам Комиссии не позднее одного рабочего дня со дня проведения заседания Комиссии;</w:t>
      </w:r>
    </w:p>
    <w:p>
      <w:pPr>
        <w:pStyle w:val="0"/>
        <w:spacing w:before="200" w:lineRule="auto"/>
        <w:ind w:firstLine="540"/>
        <w:jc w:val="both"/>
      </w:pPr>
      <w:r>
        <w:rPr>
          <w:sz w:val="20"/>
        </w:rPr>
        <w:t xml:space="preserve">4) обеспечивает подготовку проекта заключения о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проекта заключения о причинно-следственной связи между смертью и полученным увечьем или заболеванием не позднее одного рабочего дня со дня проведения заседания Комиссии;</w:t>
      </w:r>
    </w:p>
    <w:p>
      <w:pPr>
        <w:pStyle w:val="0"/>
        <w:spacing w:before="200" w:lineRule="auto"/>
        <w:ind w:firstLine="540"/>
        <w:jc w:val="both"/>
      </w:pPr>
      <w:r>
        <w:rPr>
          <w:sz w:val="20"/>
        </w:rPr>
        <w:t xml:space="preserve">5) информирует членов Комиссии и иных приглашенных на заседание Комиссии лиц о дате, времени, месте проведения заседания Комиссии не менее чем за три рабочих дня до дня проведения заседания Комиссии;</w:t>
      </w:r>
    </w:p>
    <w:p>
      <w:pPr>
        <w:pStyle w:val="0"/>
        <w:spacing w:before="200" w:lineRule="auto"/>
        <w:ind w:firstLine="540"/>
        <w:jc w:val="both"/>
      </w:pPr>
      <w:r>
        <w:rPr>
          <w:sz w:val="20"/>
        </w:rPr>
        <w:t xml:space="preserve">6) организует выполнение поручений председателя Комиссии;</w:t>
      </w:r>
    </w:p>
    <w:p>
      <w:pPr>
        <w:pStyle w:val="0"/>
        <w:spacing w:before="200" w:lineRule="auto"/>
        <w:ind w:firstLine="540"/>
        <w:jc w:val="both"/>
      </w:pPr>
      <w:r>
        <w:rPr>
          <w:sz w:val="20"/>
        </w:rPr>
        <w:t xml:space="preserve">7) осуществляет контроль за исполнением решений, принятых на заседании Комиссии;</w:t>
      </w:r>
    </w:p>
    <w:p>
      <w:pPr>
        <w:pStyle w:val="0"/>
        <w:spacing w:before="200" w:lineRule="auto"/>
        <w:ind w:firstLine="540"/>
        <w:jc w:val="both"/>
      </w:pPr>
      <w:r>
        <w:rPr>
          <w:sz w:val="20"/>
        </w:rPr>
        <w:t xml:space="preserve">8) обеспечивает направление подписанных заключения о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в Федеральное агентство по делам молодежи, заключения о причинно-следственной связи между смертью и полученным увечьем или заболеванием - в Федеральное агентство по делам молодежи, орган и организацию, индивидуальному предпринимателю;</w:t>
      </w:r>
    </w:p>
    <w:p>
      <w:pPr>
        <w:pStyle w:val="0"/>
        <w:spacing w:before="200" w:lineRule="auto"/>
        <w:ind w:firstLine="540"/>
        <w:jc w:val="both"/>
      </w:pPr>
      <w:r>
        <w:rPr>
          <w:sz w:val="20"/>
        </w:rPr>
        <w:t xml:space="preserve">9) осуществляет решение текущих вопросов деятельности Комиссии.</w:t>
      </w:r>
    </w:p>
    <w:p>
      <w:pPr>
        <w:pStyle w:val="0"/>
        <w:spacing w:before="200" w:lineRule="auto"/>
        <w:ind w:firstLine="540"/>
        <w:jc w:val="both"/>
      </w:pPr>
      <w:r>
        <w:rPr>
          <w:sz w:val="20"/>
        </w:rPr>
        <w:t xml:space="preserve">В период временного отсутствия ответственного секретаря Комиссии его полномочия исполняет один из членов Комиссии по поручению председателя Комиссии.</w:t>
      </w:r>
    </w:p>
    <w:p>
      <w:pPr>
        <w:pStyle w:val="0"/>
        <w:spacing w:before="200" w:lineRule="auto"/>
        <w:ind w:firstLine="540"/>
        <w:jc w:val="both"/>
      </w:pPr>
      <w:r>
        <w:rPr>
          <w:sz w:val="20"/>
        </w:rPr>
        <w:t xml:space="preserve">11. Члены Комиссии:</w:t>
      </w:r>
    </w:p>
    <w:p>
      <w:pPr>
        <w:pStyle w:val="0"/>
        <w:spacing w:before="200" w:lineRule="auto"/>
        <w:ind w:firstLine="540"/>
        <w:jc w:val="both"/>
      </w:pPr>
      <w:r>
        <w:rPr>
          <w:sz w:val="20"/>
        </w:rPr>
        <w:t xml:space="preserve">1) участвуют в заседании Комиссии;</w:t>
      </w:r>
    </w:p>
    <w:p>
      <w:pPr>
        <w:pStyle w:val="0"/>
        <w:spacing w:before="200" w:lineRule="auto"/>
        <w:ind w:firstLine="540"/>
        <w:jc w:val="both"/>
      </w:pPr>
      <w:r>
        <w:rPr>
          <w:sz w:val="20"/>
        </w:rPr>
        <w:t xml:space="preserve">2) вносят предложения в повестку дня заседания Комиссии;</w:t>
      </w:r>
    </w:p>
    <w:p>
      <w:pPr>
        <w:pStyle w:val="0"/>
        <w:spacing w:before="200" w:lineRule="auto"/>
        <w:ind w:firstLine="540"/>
        <w:jc w:val="both"/>
      </w:pPr>
      <w:r>
        <w:rPr>
          <w:sz w:val="20"/>
        </w:rPr>
        <w:t xml:space="preserve">3) участвуют в обсуждении вопросов, вынесенных на заседание Комиссии;</w:t>
      </w:r>
    </w:p>
    <w:p>
      <w:pPr>
        <w:pStyle w:val="0"/>
        <w:spacing w:before="200" w:lineRule="auto"/>
        <w:ind w:firstLine="540"/>
        <w:jc w:val="both"/>
      </w:pPr>
      <w:r>
        <w:rPr>
          <w:sz w:val="20"/>
        </w:rPr>
        <w:t xml:space="preserve">4) участвуют в рассмотрении ходатайств и документов, предусмотренных </w:t>
      </w:r>
      <w:hyperlink w:history="0" w:anchor="P148" w:tooltip="1) рассмотрение ходатайства об установлении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и приложенных к нему документов, указанных в пункте 11 Правил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
        <w:r>
          <w:rPr>
            <w:sz w:val="20"/>
            <w:color w:val="0000ff"/>
          </w:rPr>
          <w:t xml:space="preserve">подпунктами 1</w:t>
        </w:r>
      </w:hyperlink>
      <w:r>
        <w:rPr>
          <w:sz w:val="20"/>
        </w:rPr>
        <w:t xml:space="preserve">, </w:t>
      </w:r>
      <w:hyperlink w:history="0" w:anchor="P149" w:tooltip="2) рассмотрение ходатайств об установлении причинно-следственной связи между смертью и полученным увечьем или заболеванием и документов, указанных в пункте 11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
        <w:r>
          <w:rPr>
            <w:sz w:val="20"/>
            <w:color w:val="0000ff"/>
          </w:rPr>
          <w:t xml:space="preserve">2 пункта 6</w:t>
        </w:r>
      </w:hyperlink>
      <w:r>
        <w:rPr>
          <w:sz w:val="20"/>
        </w:rPr>
        <w:t xml:space="preserve"> настоящего Положения;</w:t>
      </w:r>
    </w:p>
    <w:p>
      <w:pPr>
        <w:pStyle w:val="0"/>
        <w:spacing w:before="200" w:lineRule="auto"/>
        <w:ind w:firstLine="540"/>
        <w:jc w:val="both"/>
      </w:pPr>
      <w:r>
        <w:rPr>
          <w:sz w:val="20"/>
        </w:rPr>
        <w:t xml:space="preserve">5) голосуют по вопросам заседания Комиссии;</w:t>
      </w:r>
    </w:p>
    <w:p>
      <w:pPr>
        <w:pStyle w:val="0"/>
        <w:spacing w:before="200" w:lineRule="auto"/>
        <w:ind w:firstLine="540"/>
        <w:jc w:val="both"/>
      </w:pPr>
      <w:r>
        <w:rPr>
          <w:sz w:val="20"/>
        </w:rPr>
        <w:t xml:space="preserve">6) подписывают протокол не позднее двух рабочих дней со дня проведения заседания Комиссии.</w:t>
      </w:r>
    </w:p>
    <w:p>
      <w:pPr>
        <w:pStyle w:val="0"/>
        <w:spacing w:before="200" w:lineRule="auto"/>
        <w:ind w:firstLine="540"/>
        <w:jc w:val="both"/>
      </w:pPr>
      <w:r>
        <w:rPr>
          <w:sz w:val="20"/>
        </w:rPr>
        <w:t xml:space="preserve">12. Заседания Комиссии проводятся по мере необходимости, обусловленной поступлением в Комиссию документов, предусмотренных </w:t>
      </w:r>
      <w:hyperlink w:history="0" w:anchor="P148" w:tooltip="1) рассмотрение ходатайства об установлении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и приложенных к нему документов, указанных в пункте 11 Правил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
        <w:r>
          <w:rPr>
            <w:sz w:val="20"/>
            <w:color w:val="0000ff"/>
          </w:rPr>
          <w:t xml:space="preserve">подпунктами 1</w:t>
        </w:r>
      </w:hyperlink>
      <w:r>
        <w:rPr>
          <w:sz w:val="20"/>
        </w:rPr>
        <w:t xml:space="preserve">, </w:t>
      </w:r>
      <w:hyperlink w:history="0" w:anchor="P149" w:tooltip="2) рассмотрение ходатайств об установлении причинно-следственной связи между смертью и полученным увечьем или заболеванием и документов, указанных в пункте 11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
        <w:r>
          <w:rPr>
            <w:sz w:val="20"/>
            <w:color w:val="0000ff"/>
          </w:rPr>
          <w:t xml:space="preserve">2 пункта 6</w:t>
        </w:r>
      </w:hyperlink>
      <w:r>
        <w:rPr>
          <w:sz w:val="20"/>
        </w:rPr>
        <w:t xml:space="preserve"> настоящего Положения.</w:t>
      </w:r>
    </w:p>
    <w:p>
      <w:pPr>
        <w:pStyle w:val="0"/>
        <w:spacing w:before="200" w:lineRule="auto"/>
        <w:ind w:firstLine="540"/>
        <w:jc w:val="both"/>
      </w:pPr>
      <w:r>
        <w:rPr>
          <w:sz w:val="20"/>
        </w:rPr>
        <w:t xml:space="preserve">13. Заседания Комиссии проводятся в течение десяти календарных дней с даты поступления ходатайств и документов, предусмотренных </w:t>
      </w:r>
      <w:hyperlink w:history="0" w:anchor="P148" w:tooltip="1) рассмотрение ходатайства об установлении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и приложенных к нему документов, указанных в пункте 11 Правил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
        <w:r>
          <w:rPr>
            <w:sz w:val="20"/>
            <w:color w:val="0000ff"/>
          </w:rPr>
          <w:t xml:space="preserve">подпунктами 1</w:t>
        </w:r>
      </w:hyperlink>
      <w:r>
        <w:rPr>
          <w:sz w:val="20"/>
        </w:rPr>
        <w:t xml:space="preserve">, </w:t>
      </w:r>
      <w:hyperlink w:history="0" w:anchor="P149" w:tooltip="2) рассмотрение ходатайств об установлении причинно-следственной связи между смертью и полученным увечьем или заболеванием и документов, указанных в пункте 11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
        <w:r>
          <w:rPr>
            <w:sz w:val="20"/>
            <w:color w:val="0000ff"/>
          </w:rPr>
          <w:t xml:space="preserve">2 пункта 6</w:t>
        </w:r>
      </w:hyperlink>
      <w:r>
        <w:rPr>
          <w:sz w:val="20"/>
        </w:rPr>
        <w:t xml:space="preserve"> настоящего Положения, от Федерального агентства по делам молодежи, органа, организации, индивидуального предпринимателя.</w:t>
      </w:r>
    </w:p>
    <w:p>
      <w:pPr>
        <w:pStyle w:val="0"/>
        <w:spacing w:before="200" w:lineRule="auto"/>
        <w:ind w:firstLine="540"/>
        <w:jc w:val="both"/>
      </w:pPr>
      <w:r>
        <w:rPr>
          <w:sz w:val="20"/>
        </w:rPr>
        <w:t xml:space="preserve">Заседание Комиссии считается правомочным, если на нем присутствует не менее половины ее членов.</w:t>
      </w:r>
    </w:p>
    <w:p>
      <w:pPr>
        <w:pStyle w:val="0"/>
        <w:spacing w:before="200" w:lineRule="auto"/>
        <w:ind w:firstLine="540"/>
        <w:jc w:val="both"/>
      </w:pPr>
      <w:r>
        <w:rPr>
          <w:sz w:val="20"/>
        </w:rPr>
        <w:t xml:space="preserve">В случае невозможности присутствия члена Комиссии на заседании Комиссии он обязан известить об этом председателя Комиссии и представить ответственному секретарю Комиссии свое мнение по вопросам повестки заседания в письменной форме до дня проведения заседания Комиссии.</w:t>
      </w:r>
    </w:p>
    <w:p>
      <w:pPr>
        <w:pStyle w:val="0"/>
        <w:spacing w:before="200" w:lineRule="auto"/>
        <w:ind w:firstLine="540"/>
        <w:jc w:val="both"/>
      </w:pPr>
      <w:r>
        <w:rPr>
          <w:sz w:val="20"/>
        </w:rPr>
        <w:t xml:space="preserve">14. Решения Комиссии принимаются большинством голосов присутствующих на заседании членов Комиссии с учетом представленного письменного мнения отсутствующих членов Комиссии. При равенстве голосов решающим является голос председательствующего на заседании Комиссии.</w:t>
      </w:r>
    </w:p>
    <w:p>
      <w:pPr>
        <w:pStyle w:val="0"/>
        <w:spacing w:before="200" w:lineRule="auto"/>
        <w:ind w:firstLine="540"/>
        <w:jc w:val="both"/>
      </w:pPr>
      <w:r>
        <w:rPr>
          <w:sz w:val="20"/>
        </w:rPr>
        <w:t xml:space="preserve">15. Решения Комиссии оформляются:</w:t>
      </w:r>
    </w:p>
    <w:p>
      <w:pPr>
        <w:pStyle w:val="0"/>
        <w:spacing w:before="200" w:lineRule="auto"/>
        <w:ind w:firstLine="540"/>
        <w:jc w:val="both"/>
      </w:pPr>
      <w:r>
        <w:rPr>
          <w:sz w:val="20"/>
        </w:rPr>
        <w:t xml:space="preserve">1) протоколом, который подписывается председателем Комиссии (его заместителем при отсутствии председателя) и всеми членами Комиссии;</w:t>
      </w:r>
    </w:p>
    <w:p>
      <w:pPr>
        <w:pStyle w:val="0"/>
        <w:spacing w:before="200" w:lineRule="auto"/>
        <w:ind w:firstLine="540"/>
        <w:jc w:val="both"/>
      </w:pPr>
      <w:r>
        <w:rPr>
          <w:sz w:val="20"/>
        </w:rPr>
        <w:t xml:space="preserve">2) заключением о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или заключением о причинно-следственной связи между смертью и полученным увечьем или заболеванием, которые подписываются председателем Комиссии (его заместителем при отсутствии председателя).</w:t>
      </w:r>
    </w:p>
    <w:p>
      <w:pPr>
        <w:pStyle w:val="0"/>
        <w:spacing w:before="200" w:lineRule="auto"/>
        <w:ind w:firstLine="540"/>
        <w:jc w:val="both"/>
      </w:pPr>
      <w:r>
        <w:rPr>
          <w:sz w:val="20"/>
        </w:rPr>
        <w:t xml:space="preserve">16. Подписанное заключение о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направляются в адрес Федерального агентства по делам молодежи по почте не позднее третьего рабочего дня с даты проведения заседания Комиссии, на котором рассматривались соответствующие ходатайство и документы, предусмотренные </w:t>
      </w:r>
      <w:hyperlink w:history="0" w:anchor="P148" w:tooltip="1) рассмотрение ходатайства об установлении причинно-следственной связи между получением вреда жизни или здоровью добровольца (волонтера) и осуществлением вида добровольческой (волонтерской) деятельности и приложенных к нему документов, указанных в пункте 11 Правил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
        <w:r>
          <w:rPr>
            <w:sz w:val="20"/>
            <w:color w:val="0000ff"/>
          </w:rPr>
          <w:t xml:space="preserve">подпунктом 1 пункта 6</w:t>
        </w:r>
      </w:hyperlink>
      <w:r>
        <w:rPr>
          <w:sz w:val="20"/>
        </w:rPr>
        <w:t xml:space="preserve"> настоящего Положения.</w:t>
      </w:r>
    </w:p>
    <w:p>
      <w:pPr>
        <w:pStyle w:val="0"/>
        <w:spacing w:before="200" w:lineRule="auto"/>
        <w:ind w:firstLine="540"/>
        <w:jc w:val="both"/>
      </w:pPr>
      <w:r>
        <w:rPr>
          <w:sz w:val="20"/>
        </w:rPr>
        <w:t xml:space="preserve">Заключение о причинно-следственной связи между смертью и полученным увечьем или заболеванием направляются в адрес Федерального агентства по делам молодежи, орган и организацию, индивидуальному предпринимателю по почте не позднее третьего рабочего дня с даты проведения заседания Комиссии, на котором рассматривались соответствующие ходатайство и документы, предусмотренные </w:t>
      </w:r>
      <w:hyperlink w:history="0" w:anchor="P149" w:tooltip="2) рассмотрение ходатайств об установлении причинно-следственной связи между смертью и полученным увечьем или заболеванием и документов, указанных в пункте 11 Правил установления причинно-следственной связи между смертью волонтеров, осуществлявших свою деятельность на территориях Донецкой Народной Республики, Луганской Народной Республики, Запорожской области и Херсонской области, физических лиц, привлеченных на основании контракта (договора) с органом публичной власти, организацией и учреждением, подвед...">
        <w:r>
          <w:rPr>
            <w:sz w:val="20"/>
            <w:color w:val="0000ff"/>
          </w:rPr>
          <w:t xml:space="preserve">подпунктом 2 пункта 6</w:t>
        </w:r>
      </w:hyperlink>
      <w:r>
        <w:rPr>
          <w:sz w:val="20"/>
        </w:rPr>
        <w:t xml:space="preserve"> настоящего Положения.</w:t>
      </w:r>
    </w:p>
    <w:p>
      <w:pPr>
        <w:pStyle w:val="0"/>
        <w:spacing w:before="200" w:lineRule="auto"/>
        <w:ind w:firstLine="540"/>
        <w:jc w:val="both"/>
      </w:pPr>
      <w:r>
        <w:rPr>
          <w:sz w:val="20"/>
        </w:rPr>
        <w:t xml:space="preserve">17. Организационное и материально-техническое обеспечение деятельности Комиссии осуществляется Департаментом молодежной политики и реализации патриотических проектов Орловской области.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Орловской области от 12.08.2025 N 436</w:t>
            <w:br/>
            <w:t>"О комиссии по установлению причинно-следственной связи между пол...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45336" TargetMode = "External"/><Relationship Id="rId9" Type="http://schemas.openxmlformats.org/officeDocument/2006/relationships/hyperlink" Target="https://login.consultant.ru/link/?req=doc&amp;base=LAW&amp;n=493818" TargetMode = "External"/><Relationship Id="rId10" Type="http://schemas.openxmlformats.org/officeDocument/2006/relationships/hyperlink" Target="https://login.consultant.ru/link/?req=doc&amp;base=LAW&amp;n=493818"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RLAW127&amp;n=99796" TargetMode = "External"/><Relationship Id="rId13" Type="http://schemas.openxmlformats.org/officeDocument/2006/relationships/hyperlink" Target="https://login.consultant.ru/link/?req=doc&amp;base=LAW&amp;n=445336" TargetMode = "External"/><Relationship Id="rId14" Type="http://schemas.openxmlformats.org/officeDocument/2006/relationships/hyperlink" Target="https://login.consultant.ru/link/?req=doc&amp;base=LAW&amp;n=493818" TargetMode = "External"/><Relationship Id="rId15" Type="http://schemas.openxmlformats.org/officeDocument/2006/relationships/hyperlink" Target="https://login.consultant.ru/link/?req=doc&amp;base=LAW&amp;n=445336&amp;dst=100080" TargetMode = "External"/><Relationship Id="rId16" Type="http://schemas.openxmlformats.org/officeDocument/2006/relationships/hyperlink" Target="https://login.consultant.ru/link/?req=doc&amp;base=LAW&amp;n=493818&amp;dst=19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Орловской области от 12.08.2025 N 436
"О комиссии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dc:title>
  <dcterms:created xsi:type="dcterms:W3CDTF">2026-01-08T13:05:08Z</dcterms:created>
</cp:coreProperties>
</file>