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10.04.2024 N 316-рП</w:t>
              <w:br/>
              <w:t xml:space="preserve">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апреля 2024 г. N 316-рП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7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05.12.2005 N 154-ФЗ "О государственной службе российского казачества" (с последующими изменениями),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Указа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</w:t>
      </w:r>
      <w:hyperlink w:history="0" r:id="rId9" w:tooltip="Закон Пензенской обл. от 21.04.2023 N 4006-ЗПО (ред. от 29.03.2024) &quot;О Правительстве Пензенской области&quot; (принят ЗС Пензенской обл. 21.04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21.04.2023 N 4006-ЗПО "О Правительстве Пензенской области"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Пензенской области, обеспечивающего работу по координации вопросов реализации основных направлений внутренней и национальной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10 апреля 2024 г. N 316-рП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2631"/>
        <w:gridCol w:w="1276"/>
        <w:gridCol w:w="2835"/>
        <w:gridCol w:w="2551"/>
        <w:gridCol w:w="2126"/>
        <w:gridCol w:w="2126"/>
      </w:tblGrid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40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организационного, информационного, консультативного, методического содействия казачьим обществам в их деятельности по несению государственной и иной службы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Правительства Пензенской области, Пензенская региональная рабочая группа по делам казачества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сотрудничества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получивших поддержку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Пензенской области (по согласованию),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общественной безопасности и обеспечения деятельности мировых судей в Пензенской области, Военный комиссариат Пензенской области (по согласованию),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общественной безопасности и обеспечения деятельности мировых судей в Пензенской области, Военный комиссариат Пензенской области (по согласованию),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области, Управление молодежной политики Правительства Пензенской области,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проведенных мероприятий, количество участников мероприятий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 Вооруженных Сил Российской Федерации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общественной безопасности и обеспечения деятельности мировых судей в Пензенской области, Военный комиссариат Пензенской области (по согласованию),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Пензенской области (по согласованию),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Пензенской области (по согласованию), 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исполнительными органами субъектов Российской Федерации и органами местного самоуправления муниципальных образований; 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Пензенской области (по согласованию), 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Пензенской области (по согласованию), 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Пензенской области (по согласованию), 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лесного, охотничьего хозяйства и природопользования Пензенской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Пензенской области (по согласованию), 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области, ГАПОУ ПО "НМТ" Губернаторский казачий кадетский корпус",</w:t>
            </w:r>
          </w:p>
          <w:p>
            <w:pPr>
              <w:pStyle w:val="0"/>
            </w:pPr>
            <w:r>
              <w:rPr>
                <w:sz w:val="20"/>
              </w:rPr>
              <w:t xml:space="preserve">Пензенский казачий институт технологий (филиал) ФГБОУ ВО "МГУТУ им. К.Г. Разумовского (Первый казачий университет)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gridSpan w:val="7"/>
            <w:tcW w:w="140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12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области, Пензенское отдельское казачье общество Волжского войскового казачьего общества (по согласованию), филиал фонда "Защитники Отечества" в Пензенской области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 (темы обращений)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Пензенское отдельское казачье общество Волжского войскового казачьего общества и иные объединения казаков (по согласованию), Пензенская региональная рабочая группа по делам казачества,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Пензенское отдельское казачье общество Волжского войскового казачьего общества и иные объединения казаков (по согласованию), Пензенская региональная рабочая группа по делам казачества, органы местного самоуправления муниципальных образований Пензенской области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gridSpan w:val="7"/>
            <w:tcW w:w="140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войсковых казачьих обществ Всероссийского казачьего общества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области, Управление молодежной политики Правительства Пензенской области, 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войсковых казачьих обществ и воспитанников казачьих кадетских корпусов, принявших участие в военных парадах и прохождениях войск торжественным маршем (название мероприятий, место проведения количество человек)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казачьих кадетских классов (количество классов, количество учащихся)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области, Управление молодежной политики Правительства Пензенской области,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учебного учреждения, количество казачьих кадетских классов, количество учащихся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торжественных мероприятий, посвященных Дню казачьей молодежи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области, Управление молодежной политики Правительства Пензенской области,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мероприятий, количество кадет, принявших участие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Пензенской области, Пензенское отдельское казачье общество Волжского войскового казачьего общества и иные объединения казаков (по согласованию), отдел по взаимодействию с казачеством Пензенской митрополии Русской православной церкви (Московский патриархат)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мероприятий, количество казаков, принявших участие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Пензенской области, Министерство образования Пензенской области, Управление молодежной политики Правительства Пензенской области, Пензенское отдельское казачье общество Волжского войскового казачьего общества и иные объединения казаков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мероприятий; количество участников мероприятий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Пензенское отдельское казачье общество Волжского войскового казачьего общества и иные объединения казаков (по согласованию), Управление внутренней политики Правительства Пензенской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звание "Лучший казачий класс Пензенской области"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Пензенское отдельское казачье общество Волжского войскового казачьего общества (по согласованию), региональная общественная организация "Добровольное общественно-патриотическое объединение "Пензенский союз казаков" (по согласованию), Министерство образования Пензенской области, Управление молодежной политики Правительства Пензенской области, Управление внутренней политики Правительства Пензенской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конкурсе, количество участников мероприятия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"Лучший командир казачьего кадетского класса Пензенской области"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Пензенское отдельское казачье общество Волжского войскового казачьего общества (по согласованию), региональная общественная организация "Добровольное общественно-патриотическое объединение "Пензенский союз казаков" (по согласованию), Министерство образования Пензенской области, Управление молодежной политики Правительства Пензенской области, Управление внутренней политики Правительства Пензенской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конкурсе, количество участников мероприятия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gridSpan w:val="7"/>
            <w:tcW w:w="140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Пензенской области,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проведенных мероприятий; количество участников мероприятий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Пензенской области,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проведенных мероприятий; количество участников мероприятий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области, Управление молодежной политики Правительства Пензенской области, Министерство культуры и туризма Пензенской области,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проведенных мероприятий; количество участников мероприятий из числа молодежи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gridSpan w:val="7"/>
            <w:tcW w:w="140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Правительства Пензенской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субъектов Российской Федерации по отдельным запросам казачьих обществ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Пензенской области, 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портала "Российское казачество"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Пензенское отдельское казачье общество Волжского войскового казачьего общества (по согласованию)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информационных ресурсов, содержащих сведения о казачьих обществах и иных объединениях казаков, а также об их деятельности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и пресс-службы Губернатора и Правительства Пензенской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заседании Пензенской региональной рабочей группы по делам казачества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10.04.2024 N 316-рП</w:t>
            <w:br/>
            <w:t>"Об утверждении Плана мероприятий на 2024 - 2026 годы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10.04.2024 N 316-рП</w:t>
            <w:br/>
            <w:t>"Об утверждении Плана мероприятий на 2024 - 2026 годы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2840" TargetMode = "External"/>
	<Relationship Id="rId8" Type="http://schemas.openxmlformats.org/officeDocument/2006/relationships/hyperlink" Target="https://login.consultant.ru/link/?req=doc&amp;base=LAW&amp;n=359568&amp;dst=100008" TargetMode = "External"/>
	<Relationship Id="rId9" Type="http://schemas.openxmlformats.org/officeDocument/2006/relationships/hyperlink" Target="https://login.consultant.ru/link/?req=doc&amp;base=RLAW021&amp;n=192474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LAW&amp;n=46877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10.04.2024 N 316-рП
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Пензенской области"</dc:title>
  <dcterms:created xsi:type="dcterms:W3CDTF">2024-06-08T16:11:11Z</dcterms:created>
</cp:coreProperties>
</file>