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Указ Губернатора Пензенской обл. от 03.08.2023 N 110</w:t>
              <w:br/>
              <w:t xml:space="preserve">"О комиссии Пензенской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w:t>
              <w:br/>
              <w:t xml:space="preserve">(вместе с "Положением о комиссии Пензенской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ПЕНЗЕНСКОЙ ОБЛАСТИ</w:t>
      </w:r>
    </w:p>
    <w:p>
      <w:pPr>
        <w:pStyle w:val="2"/>
        <w:jc w:val="both"/>
      </w:pPr>
      <w:r>
        <w:rPr>
          <w:sz w:val="20"/>
        </w:rPr>
      </w:r>
    </w:p>
    <w:p>
      <w:pPr>
        <w:pStyle w:val="2"/>
        <w:jc w:val="center"/>
      </w:pPr>
      <w:r>
        <w:rPr>
          <w:sz w:val="20"/>
        </w:rPr>
        <w:t xml:space="preserve">УКАЗ</w:t>
      </w:r>
    </w:p>
    <w:p>
      <w:pPr>
        <w:pStyle w:val="2"/>
        <w:jc w:val="center"/>
      </w:pPr>
      <w:r>
        <w:rPr>
          <w:sz w:val="20"/>
        </w:rPr>
        <w:t xml:space="preserve">от 3 августа 2023 г. N 110</w:t>
      </w:r>
    </w:p>
    <w:p>
      <w:pPr>
        <w:pStyle w:val="2"/>
        <w:jc w:val="both"/>
      </w:pPr>
      <w:r>
        <w:rPr>
          <w:sz w:val="20"/>
        </w:rPr>
      </w:r>
    </w:p>
    <w:p>
      <w:pPr>
        <w:pStyle w:val="2"/>
        <w:jc w:val="center"/>
      </w:pPr>
      <w:r>
        <w:rPr>
          <w:sz w:val="20"/>
        </w:rPr>
        <w:t xml:space="preserve">О КОМИССИИ ПЕНЗЕНСКОЙ ОБЛАСТИ ПО УСТАНОВЛЕНИЮ</w:t>
      </w:r>
    </w:p>
    <w:p>
      <w:pPr>
        <w:pStyle w:val="2"/>
        <w:jc w:val="center"/>
      </w:pPr>
      <w:r>
        <w:rPr>
          <w:sz w:val="20"/>
        </w:rPr>
        <w:t xml:space="preserve">ПРИЧИННО-СЛЕДСТВЕННОЙ СВЯЗИ МЕЖДУ ПОЛУЧЕНИЕМ ВРЕДА ЖИЗНИ ИЛИ</w:t>
      </w:r>
    </w:p>
    <w:p>
      <w:pPr>
        <w:pStyle w:val="2"/>
        <w:jc w:val="center"/>
      </w:pPr>
      <w:r>
        <w:rPr>
          <w:sz w:val="20"/>
        </w:rPr>
        <w:t xml:space="preserve">ЗДОРОВЬЮ ДОБРОВОЛЬЦА (ВОЛОНТЕРА) И ОСУЩЕСТВЛЕНИЕМ ИМ ВИДА</w:t>
      </w:r>
    </w:p>
    <w:p>
      <w:pPr>
        <w:pStyle w:val="2"/>
        <w:jc w:val="center"/>
      </w:pPr>
      <w:r>
        <w:rPr>
          <w:sz w:val="20"/>
        </w:rPr>
        <w:t xml:space="preserve">ДОБРОВОЛЬЧЕСКОЙ (ВОЛОНТЕРСКОЙ) ДЕЯТЕЛЬНОСТИ, А ТАКЖЕ</w:t>
      </w:r>
    </w:p>
    <w:p>
      <w:pPr>
        <w:pStyle w:val="2"/>
        <w:jc w:val="center"/>
      </w:pPr>
      <w:r>
        <w:rPr>
          <w:sz w:val="20"/>
        </w:rPr>
        <w:t xml:space="preserve">ПРИЧИННО-СЛЕДСТВЕННОЙ СВЯЗИ МЕЖДУ СМЕРТЬЮ (ГИБЕЛЬЮ)</w:t>
      </w:r>
    </w:p>
    <w:p>
      <w:pPr>
        <w:pStyle w:val="2"/>
        <w:jc w:val="center"/>
      </w:pPr>
      <w:r>
        <w:rPr>
          <w:sz w:val="20"/>
        </w:rPr>
        <w:t xml:space="preserve">ДОБРОВОЛЬЦА (ВОЛОНТЕРА) И ВРЕДОМ ЖИЗНИ ИЛИ ЗДОРОВЬЮ</w:t>
      </w:r>
    </w:p>
    <w:p>
      <w:pPr>
        <w:pStyle w:val="2"/>
        <w:jc w:val="center"/>
      </w:pPr>
      <w:r>
        <w:rPr>
          <w:sz w:val="20"/>
        </w:rPr>
        <w:t xml:space="preserve">ДОБРОВОЛЬЦА (ВОЛОНТЕРА), ПОЛУЧЕННЫМ ДОБРОВОЛЬЦЕМ</w:t>
      </w:r>
    </w:p>
    <w:p>
      <w:pPr>
        <w:pStyle w:val="2"/>
        <w:jc w:val="center"/>
      </w:pPr>
      <w:r>
        <w:rPr>
          <w:sz w:val="20"/>
        </w:rPr>
        <w:t xml:space="preserve">(ВОЛОНТЕРОМ) ПРИ ОСУЩЕСТВЛЕНИИ ИМ ДОБРОВОЛЬЧЕСКОЙ</w:t>
      </w:r>
    </w:p>
    <w:p>
      <w:pPr>
        <w:pStyle w:val="2"/>
        <w:jc w:val="center"/>
      </w:pPr>
      <w:r>
        <w:rPr>
          <w:sz w:val="20"/>
        </w:rPr>
        <w:t xml:space="preserve">(ВОЛОНТЕРСКОЙ) ДЕЯТЕЛЬНОСТИ, В СЛУЧАЕ ЕСЛИ СМЕРТЬ (ГИБЕЛЬ)</w:t>
      </w:r>
    </w:p>
    <w:p>
      <w:pPr>
        <w:pStyle w:val="2"/>
        <w:jc w:val="center"/>
      </w:pPr>
      <w:r>
        <w:rPr>
          <w:sz w:val="20"/>
        </w:rPr>
        <w:t xml:space="preserve">ДОБРОВОЛЬЦА (ВОЛОНТЕРА) НАСТУПИЛА ДО ИСТЕЧЕНИЯ ОДНОГО ГОДА</w:t>
      </w:r>
    </w:p>
    <w:p>
      <w:pPr>
        <w:pStyle w:val="2"/>
        <w:jc w:val="center"/>
      </w:pPr>
      <w:r>
        <w:rPr>
          <w:sz w:val="20"/>
        </w:rPr>
        <w:t xml:space="preserve">СО ДНЯ ПОЛУЧЕНИЯ ВРЕДА ЖИЗНИ ИЛИ ЗДОРОВЬЮ ДОБРОВОЛЬЦА</w:t>
      </w:r>
    </w:p>
    <w:p>
      <w:pPr>
        <w:pStyle w:val="2"/>
        <w:jc w:val="center"/>
      </w:pPr>
      <w:r>
        <w:rPr>
          <w:sz w:val="20"/>
        </w:rPr>
        <w:t xml:space="preserve">(ВОЛОНТЕРА), ПОЛУЧЕННОГО ДОБРОВОЛЬЦЕМ (ВОЛОНТЕРОМ)</w:t>
      </w:r>
    </w:p>
    <w:p>
      <w:pPr>
        <w:pStyle w:val="2"/>
        <w:jc w:val="center"/>
      </w:pPr>
      <w:r>
        <w:rPr>
          <w:sz w:val="20"/>
        </w:rPr>
        <w:t xml:space="preserve">ПРИ ОСУЩЕСТВЛЕНИИ ИМ ДОБРОВОЛЬЧЕСКОЙ (ВОЛОНТЕРСКОЙ)</w:t>
      </w:r>
    </w:p>
    <w:p>
      <w:pPr>
        <w:pStyle w:val="2"/>
        <w:jc w:val="center"/>
      </w:pPr>
      <w:r>
        <w:rPr>
          <w:sz w:val="20"/>
        </w:rPr>
        <w:t xml:space="preserve">ДЕЯТЕЛЬНОСТИ</w:t>
      </w:r>
    </w:p>
    <w:p>
      <w:pPr>
        <w:pStyle w:val="0"/>
        <w:jc w:val="both"/>
      </w:pPr>
      <w:r>
        <w:rPr>
          <w:sz w:val="20"/>
        </w:rPr>
      </w:r>
    </w:p>
    <w:p>
      <w:pPr>
        <w:pStyle w:val="0"/>
        <w:ind w:firstLine="540"/>
        <w:jc w:val="both"/>
      </w:pPr>
      <w:r>
        <w:rPr>
          <w:sz w:val="20"/>
        </w:rPr>
        <w:t xml:space="preserve">Руководствуясь </w:t>
      </w:r>
      <w:hyperlink w:history="0" r:id="rId7"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w:t>
      </w:r>
      <w:hyperlink w:history="0" r:id="rId8" w:tooltip="Закон Пензенской обл. от 10.04.2006 N 1005-ЗПО (ред. от 21.04.2023) &quot;О Губернаторе Пензенской области&quot; (принят ЗС Пензенской обл. 30.03.2006) {КонсультантПлюс}">
        <w:r>
          <w:rPr>
            <w:sz w:val="20"/>
            <w:color w:val="0000ff"/>
          </w:rPr>
          <w:t xml:space="preserve">Законом</w:t>
        </w:r>
      </w:hyperlink>
      <w:r>
        <w:rPr>
          <w:sz w:val="20"/>
        </w:rPr>
        <w:t xml:space="preserve"> Пензенской области от 10.04.2006 N 1005-ЗПО "О Губернаторе Пензенской области" (с последующими изменениями), в соответствии с </w:t>
      </w:r>
      <w:hyperlink w:history="0" r:id="rId9" w:tooltip="Постановление Правительства РФ от 07.03.2023 N 356 &quot;Об утверждении Правил назначения и выплаты компенсации, предусмотренной пунктом 1.1 статьи 17.1 Федерального закона &quot;О благотворительной деятельности и добровольчестве (волонтерстве)&quot; {КонсультантПлюс}">
        <w:r>
          <w:rPr>
            <w:sz w:val="20"/>
            <w:color w:val="0000ff"/>
          </w:rPr>
          <w:t xml:space="preserve">постановлением</w:t>
        </w:r>
      </w:hyperlink>
      <w:r>
        <w:rPr>
          <w:sz w:val="20"/>
        </w:rPr>
        <w:t xml:space="preserve"> Правительства Российской Федерации от 07.03.2023 N 356 "Об утверждении Правил назначения и выплаты компенсации, предусмотренной пунктом 1.1 статьи 17.1 Федерального закона "О благотворительной деятельности и добровольчестве (волонтерстве)", </w:t>
      </w:r>
      <w:hyperlink w:history="0" r:id="rId10" w:tooltip="Постановление Правительства РФ от 06.05.2022 N 824 (ред. от 27.01.2023) &quot;Об утверждении Правил назначения и осуществления единовременных выплат, установленных указами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и от 29 декабря 2022 г. N 972 &quot;О дополнительных социальных гарантиях лицам, направленным (командированным) на территории Донецкой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06.05.2022 N 824 "Об утверждении Правил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и Херсонской области, и членам их семей", постановляю:</w:t>
      </w:r>
    </w:p>
    <w:p>
      <w:pPr>
        <w:pStyle w:val="0"/>
        <w:spacing w:before="200" w:line-rule="auto"/>
        <w:ind w:firstLine="540"/>
        <w:jc w:val="both"/>
      </w:pPr>
      <w:r>
        <w:rPr>
          <w:sz w:val="20"/>
        </w:rPr>
        <w:t xml:space="preserve">1. Создать комиссию Пензенской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44" w:tooltip="СОСТАВ">
        <w:r>
          <w:rPr>
            <w:sz w:val="20"/>
            <w:color w:val="0000ff"/>
          </w:rPr>
          <w:t xml:space="preserve">Состав</w:t>
        </w:r>
      </w:hyperlink>
      <w:r>
        <w:rPr>
          <w:sz w:val="20"/>
        </w:rPr>
        <w:t xml:space="preserve"> комиссии Пензенской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w:t>
      </w:r>
    </w:p>
    <w:p>
      <w:pPr>
        <w:pStyle w:val="0"/>
        <w:spacing w:before="200" w:line-rule="auto"/>
        <w:ind w:firstLine="540"/>
        <w:jc w:val="both"/>
      </w:pPr>
      <w:r>
        <w:rPr>
          <w:sz w:val="20"/>
        </w:rPr>
        <w:t xml:space="preserve">2.2. </w:t>
      </w:r>
      <w:hyperlink w:history="0" w:anchor="P121" w:tooltip="ПОЛОЖЕНИЕ">
        <w:r>
          <w:rPr>
            <w:sz w:val="20"/>
            <w:color w:val="0000ff"/>
          </w:rPr>
          <w:t xml:space="preserve">Положение</w:t>
        </w:r>
      </w:hyperlink>
      <w:r>
        <w:rPr>
          <w:sz w:val="20"/>
        </w:rPr>
        <w:t xml:space="preserve"> о комиссии Пензенской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w:t>
      </w:r>
    </w:p>
    <w:p>
      <w:pPr>
        <w:pStyle w:val="0"/>
        <w:spacing w:before="200" w:line-rule="auto"/>
        <w:ind w:firstLine="540"/>
        <w:jc w:val="both"/>
      </w:pPr>
      <w:r>
        <w:rPr>
          <w:sz w:val="20"/>
        </w:rPr>
        <w:t xml:space="preserve">3. Возложить на комиссию Пензенской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 полномочия по установлению причинно-следственной связи между смертью волонтеров, осуществлявших свою деятельность на территориях Донецкой Народной Республики, Луганской Народной Республики, Запорожской области и Херсонской области, до истечения одного года со дня прекращения волонтерской деятельности на этих территориях и увечьем (ранением, травмой, контузией) или заболеванием, полученными ими при ее осуществлении на указанных территориях.</w:t>
      </w:r>
    </w:p>
    <w:p>
      <w:pPr>
        <w:pStyle w:val="0"/>
        <w:spacing w:before="200" w:line-rule="auto"/>
        <w:ind w:firstLine="540"/>
        <w:jc w:val="both"/>
      </w:pPr>
      <w:r>
        <w:rPr>
          <w:sz w:val="20"/>
        </w:rPr>
        <w:t xml:space="preserve">4. Настоящий Указ вступает в силу со дня его официального опубликования.</w:t>
      </w:r>
    </w:p>
    <w:p>
      <w:pPr>
        <w:pStyle w:val="0"/>
        <w:spacing w:before="200" w:line-rule="auto"/>
        <w:ind w:firstLine="540"/>
        <w:jc w:val="both"/>
      </w:pPr>
      <w:r>
        <w:rPr>
          <w:sz w:val="20"/>
        </w:rPr>
        <w:t xml:space="preserve">5. Настоящий Указ опубликовать в газете "Пензенские губернские ведомости" и разместить (опубликовать) на "Официальном интернет-портале правовой информации" (</w:t>
      </w:r>
      <w:r>
        <w:rPr>
          <w:sz w:val="20"/>
        </w:rPr>
        <w:t xml:space="preserve">www.pravo.gov.ru</w:t>
      </w:r>
      <w:r>
        <w:rPr>
          <w:sz w:val="20"/>
        </w:rPr>
        <w:t xml:space="preserve">) и на официальном сайте Губернатора Пензенской области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Указа возложить на заместителя Председателя Правительства Пензенской области, координирующего вопросы молодежной политики.</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Пензенской области</w:t>
      </w:r>
    </w:p>
    <w:p>
      <w:pPr>
        <w:pStyle w:val="0"/>
        <w:jc w:val="right"/>
      </w:pPr>
      <w:r>
        <w:rPr>
          <w:sz w:val="20"/>
        </w:rPr>
        <w:t xml:space="preserve">Н.П.СИМОНОВ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Пензенской области</w:t>
      </w:r>
    </w:p>
    <w:p>
      <w:pPr>
        <w:pStyle w:val="0"/>
        <w:jc w:val="right"/>
      </w:pPr>
      <w:r>
        <w:rPr>
          <w:sz w:val="20"/>
        </w:rPr>
        <w:t xml:space="preserve">от 3 августа 2023 г. N 110</w:t>
      </w:r>
    </w:p>
    <w:p>
      <w:pPr>
        <w:pStyle w:val="0"/>
        <w:jc w:val="both"/>
      </w:pPr>
      <w:r>
        <w:rPr>
          <w:sz w:val="20"/>
        </w:rPr>
      </w:r>
    </w:p>
    <w:bookmarkStart w:id="44" w:name="P44"/>
    <w:bookmarkEnd w:id="44"/>
    <w:p>
      <w:pPr>
        <w:pStyle w:val="2"/>
        <w:jc w:val="center"/>
      </w:pPr>
      <w:r>
        <w:rPr>
          <w:sz w:val="20"/>
        </w:rPr>
        <w:t xml:space="preserve">СОСТАВ</w:t>
      </w:r>
    </w:p>
    <w:p>
      <w:pPr>
        <w:pStyle w:val="2"/>
        <w:jc w:val="center"/>
      </w:pPr>
      <w:r>
        <w:rPr>
          <w:sz w:val="20"/>
        </w:rPr>
        <w:t xml:space="preserve">КОМИССИИ ПЕНЗЕНСКОЙ ОБЛАСТИ ПО УСТАНОВЛЕНИЮ</w:t>
      </w:r>
    </w:p>
    <w:p>
      <w:pPr>
        <w:pStyle w:val="2"/>
        <w:jc w:val="center"/>
      </w:pPr>
      <w:r>
        <w:rPr>
          <w:sz w:val="20"/>
        </w:rPr>
        <w:t xml:space="preserve">ПРИЧИННО-СЛЕДСТВЕННОЙ СВЯЗИ МЕЖДУ ПОЛУЧЕНИЕМ ВРЕДА ЖИЗНИ ИЛИ</w:t>
      </w:r>
    </w:p>
    <w:p>
      <w:pPr>
        <w:pStyle w:val="2"/>
        <w:jc w:val="center"/>
      </w:pPr>
      <w:r>
        <w:rPr>
          <w:sz w:val="20"/>
        </w:rPr>
        <w:t xml:space="preserve">ЗДОРОВЬЮ ДОБРОВОЛЬЦА (ВОЛОНТЕРА) И ОСУЩЕСТВЛЕНИЕМ ИМ ВИДА</w:t>
      </w:r>
    </w:p>
    <w:p>
      <w:pPr>
        <w:pStyle w:val="2"/>
        <w:jc w:val="center"/>
      </w:pPr>
      <w:r>
        <w:rPr>
          <w:sz w:val="20"/>
        </w:rPr>
        <w:t xml:space="preserve">ДОБРОВОЛЬЧЕСКОЙ (ВОЛОНТЕРСКОЙ) ДЕЯТЕЛЬНОСТИ, А ТАКЖЕ</w:t>
      </w:r>
    </w:p>
    <w:p>
      <w:pPr>
        <w:pStyle w:val="2"/>
        <w:jc w:val="center"/>
      </w:pPr>
      <w:r>
        <w:rPr>
          <w:sz w:val="20"/>
        </w:rPr>
        <w:t xml:space="preserve">ПРИЧИННО-СЛЕДСТВЕННОЙ СВЯЗИ МЕЖДУ СМЕРТЬЮ (ГИБЕЛЬЮ)</w:t>
      </w:r>
    </w:p>
    <w:p>
      <w:pPr>
        <w:pStyle w:val="2"/>
        <w:jc w:val="center"/>
      </w:pPr>
      <w:r>
        <w:rPr>
          <w:sz w:val="20"/>
        </w:rPr>
        <w:t xml:space="preserve">ДОБРОВОЛЬЦА (ВОЛОНТЕРА) И ВРЕДОМ ЖИЗНИ ИЛИ ЗДОРОВЬЮ</w:t>
      </w:r>
    </w:p>
    <w:p>
      <w:pPr>
        <w:pStyle w:val="2"/>
        <w:jc w:val="center"/>
      </w:pPr>
      <w:r>
        <w:rPr>
          <w:sz w:val="20"/>
        </w:rPr>
        <w:t xml:space="preserve">ДОБРОВОЛЬЦА (ВОЛОНТЕРА), ПОЛУЧЕННЫМ ДОБРОВОЛЬЦЕМ</w:t>
      </w:r>
    </w:p>
    <w:p>
      <w:pPr>
        <w:pStyle w:val="2"/>
        <w:jc w:val="center"/>
      </w:pPr>
      <w:r>
        <w:rPr>
          <w:sz w:val="20"/>
        </w:rPr>
        <w:t xml:space="preserve">(ВОЛОНТЕРОМ) ПРИ ОСУЩЕСТВЛЕНИИ ИМ ДОБРОВОЛЬЧЕСКОЙ</w:t>
      </w:r>
    </w:p>
    <w:p>
      <w:pPr>
        <w:pStyle w:val="2"/>
        <w:jc w:val="center"/>
      </w:pPr>
      <w:r>
        <w:rPr>
          <w:sz w:val="20"/>
        </w:rPr>
        <w:t xml:space="preserve">(ВОЛОНТЕРСКОЙ) ДЕЯТЕЛЬНОСТИ, В СЛУЧАЕ ЕСЛИ СМЕРТЬ (ГИБЕЛЬ)</w:t>
      </w:r>
    </w:p>
    <w:p>
      <w:pPr>
        <w:pStyle w:val="2"/>
        <w:jc w:val="center"/>
      </w:pPr>
      <w:r>
        <w:rPr>
          <w:sz w:val="20"/>
        </w:rPr>
        <w:t xml:space="preserve">ДОБРОВОЛЬЦА (ВОЛОНТЕРА) НАСТУПИЛА ДО ИСТЕЧЕНИЯ ОДНОГО ГОДА</w:t>
      </w:r>
    </w:p>
    <w:p>
      <w:pPr>
        <w:pStyle w:val="2"/>
        <w:jc w:val="center"/>
      </w:pPr>
      <w:r>
        <w:rPr>
          <w:sz w:val="20"/>
        </w:rPr>
        <w:t xml:space="preserve">СО ДНЯ ПОЛУЧЕНИЯ ВРЕДА ЖИЗНИ ИЛИ ЗДОРОВЬЮ ДОБРОВОЛЬЦА</w:t>
      </w:r>
    </w:p>
    <w:p>
      <w:pPr>
        <w:pStyle w:val="2"/>
        <w:jc w:val="center"/>
      </w:pPr>
      <w:r>
        <w:rPr>
          <w:sz w:val="20"/>
        </w:rPr>
        <w:t xml:space="preserve">(ВОЛОНТЕРА), ПОЛУЧЕННОГО ДОБРОВОЛЬЦЕМ (ВОЛОНТЕРОМ)</w:t>
      </w:r>
    </w:p>
    <w:p>
      <w:pPr>
        <w:pStyle w:val="2"/>
        <w:jc w:val="center"/>
      </w:pPr>
      <w:r>
        <w:rPr>
          <w:sz w:val="20"/>
        </w:rPr>
        <w:t xml:space="preserve">ПРИ ОСУЩЕСТВЛЕНИИ ИМ ДОБРОВОЛЬЧЕСКОЙ (ВОЛОНТЕРСКОЙ)</w:t>
      </w:r>
    </w:p>
    <w:p>
      <w:pPr>
        <w:pStyle w:val="2"/>
        <w:jc w:val="center"/>
      </w:pPr>
      <w:r>
        <w:rPr>
          <w:sz w:val="20"/>
        </w:rPr>
        <w:t xml:space="preserve">ДЕЯТЕЛЬНОСТИ</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340"/>
        <w:gridCol w:w="5839"/>
      </w:tblGrid>
      <w:tr>
        <w:tc>
          <w:tcPr>
            <w:tcW w:w="2891" w:type="dxa"/>
            <w:tcBorders>
              <w:top w:val="nil"/>
              <w:left w:val="nil"/>
              <w:bottom w:val="nil"/>
              <w:right w:val="nil"/>
            </w:tcBorders>
          </w:tcPr>
          <w:p>
            <w:pPr>
              <w:pStyle w:val="0"/>
            </w:pPr>
            <w:r>
              <w:rPr>
                <w:sz w:val="20"/>
              </w:rPr>
              <w:t xml:space="preserve">Ягов Олег Васильевич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первый заместитель Председателя Правительства Пензенской области (председатель комиссии)</w:t>
            </w:r>
          </w:p>
        </w:tc>
      </w:tr>
      <w:tr>
        <w:tc>
          <w:tcPr>
            <w:tcW w:w="2891" w:type="dxa"/>
            <w:tcBorders>
              <w:top w:val="nil"/>
              <w:left w:val="nil"/>
              <w:bottom w:val="nil"/>
              <w:right w:val="nil"/>
            </w:tcBorders>
          </w:tcPr>
          <w:p>
            <w:pPr>
              <w:pStyle w:val="0"/>
            </w:pPr>
            <w:r>
              <w:rPr>
                <w:sz w:val="20"/>
              </w:rPr>
              <w:t xml:space="preserve">Космачев</w:t>
            </w:r>
          </w:p>
          <w:p>
            <w:pPr>
              <w:pStyle w:val="0"/>
            </w:pPr>
            <w:r>
              <w:rPr>
                <w:sz w:val="20"/>
              </w:rPr>
              <w:t xml:space="preserve">Вячеслав Владимирович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Правительства - Министр здравоохранения Пензенской области (заместитель председателя комиссии)</w:t>
            </w:r>
          </w:p>
        </w:tc>
      </w:tr>
      <w:tr>
        <w:tc>
          <w:tcPr>
            <w:tcW w:w="2891" w:type="dxa"/>
            <w:tcBorders>
              <w:top w:val="nil"/>
              <w:left w:val="nil"/>
              <w:bottom w:val="nil"/>
              <w:right w:val="nil"/>
            </w:tcBorders>
          </w:tcPr>
          <w:p>
            <w:pPr>
              <w:pStyle w:val="0"/>
            </w:pPr>
            <w:r>
              <w:rPr>
                <w:sz w:val="20"/>
              </w:rPr>
              <w:t xml:space="preserve">Дуднева</w:t>
            </w:r>
          </w:p>
          <w:p>
            <w:pPr>
              <w:pStyle w:val="0"/>
            </w:pPr>
            <w:r>
              <w:rPr>
                <w:sz w:val="20"/>
              </w:rPr>
              <w:t xml:space="preserve">Светлана Геннадьевна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начальник отдела молодежной политики и воспитательной работы Министерства образования Пензенской области (секретарь комиссии)</w:t>
            </w:r>
          </w:p>
        </w:tc>
      </w:tr>
      <w:tr>
        <w:tc>
          <w:tcPr>
            <w:tcW w:w="2891" w:type="dxa"/>
            <w:tcBorders>
              <w:top w:val="nil"/>
              <w:left w:val="nil"/>
              <w:bottom w:val="nil"/>
              <w:right w:val="nil"/>
            </w:tcBorders>
          </w:tcPr>
          <w:p>
            <w:pPr>
              <w:pStyle w:val="0"/>
              <w:jc w:val="both"/>
            </w:pPr>
            <w:r>
              <w:rPr>
                <w:sz w:val="20"/>
              </w:rPr>
              <w:t xml:space="preserve">Качан</w:t>
            </w:r>
          </w:p>
          <w:p>
            <w:pPr>
              <w:pStyle w:val="0"/>
              <w:jc w:val="both"/>
            </w:pPr>
            <w:r>
              <w:rPr>
                <w:sz w:val="20"/>
              </w:rPr>
              <w:t xml:space="preserve">Алексей Андреевич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труда, социальной защиты и демографии Пензенской области</w:t>
            </w:r>
          </w:p>
        </w:tc>
      </w:tr>
      <w:tr>
        <w:tc>
          <w:tcPr>
            <w:tcW w:w="2891" w:type="dxa"/>
            <w:tcBorders>
              <w:top w:val="nil"/>
              <w:left w:val="nil"/>
              <w:bottom w:val="nil"/>
              <w:right w:val="nil"/>
            </w:tcBorders>
          </w:tcPr>
          <w:p>
            <w:pPr>
              <w:pStyle w:val="0"/>
            </w:pPr>
            <w:r>
              <w:rPr>
                <w:sz w:val="20"/>
              </w:rPr>
              <w:t xml:space="preserve">Комаров</w:t>
            </w:r>
          </w:p>
          <w:p>
            <w:pPr>
              <w:pStyle w:val="0"/>
            </w:pPr>
            <w:r>
              <w:rPr>
                <w:sz w:val="20"/>
              </w:rPr>
              <w:t xml:space="preserve">Алексей Павлович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образования Пензенской области</w:t>
            </w:r>
          </w:p>
        </w:tc>
      </w:tr>
      <w:tr>
        <w:tc>
          <w:tcPr>
            <w:tcW w:w="2891" w:type="dxa"/>
            <w:tcBorders>
              <w:top w:val="nil"/>
              <w:left w:val="nil"/>
              <w:bottom w:val="nil"/>
              <w:right w:val="nil"/>
            </w:tcBorders>
          </w:tcPr>
          <w:p>
            <w:pPr>
              <w:pStyle w:val="0"/>
              <w:jc w:val="both"/>
            </w:pPr>
            <w:r>
              <w:rPr>
                <w:sz w:val="20"/>
              </w:rPr>
              <w:t xml:space="preserve">Бычков</w:t>
            </w:r>
          </w:p>
          <w:p>
            <w:pPr>
              <w:pStyle w:val="0"/>
              <w:jc w:val="both"/>
            </w:pPr>
            <w:r>
              <w:rPr>
                <w:sz w:val="20"/>
              </w:rPr>
              <w:t xml:space="preserve">Сергей Вячеславович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культуры и туризма Пензенской области</w:t>
            </w:r>
          </w:p>
        </w:tc>
      </w:tr>
      <w:tr>
        <w:tc>
          <w:tcPr>
            <w:tcW w:w="2891" w:type="dxa"/>
            <w:tcBorders>
              <w:top w:val="nil"/>
              <w:left w:val="nil"/>
              <w:bottom w:val="nil"/>
              <w:right w:val="nil"/>
            </w:tcBorders>
          </w:tcPr>
          <w:p>
            <w:pPr>
              <w:pStyle w:val="0"/>
              <w:jc w:val="both"/>
            </w:pPr>
            <w:r>
              <w:rPr>
                <w:sz w:val="20"/>
              </w:rPr>
              <w:t xml:space="preserve">Ложкин</w:t>
            </w:r>
          </w:p>
          <w:p>
            <w:pPr>
              <w:pStyle w:val="0"/>
              <w:jc w:val="both"/>
            </w:pPr>
            <w:r>
              <w:rPr>
                <w:sz w:val="20"/>
              </w:rPr>
              <w:t xml:space="preserve">Василий Алексеевич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общественной безопасности и обеспечения деятельности мировых судей в Пензенской области</w:t>
            </w:r>
          </w:p>
        </w:tc>
      </w:tr>
      <w:tr>
        <w:tc>
          <w:tcPr>
            <w:tcW w:w="2891" w:type="dxa"/>
            <w:tcBorders>
              <w:top w:val="nil"/>
              <w:left w:val="nil"/>
              <w:bottom w:val="nil"/>
              <w:right w:val="nil"/>
            </w:tcBorders>
          </w:tcPr>
          <w:p>
            <w:pPr>
              <w:pStyle w:val="0"/>
              <w:jc w:val="both"/>
            </w:pPr>
            <w:r>
              <w:rPr>
                <w:sz w:val="20"/>
              </w:rPr>
              <w:t xml:space="preserve">Маслов</w:t>
            </w:r>
          </w:p>
          <w:p>
            <w:pPr>
              <w:pStyle w:val="0"/>
              <w:jc w:val="both"/>
            </w:pPr>
            <w:r>
              <w:rPr>
                <w:sz w:val="20"/>
              </w:rPr>
              <w:t xml:space="preserve">Павел Сергеевич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внутренней и информационной политики Пензенской области</w:t>
            </w:r>
          </w:p>
        </w:tc>
      </w:tr>
      <w:tr>
        <w:tc>
          <w:tcPr>
            <w:tcW w:w="2891" w:type="dxa"/>
            <w:tcBorders>
              <w:top w:val="nil"/>
              <w:left w:val="nil"/>
              <w:bottom w:val="nil"/>
              <w:right w:val="nil"/>
            </w:tcBorders>
          </w:tcPr>
          <w:p>
            <w:pPr>
              <w:pStyle w:val="0"/>
              <w:jc w:val="both"/>
            </w:pPr>
            <w:r>
              <w:rPr>
                <w:sz w:val="20"/>
              </w:rPr>
              <w:t xml:space="preserve">Панюхин</w:t>
            </w:r>
          </w:p>
          <w:p>
            <w:pPr>
              <w:pStyle w:val="0"/>
              <w:jc w:val="both"/>
            </w:pPr>
            <w:r>
              <w:rPr>
                <w:sz w:val="20"/>
              </w:rPr>
              <w:t xml:space="preserve">Михаил Анатольевич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жилищно-коммунального хозяйства и гражданской защиты населения Пензенской области</w:t>
            </w:r>
          </w:p>
        </w:tc>
      </w:tr>
      <w:tr>
        <w:tc>
          <w:tcPr>
            <w:tcW w:w="2891" w:type="dxa"/>
            <w:tcBorders>
              <w:top w:val="nil"/>
              <w:left w:val="nil"/>
              <w:bottom w:val="nil"/>
              <w:right w:val="nil"/>
            </w:tcBorders>
          </w:tcPr>
          <w:p>
            <w:pPr>
              <w:pStyle w:val="0"/>
              <w:jc w:val="both"/>
            </w:pPr>
            <w:r>
              <w:rPr>
                <w:sz w:val="20"/>
              </w:rPr>
              <w:t xml:space="preserve">Бочкарева</w:t>
            </w:r>
          </w:p>
          <w:p>
            <w:pPr>
              <w:pStyle w:val="0"/>
              <w:jc w:val="both"/>
            </w:pPr>
            <w:r>
              <w:rPr>
                <w:sz w:val="20"/>
              </w:rPr>
              <w:t xml:space="preserve">Евгения Александровна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физической культуры и спорта Пензенской области</w:t>
            </w:r>
          </w:p>
        </w:tc>
      </w:tr>
      <w:tr>
        <w:tc>
          <w:tcPr>
            <w:tcW w:w="2891" w:type="dxa"/>
            <w:tcBorders>
              <w:top w:val="nil"/>
              <w:left w:val="nil"/>
              <w:bottom w:val="nil"/>
              <w:right w:val="nil"/>
            </w:tcBorders>
          </w:tcPr>
          <w:p>
            <w:pPr>
              <w:pStyle w:val="0"/>
            </w:pPr>
            <w:r>
              <w:rPr>
                <w:sz w:val="20"/>
              </w:rPr>
              <w:t xml:space="preserve">Куроедов</w:t>
            </w:r>
          </w:p>
          <w:p>
            <w:pPr>
              <w:pStyle w:val="0"/>
            </w:pPr>
            <w:r>
              <w:rPr>
                <w:sz w:val="20"/>
              </w:rPr>
              <w:t xml:space="preserve">Олег Александрович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руководитель регионального исполнительного комитета "Общероссийский народный фронт" Пензенской области (по согласованию)</w:t>
            </w:r>
          </w:p>
        </w:tc>
      </w:tr>
      <w:tr>
        <w:tc>
          <w:tcPr>
            <w:tcW w:w="2891" w:type="dxa"/>
            <w:tcBorders>
              <w:top w:val="nil"/>
              <w:left w:val="nil"/>
              <w:bottom w:val="nil"/>
              <w:right w:val="nil"/>
            </w:tcBorders>
          </w:tcPr>
          <w:p>
            <w:pPr>
              <w:pStyle w:val="0"/>
              <w:jc w:val="both"/>
            </w:pPr>
            <w:r>
              <w:rPr>
                <w:sz w:val="20"/>
              </w:rPr>
              <w:t xml:space="preserve">Буданов</w:t>
            </w:r>
          </w:p>
          <w:p>
            <w:pPr>
              <w:pStyle w:val="0"/>
              <w:jc w:val="both"/>
            </w:pPr>
            <w:r>
              <w:rPr>
                <w:sz w:val="20"/>
              </w:rPr>
              <w:t xml:space="preserve">Михаил Юрьевич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управляющий отделением Фонда пенсионного и социального страхования Российской Федерации по Пензенской области (по согласованию)</w:t>
            </w:r>
          </w:p>
        </w:tc>
      </w:tr>
      <w:tr>
        <w:tc>
          <w:tcPr>
            <w:tcW w:w="2891" w:type="dxa"/>
            <w:tcBorders>
              <w:top w:val="nil"/>
              <w:left w:val="nil"/>
              <w:bottom w:val="nil"/>
              <w:right w:val="nil"/>
            </w:tcBorders>
          </w:tcPr>
          <w:p>
            <w:pPr>
              <w:pStyle w:val="0"/>
              <w:jc w:val="both"/>
            </w:pPr>
            <w:r>
              <w:rPr>
                <w:sz w:val="20"/>
              </w:rPr>
              <w:t xml:space="preserve">Столяров</w:t>
            </w:r>
          </w:p>
          <w:p>
            <w:pPr>
              <w:pStyle w:val="0"/>
              <w:jc w:val="both"/>
            </w:pPr>
            <w:r>
              <w:rPr>
                <w:sz w:val="20"/>
              </w:rPr>
              <w:t xml:space="preserve">Аркадий Петрович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начальник ГБУЗ "ОБСМЭ", главный внештатный специалист по судебно-медицинской экспертизе Министерства здравоохранения Пензенской области, кандидат медицинских наук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Пензенской области</w:t>
      </w:r>
    </w:p>
    <w:p>
      <w:pPr>
        <w:pStyle w:val="0"/>
        <w:jc w:val="right"/>
      </w:pPr>
      <w:r>
        <w:rPr>
          <w:sz w:val="20"/>
        </w:rPr>
        <w:t xml:space="preserve">от 3 августа 2023 г. N 110</w:t>
      </w:r>
    </w:p>
    <w:p>
      <w:pPr>
        <w:pStyle w:val="0"/>
        <w:jc w:val="both"/>
      </w:pPr>
      <w:r>
        <w:rPr>
          <w:sz w:val="20"/>
        </w:rPr>
      </w:r>
    </w:p>
    <w:bookmarkStart w:id="121" w:name="P121"/>
    <w:bookmarkEnd w:id="121"/>
    <w:p>
      <w:pPr>
        <w:pStyle w:val="2"/>
        <w:jc w:val="center"/>
      </w:pPr>
      <w:r>
        <w:rPr>
          <w:sz w:val="20"/>
        </w:rPr>
        <w:t xml:space="preserve">ПОЛОЖЕНИЕ</w:t>
      </w:r>
    </w:p>
    <w:p>
      <w:pPr>
        <w:pStyle w:val="2"/>
        <w:jc w:val="center"/>
      </w:pPr>
      <w:r>
        <w:rPr>
          <w:sz w:val="20"/>
        </w:rPr>
        <w:t xml:space="preserve">О КОМИССИИ ПЕНЗЕНСКОЙ ОБЛАСТИ ПО УСТАНОВЛЕНИЮ</w:t>
      </w:r>
    </w:p>
    <w:p>
      <w:pPr>
        <w:pStyle w:val="2"/>
        <w:jc w:val="center"/>
      </w:pPr>
      <w:r>
        <w:rPr>
          <w:sz w:val="20"/>
        </w:rPr>
        <w:t xml:space="preserve">ПРИЧИННО-СЛЕДСТВЕННОЙ СВЯЗИ МЕЖДУ ПОЛУЧЕНИЕМ ВРЕДА ЖИЗНИ ИЛИ</w:t>
      </w:r>
    </w:p>
    <w:p>
      <w:pPr>
        <w:pStyle w:val="2"/>
        <w:jc w:val="center"/>
      </w:pPr>
      <w:r>
        <w:rPr>
          <w:sz w:val="20"/>
        </w:rPr>
        <w:t xml:space="preserve">ЗДОРОВЬЮ ДОБРОВОЛЬЦА (ВОЛОНТЕРА) И ОСУЩЕСТВЛЕНИЕМ ИМ ВИДА</w:t>
      </w:r>
    </w:p>
    <w:p>
      <w:pPr>
        <w:pStyle w:val="2"/>
        <w:jc w:val="center"/>
      </w:pPr>
      <w:r>
        <w:rPr>
          <w:sz w:val="20"/>
        </w:rPr>
        <w:t xml:space="preserve">ДОБРОВОЛЬЧЕСКОЙ (ВОЛОНТЕРСКОЙ) ДЕЯТЕЛЬНОСТИ, А ТАКЖЕ</w:t>
      </w:r>
    </w:p>
    <w:p>
      <w:pPr>
        <w:pStyle w:val="2"/>
        <w:jc w:val="center"/>
      </w:pPr>
      <w:r>
        <w:rPr>
          <w:sz w:val="20"/>
        </w:rPr>
        <w:t xml:space="preserve">ПРИЧИННО-СЛЕДСТВЕННОЙ СВЯЗИ МЕЖДУ СМЕРТЬЮ (ГИБЕЛЬЮ)</w:t>
      </w:r>
    </w:p>
    <w:p>
      <w:pPr>
        <w:pStyle w:val="2"/>
        <w:jc w:val="center"/>
      </w:pPr>
      <w:r>
        <w:rPr>
          <w:sz w:val="20"/>
        </w:rPr>
        <w:t xml:space="preserve">ДОБРОВОЛЬЦА (ВОЛОНТЕРА) И ВРЕДОМ ЖИЗНИ ИЛИ ЗДОРОВЬЮ</w:t>
      </w:r>
    </w:p>
    <w:p>
      <w:pPr>
        <w:pStyle w:val="2"/>
        <w:jc w:val="center"/>
      </w:pPr>
      <w:r>
        <w:rPr>
          <w:sz w:val="20"/>
        </w:rPr>
        <w:t xml:space="preserve">ДОБРОВОЛЬЦА (ВОЛОНТЕРА), ПОЛУЧЕННЫМ ДОБРОВОЛЬЦЕМ</w:t>
      </w:r>
    </w:p>
    <w:p>
      <w:pPr>
        <w:pStyle w:val="2"/>
        <w:jc w:val="center"/>
      </w:pPr>
      <w:r>
        <w:rPr>
          <w:sz w:val="20"/>
        </w:rPr>
        <w:t xml:space="preserve">(ВОЛОНТЕРОМ) ПРИ ОСУЩЕСТВЛЕНИИ ИМ ДОБРОВОЛЬЧЕСКОЙ</w:t>
      </w:r>
    </w:p>
    <w:p>
      <w:pPr>
        <w:pStyle w:val="2"/>
        <w:jc w:val="center"/>
      </w:pPr>
      <w:r>
        <w:rPr>
          <w:sz w:val="20"/>
        </w:rPr>
        <w:t xml:space="preserve">(ВОЛОНТЕРСКОЙ) ДЕЯТЕЛЬНОСТИ, В СЛУЧАЕ ЕСЛИ СМЕРТЬ (ГИБЕЛЬ)</w:t>
      </w:r>
    </w:p>
    <w:p>
      <w:pPr>
        <w:pStyle w:val="2"/>
        <w:jc w:val="center"/>
      </w:pPr>
      <w:r>
        <w:rPr>
          <w:sz w:val="20"/>
        </w:rPr>
        <w:t xml:space="preserve">ДОБРОВОЛЬЦА (ВОЛОНТЕРА) НАСТУПИЛА ДО ИСТЕЧЕНИЯ ОДНОГО ГОДА</w:t>
      </w:r>
    </w:p>
    <w:p>
      <w:pPr>
        <w:pStyle w:val="2"/>
        <w:jc w:val="center"/>
      </w:pPr>
      <w:r>
        <w:rPr>
          <w:sz w:val="20"/>
        </w:rPr>
        <w:t xml:space="preserve">СО ДНЯ ПОЛУЧЕНИЯ ВРЕДА ЖИЗНИ ИЛИ ЗДОРОВЬЮ ДОБРОВОЛЬЦА</w:t>
      </w:r>
    </w:p>
    <w:p>
      <w:pPr>
        <w:pStyle w:val="2"/>
        <w:jc w:val="center"/>
      </w:pPr>
      <w:r>
        <w:rPr>
          <w:sz w:val="20"/>
        </w:rPr>
        <w:t xml:space="preserve">(ВОЛОНТЕРА), ПОЛУЧЕННОГО ДОБРОВОЛЬЦЕМ (ВОЛОНТЕРОМ)</w:t>
      </w:r>
    </w:p>
    <w:p>
      <w:pPr>
        <w:pStyle w:val="2"/>
        <w:jc w:val="center"/>
      </w:pPr>
      <w:r>
        <w:rPr>
          <w:sz w:val="20"/>
        </w:rPr>
        <w:t xml:space="preserve">ПРИ ОСУЩЕСТВЛЕНИИ ИМ ДОБРОВОЛЬЧЕСКОЙ (ВОЛОНТЕРСКОЙ)</w:t>
      </w:r>
    </w:p>
    <w:p>
      <w:pPr>
        <w:pStyle w:val="2"/>
        <w:jc w:val="center"/>
      </w:pPr>
      <w:r>
        <w:rPr>
          <w:sz w:val="20"/>
        </w:rPr>
        <w:t xml:space="preserve">ДЕЯТЕЛЬНОСТИ</w:t>
      </w:r>
    </w:p>
    <w:p>
      <w:pPr>
        <w:pStyle w:val="0"/>
        <w:jc w:val="both"/>
      </w:pPr>
      <w:r>
        <w:rPr>
          <w:sz w:val="20"/>
        </w:rPr>
      </w:r>
    </w:p>
    <w:p>
      <w:pPr>
        <w:pStyle w:val="0"/>
        <w:ind w:firstLine="540"/>
        <w:jc w:val="both"/>
      </w:pPr>
      <w:r>
        <w:rPr>
          <w:sz w:val="20"/>
        </w:rPr>
        <w:t xml:space="preserve">1. Настоящее Положение определяет компетенцию и порядок работы комиссии Пензенской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 и в том числе установлению причинно-следственной связи между смертью волонтеров, осуществлявших свою деятельность на территориях Донецкой Народной Республики, Луганской Народной Республики, Запорожской области и Херсонской области, до истечения одного года со дня прекращения волонтерской деятельности на этих территориях и увечьем (ранением, травмой, контузией) или заболеванием, полученными ими при ее осуществлении на указанных территориях, являющиеся </w:t>
      </w:r>
      <w:hyperlink w:history="0" r:id="rId11" w:tooltip="Постановление Правительства РФ от 06.05.2022 N 824 (ред. от 27.01.2023) &quot;Об утверждении Правил назначения и осуществления единовременных выплат, установленных указами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и от 29 декабря 2022 г. N 972 &quot;О дополнительных социальных гарантиях лицам, направленным (командированным) на территории Донецкой ------------ Недействующая редакция {КонсультантПлюс}">
        <w:r>
          <w:rPr>
            <w:sz w:val="20"/>
            <w:color w:val="0000ff"/>
          </w:rPr>
          <w:t xml:space="preserve">приложением</w:t>
        </w:r>
      </w:hyperlink>
      <w:r>
        <w:rPr>
          <w:sz w:val="20"/>
        </w:rPr>
        <w:t xml:space="preserve"> к Правилам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утвержденным постановлением Правительства Российской Федерации от 06.05.2022 N 824 "Об утверждении Правил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(далее соответственно - комиссия, причинно-следственная связь).</w:t>
      </w:r>
    </w:p>
    <w:p>
      <w:pPr>
        <w:pStyle w:val="0"/>
        <w:spacing w:before="200" w:line-rule="auto"/>
        <w:ind w:firstLine="540"/>
        <w:jc w:val="both"/>
      </w:pPr>
      <w:r>
        <w:rPr>
          <w:sz w:val="20"/>
        </w:rPr>
        <w:t xml:space="preserve">2. В своей деятельности комиссия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другими правовыми актами Российской Федерации, </w:t>
      </w:r>
      <w:hyperlink w:history="0" r:id="rId13"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законами Пензенской области и иными правовыми актами Пензенской области, а также настоящим Положением.</w:t>
      </w:r>
    </w:p>
    <w:p>
      <w:pPr>
        <w:pStyle w:val="0"/>
        <w:spacing w:before="200" w:line-rule="auto"/>
        <w:ind w:firstLine="540"/>
        <w:jc w:val="both"/>
      </w:pPr>
      <w:r>
        <w:rPr>
          <w:sz w:val="20"/>
        </w:rPr>
        <w:t xml:space="preserve">3. Комиссия осуществляет свою деятельность во взаимодействии с федеральными органами исполнительной власти, федеральными государственными органами, органами государственной власти Пензенской области, органами местного самоуправления Пензенской области, иными государственными органами и организациями (далее - органы и организации).</w:t>
      </w:r>
    </w:p>
    <w:p>
      <w:pPr>
        <w:pStyle w:val="0"/>
        <w:spacing w:before="200" w:line-rule="auto"/>
        <w:ind w:firstLine="540"/>
        <w:jc w:val="both"/>
      </w:pPr>
      <w:r>
        <w:rPr>
          <w:sz w:val="20"/>
        </w:rPr>
        <w:t xml:space="preserve">4. Местоположение комиссии: г. Пенза, ул. Московская, д. 75.</w:t>
      </w:r>
    </w:p>
    <w:p>
      <w:pPr>
        <w:pStyle w:val="0"/>
        <w:spacing w:before="200" w:line-rule="auto"/>
        <w:ind w:firstLine="540"/>
        <w:jc w:val="both"/>
      </w:pPr>
      <w:r>
        <w:rPr>
          <w:sz w:val="20"/>
        </w:rPr>
        <w:t xml:space="preserve">5. Основной задачей комиссии является установление причинно-следственной связи.</w:t>
      </w:r>
    </w:p>
    <w:p>
      <w:pPr>
        <w:pStyle w:val="0"/>
        <w:spacing w:before="200" w:line-rule="auto"/>
        <w:ind w:firstLine="540"/>
        <w:jc w:val="both"/>
      </w:pPr>
      <w:r>
        <w:rPr>
          <w:sz w:val="20"/>
        </w:rPr>
        <w:t xml:space="preserve">6. Комиссия в соответствии с возложенной на нее задачей осуществляет следующие функции:</w:t>
      </w:r>
    </w:p>
    <w:p>
      <w:pPr>
        <w:pStyle w:val="0"/>
        <w:spacing w:before="200" w:line-rule="auto"/>
        <w:ind w:firstLine="540"/>
        <w:jc w:val="both"/>
      </w:pPr>
      <w:r>
        <w:rPr>
          <w:sz w:val="20"/>
        </w:rPr>
        <w:t xml:space="preserve">рассмотрение ходатайств об установлении причинно-следственной связи и документов, указанных в </w:t>
      </w:r>
      <w:hyperlink w:history="0" r:id="rId14" w:tooltip="Постановление Правительства РФ от 06.05.2022 N 824 (ред. от 27.01.2023) &quot;Об утверждении Правил назначения и осуществления единовременных выплат, установленных указами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и от 29 декабря 2022 г. N 972 &quot;О дополнительных социальных гарантиях лицам, направленным (командированным) на территории Донецкой ------------ Недействующая редакция {КонсультантПлюс}">
        <w:r>
          <w:rPr>
            <w:sz w:val="20"/>
            <w:color w:val="0000ff"/>
          </w:rPr>
          <w:t xml:space="preserve">пункте 11</w:t>
        </w:r>
      </w:hyperlink>
      <w:r>
        <w:rPr>
          <w:sz w:val="20"/>
        </w:rPr>
        <w:t xml:space="preserve"> Правил установления причинно-следственной связи между смертью волонтеров, осуществлявших свою деятельность на территориях Донецкой Народной Республики, Луганской Народной Республики, Запорожской области и Херсонской области, до истечения одного года со дня прекращения волонтерской деятельности на этих территориях и увечьем (ранением, травмой, контузией) или заболеванием, полученными ими при ее осуществлении на указанных территориях, являющихся приложением к Правилам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утвержденным постановлением Правительства Российской Федерации от 06.05.2022 N 824 "Об утверждении Правил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и направление заключения для рассмотрения в Федеральное агентство по делам молодежи в установленном порядке (далее соответственно - Правила, ходатайство и документы);</w:t>
      </w:r>
    </w:p>
    <w:p>
      <w:pPr>
        <w:pStyle w:val="0"/>
        <w:spacing w:before="200" w:line-rule="auto"/>
        <w:ind w:firstLine="540"/>
        <w:jc w:val="both"/>
      </w:pPr>
      <w:r>
        <w:rPr>
          <w:sz w:val="20"/>
        </w:rPr>
        <w:t xml:space="preserve">подготовка </w:t>
      </w:r>
      <w:hyperlink w:history="0" r:id="rId15" w:tooltip="Постановление Правительства РФ от 06.05.2022 N 824 (ред. от 27.01.2023) &quot;Об утверждении Правил назначения и осуществления единовременных выплат, установленных указами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и от 29 декабря 2022 г. N 972 &quot;О дополнительных социальных гарантиях лицам, направленным (командированным) на территории Донецкой ------------ Недействующая редакция {КонсультантПлюс}">
        <w:r>
          <w:rPr>
            <w:sz w:val="20"/>
            <w:color w:val="0000ff"/>
          </w:rPr>
          <w:t xml:space="preserve">заключений</w:t>
        </w:r>
      </w:hyperlink>
      <w:r>
        <w:rPr>
          <w:sz w:val="20"/>
        </w:rPr>
        <w:t xml:space="preserve"> о причинно-следственной связи по форме, являющейся приложением к Правилам.</w:t>
      </w:r>
    </w:p>
    <w:p>
      <w:pPr>
        <w:pStyle w:val="0"/>
        <w:spacing w:before="200" w:line-rule="auto"/>
        <w:ind w:firstLine="540"/>
        <w:jc w:val="both"/>
      </w:pPr>
      <w:r>
        <w:rPr>
          <w:sz w:val="20"/>
        </w:rPr>
        <w:t xml:space="preserve">На комиссию могут быть возложены другие задачи и функции в соответствии с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7. Комиссия для решения возложенной на нее задачи имеет право:</w:t>
      </w:r>
    </w:p>
    <w:p>
      <w:pPr>
        <w:pStyle w:val="0"/>
        <w:spacing w:before="200" w:line-rule="auto"/>
        <w:ind w:firstLine="540"/>
        <w:jc w:val="both"/>
      </w:pPr>
      <w:r>
        <w:rPr>
          <w:sz w:val="20"/>
        </w:rPr>
        <w:t xml:space="preserve">1) запрашивать и получать в установленном порядке материалы и информацию, необходимые для установления причинно-следственной связи, от органов и организаций;</w:t>
      </w:r>
    </w:p>
    <w:p>
      <w:pPr>
        <w:pStyle w:val="0"/>
        <w:spacing w:before="200" w:line-rule="auto"/>
        <w:ind w:firstLine="540"/>
        <w:jc w:val="both"/>
      </w:pPr>
      <w:r>
        <w:rPr>
          <w:sz w:val="20"/>
        </w:rPr>
        <w:t xml:space="preserve">2) пользоваться государственными информационными системами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3) приглашать для участия в работе Комиссии должностных лиц и специалистов (экспертов) органов и организаций, не входящих в состав комиссии.</w:t>
      </w:r>
    </w:p>
    <w:p>
      <w:pPr>
        <w:pStyle w:val="0"/>
        <w:spacing w:before="200" w:line-rule="auto"/>
        <w:ind w:firstLine="540"/>
        <w:jc w:val="both"/>
      </w:pPr>
      <w:r>
        <w:rPr>
          <w:sz w:val="20"/>
        </w:rPr>
        <w:t xml:space="preserve">8. Комиссия состоит из председателя комиссии, заместителя председателя комиссии, секретаря комиссии и членов комиссии.</w:t>
      </w:r>
    </w:p>
    <w:p>
      <w:pPr>
        <w:pStyle w:val="0"/>
        <w:spacing w:before="200" w:line-rule="auto"/>
        <w:ind w:firstLine="540"/>
        <w:jc w:val="both"/>
      </w:pPr>
      <w:r>
        <w:rPr>
          <w:sz w:val="20"/>
        </w:rPr>
        <w:t xml:space="preserve">9. Запросы Комиссии о предоставлении необходимых материалов и информации подписываются председателем комиссии или его заместителем.</w:t>
      </w:r>
    </w:p>
    <w:p>
      <w:pPr>
        <w:pStyle w:val="0"/>
        <w:spacing w:before="200" w:line-rule="auto"/>
        <w:ind w:firstLine="540"/>
        <w:jc w:val="both"/>
      </w:pPr>
      <w:r>
        <w:rPr>
          <w:sz w:val="20"/>
        </w:rPr>
        <w:t xml:space="preserve">10. Председатель Комиссии:</w:t>
      </w:r>
    </w:p>
    <w:p>
      <w:pPr>
        <w:pStyle w:val="0"/>
        <w:spacing w:before="200" w:line-rule="auto"/>
        <w:ind w:firstLine="540"/>
        <w:jc w:val="both"/>
      </w:pPr>
      <w:r>
        <w:rPr>
          <w:sz w:val="20"/>
        </w:rPr>
        <w:t xml:space="preserve">осуществляет общее руководство деятельностью комиссии и несет персональную ответственность за выполнение комиссией возложенной на нее задачи;</w:t>
      </w:r>
    </w:p>
    <w:p>
      <w:pPr>
        <w:pStyle w:val="0"/>
        <w:spacing w:before="200" w:line-rule="auto"/>
        <w:ind w:firstLine="540"/>
        <w:jc w:val="both"/>
      </w:pPr>
      <w:r>
        <w:rPr>
          <w:sz w:val="20"/>
        </w:rPr>
        <w:t xml:space="preserve">председательствует на заседаниях комиссии;</w:t>
      </w:r>
    </w:p>
    <w:p>
      <w:pPr>
        <w:pStyle w:val="0"/>
        <w:spacing w:before="200" w:line-rule="auto"/>
        <w:ind w:firstLine="540"/>
        <w:jc w:val="both"/>
      </w:pPr>
      <w:r>
        <w:rPr>
          <w:sz w:val="20"/>
        </w:rPr>
        <w:t xml:space="preserve">утверждает повестку заседания комиссии;</w:t>
      </w:r>
    </w:p>
    <w:p>
      <w:pPr>
        <w:pStyle w:val="0"/>
        <w:spacing w:before="200" w:line-rule="auto"/>
        <w:ind w:firstLine="540"/>
        <w:jc w:val="both"/>
      </w:pPr>
      <w:r>
        <w:rPr>
          <w:sz w:val="20"/>
        </w:rPr>
        <w:t xml:space="preserve">определяет дату, время и место проведения заседания комиссии;</w:t>
      </w:r>
    </w:p>
    <w:p>
      <w:pPr>
        <w:pStyle w:val="0"/>
        <w:spacing w:before="200" w:line-rule="auto"/>
        <w:ind w:firstLine="540"/>
        <w:jc w:val="both"/>
      </w:pPr>
      <w:r>
        <w:rPr>
          <w:sz w:val="20"/>
        </w:rPr>
        <w:t xml:space="preserve">дает поручения заместителю председателя комиссии, секретарю комиссии, членам комиссии и контролирует их исполнение;</w:t>
      </w:r>
    </w:p>
    <w:p>
      <w:pPr>
        <w:pStyle w:val="0"/>
        <w:spacing w:before="200" w:line-rule="auto"/>
        <w:ind w:firstLine="540"/>
        <w:jc w:val="both"/>
      </w:pPr>
      <w:r>
        <w:rPr>
          <w:sz w:val="20"/>
        </w:rPr>
        <w:t xml:space="preserve">подписывает протокол заседания комиссии и заключение комиссии о причинно-следственной связи.</w:t>
      </w:r>
    </w:p>
    <w:p>
      <w:pPr>
        <w:pStyle w:val="0"/>
        <w:spacing w:before="200" w:line-rule="auto"/>
        <w:ind w:firstLine="540"/>
        <w:jc w:val="both"/>
      </w:pPr>
      <w:r>
        <w:rPr>
          <w:sz w:val="20"/>
        </w:rPr>
        <w:t xml:space="preserve">В период временного отсутствия председателя комиссии его полномочия исполняет заместитель председателя комиссии.</w:t>
      </w:r>
    </w:p>
    <w:p>
      <w:pPr>
        <w:pStyle w:val="0"/>
        <w:spacing w:before="200" w:line-rule="auto"/>
        <w:ind w:firstLine="540"/>
        <w:jc w:val="both"/>
      </w:pPr>
      <w:r>
        <w:rPr>
          <w:sz w:val="20"/>
        </w:rPr>
        <w:t xml:space="preserve">11. Секретарь комиссии:</w:t>
      </w:r>
    </w:p>
    <w:p>
      <w:pPr>
        <w:pStyle w:val="0"/>
        <w:spacing w:before="200" w:line-rule="auto"/>
        <w:ind w:firstLine="540"/>
        <w:jc w:val="both"/>
      </w:pPr>
      <w:r>
        <w:rPr>
          <w:sz w:val="20"/>
        </w:rPr>
        <w:t xml:space="preserve">1) регистрирует ходатайство и документы;</w:t>
      </w:r>
    </w:p>
    <w:p>
      <w:pPr>
        <w:pStyle w:val="0"/>
        <w:spacing w:before="200" w:line-rule="auto"/>
        <w:ind w:firstLine="540"/>
        <w:jc w:val="both"/>
      </w:pPr>
      <w:r>
        <w:rPr>
          <w:sz w:val="20"/>
        </w:rPr>
        <w:t xml:space="preserve">2) формирует проект повестки заседания комиссии, обеспечивает подготовку необходимых материалов к заседанию комиссии, формирует проект решения комиссии;</w:t>
      </w:r>
    </w:p>
    <w:p>
      <w:pPr>
        <w:pStyle w:val="0"/>
        <w:spacing w:before="200" w:line-rule="auto"/>
        <w:ind w:firstLine="540"/>
        <w:jc w:val="both"/>
      </w:pPr>
      <w:r>
        <w:rPr>
          <w:sz w:val="20"/>
        </w:rPr>
        <w:t xml:space="preserve">3) информирует членов комиссии и иных приглашенных на заседание комиссии лиц о дате, времени, месте проведения и повестке заседания комиссии, обеспечивает их необходимыми материалами;</w:t>
      </w:r>
    </w:p>
    <w:p>
      <w:pPr>
        <w:pStyle w:val="0"/>
        <w:spacing w:before="200" w:line-rule="auto"/>
        <w:ind w:firstLine="540"/>
        <w:jc w:val="both"/>
      </w:pPr>
      <w:r>
        <w:rPr>
          <w:sz w:val="20"/>
        </w:rPr>
        <w:t xml:space="preserve">4) оформляет и подписывает протокол заседания комиссии и заключение комиссии о причинно-следственной связи;</w:t>
      </w:r>
    </w:p>
    <w:p>
      <w:pPr>
        <w:pStyle w:val="0"/>
        <w:spacing w:before="200" w:line-rule="auto"/>
        <w:ind w:firstLine="540"/>
        <w:jc w:val="both"/>
      </w:pPr>
      <w:r>
        <w:rPr>
          <w:sz w:val="20"/>
        </w:rPr>
        <w:t xml:space="preserve">5) организует выполнение поручений председателя комиссии, данных по результатам заседания комиссии;</w:t>
      </w:r>
    </w:p>
    <w:p>
      <w:pPr>
        <w:pStyle w:val="0"/>
        <w:spacing w:before="200" w:line-rule="auto"/>
        <w:ind w:firstLine="540"/>
        <w:jc w:val="both"/>
      </w:pPr>
      <w:r>
        <w:rPr>
          <w:sz w:val="20"/>
        </w:rPr>
        <w:t xml:space="preserve">6) осуществляет контроль за исполнением решений, принятых на заседании комиссии;</w:t>
      </w:r>
    </w:p>
    <w:p>
      <w:pPr>
        <w:pStyle w:val="0"/>
        <w:spacing w:before="200" w:line-rule="auto"/>
        <w:ind w:firstLine="540"/>
        <w:jc w:val="both"/>
      </w:pPr>
      <w:r>
        <w:rPr>
          <w:sz w:val="20"/>
        </w:rPr>
        <w:t xml:space="preserve">7) обеспечивает направление подписанного заключения комиссии о причинно-следственной связи в Федеральное агентство по делам молодежи.</w:t>
      </w:r>
    </w:p>
    <w:p>
      <w:pPr>
        <w:pStyle w:val="0"/>
        <w:spacing w:before="200" w:line-rule="auto"/>
        <w:ind w:firstLine="540"/>
        <w:jc w:val="both"/>
      </w:pPr>
      <w:r>
        <w:rPr>
          <w:sz w:val="20"/>
        </w:rPr>
        <w:t xml:space="preserve">12. Члены комиссии:</w:t>
      </w:r>
    </w:p>
    <w:p>
      <w:pPr>
        <w:pStyle w:val="0"/>
        <w:spacing w:before="200" w:line-rule="auto"/>
        <w:ind w:firstLine="540"/>
        <w:jc w:val="both"/>
      </w:pPr>
      <w:r>
        <w:rPr>
          <w:sz w:val="20"/>
        </w:rPr>
        <w:t xml:space="preserve">обладают равными правами при рассмотрении и обсуждении вопросов, рассматриваемых на заседаниях комиссии;</w:t>
      </w:r>
    </w:p>
    <w:p>
      <w:pPr>
        <w:pStyle w:val="0"/>
        <w:spacing w:before="200" w:line-rule="auto"/>
        <w:ind w:firstLine="540"/>
        <w:jc w:val="both"/>
      </w:pPr>
      <w:r>
        <w:rPr>
          <w:sz w:val="20"/>
        </w:rPr>
        <w:t xml:space="preserve">участвуют в подготовке и проведении заседаний комиссии лично и не вправе делегировать свои полномочия иным лицам.</w:t>
      </w:r>
    </w:p>
    <w:p>
      <w:pPr>
        <w:pStyle w:val="0"/>
        <w:spacing w:before="200" w:line-rule="auto"/>
        <w:ind w:firstLine="540"/>
        <w:jc w:val="both"/>
      </w:pPr>
      <w:r>
        <w:rPr>
          <w:sz w:val="20"/>
        </w:rPr>
        <w:t xml:space="preserve">При невозможности присутствия на заседании комиссии члены комиссии обязаны заблаговременно известить об этом председателя комиссии и представить на его имя письменное мнение по вопросам повестки заседания комиссии.</w:t>
      </w:r>
    </w:p>
    <w:p>
      <w:pPr>
        <w:pStyle w:val="0"/>
        <w:spacing w:before="200" w:line-rule="auto"/>
        <w:ind w:firstLine="540"/>
        <w:jc w:val="both"/>
      </w:pPr>
      <w:r>
        <w:rPr>
          <w:sz w:val="20"/>
        </w:rPr>
        <w:t xml:space="preserve">13. Члены комиссии и лица, участвовавшие в ее заседании, не вправе разглашать сведения, ставшие им известными в ходе работы комиссии.</w:t>
      </w:r>
    </w:p>
    <w:p>
      <w:pPr>
        <w:pStyle w:val="0"/>
        <w:spacing w:before="200" w:line-rule="auto"/>
        <w:ind w:firstLine="540"/>
        <w:jc w:val="both"/>
      </w:pPr>
      <w:r>
        <w:rPr>
          <w:sz w:val="20"/>
        </w:rPr>
        <w:t xml:space="preserve">14. Заседания комиссии проводятся в течение 15 календарных дней со дня регистрации ходатайства и документов.</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ее членов с учетом представленного письменного мнения отсутствующих членов комиссии.</w:t>
      </w:r>
    </w:p>
    <w:p>
      <w:pPr>
        <w:pStyle w:val="0"/>
        <w:spacing w:before="200" w:line-rule="auto"/>
        <w:ind w:firstLine="540"/>
        <w:jc w:val="both"/>
      </w:pPr>
      <w:r>
        <w:rPr>
          <w:sz w:val="20"/>
        </w:rPr>
        <w:t xml:space="preserve">15. Решения комиссии принимаются простым большинством голосов от числа присутствующих на заседании комиссии членов комиссии путем открытого голосования с учетом представленного письменного мнения отсутствующих членов комиссии.</w:t>
      </w:r>
    </w:p>
    <w:p>
      <w:pPr>
        <w:pStyle w:val="0"/>
        <w:spacing w:before="200" w:line-rule="auto"/>
        <w:ind w:firstLine="540"/>
        <w:jc w:val="both"/>
      </w:pPr>
      <w:r>
        <w:rPr>
          <w:sz w:val="20"/>
        </w:rPr>
        <w:t xml:space="preserve">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16. Решения комиссии оформляются:</w:t>
      </w:r>
    </w:p>
    <w:p>
      <w:pPr>
        <w:pStyle w:val="0"/>
        <w:spacing w:before="200" w:line-rule="auto"/>
        <w:ind w:firstLine="540"/>
        <w:jc w:val="both"/>
      </w:pPr>
      <w:r>
        <w:rPr>
          <w:sz w:val="20"/>
        </w:rPr>
        <w:t xml:space="preserve">1) протоколом, содержащим принятые решения, который подписывается председателем комиссии (его заместителем при отсутствии председателя) и всеми членами комиссии;</w:t>
      </w:r>
    </w:p>
    <w:p>
      <w:pPr>
        <w:pStyle w:val="0"/>
        <w:spacing w:before="200" w:line-rule="auto"/>
        <w:ind w:firstLine="540"/>
        <w:jc w:val="both"/>
      </w:pPr>
      <w:r>
        <w:rPr>
          <w:sz w:val="20"/>
        </w:rPr>
        <w:t xml:space="preserve">2) </w:t>
      </w:r>
      <w:hyperlink w:history="0" r:id="rId16" w:tooltip="Постановление Правительства РФ от 06.05.2022 N 824 (ред. от 27.01.2023) &quot;Об утверждении Правил назначения и осуществления единовременных выплат, установленных указами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и от 29 декабря 2022 г. N 972 &quot;О дополнительных социальных гарантиях лицам, направленным (командированным) на территории Донецкой ------------ Недействующая редакция {КонсультантПлюс}">
        <w:r>
          <w:rPr>
            <w:sz w:val="20"/>
            <w:color w:val="0000ff"/>
          </w:rPr>
          <w:t xml:space="preserve">заключение</w:t>
        </w:r>
      </w:hyperlink>
      <w:r>
        <w:rPr>
          <w:sz w:val="20"/>
        </w:rPr>
        <w:t xml:space="preserve"> комиссии о причинно-следственной связи по форме, предусмотренной приложением к Правилам, которое подписывается председателем комиссии (его заместителем при отсутствии председателя).</w:t>
      </w:r>
    </w:p>
    <w:p>
      <w:pPr>
        <w:pStyle w:val="0"/>
        <w:spacing w:before="200" w:line-rule="auto"/>
        <w:ind w:firstLine="540"/>
        <w:jc w:val="both"/>
      </w:pPr>
      <w:r>
        <w:rPr>
          <w:sz w:val="20"/>
        </w:rPr>
        <w:t xml:space="preserve">17. Подписанное заключение комиссии о причинно-следственной связи направляется в Федеральное агентство по делам молодежи по почте не позднее 3-го рабочего дня с даты проведения заседания комиссии и подписания заключения комиссии о причинно-следственной связи.</w:t>
      </w:r>
    </w:p>
    <w:p>
      <w:pPr>
        <w:pStyle w:val="0"/>
        <w:spacing w:before="200" w:line-rule="auto"/>
        <w:ind w:firstLine="540"/>
        <w:jc w:val="both"/>
      </w:pPr>
      <w:r>
        <w:rPr>
          <w:sz w:val="20"/>
        </w:rPr>
        <w:t xml:space="preserve">18. Организационное и материально-техническое обеспечение деятельности комиссии осуществляется Министерством образования Пензенской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Пензенской обл. от 03.08.2023 N 110</w:t>
            <w:br/>
            <w:t>"О комиссии Пензенской области по установлению причинно-следственно...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256146A284415D9BEC4994134057C98A09A4C7197E53212DFD4AFAB2784E1585B00ED5C5F3C0D9C8611E7E0615E430C8DT5d9I" TargetMode = "External"/>
	<Relationship Id="rId8" Type="http://schemas.openxmlformats.org/officeDocument/2006/relationships/hyperlink" Target="consultantplus://offline/ref=F256146A284415D9BEC4994134057C98A09A4C7197E53212D8DBAFAB2784E1585B00ED5C5F3C0D9C8611E7E0615E430C8DT5d9I" TargetMode = "External"/>
	<Relationship Id="rId9" Type="http://schemas.openxmlformats.org/officeDocument/2006/relationships/hyperlink" Target="consultantplus://offline/ref=F256146A284415D9BEC4874C22692297A595177F95EB38458786A9FC78D4E70D0940B3050E7D4690870AFBE162T4d3I" TargetMode = "External"/>
	<Relationship Id="rId10" Type="http://schemas.openxmlformats.org/officeDocument/2006/relationships/hyperlink" Target="consultantplus://offline/ref=F256146A284415D9BEC4874C22692297A5921B7994E938458786A9FC78D4E70D0940B3050E7D4690870AFBE162T4d3I" TargetMode = "External"/>
	<Relationship Id="rId11" Type="http://schemas.openxmlformats.org/officeDocument/2006/relationships/hyperlink" Target="consultantplus://offline/ref=B5F828021B4E309333EAA044DFDC383BD2DFC1EAFF730EDE40E1B10D7E106F9668CE2F6C2782B29C34C0CFA167DB2122B9D8F628U8dCI" TargetMode = "External"/>
	<Relationship Id="rId12" Type="http://schemas.openxmlformats.org/officeDocument/2006/relationships/hyperlink" Target="consultantplus://offline/ref=B5F828021B4E309333EAA044DFDC383BD4D4CFEAF62159DC11B4BF08764035867E87226D3888E7D37295C0UAd2I" TargetMode = "External"/>
	<Relationship Id="rId13" Type="http://schemas.openxmlformats.org/officeDocument/2006/relationships/hyperlink" Target="consultantplus://offline/ref=B5F828021B4E309333EABE49C9B06634D7D796E2FC7F048918B3B75A214069C3288E293C77CDB3C07090DCA063DB2223A5UDd9I" TargetMode = "External"/>
	<Relationship Id="rId14" Type="http://schemas.openxmlformats.org/officeDocument/2006/relationships/hyperlink" Target="consultantplus://offline/ref=B5F828021B4E309333EAA044DFDC383BD2DFC1EAFF730EDE40E1B10D7E106F9668CE2F6D2082B29C34C0CFA167DB2122B9D8F628U8dCI" TargetMode = "External"/>
	<Relationship Id="rId15" Type="http://schemas.openxmlformats.org/officeDocument/2006/relationships/hyperlink" Target="consultantplus://offline/ref=B5F828021B4E309333EAA044DFDC383BD2DFC1EAFF730EDE40E1B10D7E106F9668CE2F6F2582B29C34C0CFA167DB2122B9D8F628U8dCI" TargetMode = "External"/>
	<Relationship Id="rId16" Type="http://schemas.openxmlformats.org/officeDocument/2006/relationships/hyperlink" Target="consultantplus://offline/ref=B5F828021B4E309333EAA044DFDC383BD2DFC1EAFF730EDE40E1B10D7E106F9668CE2F6F2582B29C34C0CFA167DB2122B9D8F628U8d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Пензенской обл. от 03.08.2023 N 110
"О комиссии Пензенской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dc:title>
  <dcterms:created xsi:type="dcterms:W3CDTF">2023-11-05T08:29:19Z</dcterms:created>
</cp:coreProperties>
</file>