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20.07.2022 N 604-п</w:t>
              <w:br/>
              <w:t xml:space="preserve">"О распределении иных межбюджетных трансфертов бюджетам муниципальных образований Пермского края по итогам конкурсов представительных органов муниципальных образований Пермского края на лучшую организацию работы представительных органов муниципальных образований Пермского края, муниципальных молодежных парламентов в 2021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июля 2022 г. N 604-п</w:t>
      </w:r>
    </w:p>
    <w:p>
      <w:pPr>
        <w:pStyle w:val="2"/>
        <w:jc w:val="both"/>
      </w:pPr>
      <w:r>
        <w:rPr>
          <w:sz w:val="20"/>
        </w:rPr>
      </w:r>
    </w:p>
    <w:p>
      <w:pPr>
        <w:pStyle w:val="2"/>
        <w:jc w:val="center"/>
      </w:pPr>
      <w:r>
        <w:rPr>
          <w:sz w:val="20"/>
        </w:rPr>
        <w:t xml:space="preserve">О РАСПРЕДЕЛЕНИИ ИНЫХ МЕЖБЮДЖЕТНЫХ ТРАНСФЕРТОВ БЮДЖЕТАМ</w:t>
      </w:r>
    </w:p>
    <w:p>
      <w:pPr>
        <w:pStyle w:val="2"/>
        <w:jc w:val="center"/>
      </w:pPr>
      <w:r>
        <w:rPr>
          <w:sz w:val="20"/>
        </w:rPr>
        <w:t xml:space="preserve">МУНИЦИПАЛЬНЫХ ОБРАЗОВАНИЙ ПЕРМСКОГО КРАЯ ПО ИТОГАМ КОНКУРСОВ</w:t>
      </w:r>
    </w:p>
    <w:p>
      <w:pPr>
        <w:pStyle w:val="2"/>
        <w:jc w:val="center"/>
      </w:pPr>
      <w:r>
        <w:rPr>
          <w:sz w:val="20"/>
        </w:rPr>
        <w:t xml:space="preserve">ПРЕДСТАВИТЕЛЬНЫХ ОРГАНОВ МУНИЦИПАЛЬНЫХ ОБРАЗОВАНИЙ ПЕРМСКОГО</w:t>
      </w:r>
    </w:p>
    <w:p>
      <w:pPr>
        <w:pStyle w:val="2"/>
        <w:jc w:val="center"/>
      </w:pPr>
      <w:r>
        <w:rPr>
          <w:sz w:val="20"/>
        </w:rPr>
        <w:t xml:space="preserve">КРАЯ НА ЛУЧШУЮ ОРГАНИЗАЦИЮ РАБОТЫ ПРЕДСТАВИТЕЛЬНЫХ ОРГАНОВ</w:t>
      </w:r>
    </w:p>
    <w:p>
      <w:pPr>
        <w:pStyle w:val="2"/>
        <w:jc w:val="center"/>
      </w:pPr>
      <w:r>
        <w:rPr>
          <w:sz w:val="20"/>
        </w:rPr>
        <w:t xml:space="preserve">МУНИЦИПАЛЬНЫХ ОБРАЗОВАНИЙ ПЕРМСКОГО КРАЯ, МУНИЦИПАЛЬНЫХ</w:t>
      </w:r>
    </w:p>
    <w:p>
      <w:pPr>
        <w:pStyle w:val="2"/>
        <w:jc w:val="center"/>
      </w:pPr>
      <w:r>
        <w:rPr>
          <w:sz w:val="20"/>
        </w:rPr>
        <w:t xml:space="preserve">МОЛОДЕЖНЫХ ПАРЛАМЕНТОВ В 2021 ГОДУ</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Пермского края от 15.04.2020 N 226-п &quot;Об утверждении Правил предоставления из бюджета Пермского края бюджетам муниципальных образований Пермского края иных межбюджетных трансфертов на выплату денежных вознаграждений победителям конкурсов на лучшую организацию работы представительных органов муниципальных образований Пермского края и муниципальных молодежных парламентов&quot; {КонсультантПлюс}">
        <w:r>
          <w:rPr>
            <w:sz w:val="20"/>
            <w:color w:val="0000ff"/>
          </w:rPr>
          <w:t xml:space="preserve">Правилами</w:t>
        </w:r>
      </w:hyperlink>
      <w:r>
        <w:rPr>
          <w:sz w:val="20"/>
        </w:rPr>
        <w:t xml:space="preserve"> предоставления из бюджета Пермского края бюджетам муниципальных образований Пермского края иных межбюджетных трансфертов на выплату денежных вознаграждений победителям конкурсов на лучшую организацию работы представительных органов муниципальных образований Пермского края и муниципальных молодежных парламентов, утвержденными постановлением Правительства Пермского края от 15 апреля 2020 г. N 226-п,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34" w:tooltip="РАСПРЕДЕЛЕНИЕ">
        <w:r>
          <w:rPr>
            <w:sz w:val="20"/>
            <w:color w:val="0000ff"/>
          </w:rPr>
          <w:t xml:space="preserve">распределение</w:t>
        </w:r>
      </w:hyperlink>
      <w:r>
        <w:rPr>
          <w:sz w:val="20"/>
        </w:rPr>
        <w:t xml:space="preserve"> иных межбюджетных трансфертов бюджетам муниципальных образований Пермского края по итогам конкурса на лучшую организацию работы представительных органов муниципальных образований Пермского края в 2021 году;</w:t>
      </w:r>
    </w:p>
    <w:p>
      <w:pPr>
        <w:pStyle w:val="0"/>
        <w:spacing w:before="200" w:line-rule="auto"/>
        <w:ind w:firstLine="540"/>
        <w:jc w:val="both"/>
      </w:pPr>
      <w:r>
        <w:rPr>
          <w:sz w:val="20"/>
        </w:rPr>
        <w:t xml:space="preserve">1.2. </w:t>
      </w:r>
      <w:hyperlink w:history="0" w:anchor="P75" w:tooltip="РАСПРЕДЕЛЕНИЕ">
        <w:r>
          <w:rPr>
            <w:sz w:val="20"/>
            <w:color w:val="0000ff"/>
          </w:rPr>
          <w:t xml:space="preserve">распределение</w:t>
        </w:r>
      </w:hyperlink>
      <w:r>
        <w:rPr>
          <w:sz w:val="20"/>
        </w:rPr>
        <w:t xml:space="preserve"> иных межбюджетных трансфертов бюджетам муниципальных образований Пермского края по итогам конкурса представительных органов муниципальных образований Пермского края на лучшую организацию работы муниципальных молодежных парламентов в 2021 году.</w:t>
      </w:r>
    </w:p>
    <w:p>
      <w:pPr>
        <w:pStyle w:val="0"/>
        <w:spacing w:before="200" w:line-rule="auto"/>
        <w:ind w:firstLine="540"/>
        <w:jc w:val="both"/>
      </w:pPr>
      <w:r>
        <w:rPr>
          <w:sz w:val="20"/>
        </w:rPr>
        <w:t xml:space="preserve">2. Контроль за исполнением постановления возложить на руководителя Администрации губернатора Пермского края (по согласованию).</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Правительства Пермского края</w:t>
      </w:r>
    </w:p>
    <w:p>
      <w:pPr>
        <w:pStyle w:val="0"/>
        <w:jc w:val="right"/>
      </w:pPr>
      <w:r>
        <w:rPr>
          <w:sz w:val="20"/>
        </w:rPr>
        <w:t xml:space="preserve">О.В.АНТИПИНА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20.07.2022 N 604-п</w:t>
      </w:r>
    </w:p>
    <w:p>
      <w:pPr>
        <w:pStyle w:val="0"/>
        <w:jc w:val="both"/>
      </w:pPr>
      <w:r>
        <w:rPr>
          <w:sz w:val="20"/>
        </w:rPr>
      </w:r>
    </w:p>
    <w:bookmarkStart w:id="34" w:name="P34"/>
    <w:bookmarkEnd w:id="34"/>
    <w:p>
      <w:pPr>
        <w:pStyle w:val="2"/>
        <w:jc w:val="center"/>
      </w:pPr>
      <w:r>
        <w:rPr>
          <w:sz w:val="20"/>
        </w:rPr>
        <w:t xml:space="preserve">РАСПРЕДЕЛЕНИЕ</w:t>
      </w:r>
    </w:p>
    <w:p>
      <w:pPr>
        <w:pStyle w:val="2"/>
        <w:jc w:val="center"/>
      </w:pPr>
      <w:r>
        <w:rPr>
          <w:sz w:val="20"/>
        </w:rPr>
        <w:t xml:space="preserve">ИНЫХ МЕЖБЮДЖЕТНЫХ ТРАНСФЕРТОВ БЮДЖЕТАМ МУНИЦИПАЛЬНЫХ</w:t>
      </w:r>
    </w:p>
    <w:p>
      <w:pPr>
        <w:pStyle w:val="2"/>
        <w:jc w:val="center"/>
      </w:pPr>
      <w:r>
        <w:rPr>
          <w:sz w:val="20"/>
        </w:rPr>
        <w:t xml:space="preserve">ОБРАЗОВАНИЙ ПЕРМСКОГО КРАЯ ПО ИТОГАМ КОНКУРСА НА ЛУЧШУЮ</w:t>
      </w:r>
    </w:p>
    <w:p>
      <w:pPr>
        <w:pStyle w:val="2"/>
        <w:jc w:val="center"/>
      </w:pPr>
      <w:r>
        <w:rPr>
          <w:sz w:val="20"/>
        </w:rPr>
        <w:t xml:space="preserve">ОРГАНИЗАЦИЮ РАБОТЫ ПРЕДСТАВИТЕЛЬНЫХ ОРГАНОВ МУНИЦИПАЛЬНЫХ</w:t>
      </w:r>
    </w:p>
    <w:p>
      <w:pPr>
        <w:pStyle w:val="2"/>
        <w:jc w:val="center"/>
      </w:pPr>
      <w:r>
        <w:rPr>
          <w:sz w:val="20"/>
        </w:rPr>
        <w:t xml:space="preserve">ОБРАЗОВАНИЙ ПЕРМСКОГО КРАЯ В 2021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5443"/>
        <w:gridCol w:w="2957"/>
      </w:tblGrid>
      <w:tr>
        <w:tc>
          <w:tcPr>
            <w:tcW w:w="677" w:type="dxa"/>
          </w:tcPr>
          <w:p>
            <w:pPr>
              <w:pStyle w:val="0"/>
              <w:jc w:val="center"/>
            </w:pPr>
            <w:r>
              <w:rPr>
                <w:sz w:val="20"/>
              </w:rPr>
              <w:t xml:space="preserve">N</w:t>
            </w:r>
          </w:p>
        </w:tc>
        <w:tc>
          <w:tcPr>
            <w:tcW w:w="5443" w:type="dxa"/>
          </w:tcPr>
          <w:p>
            <w:pPr>
              <w:pStyle w:val="0"/>
              <w:jc w:val="center"/>
            </w:pPr>
            <w:r>
              <w:rPr>
                <w:sz w:val="20"/>
              </w:rPr>
              <w:t xml:space="preserve">Наименования бюджетов муниципальных образований Пермского края</w:t>
            </w:r>
          </w:p>
        </w:tc>
        <w:tc>
          <w:tcPr>
            <w:tcW w:w="2957" w:type="dxa"/>
          </w:tcPr>
          <w:p>
            <w:pPr>
              <w:pStyle w:val="0"/>
              <w:jc w:val="center"/>
            </w:pPr>
            <w:r>
              <w:rPr>
                <w:sz w:val="20"/>
              </w:rPr>
              <w:t xml:space="preserve">Размер иных межбюджетных трансфертов, руб.</w:t>
            </w:r>
          </w:p>
        </w:tc>
      </w:tr>
      <w:tr>
        <w:tc>
          <w:tcPr>
            <w:tcW w:w="677" w:type="dxa"/>
          </w:tcPr>
          <w:p>
            <w:pPr>
              <w:pStyle w:val="0"/>
              <w:jc w:val="center"/>
            </w:pPr>
            <w:r>
              <w:rPr>
                <w:sz w:val="20"/>
              </w:rPr>
              <w:t xml:space="preserve">1</w:t>
            </w:r>
          </w:p>
        </w:tc>
        <w:tc>
          <w:tcPr>
            <w:tcW w:w="5443" w:type="dxa"/>
          </w:tcPr>
          <w:p>
            <w:pPr>
              <w:pStyle w:val="0"/>
              <w:jc w:val="center"/>
            </w:pPr>
            <w:r>
              <w:rPr>
                <w:sz w:val="20"/>
              </w:rPr>
              <w:t xml:space="preserve">2</w:t>
            </w:r>
          </w:p>
        </w:tc>
        <w:tc>
          <w:tcPr>
            <w:tcW w:w="2957" w:type="dxa"/>
          </w:tcPr>
          <w:p>
            <w:pPr>
              <w:pStyle w:val="0"/>
              <w:jc w:val="center"/>
            </w:pPr>
            <w:r>
              <w:rPr>
                <w:sz w:val="20"/>
              </w:rPr>
              <w:t xml:space="preserve">3</w:t>
            </w:r>
          </w:p>
        </w:tc>
      </w:tr>
      <w:tr>
        <w:tc>
          <w:tcPr>
            <w:tcW w:w="677" w:type="dxa"/>
          </w:tcPr>
          <w:p>
            <w:pPr>
              <w:pStyle w:val="0"/>
              <w:jc w:val="center"/>
            </w:pPr>
            <w:r>
              <w:rPr>
                <w:sz w:val="20"/>
              </w:rPr>
              <w:t xml:space="preserve">1</w:t>
            </w:r>
          </w:p>
        </w:tc>
        <w:tc>
          <w:tcPr>
            <w:tcW w:w="5443" w:type="dxa"/>
          </w:tcPr>
          <w:p>
            <w:pPr>
              <w:pStyle w:val="0"/>
            </w:pPr>
            <w:r>
              <w:rPr>
                <w:sz w:val="20"/>
              </w:rPr>
              <w:t xml:space="preserve">Бюджет Кудымкарского муниципального округа</w:t>
            </w:r>
          </w:p>
        </w:tc>
        <w:tc>
          <w:tcPr>
            <w:tcW w:w="2957" w:type="dxa"/>
          </w:tcPr>
          <w:p>
            <w:pPr>
              <w:pStyle w:val="0"/>
              <w:jc w:val="center"/>
            </w:pPr>
            <w:r>
              <w:rPr>
                <w:sz w:val="20"/>
              </w:rPr>
              <w:t xml:space="preserve">270000,00</w:t>
            </w:r>
          </w:p>
        </w:tc>
      </w:tr>
      <w:tr>
        <w:tc>
          <w:tcPr>
            <w:tcW w:w="677" w:type="dxa"/>
          </w:tcPr>
          <w:p>
            <w:pPr>
              <w:pStyle w:val="0"/>
              <w:jc w:val="center"/>
            </w:pPr>
            <w:r>
              <w:rPr>
                <w:sz w:val="20"/>
              </w:rPr>
              <w:t xml:space="preserve">2</w:t>
            </w:r>
          </w:p>
        </w:tc>
        <w:tc>
          <w:tcPr>
            <w:tcW w:w="5443" w:type="dxa"/>
          </w:tcPr>
          <w:p>
            <w:pPr>
              <w:pStyle w:val="0"/>
            </w:pPr>
            <w:r>
              <w:rPr>
                <w:sz w:val="20"/>
              </w:rPr>
              <w:t xml:space="preserve">Бюджет Красновишерского городского округа</w:t>
            </w:r>
          </w:p>
        </w:tc>
        <w:tc>
          <w:tcPr>
            <w:tcW w:w="2957" w:type="dxa"/>
          </w:tcPr>
          <w:p>
            <w:pPr>
              <w:pStyle w:val="0"/>
              <w:jc w:val="center"/>
            </w:pPr>
            <w:r>
              <w:rPr>
                <w:sz w:val="20"/>
              </w:rPr>
              <w:t xml:space="preserve">180000,00</w:t>
            </w:r>
          </w:p>
        </w:tc>
      </w:tr>
      <w:tr>
        <w:tc>
          <w:tcPr>
            <w:tcW w:w="677" w:type="dxa"/>
          </w:tcPr>
          <w:p>
            <w:pPr>
              <w:pStyle w:val="0"/>
              <w:jc w:val="center"/>
            </w:pPr>
            <w:r>
              <w:rPr>
                <w:sz w:val="20"/>
              </w:rPr>
              <w:t xml:space="preserve">3</w:t>
            </w:r>
          </w:p>
        </w:tc>
        <w:tc>
          <w:tcPr>
            <w:tcW w:w="5443" w:type="dxa"/>
          </w:tcPr>
          <w:p>
            <w:pPr>
              <w:pStyle w:val="0"/>
            </w:pPr>
            <w:r>
              <w:rPr>
                <w:sz w:val="20"/>
              </w:rPr>
              <w:t xml:space="preserve">Бюджет Березовского муниципального округа</w:t>
            </w:r>
          </w:p>
        </w:tc>
        <w:tc>
          <w:tcPr>
            <w:tcW w:w="2957" w:type="dxa"/>
          </w:tcPr>
          <w:p>
            <w:pPr>
              <w:pStyle w:val="0"/>
              <w:jc w:val="center"/>
            </w:pPr>
            <w:r>
              <w:rPr>
                <w:sz w:val="20"/>
              </w:rPr>
              <w:t xml:space="preserve">135000,00</w:t>
            </w:r>
          </w:p>
        </w:tc>
      </w:tr>
      <w:tr>
        <w:tc>
          <w:tcPr>
            <w:tcW w:w="677" w:type="dxa"/>
          </w:tcPr>
          <w:p>
            <w:pPr>
              <w:pStyle w:val="0"/>
              <w:jc w:val="center"/>
            </w:pPr>
            <w:r>
              <w:rPr>
                <w:sz w:val="20"/>
              </w:rPr>
              <w:t xml:space="preserve">4</w:t>
            </w:r>
          </w:p>
        </w:tc>
        <w:tc>
          <w:tcPr>
            <w:tcW w:w="5443" w:type="dxa"/>
          </w:tcPr>
          <w:p>
            <w:pPr>
              <w:pStyle w:val="0"/>
            </w:pPr>
            <w:r>
              <w:rPr>
                <w:sz w:val="20"/>
              </w:rPr>
              <w:t xml:space="preserve">Бюджет Пермского муниципального района</w:t>
            </w:r>
          </w:p>
        </w:tc>
        <w:tc>
          <w:tcPr>
            <w:tcW w:w="2957" w:type="dxa"/>
          </w:tcPr>
          <w:p>
            <w:pPr>
              <w:pStyle w:val="0"/>
              <w:jc w:val="center"/>
            </w:pPr>
            <w:r>
              <w:rPr>
                <w:sz w:val="20"/>
              </w:rPr>
              <w:t xml:space="preserve">270000,00</w:t>
            </w:r>
          </w:p>
        </w:tc>
      </w:tr>
      <w:tr>
        <w:tc>
          <w:tcPr>
            <w:tcW w:w="677" w:type="dxa"/>
          </w:tcPr>
          <w:p>
            <w:pPr>
              <w:pStyle w:val="0"/>
              <w:jc w:val="center"/>
            </w:pPr>
            <w:r>
              <w:rPr>
                <w:sz w:val="20"/>
              </w:rPr>
              <w:t xml:space="preserve">5</w:t>
            </w:r>
          </w:p>
        </w:tc>
        <w:tc>
          <w:tcPr>
            <w:tcW w:w="5443" w:type="dxa"/>
          </w:tcPr>
          <w:p>
            <w:pPr>
              <w:pStyle w:val="0"/>
            </w:pPr>
            <w:r>
              <w:rPr>
                <w:sz w:val="20"/>
              </w:rPr>
              <w:t xml:space="preserve">Бюджет Чусовского городского округа</w:t>
            </w:r>
          </w:p>
        </w:tc>
        <w:tc>
          <w:tcPr>
            <w:tcW w:w="2957" w:type="dxa"/>
          </w:tcPr>
          <w:p>
            <w:pPr>
              <w:pStyle w:val="0"/>
              <w:jc w:val="center"/>
            </w:pPr>
            <w:r>
              <w:rPr>
                <w:sz w:val="20"/>
              </w:rPr>
              <w:t xml:space="preserve">180000,00</w:t>
            </w:r>
          </w:p>
        </w:tc>
      </w:tr>
      <w:tr>
        <w:tc>
          <w:tcPr>
            <w:tcW w:w="677" w:type="dxa"/>
          </w:tcPr>
          <w:p>
            <w:pPr>
              <w:pStyle w:val="0"/>
              <w:jc w:val="center"/>
            </w:pPr>
            <w:r>
              <w:rPr>
                <w:sz w:val="20"/>
              </w:rPr>
              <w:t xml:space="preserve">6</w:t>
            </w:r>
          </w:p>
        </w:tc>
        <w:tc>
          <w:tcPr>
            <w:tcW w:w="5443" w:type="dxa"/>
          </w:tcPr>
          <w:p>
            <w:pPr>
              <w:pStyle w:val="0"/>
            </w:pPr>
            <w:r>
              <w:rPr>
                <w:sz w:val="20"/>
              </w:rPr>
              <w:t xml:space="preserve">Бюджет Лысьвенского городского округа</w:t>
            </w:r>
          </w:p>
        </w:tc>
        <w:tc>
          <w:tcPr>
            <w:tcW w:w="2957" w:type="dxa"/>
          </w:tcPr>
          <w:p>
            <w:pPr>
              <w:pStyle w:val="0"/>
              <w:jc w:val="center"/>
            </w:pPr>
            <w:r>
              <w:rPr>
                <w:sz w:val="20"/>
              </w:rPr>
              <w:t xml:space="preserve">135000,00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20.07.2022 N 604-п</w:t>
      </w:r>
    </w:p>
    <w:p>
      <w:pPr>
        <w:pStyle w:val="0"/>
        <w:jc w:val="both"/>
      </w:pPr>
      <w:r>
        <w:rPr>
          <w:sz w:val="20"/>
        </w:rPr>
      </w:r>
    </w:p>
    <w:bookmarkStart w:id="75" w:name="P75"/>
    <w:bookmarkEnd w:id="75"/>
    <w:p>
      <w:pPr>
        <w:pStyle w:val="2"/>
        <w:jc w:val="center"/>
      </w:pPr>
      <w:r>
        <w:rPr>
          <w:sz w:val="20"/>
        </w:rPr>
        <w:t xml:space="preserve">РАСПРЕДЕЛЕНИЕ</w:t>
      </w:r>
    </w:p>
    <w:p>
      <w:pPr>
        <w:pStyle w:val="2"/>
        <w:jc w:val="center"/>
      </w:pPr>
      <w:r>
        <w:rPr>
          <w:sz w:val="20"/>
        </w:rPr>
        <w:t xml:space="preserve">ИНЫХ МЕЖБЮДЖЕТНЫХ ТРАНСФЕРТОВ БЮДЖЕТАМ МУНИЦИПАЛЬНЫХ</w:t>
      </w:r>
    </w:p>
    <w:p>
      <w:pPr>
        <w:pStyle w:val="2"/>
        <w:jc w:val="center"/>
      </w:pPr>
      <w:r>
        <w:rPr>
          <w:sz w:val="20"/>
        </w:rPr>
        <w:t xml:space="preserve">ОБРАЗОВАНИЙ ПЕРМСКОГО КРАЯ ПО ИТОГАМ КОНКУРСА</w:t>
      </w:r>
    </w:p>
    <w:p>
      <w:pPr>
        <w:pStyle w:val="2"/>
        <w:jc w:val="center"/>
      </w:pPr>
      <w:r>
        <w:rPr>
          <w:sz w:val="20"/>
        </w:rPr>
        <w:t xml:space="preserve">ПРЕДСТАВИТЕЛЬНЫХ ОРГАНОВ МУНИЦИПАЛЬНЫХ ОБРАЗОВАНИЙ ПЕРМСКОГО</w:t>
      </w:r>
    </w:p>
    <w:p>
      <w:pPr>
        <w:pStyle w:val="2"/>
        <w:jc w:val="center"/>
      </w:pPr>
      <w:r>
        <w:rPr>
          <w:sz w:val="20"/>
        </w:rPr>
        <w:t xml:space="preserve">КРАЯ НА ЛУЧШУЮ ОРГАНИЗАЦИЮ РАБОТЫ МУНИЦИПАЛЬНЫХ МОЛОДЕЖНЫХ</w:t>
      </w:r>
    </w:p>
    <w:p>
      <w:pPr>
        <w:pStyle w:val="2"/>
        <w:jc w:val="center"/>
      </w:pPr>
      <w:r>
        <w:rPr>
          <w:sz w:val="20"/>
        </w:rPr>
        <w:t xml:space="preserve">ПАРЛАМЕНТОВ В 2021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5443"/>
        <w:gridCol w:w="2957"/>
      </w:tblGrid>
      <w:tr>
        <w:tc>
          <w:tcPr>
            <w:tcW w:w="677" w:type="dxa"/>
          </w:tcPr>
          <w:p>
            <w:pPr>
              <w:pStyle w:val="0"/>
              <w:jc w:val="center"/>
            </w:pPr>
            <w:r>
              <w:rPr>
                <w:sz w:val="20"/>
              </w:rPr>
              <w:t xml:space="preserve">N</w:t>
            </w:r>
          </w:p>
        </w:tc>
        <w:tc>
          <w:tcPr>
            <w:tcW w:w="5443" w:type="dxa"/>
          </w:tcPr>
          <w:p>
            <w:pPr>
              <w:pStyle w:val="0"/>
              <w:jc w:val="center"/>
            </w:pPr>
            <w:r>
              <w:rPr>
                <w:sz w:val="20"/>
              </w:rPr>
              <w:t xml:space="preserve">Наименования бюджетов муниципальных образований Пермского края</w:t>
            </w:r>
          </w:p>
        </w:tc>
        <w:tc>
          <w:tcPr>
            <w:tcW w:w="2957" w:type="dxa"/>
          </w:tcPr>
          <w:p>
            <w:pPr>
              <w:pStyle w:val="0"/>
              <w:jc w:val="center"/>
            </w:pPr>
            <w:r>
              <w:rPr>
                <w:sz w:val="20"/>
              </w:rPr>
              <w:t xml:space="preserve">Размер иных межбюджетных трансфертов, руб.</w:t>
            </w:r>
          </w:p>
        </w:tc>
      </w:tr>
      <w:tr>
        <w:tc>
          <w:tcPr>
            <w:tcW w:w="677" w:type="dxa"/>
          </w:tcPr>
          <w:p>
            <w:pPr>
              <w:pStyle w:val="0"/>
              <w:jc w:val="center"/>
            </w:pPr>
            <w:r>
              <w:rPr>
                <w:sz w:val="20"/>
              </w:rPr>
              <w:t xml:space="preserve">1</w:t>
            </w:r>
          </w:p>
        </w:tc>
        <w:tc>
          <w:tcPr>
            <w:tcW w:w="5443" w:type="dxa"/>
          </w:tcPr>
          <w:p>
            <w:pPr>
              <w:pStyle w:val="0"/>
              <w:jc w:val="center"/>
            </w:pPr>
            <w:r>
              <w:rPr>
                <w:sz w:val="20"/>
              </w:rPr>
              <w:t xml:space="preserve">2</w:t>
            </w:r>
          </w:p>
        </w:tc>
        <w:tc>
          <w:tcPr>
            <w:tcW w:w="2957" w:type="dxa"/>
          </w:tcPr>
          <w:p>
            <w:pPr>
              <w:pStyle w:val="0"/>
              <w:jc w:val="center"/>
            </w:pPr>
            <w:r>
              <w:rPr>
                <w:sz w:val="20"/>
              </w:rPr>
              <w:t xml:space="preserve">3</w:t>
            </w:r>
          </w:p>
        </w:tc>
      </w:tr>
      <w:tr>
        <w:tc>
          <w:tcPr>
            <w:tcW w:w="677" w:type="dxa"/>
          </w:tcPr>
          <w:p>
            <w:pPr>
              <w:pStyle w:val="0"/>
              <w:jc w:val="center"/>
            </w:pPr>
            <w:r>
              <w:rPr>
                <w:sz w:val="20"/>
              </w:rPr>
              <w:t xml:space="preserve">1</w:t>
            </w:r>
          </w:p>
        </w:tc>
        <w:tc>
          <w:tcPr>
            <w:tcW w:w="5443" w:type="dxa"/>
          </w:tcPr>
          <w:p>
            <w:pPr>
              <w:pStyle w:val="0"/>
            </w:pPr>
            <w:r>
              <w:rPr>
                <w:sz w:val="20"/>
              </w:rPr>
              <w:t xml:space="preserve">Бюджет Лысьвенского городского округа</w:t>
            </w:r>
          </w:p>
        </w:tc>
        <w:tc>
          <w:tcPr>
            <w:tcW w:w="2957" w:type="dxa"/>
          </w:tcPr>
          <w:p>
            <w:pPr>
              <w:pStyle w:val="0"/>
              <w:jc w:val="center"/>
            </w:pPr>
            <w:r>
              <w:rPr>
                <w:sz w:val="20"/>
              </w:rPr>
              <w:t xml:space="preserve">115000,00</w:t>
            </w:r>
          </w:p>
        </w:tc>
      </w:tr>
      <w:tr>
        <w:tc>
          <w:tcPr>
            <w:tcW w:w="677" w:type="dxa"/>
          </w:tcPr>
          <w:p>
            <w:pPr>
              <w:pStyle w:val="0"/>
              <w:jc w:val="center"/>
            </w:pPr>
            <w:r>
              <w:rPr>
                <w:sz w:val="20"/>
              </w:rPr>
              <w:t xml:space="preserve">2</w:t>
            </w:r>
          </w:p>
        </w:tc>
        <w:tc>
          <w:tcPr>
            <w:tcW w:w="5443" w:type="dxa"/>
          </w:tcPr>
          <w:p>
            <w:pPr>
              <w:pStyle w:val="0"/>
            </w:pPr>
            <w:r>
              <w:rPr>
                <w:sz w:val="20"/>
              </w:rPr>
              <w:t xml:space="preserve">Бюджет Кудымкарского городского округа</w:t>
            </w:r>
          </w:p>
        </w:tc>
        <w:tc>
          <w:tcPr>
            <w:tcW w:w="2957" w:type="dxa"/>
          </w:tcPr>
          <w:p>
            <w:pPr>
              <w:pStyle w:val="0"/>
              <w:jc w:val="center"/>
            </w:pPr>
            <w:r>
              <w:rPr>
                <w:sz w:val="20"/>
              </w:rPr>
              <w:t xml:space="preserve">95000,00</w:t>
            </w:r>
          </w:p>
        </w:tc>
      </w:tr>
      <w:tr>
        <w:tc>
          <w:tcPr>
            <w:tcW w:w="677" w:type="dxa"/>
          </w:tcPr>
          <w:p>
            <w:pPr>
              <w:pStyle w:val="0"/>
              <w:jc w:val="center"/>
            </w:pPr>
            <w:r>
              <w:rPr>
                <w:sz w:val="20"/>
              </w:rPr>
              <w:t xml:space="preserve">3</w:t>
            </w:r>
          </w:p>
        </w:tc>
        <w:tc>
          <w:tcPr>
            <w:tcW w:w="5443" w:type="dxa"/>
          </w:tcPr>
          <w:p>
            <w:pPr>
              <w:pStyle w:val="0"/>
            </w:pPr>
            <w:r>
              <w:rPr>
                <w:sz w:val="20"/>
              </w:rPr>
              <w:t xml:space="preserve">Бюджет Чусовского городского округа</w:t>
            </w:r>
          </w:p>
        </w:tc>
        <w:tc>
          <w:tcPr>
            <w:tcW w:w="2957" w:type="dxa"/>
          </w:tcPr>
          <w:p>
            <w:pPr>
              <w:pStyle w:val="0"/>
              <w:jc w:val="center"/>
            </w:pPr>
            <w:r>
              <w:rPr>
                <w:sz w:val="20"/>
              </w:rPr>
              <w:t xml:space="preserve">70000,00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20.07.2022 N 604-п</w:t>
            <w:br/>
            <w:t>"О распределении иных межбюджетных трансфертов бюджетам...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32B956BBDCD8B4E68DFBADE3256E34F5EB05801FA92816E2C5D71C90EC41D03808BFE0DD684E2ACB577181A5D861483BA43298826D3A1B98226CD5D3e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20.07.2022 N 604-п
"О распределении иных межбюджетных трансфертов бюджетам муниципальных образований Пермского края по итогам конкурсов представительных органов муниципальных образований Пермского края на лучшую организацию работы представительных органов муниципальных образований Пермского края, муниципальных молодежных парламентов в 2021 году"</dc:title>
  <dcterms:created xsi:type="dcterms:W3CDTF">2022-11-25T06:30:03Z</dcterms:created>
</cp:coreProperties>
</file>