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Агентства по делам молодежи Пермского края от 02.08.2023 N СЭД-38-01-04-104</w:t>
              <w:br/>
              <w:t xml:space="preserve">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АГЕНТСТВО ПО ДЕЛАМ МОЛОДЕЖИ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2023 г. N СЭД-38-01-04-104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 СИСТЕМЫ</w:t>
      </w:r>
    </w:p>
    <w:p>
      <w:pPr>
        <w:pStyle w:val="2"/>
        <w:jc w:val="center"/>
      </w:pPr>
      <w:r>
        <w:rPr>
          <w:sz w:val="20"/>
        </w:rPr>
        <w:t xml:space="preserve">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государственной </w:t>
      </w:r>
      <w:hyperlink w:history="0" r:id="rId7" w:tooltip="Постановление Правительства Пермского края от 03.10.2013 N 1318-п (ред. от 26.07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в соответствии с </w:t>
      </w:r>
      <w:hyperlink w:history="0" r:id="rId8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Пермского края некоммерческим организациям, не являющимися государственными (муниципальными) учреждениями, на финансовое обеспечение затрат на реализацию проектов в сфере молодежной политики, утвержденным постановлением Правительства Пермского края от 30 декабря 2013 г. N 1825-п, на основании </w:t>
      </w:r>
      <w:hyperlink w:history="0" r:id="rId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Агентстве по делам молодежи Пермского края, утвержденного постановлением Правительства Пермского края от 14 декабря 2022 года N 1078-п,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ИЗВЕЩЕНИЕ">
        <w:r>
          <w:rPr>
            <w:sz w:val="20"/>
            <w:color w:val="0000ff"/>
          </w:rPr>
          <w:t xml:space="preserve">извещение</w:t>
        </w:r>
      </w:hyperlink>
      <w:r>
        <w:rPr>
          <w:sz w:val="20"/>
        </w:rPr>
        <w:t xml:space="preserve"> 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 в соответствии с приложением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(далее - комиссия, отбор), утвержденной </w:t>
      </w:r>
      <w:hyperlink w:history="0" r:id="rId10" w:tooltip="Приказ Агентства по делам молодежи Пермского края от 20.01.2023 N СЭД-38-01-04-7 (ред. от 22.03.2023) &quot;О создании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Агентства по делам молодежи Пермского края от 20 января 2023 года N СЭД-38-01-04-7: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рассмотрение представленных некоммерческими организациями заявок на получение субсидии на реализацию проекта (далее - заявка) и документы на предмет соответствия требованиям и условиям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принять решение по результатам отбора в соответствии с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Менеджеру отдела проектов Агентства по делам молодежи Пермского края (далее - Агентство) Зайцеву Р.А. в срок не позднее 1 календарного дня с момента подписания настоящего приказа организовать его размещение в информационно-телекоммуникационной сети Интернет на официальном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несостоявшимся, ввиду отсутствия заявок, отбор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году, утвержденный </w:t>
      </w:r>
      <w:hyperlink w:history="0" r:id="rId11" w:tooltip="Приказ Агентства по делам молодежи Пермского края от 29.06.2023 N СЭД-38-01-04-91 &quot;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&quot;Развитие системы добровольчества в Пермском крае&quot; в 2023 году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Агентства по делам молодежи Пермского края от 29 июня 2023 года N СЭД-38-01-04-91.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начальника отдела методологии Агентства - Н.С.Федотову.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руководителя</w:t>
      </w:r>
    </w:p>
    <w:p>
      <w:pPr>
        <w:pStyle w:val="0"/>
        <w:jc w:val="right"/>
      </w:pPr>
      <w:r>
        <w:rPr>
          <w:sz w:val="20"/>
        </w:rPr>
        <w:t xml:space="preserve">Ю.Ф.БАЛАНДИНА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Агентства по делам молодежи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02.08.2023 N СЭД-38-01-04-104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ИЗВЕЩЕНИЕ</w:t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 СИСТЕМЫ</w:t>
      </w:r>
    </w:p>
    <w:p>
      <w:pPr>
        <w:pStyle w:val="2"/>
        <w:jc w:val="center"/>
      </w:pPr>
      <w:r>
        <w:rPr>
          <w:sz w:val="20"/>
        </w:rPr>
        <w:t xml:space="preserve">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13" w:tooltip="Постановление Правительства Пермского края от 03.10.2013 N 1318-п (ред. от 26.07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</w:t>
      </w:r>
      <w:hyperlink w:history="0" r:id="rId14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 декабря 2013 г. N 1825-п "Об утверждении Порядка предоставления субсидий из бюджета Пермского края некоммерческим организациям, не являющимися государственными (муниципальными) учреждениями, на финансовое обеспечение затрат на реализацию проектов в сфере молодежной политики", Агентство по делам молодежи Пермского края (далее - Агентство) извещает о приеме заявок и начале отбора некоммерческих организаций, не являющимися государственными (муниципальными) учреждениями, имеющих право на получение субсидии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(далее соответственно - субсидия, проект) в 2023 году (претендующих на получение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проекта осуществляется в соответствии с Техническим </w:t>
      </w:r>
      <w:hyperlink w:history="0" w:anchor="P98" w:tooltip="ТЕХНИЧЕСКОЕ ЗАДАНИЕ">
        <w:r>
          <w:rPr>
            <w:sz w:val="20"/>
            <w:color w:val="0000ff"/>
          </w:rPr>
          <w:t xml:space="preserve">заданием</w:t>
        </w:r>
      </w:hyperlink>
      <w:r>
        <w:rPr>
          <w:sz w:val="20"/>
        </w:rPr>
        <w:t xml:space="preserve"> согласно приложению 1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участие в отборе на получение субсидии имеют некоммерческие организации,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зарегистрирована и осуществляет свою деятельность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собственных работников, имеющих опыт и квалификацию, необходимые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опыта проведения мероприятий регионального, всероссийского или международного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вложение некоммерческой организацией собственных и (или) привлеченных средств в реализацию проекта (без учета средств субсидий, предоставленных из бюджета Пермского края) в размере не менее 10% от общего объема затрат на реализацию соответствующего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участия в отборе некоммерческая организация представляет в Агентство </w:t>
      </w:r>
      <w:hyperlink w:history="0" w:anchor="P25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на реализацию проекта (далее - заявка) с указанием запрашиваемого объема субсидии по форме согласно приложению 2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 заявке необходимо приложить следующие документы: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копия устава некоммерческой организации;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пояснительная записка с обоснованием запрашиваемого объема средств (сметой расходов)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</w:t>
      </w:r>
      <w:hyperlink w:history="0" w:anchor="P356" w:tooltip="Описание реализации проекта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реализации проекта (паспорт проекта)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календарный план реализации проекта (составляется в произвольной форме)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документы о наличии у некоммерческой организации материальных и технических ресурсов, необходимых для реализации проекта (составляются в произвольной форме с указанием реквизитов правоустанавливающих документов на материальные и технические ресурсы);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площадки проведения мероприятий проекта, включающего в себя сценическую конструкцию, оформление площадок, звуковое оборудование, мобильное торговое оборудование и холодильные лари) (составляется в произвольной форме);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выписка из Единого государственного реестра юридических лиц по состоянию не ранее чем за 1 месяц до даты подачи заявки;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копия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копия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справку, подписанную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подтверждающую соответствие участника отбора по состоянию на первое число месяца, предшествующего месяцу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Заявка и документы, указанные в </w:t>
      </w:r>
      <w:hyperlink w:history="0" w:anchor="P55" w:tooltip="4.1.2. пояснительная записка с обоснованием запрашиваемого объема средств (сметой расходов) на реализацию проекта;">
        <w:r>
          <w:rPr>
            <w:sz w:val="20"/>
            <w:color w:val="0000ff"/>
          </w:rPr>
          <w:t xml:space="preserve">пунктах 4.1.2</w:t>
        </w:r>
      </w:hyperlink>
      <w:r>
        <w:rPr>
          <w:sz w:val="20"/>
        </w:rPr>
        <w:t xml:space="preserve">-</w:t>
      </w:r>
      <w:hyperlink w:history="0" w:anchor="P59" w:tooltip="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...">
        <w:r>
          <w:rPr>
            <w:sz w:val="20"/>
            <w:color w:val="0000ff"/>
          </w:rPr>
          <w:t xml:space="preserve">4.1.6</w:t>
        </w:r>
      </w:hyperlink>
      <w:r>
        <w:rPr>
          <w:sz w:val="20"/>
        </w:rPr>
        <w:t xml:space="preserve">, должны быть подписаны руководителем некоммерческой организации или иным уполномоченным лицом и заверены печатью некоммерческой организации. Копии документов, указанных в </w:t>
      </w:r>
      <w:hyperlink w:history="0" w:anchor="P54" w:tooltip="4.1.1. копия устава некоммерческой организации;">
        <w:r>
          <w:rPr>
            <w:sz w:val="20"/>
            <w:color w:val="0000ff"/>
          </w:rPr>
          <w:t xml:space="preserve">пункте 4.1.1</w:t>
        </w:r>
      </w:hyperlink>
      <w:r>
        <w:rPr>
          <w:sz w:val="20"/>
        </w:rPr>
        <w:t xml:space="preserve">, </w:t>
      </w:r>
      <w:hyperlink w:history="0" w:anchor="P60" w:tooltip="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">
        <w:r>
          <w:rPr>
            <w:sz w:val="20"/>
            <w:color w:val="0000ff"/>
          </w:rPr>
          <w:t xml:space="preserve">4.1.7</w:t>
        </w:r>
      </w:hyperlink>
      <w:r>
        <w:rPr>
          <w:sz w:val="20"/>
        </w:rPr>
        <w:t xml:space="preserve"> и </w:t>
      </w:r>
      <w:hyperlink w:history="0" w:anchor="P62" w:tooltip="4.1.9. копия свидетельства о государственной регистрации юридического лица;">
        <w:r>
          <w:rPr>
            <w:sz w:val="20"/>
            <w:color w:val="0000ff"/>
          </w:rPr>
          <w:t xml:space="preserve">4.1.9</w:t>
        </w:r>
      </w:hyperlink>
      <w:r>
        <w:rPr>
          <w:sz w:val="20"/>
        </w:rPr>
        <w:t xml:space="preserve">, должны быть заверены надлежащим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не должны иметь подчисток, приписок, зачеркнутых слов и иных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копий документов одновременно представляются оригиналы соответствующих документов, которые в день их представления сверяются с копиями и возвращаются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Заявка и документы, поступившие по истечении даты окончания приема заявок, установленной настоящим извещением,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заявок: 02 августа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заявок: 11 августа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предоставляемой субсидии составляет: в 2023 году - 1045640,00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подается по адресу: г. Пермь, ул. Ленина, д. 66, каб. 714,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ПН-ЧТ с 09 час. 00 мин. до 18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ПТ с 09 час. 00 мин. до 17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СБ-ВС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на обед с 12 час. 00 мин. до 12 час. 48 мин.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уполномоченного лица от Агентства для справок: +7 (342) 200 98 41 (доб. 323).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</w:t>
      </w:r>
    </w:p>
    <w:p>
      <w:pPr>
        <w:pStyle w:val="0"/>
        <w:jc w:val="right"/>
      </w:pPr>
      <w:r>
        <w:rPr>
          <w:sz w:val="20"/>
        </w:rPr>
        <w:t xml:space="preserve">реализацию проектов в сфере</w:t>
      </w:r>
    </w:p>
    <w:p>
      <w:pPr>
        <w:pStyle w:val="0"/>
        <w:jc w:val="right"/>
      </w:pPr>
      <w:r>
        <w:rPr>
          <w:sz w:val="20"/>
        </w:rPr>
        <w:t xml:space="preserve">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</w:t>
      </w:r>
    </w:p>
    <w:p>
      <w:pPr>
        <w:pStyle w:val="0"/>
        <w:jc w:val="right"/>
      </w:pPr>
      <w:r>
        <w:rPr>
          <w:sz w:val="20"/>
        </w:rPr>
        <w:t xml:space="preserve">системы добровольчества</w:t>
      </w:r>
    </w:p>
    <w:p>
      <w:pPr>
        <w:pStyle w:val="0"/>
        <w:jc w:val="right"/>
      </w:pPr>
      <w:r>
        <w:rPr>
          <w:sz w:val="20"/>
        </w:rPr>
        <w:t xml:space="preserve">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по направлению "Развитие системы добровольчества</w:t>
      </w:r>
    </w:p>
    <w:p>
      <w:pPr>
        <w:pStyle w:val="2"/>
        <w:jc w:val="center"/>
      </w:pPr>
      <w:r>
        <w:rPr>
          <w:sz w:val="20"/>
        </w:rPr>
        <w:t xml:space="preserve">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требования к реализации проекта в сфере молодежной политики по направлению "Развитие системы добровольчества в Пермском крае" в 2023 году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Целевая аудитория участников Проекта: молодежь Пермского края в возрасте от 16 до 35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участников Проекта: не менее 2517 человек из не менее чем 14 муниципальных образований Пермского края (по количеству местных отделений на территории Пермского края + 3 муниципальных образования, где на текущий момент не существует местного отделения), 10 общеобразовательных организаций (ученики старших классов) Пермского края, 5 средних профессиональных образовательных организаций Пермского края, 3 высших профессиональных образовательных организаций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реализации Проекта - с момента заключения соглашения до 20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необходимости, Исполнитель должен обеспечить соблюдение норм и требований действующего законодательства, а также безопасность участников проекта, в том числе информировать службы экстренной помощи (пожарные, полиция, скорая помощь) о времени, месте, количестве участников.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89"/>
        <w:gridCol w:w="2284"/>
        <w:gridCol w:w="4252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реализации Проекта</w:t>
            </w:r>
          </w:p>
        </w:tc>
        <w:tc>
          <w:tcPr>
            <w:tcW w:w="22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(содержание) работ (услуг) по реализации Проекта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Обязательные требования, объемные показатели, технические характеристики работы (услуги)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Подготовительный этап</w:t>
            </w:r>
          </w:p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 Подготовка и администрирование Проекта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сформировать исполнительную дирекцию по организации и реализации Проекта из числа своего штатного персонала и/или привлеченных специалистов не менее 4 человек,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Проекта - опыт работы на руководящей должности по организации медицинского добровольчества не менее 5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Администратор проекта - опыт организации мероприятий регионального уровня не менее 1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Бухгалтер - квалифицированный работник, имеющий опыт работы с некоммерческими организациями;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Дизайнер проекта - опыт подготовки брендированной продукции для организаций не менее 1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Персональный состав исполнительной дирекции с кратким резюме и описанием функциональных обязанностей должен быть согласован с Агентством по делам молодежи Пермского края (далее - Агентство).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Исполнительная дирекция должна быть обеспечена помещением, находящимся в центре г. Перми с близко расположенными остановками общественного транспорта, площадью не менее 15 кв. м, не менее чем 3 ноутбуками, канцелярскими принадлежностями (бумага, шариковые ручки) и оргтехникой (цветной принтер - 1 шт, многофункциональное устройство - 1 шт).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Функционал Исполнительной дирекции: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разработка программы мероприятий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обеспечение взаимодействия с участниками, экспертами и гостями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информирование о мероприятиях и ходе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разработка уникального дизайна проекта.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набор волонтеров на мероприятия Проекта в количестве не менее 200 человек.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прохождение обучения и инструктажа по технике безопасности для волонтеров Проекта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 Приобретение полиграфической и сувенирной продукции, расходных материалов, необходимых для осуществления Проекта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разработать оригинал-макеты сувенирной и полиграфической продукции: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ролл-ап;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поло;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спортивный мешок;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ручка;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блокнот;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бейдж;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силиконовый браслет;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просветительские буклеты и раздаточный материал.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изготовление полиграфической и сувенирной продукции на основании разработанных дизайн-макетов: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ролл-ап с полноцветной печатью не менее 5 штук;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поло с символикой, х/б,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спортивный мешок брендированный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ручка с логотипом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блокнот размер: А5, 65 л с трекером полезных привычек,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бейдж ламинированный с лентой, нашейный в количестве не менее 75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браслет силиконовый брендированный - 75 шт.;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приобретение расходных материалов, необходимых для осуществления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бумага офисная (формат А4) в количестве не менее 5 пачек (количество листов в пачке - 500);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набор маркеров (4 цвета) для доски не менее 20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гуашь художественная 12 цветов, не менее 5 наборов;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кисти художественные, не менее 5 наборов;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скотч прозрачный, широкий, не менее 5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скотч малярный, широкий, не менее 5 шт.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чернила для принтера Canon (черный, синий, красный, желтый) не менее 2 комплектов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этап</w:t>
            </w:r>
          </w:p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Организация и проведение выездных мероприятий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организовать и провести не менее 3 выездных презентационных мероприятий в муниципальные образования Пермского края, где не сформировано местное отделение волонтеров-медиков. При подготовке к выездам Исполнитель должен согласовать проведение встречи с местными органами власти, пригласить на встречу представителей молодежных сообществ территорий. Исполнитель должен согласовать проведение круглого стола с представителями администрации муниципального образования и представителями образовательных организаций по поводу организации волонтерской деятельности на базе учебных заведений и иных учреждений округа.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выездного мероприятия быть направлена на расширение состава волонтеров-медиков и привлечение к участию в добровольческой деятельности молодежи, профессионально не связанной с медицинской деятельностью.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участников встреч не менее 300 человек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 Организация и проведение Школы будущего донора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организовать и провести не менее 10 Школ будущего донора (далее - ШБД) продолжительностью не менее 2 часов не менее чем в 3 средних профессиональных образовательных организациях г. Перми среди не менее, чем 10 студенческих групп с привлечением не менее 30 человек из числа заинтересованной молодежи с целью формирования волонтерского донорского сообщества.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ШБД должны быть обеспечены раздаточным материалом: просветительские буклеты.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ШБД должна быть направлена на расширение состава волонтеров направления "Популяризация кадрового донорства" и включать такие блоки, как: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деятельности направления;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донорства крови и ее компонентов;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распространения идей безвозмездного и регулярного донорства крови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 Организация во Всероссийских образовательных мероприятиях ВОД "Волонтеры-медики" с целью повышения компетенций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обязуется сформировать делегацию в количестве не менее 2 человек из числа актива регионального отделения волонтеров-медиков и обеспечить участие активистов во Всероссийском форуме волонтеров-медиков с целью развития надпрофессиональных компетенций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 Организация и проведения профориент-х встреч в сфере медицины и добровольчества среди школьников старших классов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организовать и провести 25 профориентационных встреч в сфере медицины и добровольчества (далее - Встреча) продолжительностью не менее 60 минут в среднеобразовательных организациях Пермского края. Общее количество участников встреч не менее 750.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школы должны быть переданы плакаты для размещения, где будет содержаться основная информация о Движении и создании школьного отряда волонтеров-медиков.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встречи должна быть направлена на формирование школьных отрядов волонтеров-медиков и включать такие блоки, как: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деятельности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основных направлений и профессий в сфере медицины;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Мотивационная игра "Я - доброволец" с целью привлечения в ряды волонтеров-школьников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 Организация и проведение презентационных встреч о деятельности штабов здоровья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обязуется провести 10 презентационных встреч о деятельности штабов здоровья (далее - Встреча) продолжительностью не менее 60 минут не менее чем в 3 профессиональных образовательных организациях и 7 трудовых коллективов молодежи в государственных и некоммерческих организациях Пермского края. Общее количество участников встреч не менее 300.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Участники встречи должны быть просветительскими буклетами, в которых будет содержаться информация о механизме открытия штабов здоровья на площадке организации.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встречи должна быть направлена на формирование штабов здоровья на площадках трудовых коллективов, волонтерами которых станут сотрудники организация, и включать такие блоки, как: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деятельности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программы "Штаб здоровья" и марафона "Поколение ЗОЖ";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Алгоритм формирования штаба здоровья на площадке трудового коллектива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 Проведение Слета актива Волонтеров-медиков Пермского края (далее - Слет)</w:t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определить сроки и место проведения, сценарный план открытия и закрытия Слета, программу проведения продолжительностью не менее 20 часов, распределенных на 2 суток.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Слета должна включать в себя образовательную часть (включающую в себя трек по знакомству с Движением, профильное обучение по направлениям деятельности, отработку практических навыков) и интерактивную часть (презентацию успешных практик и проектов в интерактивном формате, веревочный курс, вечернее мероприятие).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привлечь к проведению Слета ведущего с опытом ведения аналогичных мероприятий не менее 1 года.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информирование не менее 50 потенциальных участников Слета посредством рассылки письма-приглашения и (или) размещения информации на интернет-ресурсах.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должно составить не менее 20.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общее количество участников Слета не менее 75 человек из числа актива волонтеров-медиков Пермского края (участники, волонтеры, организаторы).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горячими завтраком, обедом, ужином участников, волонтеров и оргкомитет Слета в количестве не менее 75 порций, а также перекусами.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подготовку информационных сообщений о проведении Слета и их размещение на Интернет-ресурсах.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фото- и видеосъемку мероприятий Проекта.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изготовление итогового видеоролика,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 отснятого материала (итоговый хронометраж не менее 180 сек.);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2D графики (всплывающие плашки, маркеры);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Цвето- и свето-коррекция материала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Завершающий этап</w:t>
            </w:r>
          </w:p>
        </w:tc>
        <w:tc>
          <w:tcPr>
            <w:tcW w:w="22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итогам реализации Проекта Исполнитель должен подготовить и предоставить в Агентство: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содержательный 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финансовый 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акт сдачи - приемки выполненных работ (оказанных услуг);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содержательному отчету должны быть приложены: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документы, подлежащие согласованию или утверждению с Министерством;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фотоотчет;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видеоотчет;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мониторинг СМИ (копии печатных публикаций, скриншоты с сайтов и пр.).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финансовому отчету должны быть приложены: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договоры на выполнение работ (оказание услуг) и - акты сдачи-приемки выполненных работ (оказания услуг) по договорам;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копии документов, подтверждающих фактически производственные затраты.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приложения к отчету должны быть заверены подписью и печатью Исполнителя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</w:t>
      </w:r>
    </w:p>
    <w:p>
      <w:pPr>
        <w:pStyle w:val="0"/>
        <w:jc w:val="right"/>
      </w:pPr>
      <w:r>
        <w:rPr>
          <w:sz w:val="20"/>
        </w:rPr>
        <w:t xml:space="preserve">реализацию проектов в сфере</w:t>
      </w:r>
    </w:p>
    <w:p>
      <w:pPr>
        <w:pStyle w:val="0"/>
        <w:jc w:val="right"/>
      </w:pPr>
      <w:r>
        <w:rPr>
          <w:sz w:val="20"/>
        </w:rPr>
        <w:t xml:space="preserve">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</w:t>
      </w:r>
    </w:p>
    <w:p>
      <w:pPr>
        <w:pStyle w:val="0"/>
        <w:jc w:val="right"/>
      </w:pPr>
      <w:r>
        <w:rPr>
          <w:sz w:val="20"/>
        </w:rPr>
        <w:t xml:space="preserve">системы добровольчества</w:t>
      </w:r>
    </w:p>
    <w:p>
      <w:pPr>
        <w:pStyle w:val="0"/>
        <w:jc w:val="right"/>
      </w:pPr>
      <w:r>
        <w:rPr>
          <w:sz w:val="20"/>
        </w:rPr>
        <w:t xml:space="preserve">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57" w:name="P257"/>
    <w:bookmarkEnd w:id="25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получение субсидии на реализацию проекта в сфере</w:t>
      </w:r>
    </w:p>
    <w:p>
      <w:pPr>
        <w:pStyle w:val="0"/>
        <w:jc w:val="center"/>
      </w:pPr>
      <w:r>
        <w:rPr>
          <w:sz w:val="20"/>
        </w:rPr>
        <w:t xml:space="preserve">молодежной политики по направлению "Развитие системы</w:t>
      </w:r>
    </w:p>
    <w:p>
      <w:pPr>
        <w:pStyle w:val="0"/>
        <w:jc w:val="center"/>
      </w:pPr>
      <w:r>
        <w:rPr>
          <w:sz w:val="20"/>
        </w:rPr>
        <w:t xml:space="preserve">добровольчества в Пермском крае" в 2023-2025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6095"/>
        <w:gridCol w:w="2551"/>
      </w:tblGrid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Направление, в рамках которого реализуется проект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некоммерческой организации (в соответствии со Свидетельством о внесении записи в ЕГРЮЛ)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некоммерческой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некоммерческой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некоммерческой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 руководителя некоммерческой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Сайт некоммерческой организации (при наличии)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собственных работников, имеющих опыт и квалификацию, необходимых для реализации проекта (с приложением подтверждающих документов)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мероприятий регионального, всероссийского или международного уровня (с приложением подтверждающих документов)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совместных мероприятий с органами власти и органами местного самоуправления (с приложением подтверждающих документов)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проекта: цель и результаты проекта, направления расходования запрашиваемых средств краевого бюджета (не более 3 предложений)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(руб.), 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запрашиваемых средств краевого бюджета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привлеченных средств (не менее 10% от общего объема затрат на реализацию проекта)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2"/>
        <w:gridCol w:w="3989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порядком проведения отбора на предоставление субсидии ознакомлен(а) и согласен(а). Достоверность информации, представленной в Заявке, и прилагаемых к ней документах подтверждаю.</w:t>
            </w:r>
          </w:p>
        </w:tc>
      </w:tr>
      <w:t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организации: ________________</w:t>
            </w:r>
          </w:p>
          <w:p>
            <w:pPr>
              <w:pStyle w:val="0"/>
              <w:ind w:firstLine="540" w:left="3113"/>
              <w:jc w:val="both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</w:t>
            </w:r>
          </w:p>
        </w:tc>
      </w:tr>
      <w:t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 20__ г.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Поступило в Агентство по делам молодежи Пермского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подпись лица, получившего документы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</w:t>
      </w:r>
    </w:p>
    <w:p>
      <w:pPr>
        <w:pStyle w:val="0"/>
        <w:jc w:val="right"/>
      </w:pPr>
      <w:r>
        <w:rPr>
          <w:sz w:val="20"/>
        </w:rPr>
        <w:t xml:space="preserve">реализацию проектов в сфере</w:t>
      </w:r>
    </w:p>
    <w:p>
      <w:pPr>
        <w:pStyle w:val="0"/>
        <w:jc w:val="right"/>
      </w:pPr>
      <w:r>
        <w:rPr>
          <w:sz w:val="20"/>
        </w:rPr>
        <w:t xml:space="preserve">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</w:t>
      </w:r>
    </w:p>
    <w:p>
      <w:pPr>
        <w:pStyle w:val="0"/>
        <w:jc w:val="right"/>
      </w:pPr>
      <w:r>
        <w:rPr>
          <w:sz w:val="20"/>
        </w:rPr>
        <w:t xml:space="preserve">системы добровольчества</w:t>
      </w:r>
    </w:p>
    <w:p>
      <w:pPr>
        <w:pStyle w:val="0"/>
        <w:jc w:val="right"/>
      </w:pPr>
      <w:r>
        <w:rPr>
          <w:sz w:val="20"/>
        </w:rPr>
        <w:t xml:space="preserve">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56" w:name="P356"/>
    <w:bookmarkEnd w:id="356"/>
    <w:p>
      <w:pPr>
        <w:pStyle w:val="0"/>
        <w:jc w:val="center"/>
      </w:pPr>
      <w:r>
        <w:rPr>
          <w:sz w:val="20"/>
        </w:rPr>
        <w:t xml:space="preserve">Описание реализации проекта</w:t>
      </w:r>
    </w:p>
    <w:p>
      <w:pPr>
        <w:pStyle w:val="0"/>
        <w:jc w:val="center"/>
      </w:pPr>
      <w:r>
        <w:rPr>
          <w:sz w:val="20"/>
        </w:rPr>
        <w:t xml:space="preserve">(паспорт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879"/>
        <w:gridCol w:w="5839"/>
      </w:tblGrid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результаты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проекта, основных этапов и мероприятий проекта, механизма его реализации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Кадровые возможности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Ресурсные возможности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 распространения информации о мероприятиях проекта и результатах его реализации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Паспорт проекта заполняется в соответствии с техническим заданием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Агентства по делам молодежи Пермского края от 02.08.2023 N СЭД-38-01-04-104</w:t>
            <w:br/>
            <w:t>"О проведении отбора некоммерческих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B47A43B20EB7165C747F13E2FBF48D9B22DDD5346E66C768EC7AC7D134204F995E65350DAF95D97E13A4E64FA54870B892FBBAD488F9888D88A981hEbAI" TargetMode = "External"/>
	<Relationship Id="rId8" Type="http://schemas.openxmlformats.org/officeDocument/2006/relationships/hyperlink" Target="consultantplus://offline/ref=4AB47A43B20EB7165C747F13E2FBF48D9B22DDD5346160C263E67AC7D134204F995E65350DAF95D97B17A0E64CA54870B892FBBAD488F9888D88A981hEbAI" TargetMode = "External"/>
	<Relationship Id="rId9" Type="http://schemas.openxmlformats.org/officeDocument/2006/relationships/hyperlink" Target="consultantplus://offline/ref=4AB47A43B20EB7165C747F13E2FBF48D9B22DDD534616CC76FE57AC7D134204F995E65350DAF95D97B17A3E549A54870B892FBBAD488F9888D88A981hEbAI" TargetMode = "External"/>
	<Relationship Id="rId10" Type="http://schemas.openxmlformats.org/officeDocument/2006/relationships/hyperlink" Target="consultantplus://offline/ref=4AB47A43B20EB7165C747F13E2FBF48D9B22DDD534616DC66CE17AC7D134204F995E65351FAFCDD57B12BDE54CB01E21FEhCb4I" TargetMode = "External"/>
	<Relationship Id="rId11" Type="http://schemas.openxmlformats.org/officeDocument/2006/relationships/hyperlink" Target="consultantplus://offline/ref=4AB47A43B20EB7165C747F13E2FBF48D9B22DDD5346E67C063E07AC7D134204F995E65351FAFCDD57B12BDE54CB01E21FEhCb4I" TargetMode = "External"/>
	<Relationship Id="rId12" Type="http://schemas.openxmlformats.org/officeDocument/2006/relationships/hyperlink" Target="consultantplus://offline/ref=4AB47A43B20EB7165C74611EF497A986972A81DA36666E9537B17C908E64261AD91E63604EE89DDF7E1CF7B509FB1121F9D9F7BBCF94F88Bh9b0I" TargetMode = "External"/>
	<Relationship Id="rId13" Type="http://schemas.openxmlformats.org/officeDocument/2006/relationships/hyperlink" Target="consultantplus://offline/ref=4AB47A43B20EB7165C747F13E2FBF48D9B22DDD5346E66C768EC7AC7D134204F995E65350DAF95D97E13A4E64FA54870B892FBBAD488F9888D88A981hEbAI" TargetMode = "External"/>
	<Relationship Id="rId14" Type="http://schemas.openxmlformats.org/officeDocument/2006/relationships/hyperlink" Target="consultantplus://offline/ref=4AB47A43B20EB7165C747F13E2FBF48D9B22DDD5346160C263E67AC7D134204F995E65351FAFCDD57B12BDE54CB01E21FEhCb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Агентства по делам молодежи Пермского края от 02.08.2023 N СЭД-38-01-04-104
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dc:title>
  <dcterms:created xsi:type="dcterms:W3CDTF">2023-11-05T08:27:33Z</dcterms:created>
</cp:coreProperties>
</file>