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12.07.2023 N 476-пп</w:t>
              <w:br/>
              <w:t xml:space="preserve">"Об утверждении Порядка предоставления в 2023 году субсидий из краевого бюджета социально ориентированным некоммерческим организациям на создание и (или) модернизацию приютов для животных в целях осуществления деятельности по содержанию животных, в том числе животных без владельцев"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июля 2023 г. N 476-пп</w:t>
      </w:r>
    </w:p>
    <w:p>
      <w:pPr>
        <w:pStyle w:val="2"/>
        <w:jc w:val="both"/>
      </w:pPr>
      <w:r>
        <w:rPr>
          <w:sz w:val="20"/>
        </w:rPr>
      </w:r>
    </w:p>
    <w:p>
      <w:pPr>
        <w:pStyle w:val="2"/>
        <w:jc w:val="center"/>
      </w:pPr>
      <w:r>
        <w:rPr>
          <w:sz w:val="20"/>
        </w:rPr>
        <w:t xml:space="preserve">ОБ УТВЕРЖДЕНИИ ПОРЯДКА ПРЕДОСТАВЛЕНИЯ В 2023 ГОДУ СУБСИДИЙ</w:t>
      </w:r>
    </w:p>
    <w:p>
      <w:pPr>
        <w:pStyle w:val="2"/>
        <w:jc w:val="center"/>
      </w:pPr>
      <w:r>
        <w:rPr>
          <w:sz w:val="20"/>
        </w:rPr>
        <w:t xml:space="preserve">ИЗ КРАЕВОГО БЮДЖЕТА СОЦИАЛЬНО ОРИЕНТИРОВАННЫМ НЕКОММЕРЧЕСКИМ</w:t>
      </w:r>
    </w:p>
    <w:p>
      <w:pPr>
        <w:pStyle w:val="2"/>
        <w:jc w:val="center"/>
      </w:pPr>
      <w:r>
        <w:rPr>
          <w:sz w:val="20"/>
        </w:rPr>
        <w:t xml:space="preserve">ОРГАНИЗАЦИЯМ НА СОЗДАНИЕ И (ИЛИ) МОДЕРНИЗАЦИЮ ПРИЮТОВ</w:t>
      </w:r>
    </w:p>
    <w:p>
      <w:pPr>
        <w:pStyle w:val="2"/>
        <w:jc w:val="center"/>
      </w:pPr>
      <w:r>
        <w:rPr>
          <w:sz w:val="20"/>
        </w:rPr>
        <w:t xml:space="preserve">ДЛЯ ЖИВОТНЫХ В ЦЕЛЯХ ОСУЩЕСТВЛЕНИЯ ДЕЯТЕЛЬНОСТИ ПО</w:t>
      </w:r>
    </w:p>
    <w:p>
      <w:pPr>
        <w:pStyle w:val="2"/>
        <w:jc w:val="center"/>
      </w:pPr>
      <w:r>
        <w:rPr>
          <w:sz w:val="20"/>
        </w:rPr>
        <w:t xml:space="preserve">СОДЕРЖАНИЮ ЖИВОТНЫХ, В ТОМ ЧИСЛЕ ЖИВОТНЫХ БЕЗ ВЛАДЕЛЬЦЕВ</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w:history="0" r:id="rId9"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законов Приморского края от 5 апреля 2013 года </w:t>
      </w:r>
      <w:hyperlink w:history="0" r:id="rId10" w:tooltip="Закон Приморского края от 05.04.2013 N 183-КЗ (ред. от 23.12.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N 183-КЗ</w:t>
        </w:r>
      </w:hyperlink>
      <w:r>
        <w:rPr>
          <w:sz w:val="20"/>
        </w:rPr>
        <w:t xml:space="preserve"> "О поддержке социально ориентированных некоммерческих организаций в Приморском крае", от 20 декабря 2022 года </w:t>
      </w:r>
      <w:hyperlink w:history="0" r:id="rId11" w:tooltip="Закон Приморского края от 20.12.2022 N 253-КЗ (ред. от 25.10.2023) &quot;О краевом бюджете на 2023 год и плановый период 2024 и 2025 годов&quot; (принят Законодательным Собранием Приморского края 19.12.2022) {КонсультантПлюс}">
        <w:r>
          <w:rPr>
            <w:sz w:val="20"/>
            <w:color w:val="0000ff"/>
          </w:rPr>
          <w:t xml:space="preserve">N 253-КЗ</w:t>
        </w:r>
      </w:hyperlink>
      <w:r>
        <w:rPr>
          <w:sz w:val="20"/>
        </w:rPr>
        <w:t xml:space="preserve"> "О краевом бюджете на 2023 год и плановый период 2024 и 2025 годов" Правительство Приморского края постановляет:</w:t>
      </w:r>
    </w:p>
    <w:p>
      <w:pPr>
        <w:pStyle w:val="0"/>
        <w:spacing w:before="200" w:line-rule="auto"/>
        <w:ind w:firstLine="540"/>
        <w:jc w:val="both"/>
      </w:pPr>
      <w:r>
        <w:rPr>
          <w:sz w:val="20"/>
        </w:rPr>
        <w:t xml:space="preserve">1. Утвердить прилагаемый </w:t>
      </w:r>
      <w:hyperlink w:history="0" w:anchor="P32" w:tooltip="ПОРЯДОК">
        <w:r>
          <w:rPr>
            <w:sz w:val="20"/>
            <w:color w:val="0000ff"/>
          </w:rPr>
          <w:t xml:space="preserve">Порядок</w:t>
        </w:r>
      </w:hyperlink>
      <w:r>
        <w:rPr>
          <w:sz w:val="20"/>
        </w:rPr>
        <w:t xml:space="preserve"> предоставления в 2023 году субсидий из краевого бюджета социально ориентированным некоммерческим организациям на создание и (или) модернизацию приютов для животных в целях осуществления деятельности по содержанию животных, в том числе животных без владельцев.</w:t>
      </w:r>
    </w:p>
    <w:p>
      <w:pPr>
        <w:pStyle w:val="0"/>
        <w:spacing w:before="200" w:line-rule="auto"/>
        <w:ind w:firstLine="540"/>
        <w:jc w:val="both"/>
      </w:pPr>
      <w:r>
        <w:rPr>
          <w:sz w:val="20"/>
        </w:rPr>
        <w:t xml:space="preserve">2.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12.07.2023 N 476-пп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В 2023 ГОДУ СУБСИДИЙ ИЗ КРАЕВОГО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СОЗДАНИЕ И (ИЛИ) МОДЕРНИЗАЦИЮ ПРИЮТОВ ДЛЯ ЖИВОТНЫХ</w:t>
      </w:r>
    </w:p>
    <w:p>
      <w:pPr>
        <w:pStyle w:val="2"/>
        <w:jc w:val="center"/>
      </w:pPr>
      <w:r>
        <w:rPr>
          <w:sz w:val="20"/>
        </w:rPr>
        <w:t xml:space="preserve">В ЦЕЛЯХ ОСУЩЕСТВЛЕНИЯ ДЕЯТЕЛЬНОСТИ ПО СОДЕРЖАНИЮ ЖИВОТНЫХ,</w:t>
      </w:r>
    </w:p>
    <w:p>
      <w:pPr>
        <w:pStyle w:val="2"/>
        <w:jc w:val="center"/>
      </w:pPr>
      <w:r>
        <w:rPr>
          <w:sz w:val="20"/>
        </w:rPr>
        <w:t xml:space="preserve">В ТОМ ЧИСЛЕ ЖИВОТНЫХ БЕЗ ВЛАДЕЛЬЦЕВ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в 2023 году субсидий из краевого бюджета социально ориентированным некоммерческим организациям, не являющимся государственными (муниципальными) учреждениями, на создание и (или) модернизацию приютов для животных в целях осуществления деятельности по содержанию животных, в том числе животных без владельцев (далее соответственно - субсидии, организации, приюты для животных), критерии отбора организаций, имеющих право на получение субсидий, а также порядок возврата субсидий в случае нарушения условий и порядка, установленных при их предоставлении.</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pPr>
        <w:pStyle w:val="0"/>
        <w:spacing w:before="200" w:line-rule="auto"/>
        <w:ind w:firstLine="540"/>
        <w:jc w:val="both"/>
      </w:pPr>
      <w:r>
        <w:rPr>
          <w:sz w:val="20"/>
        </w:rPr>
        <w:t xml:space="preserve">1.2. Понятия "обращение с животными", "животное без владельца" используются в настоящем Порядке в значениях, которые определены Федеральным </w:t>
      </w:r>
      <w:hyperlink w:history="0" r:id="rId12"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понятие "биологические отходы" используется в настоящем Порядке в значении, которое определено Ветеринарными </w:t>
      </w:r>
      <w:hyperlink w:history="0" r:id="rId13"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правилами</w:t>
        </w:r>
      </w:hyperlink>
      <w:r>
        <w:rPr>
          <w:sz w:val="20"/>
        </w:rPr>
        <w:t xml:space="preserve">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года N 626;</w:t>
      </w:r>
    </w:p>
    <w:p>
      <w:pPr>
        <w:pStyle w:val="0"/>
        <w:spacing w:before="200" w:line-rule="auto"/>
        <w:ind w:firstLine="540"/>
        <w:jc w:val="both"/>
      </w:pPr>
      <w:r>
        <w:rPr>
          <w:sz w:val="20"/>
        </w:rPr>
        <w:t xml:space="preserve">понятие "приюты для животных" используется в настоящем Порядке в значении, которое определено </w:t>
      </w:r>
      <w:hyperlink w:history="0" r:id="rId14" w:tooltip="Постановление Правительства Приморского края от 30.01.2020 N 67-пп (ред. от 26.07.2023) &quot;Об утверждении Порядка организации деятельности приютов для животных и норм содержания животных в них на территории Приморского края&quot; {КонсультантПлюс}">
        <w:r>
          <w:rPr>
            <w:sz w:val="20"/>
            <w:color w:val="0000ff"/>
          </w:rPr>
          <w:t xml:space="preserve">Порядком</w:t>
        </w:r>
      </w:hyperlink>
      <w:r>
        <w:rPr>
          <w:sz w:val="20"/>
        </w:rPr>
        <w:t xml:space="preserve"> организации деятельности приютов для животных и норм содержания животных в них на территории Приморского края, утвержденным постановлением Правительства Приморского края от 30 января 2020 года N 67-пп (далее - постановление N 67-пп).</w:t>
      </w:r>
    </w:p>
    <w:p>
      <w:pPr>
        <w:pStyle w:val="0"/>
        <w:spacing w:before="200" w:line-rule="auto"/>
        <w:ind w:firstLine="540"/>
        <w:jc w:val="both"/>
      </w:pPr>
      <w:r>
        <w:rPr>
          <w:sz w:val="20"/>
        </w:rPr>
        <w:t xml:space="preserve">1.3. Государственная ветеринарная инспекция Приморского края (далее - инспекция) является главным распорядителем средств краевого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инспекции на цели, указанные в </w:t>
      </w:r>
      <w:hyperlink w:history="0" w:anchor="P47" w:tooltip="1.4. Субсидии предоставляются организациям в целях финансового обеспечения затрат на создание и (или) модернизацию (за исключением капитальных расходов) приютов для животных в целях осуществления деятельности по содержанию животных, в том числе животных без владельцев, и могут расходоваться на:">
        <w:r>
          <w:rPr>
            <w:sz w:val="20"/>
            <w:color w:val="0000ff"/>
          </w:rPr>
          <w:t xml:space="preserve">пункте 1.4</w:t>
        </w:r>
      </w:hyperlink>
      <w:r>
        <w:rPr>
          <w:sz w:val="20"/>
        </w:rPr>
        <w:t xml:space="preserve"> настоящего Порядка, в соответствии с законом Приморского края о краевом бюджете на соответствующий финансовый год и плановый период в рамках реализации мероприятий государственной </w:t>
      </w:r>
      <w:hyperlink w:history="0" r:id="rId15" w:tooltip="Постановление Администрации Приморского края от 27.12.2019 N 933-па (ред. от 27.06.2023) &quot;Об утверждении государственной программы Примо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Приморского края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w:t>
      </w:r>
    </w:p>
    <w:bookmarkStart w:id="47" w:name="P47"/>
    <w:bookmarkEnd w:id="47"/>
    <w:p>
      <w:pPr>
        <w:pStyle w:val="0"/>
        <w:spacing w:before="200" w:line-rule="auto"/>
        <w:ind w:firstLine="540"/>
        <w:jc w:val="both"/>
      </w:pPr>
      <w:r>
        <w:rPr>
          <w:sz w:val="20"/>
        </w:rPr>
        <w:t xml:space="preserve">1.4. Субсидии предоставляются организациям в целях финансового обеспечения затрат на создание и (или) модернизацию (за исключением капитальных расходов) приютов для животных в целях осуществления деятельности по содержанию животных, в том числе животных без владельцев, и могут расходоваться на:</w:t>
      </w:r>
    </w:p>
    <w:p>
      <w:pPr>
        <w:pStyle w:val="0"/>
        <w:spacing w:before="200" w:line-rule="auto"/>
        <w:ind w:firstLine="540"/>
        <w:jc w:val="both"/>
      </w:pPr>
      <w:r>
        <w:rPr>
          <w:sz w:val="20"/>
        </w:rPr>
        <w:t xml:space="preserve">а) приобретение модульных зданий, строений, сооружений (включая транспортные, погрузочно-разгрузочные и пусконаладочные работы, а также работы по монтажу оборудования и техники), ветеринарного оборудования, оборудования для хранения и утилизации биологических отходов (морозильные камеры (холодильники), контейнеры, инсинераторы, крематоры), специализированного оборудования для обращения и содержания животных;</w:t>
      </w:r>
    </w:p>
    <w:p>
      <w:pPr>
        <w:pStyle w:val="0"/>
        <w:spacing w:before="200" w:line-rule="auto"/>
        <w:ind w:firstLine="540"/>
        <w:jc w:val="both"/>
      </w:pPr>
      <w:r>
        <w:rPr>
          <w:sz w:val="20"/>
        </w:rPr>
        <w:t xml:space="preserve">б) создание специализированных помещений (включая приобретение материалов, транспортные расходы): создание вольеров для содержания животных, ветеринарного блока (пункта), иных помещений в соответствии с </w:t>
      </w:r>
      <w:hyperlink w:history="0" r:id="rId16" w:tooltip="Постановление Правительства Приморского края от 30.01.2020 N 67-пп (ред. от 26.07.2023) &quot;Об утверждении Порядка организации деятельности приютов для животных и норм содержания животных в них на территории Приморского края&quot; {КонсультантПлюс}">
        <w:r>
          <w:rPr>
            <w:sz w:val="20"/>
            <w:color w:val="0000ff"/>
          </w:rPr>
          <w:t xml:space="preserve">пунктом 2.6</w:t>
        </w:r>
      </w:hyperlink>
      <w:r>
        <w:rPr>
          <w:sz w:val="20"/>
        </w:rPr>
        <w:t xml:space="preserve"> постановления N 67-пп;</w:t>
      </w:r>
    </w:p>
    <w:p>
      <w:pPr>
        <w:pStyle w:val="0"/>
        <w:spacing w:before="200" w:line-rule="auto"/>
        <w:ind w:firstLine="540"/>
        <w:jc w:val="both"/>
      </w:pPr>
      <w:r>
        <w:rPr>
          <w:sz w:val="20"/>
        </w:rPr>
        <w:t xml:space="preserve">в) обеспечение электроснабжением: возведение и монтаж системы электроснабжения, технологического оборудования, комплектующих изделий, материалов;</w:t>
      </w:r>
    </w:p>
    <w:p>
      <w:pPr>
        <w:pStyle w:val="0"/>
        <w:spacing w:before="200" w:line-rule="auto"/>
        <w:ind w:firstLine="540"/>
        <w:jc w:val="both"/>
      </w:pPr>
      <w:r>
        <w:rPr>
          <w:sz w:val="20"/>
        </w:rPr>
        <w:t xml:space="preserve">г) обеспечение водоснабжением: бурение и обустройство скважин, приобретение (строительство), монтаж водоводов, водопроводов, приобретение технологического оборудования, комплектующих изделий, материалов.</w:t>
      </w:r>
    </w:p>
    <w:p>
      <w:pPr>
        <w:pStyle w:val="0"/>
        <w:spacing w:before="200" w:line-rule="auto"/>
        <w:ind w:firstLine="540"/>
        <w:jc w:val="both"/>
      </w:pPr>
      <w:r>
        <w:rPr>
          <w:sz w:val="20"/>
        </w:rPr>
        <w:t xml:space="preserve">1.5. В целях предоставления субсидии инспекция организует и проводит отбор, осуществляемый на конкурсной основе (далее - конкурсный отбор).</w:t>
      </w:r>
    </w:p>
    <w:p>
      <w:pPr>
        <w:pStyle w:val="0"/>
        <w:spacing w:before="200" w:line-rule="auto"/>
        <w:ind w:firstLine="540"/>
        <w:jc w:val="both"/>
      </w:pPr>
      <w:r>
        <w:rPr>
          <w:sz w:val="20"/>
        </w:rPr>
        <w:t xml:space="preserve">Получатель субсидии определяется по результатам конкурсного отбора на основании заявлений, направленных организациями, на участие в конкурсном отборе в целях получения субсидии (далее - заявление) исходя из соответствия участников конкурсного отбора критериям, требованиям, условиям, установленным настоящим Порядком, очередности поступления заявлений, а также исходя из наилучших условий достижения результатов предоставления субсидии, в целях реализации которых предоставляется субсидия.</w:t>
      </w:r>
    </w:p>
    <w:bookmarkStart w:id="54" w:name="P54"/>
    <w:bookmarkEnd w:id="54"/>
    <w:p>
      <w:pPr>
        <w:pStyle w:val="0"/>
        <w:spacing w:before="200" w:line-rule="auto"/>
        <w:ind w:firstLine="540"/>
        <w:jc w:val="both"/>
      </w:pPr>
      <w:r>
        <w:rPr>
          <w:sz w:val="20"/>
        </w:rPr>
        <w:t xml:space="preserve">1.6. К участию в конкурсном отборе допускаются организации, отвечающие следующим критериям:</w:t>
      </w:r>
    </w:p>
    <w:p>
      <w:pPr>
        <w:pStyle w:val="0"/>
        <w:spacing w:before="200" w:line-rule="auto"/>
        <w:ind w:firstLine="540"/>
        <w:jc w:val="both"/>
      </w:pPr>
      <w:r>
        <w:rPr>
          <w:sz w:val="20"/>
        </w:rPr>
        <w:t xml:space="preserve">осуществление организацией в качестве основных видов деятельности, предусмотренных учредительными документами, вида деятельности, установленного </w:t>
      </w:r>
      <w:hyperlink w:history="0" r:id="rId17" w:tooltip="Закон Приморского края от 05.04.2013 N 183-КЗ (ред. от 23.12.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пунктом 8 статьи 3</w:t>
        </w:r>
      </w:hyperlink>
      <w:r>
        <w:rPr>
          <w:sz w:val="20"/>
        </w:rPr>
        <w:t xml:space="preserve"> Закона Приморского края от 5 апреля 2013 года N 183-КЗ "О поддержке социально ориентированных некоммерческих организаций в Приморском крае";</w:t>
      </w:r>
    </w:p>
    <w:p>
      <w:pPr>
        <w:pStyle w:val="0"/>
        <w:spacing w:before="200" w:line-rule="auto"/>
        <w:ind w:firstLine="540"/>
        <w:jc w:val="both"/>
      </w:pPr>
      <w:r>
        <w:rPr>
          <w:sz w:val="20"/>
        </w:rPr>
        <w:t xml:space="preserve">наличие собственной материально-технической базы, ресурсов, средств;</w:t>
      </w:r>
    </w:p>
    <w:p>
      <w:pPr>
        <w:pStyle w:val="0"/>
        <w:spacing w:before="200" w:line-rule="auto"/>
        <w:ind w:firstLine="540"/>
        <w:jc w:val="both"/>
      </w:pPr>
      <w:r>
        <w:rPr>
          <w:sz w:val="20"/>
        </w:rPr>
        <w:t xml:space="preserve">срок регистрации организации в качестве юридического лица на дату окончания срока приема заявлений составляет не менее одного года;</w:t>
      </w:r>
    </w:p>
    <w:p>
      <w:pPr>
        <w:pStyle w:val="0"/>
        <w:spacing w:before="200" w:line-rule="auto"/>
        <w:ind w:firstLine="540"/>
        <w:jc w:val="both"/>
      </w:pPr>
      <w:r>
        <w:rPr>
          <w:sz w:val="20"/>
        </w:rPr>
        <w:t xml:space="preserve">отсутствие в составе учредителей организации государственных органов и органов местного самоуправления, политических партий;</w:t>
      </w:r>
    </w:p>
    <w:p>
      <w:pPr>
        <w:pStyle w:val="0"/>
        <w:spacing w:before="200" w:line-rule="auto"/>
        <w:ind w:firstLine="540"/>
        <w:jc w:val="both"/>
      </w:pPr>
      <w:r>
        <w:rPr>
          <w:sz w:val="20"/>
        </w:rPr>
        <w:t xml:space="preserve">обязательство по обеспечению функционирования приюта для животных в течение не менее пяти лет после завершения создания и (или) модернизации приюта.</w:t>
      </w:r>
    </w:p>
    <w:bookmarkStart w:id="60" w:name="P60"/>
    <w:bookmarkEnd w:id="60"/>
    <w:p>
      <w:pPr>
        <w:pStyle w:val="0"/>
        <w:spacing w:before="200" w:line-rule="auto"/>
        <w:ind w:firstLine="540"/>
        <w:jc w:val="both"/>
      </w:pPr>
      <w:r>
        <w:rPr>
          <w:sz w:val="20"/>
        </w:rPr>
        <w:t xml:space="preserve">1.7. Субсидии предоставляются организациям при условии:</w:t>
      </w:r>
    </w:p>
    <w:p>
      <w:pPr>
        <w:pStyle w:val="0"/>
        <w:spacing w:before="200" w:line-rule="auto"/>
        <w:ind w:firstLine="540"/>
        <w:jc w:val="both"/>
      </w:pPr>
      <w:r>
        <w:rPr>
          <w:sz w:val="20"/>
        </w:rPr>
        <w:t xml:space="preserve">признания организации победителем конкурсного отбора;</w:t>
      </w:r>
    </w:p>
    <w:p>
      <w:pPr>
        <w:pStyle w:val="0"/>
        <w:spacing w:before="200" w:line-rule="auto"/>
        <w:ind w:firstLine="540"/>
        <w:jc w:val="both"/>
      </w:pPr>
      <w:r>
        <w:rPr>
          <w:sz w:val="20"/>
        </w:rPr>
        <w:t xml:space="preserve">согласия организации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1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согласия организации на соблюдение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обязательства организации по включению в договоры (соглашения), заключаемые организацией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2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II. ПОРЯДОК ПРОВЕДЕНИЯ КОНКУРСНОГО ОТБОРА</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Объявление о проведении конкурсного отбора (далее - объявление) размещается на едином портале и на странице инспекции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в разделе "Социально ориентированные некоммерческие организации"/"Конкурсы" (далее - официальный сайт) не позднее чем за пять календарных дней до начала приема заявлений.</w:t>
      </w:r>
    </w:p>
    <w:p>
      <w:pPr>
        <w:pStyle w:val="0"/>
        <w:spacing w:before="200" w:line-rule="auto"/>
        <w:ind w:firstLine="540"/>
        <w:jc w:val="both"/>
      </w:pPr>
      <w:r>
        <w:rPr>
          <w:sz w:val="20"/>
        </w:rPr>
        <w:t xml:space="preserve">В объявлении указывается следующая информация:</w:t>
      </w:r>
    </w:p>
    <w:p>
      <w:pPr>
        <w:pStyle w:val="0"/>
        <w:spacing w:before="200" w:line-rule="auto"/>
        <w:ind w:firstLine="540"/>
        <w:jc w:val="both"/>
      </w:pPr>
      <w:r>
        <w:rPr>
          <w:sz w:val="20"/>
        </w:rPr>
        <w:t xml:space="preserve">срок проведения конкурсного отбора;</w:t>
      </w:r>
    </w:p>
    <w:p>
      <w:pPr>
        <w:pStyle w:val="0"/>
        <w:spacing w:before="200" w:line-rule="auto"/>
        <w:ind w:firstLine="540"/>
        <w:jc w:val="both"/>
      </w:pPr>
      <w:r>
        <w:rPr>
          <w:sz w:val="20"/>
        </w:rPr>
        <w:t xml:space="preserve">дата начала подачи или окончания приема заявлений организаций, которая не может быть ранее тридцатого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инспекции;</w:t>
      </w:r>
    </w:p>
    <w:p>
      <w:pPr>
        <w:pStyle w:val="0"/>
        <w:spacing w:before="200" w:line-rule="auto"/>
        <w:ind w:firstLine="540"/>
        <w:jc w:val="both"/>
      </w:pPr>
      <w:r>
        <w:rPr>
          <w:sz w:val="20"/>
        </w:rPr>
        <w:t xml:space="preserve">результат предоставления субсидии в соответствии с </w:t>
      </w:r>
      <w:hyperlink w:history="0" w:anchor="P156" w:tooltip="3.3. Результатом предоставления субсидии является создание и (или) модернизация приюта для животных, соответствующего требованиям постановления N 67-пп.">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размещение информации о проведении конкурсного отбора;</w:t>
      </w:r>
    </w:p>
    <w:p>
      <w:pPr>
        <w:pStyle w:val="0"/>
        <w:spacing w:before="200" w:line-rule="auto"/>
        <w:ind w:firstLine="540"/>
        <w:jc w:val="both"/>
      </w:pPr>
      <w:r>
        <w:rPr>
          <w:sz w:val="20"/>
        </w:rPr>
        <w:t xml:space="preserve">требования к организациям и перечень документов, представляемых заявителями для подтверждения их соответствия указанным требованиям в соответствии с настоящим Порядком;</w:t>
      </w:r>
    </w:p>
    <w:p>
      <w:pPr>
        <w:pStyle w:val="0"/>
        <w:spacing w:before="200" w:line-rule="auto"/>
        <w:ind w:firstLine="540"/>
        <w:jc w:val="both"/>
      </w:pPr>
      <w:r>
        <w:rPr>
          <w:sz w:val="20"/>
        </w:rPr>
        <w:t xml:space="preserve">порядок подачи заявлений организациями и требования, предъявляемые к форме и содержанию заявлений, подаваемых организациями, и прилагаемым к ним документам в соответствии с настоящим Порядком;</w:t>
      </w:r>
    </w:p>
    <w:p>
      <w:pPr>
        <w:pStyle w:val="0"/>
        <w:spacing w:before="200" w:line-rule="auto"/>
        <w:ind w:firstLine="540"/>
        <w:jc w:val="both"/>
      </w:pPr>
      <w:r>
        <w:rPr>
          <w:sz w:val="20"/>
        </w:rPr>
        <w:t xml:space="preserve">порядок отзыва заявлений, порядок отклонения заявлений, определяющий в том числе основания для отклонения заявлений, порядок внесения изменений (дополнений, уточнений) в заявления;</w:t>
      </w:r>
    </w:p>
    <w:p>
      <w:pPr>
        <w:pStyle w:val="0"/>
        <w:spacing w:before="200" w:line-rule="auto"/>
        <w:ind w:firstLine="540"/>
        <w:jc w:val="both"/>
      </w:pPr>
      <w:r>
        <w:rPr>
          <w:sz w:val="20"/>
        </w:rPr>
        <w:t xml:space="preserve">правила рассмотрения и оценки заявлений в соответствии с настоящим Порядком;</w:t>
      </w:r>
    </w:p>
    <w:p>
      <w:pPr>
        <w:pStyle w:val="0"/>
        <w:spacing w:before="200" w:line-rule="auto"/>
        <w:ind w:firstLine="540"/>
        <w:jc w:val="both"/>
      </w:pPr>
      <w:r>
        <w:rPr>
          <w:sz w:val="20"/>
        </w:rPr>
        <w:t xml:space="preserve">порядок предоставления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организация, прошедшая конкурсный отбор, должна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организации уклонившейся от заключения соглашения;</w:t>
      </w:r>
    </w:p>
    <w:p>
      <w:pPr>
        <w:pStyle w:val="0"/>
        <w:spacing w:before="200" w:line-rule="auto"/>
        <w:ind w:firstLine="540"/>
        <w:jc w:val="both"/>
      </w:pPr>
      <w:r>
        <w:rPr>
          <w:sz w:val="20"/>
        </w:rPr>
        <w:t xml:space="preserve">дата размещения результатов конкурса на странице инспекции, которая не может быть позднее 14-го календарного дня, следующего за днем определения победителя конкурсного отбора;</w:t>
      </w:r>
    </w:p>
    <w:p>
      <w:pPr>
        <w:pStyle w:val="0"/>
        <w:spacing w:before="200" w:line-rule="auto"/>
        <w:ind w:firstLine="540"/>
        <w:jc w:val="both"/>
      </w:pPr>
      <w:r>
        <w:rPr>
          <w:sz w:val="20"/>
        </w:rPr>
        <w:t xml:space="preserve">контактные данные сотрудника инспекции, ответственного за прием заявлений.</w:t>
      </w:r>
    </w:p>
    <w:bookmarkStart w:id="84" w:name="P84"/>
    <w:bookmarkEnd w:id="84"/>
    <w:p>
      <w:pPr>
        <w:pStyle w:val="0"/>
        <w:spacing w:before="200" w:line-rule="auto"/>
        <w:ind w:firstLine="540"/>
        <w:jc w:val="both"/>
      </w:pPr>
      <w:r>
        <w:rPr>
          <w:sz w:val="20"/>
        </w:rPr>
        <w:t xml:space="preserve">2.2. Требования, которым должна соответствовать организация по состоянию на дату не ранее чем за 30 календарных дней до дня подачи документов, указанных в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организация не получает в текущем финансовом году средства из краевого бюджета в соответствии с иными правовыми актами на цели, установленные </w:t>
      </w:r>
      <w:hyperlink w:history="0" w:anchor="P47" w:tooltip="1.4. Субсидии предоставляются организациям в целях финансового обеспечения затрат на создание и (или) модернизацию (за исключением капитальных расходов) приютов для животных в целях осуществления деятельности по содержанию животных, в том числе животных без владельцев, и могут расходоваться на:">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не имеет не 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которой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организация не имеет просроченной (не урегулированной)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 урегулированной) задолженности по денежным обязательствам перед Приморским краем;</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bookmarkStart w:id="92" w:name="P92"/>
    <w:bookmarkEnd w:id="92"/>
    <w:p>
      <w:pPr>
        <w:pStyle w:val="0"/>
        <w:spacing w:before="200" w:line-rule="auto"/>
        <w:ind w:firstLine="540"/>
        <w:jc w:val="both"/>
      </w:pPr>
      <w:r>
        <w:rPr>
          <w:sz w:val="20"/>
        </w:rPr>
        <w:t xml:space="preserve">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w:t>
      </w:r>
    </w:p>
    <w:p>
      <w:pPr>
        <w:pStyle w:val="0"/>
        <w:spacing w:before="200" w:line-rule="auto"/>
        <w:ind w:firstLine="540"/>
        <w:jc w:val="both"/>
      </w:pPr>
      <w:r>
        <w:rPr>
          <w:sz w:val="20"/>
        </w:rPr>
        <w:t xml:space="preserve">а) заявление по </w:t>
      </w:r>
      <w:hyperlink w:history="0" w:anchor="P233" w:tooltip="ЗАЯВЛЕНИЕ">
        <w:r>
          <w:rPr>
            <w:sz w:val="20"/>
            <w:color w:val="0000ff"/>
          </w:rPr>
          <w:t xml:space="preserve">форме</w:t>
        </w:r>
      </w:hyperlink>
      <w:r>
        <w:rPr>
          <w:sz w:val="20"/>
        </w:rPr>
        <w:t xml:space="preserve"> согласно приложению N 1 к настоящему Порядку, подписанное руководителем организации, главным бухгалтером организации (при наличии) и заверенное печатью организации (при наличии печати);</w:t>
      </w:r>
    </w:p>
    <w:p>
      <w:pPr>
        <w:pStyle w:val="0"/>
        <w:spacing w:before="200" w:line-rule="auto"/>
        <w:ind w:firstLine="540"/>
        <w:jc w:val="both"/>
      </w:pPr>
      <w:r>
        <w:rPr>
          <w:sz w:val="20"/>
        </w:rPr>
        <w:t xml:space="preserve">б) копии учредительных документов организации (со всеми внесенными изменениями и дополнениями), заверенные подписью руководителя организации и печатью организации (при наличии печати);</w:t>
      </w:r>
    </w:p>
    <w:p>
      <w:pPr>
        <w:pStyle w:val="0"/>
        <w:spacing w:before="200" w:line-rule="auto"/>
        <w:ind w:firstLine="540"/>
        <w:jc w:val="both"/>
      </w:pPr>
      <w:r>
        <w:rPr>
          <w:sz w:val="20"/>
        </w:rPr>
        <w:t xml:space="preserve">в) копии документов о составе органов управления организации;</w:t>
      </w:r>
    </w:p>
    <w:bookmarkStart w:id="96" w:name="P96"/>
    <w:bookmarkEnd w:id="96"/>
    <w:p>
      <w:pPr>
        <w:pStyle w:val="0"/>
        <w:spacing w:before="200" w:line-rule="auto"/>
        <w:ind w:firstLine="540"/>
        <w:jc w:val="both"/>
      </w:pPr>
      <w:r>
        <w:rPr>
          <w:sz w:val="20"/>
        </w:rPr>
        <w:t xml:space="preserve">г) справку налогового органа об отсутствии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дату выдачи налоговым органом справки, указанной в настоящем абзаце, но не ранее чем за 30 календарных дней до даты подачи документов для получения субсидии;</w:t>
      </w:r>
    </w:p>
    <w:p>
      <w:pPr>
        <w:pStyle w:val="0"/>
        <w:spacing w:before="200" w:line-rule="auto"/>
        <w:ind w:firstLine="540"/>
        <w:jc w:val="both"/>
      </w:pPr>
      <w:r>
        <w:rPr>
          <w:sz w:val="20"/>
        </w:rPr>
        <w:t xml:space="preserve">д) выписку из Единого государственного реестра юридических лиц, выданную не ранее чем за 30 календарных дней до дня ее представления в инспекцию;</w:t>
      </w:r>
    </w:p>
    <w:p>
      <w:pPr>
        <w:pStyle w:val="0"/>
        <w:spacing w:before="200" w:line-rule="auto"/>
        <w:ind w:firstLine="540"/>
        <w:jc w:val="both"/>
      </w:pPr>
      <w:r>
        <w:rPr>
          <w:sz w:val="20"/>
        </w:rPr>
        <w:t xml:space="preserve">е) документ (справку),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99" w:name="P99"/>
    <w:bookmarkEnd w:id="99"/>
    <w:p>
      <w:pPr>
        <w:pStyle w:val="0"/>
        <w:spacing w:before="200" w:line-rule="auto"/>
        <w:ind w:firstLine="540"/>
        <w:jc w:val="both"/>
      </w:pPr>
      <w:r>
        <w:rPr>
          <w:sz w:val="20"/>
        </w:rPr>
        <w:t xml:space="preserve">ж) выписку из реестра дисквалифицированных лиц либо справку об отсутствии запрашиваемой информации, выданные в соответствии с </w:t>
      </w:r>
      <w:hyperlink w:history="0" r:id="rId22" w:tooltip="Приказ ФНС России от 10.12.2019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Зарегистрировано в Минюсте России 08.05.2020 N 58298) {КонсультантПлюс}">
        <w:r>
          <w:rPr>
            <w:sz w:val="20"/>
            <w:color w:val="0000ff"/>
          </w:rPr>
          <w:t xml:space="preserve">приказом</w:t>
        </w:r>
      </w:hyperlink>
      <w:r>
        <w:rPr>
          <w:sz w:val="20"/>
        </w:rP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по состоянию на дату выдачи налоговым органом справки, указанной в настоящем абзаце, но не ранее чем за 30 календарных дней до даты подачи документов для получения субсидии;</w:t>
      </w:r>
    </w:p>
    <w:p>
      <w:pPr>
        <w:pStyle w:val="0"/>
        <w:spacing w:before="200" w:line-rule="auto"/>
        <w:ind w:firstLine="540"/>
        <w:jc w:val="both"/>
      </w:pPr>
      <w:r>
        <w:rPr>
          <w:sz w:val="20"/>
        </w:rPr>
        <w:t xml:space="preserve">з) смету планируемых расходов на реализацию мероприятий по созданию и (или) модернизации приюта для животных по </w:t>
      </w:r>
      <w:hyperlink w:history="0" w:anchor="P386" w:tooltip="СМЕТА">
        <w:r>
          <w:rPr>
            <w:sz w:val="20"/>
            <w:color w:val="0000ff"/>
          </w:rPr>
          <w:t xml:space="preserve">форме</w:t>
        </w:r>
      </w:hyperlink>
      <w:r>
        <w:rPr>
          <w:sz w:val="20"/>
        </w:rPr>
        <w:t xml:space="preserve"> согласно приложению N 2 к настоящему Порядку (далее - смета планируемых расходов);</w:t>
      </w:r>
    </w:p>
    <w:p>
      <w:pPr>
        <w:pStyle w:val="0"/>
        <w:spacing w:before="200" w:line-rule="auto"/>
        <w:ind w:firstLine="540"/>
        <w:jc w:val="both"/>
      </w:pPr>
      <w:r>
        <w:rPr>
          <w:sz w:val="20"/>
        </w:rPr>
        <w:t xml:space="preserve">и) документы, подтверждающие наличие у организации собственной материально-технической базы, ресурсов, средств;</w:t>
      </w:r>
    </w:p>
    <w:p>
      <w:pPr>
        <w:pStyle w:val="0"/>
        <w:spacing w:before="200" w:line-rule="auto"/>
        <w:ind w:firstLine="540"/>
        <w:jc w:val="both"/>
      </w:pPr>
      <w:r>
        <w:rPr>
          <w:sz w:val="20"/>
        </w:rPr>
        <w:t xml:space="preserve">к) гарантийное обязательство организации о соблюдении условий, предусмотренных </w:t>
      </w:r>
      <w:hyperlink w:history="0" w:anchor="P60" w:tooltip="1.7. Субсидии предоставляются организациям при условии:">
        <w:r>
          <w:rPr>
            <w:sz w:val="20"/>
            <w:color w:val="0000ff"/>
          </w:rPr>
          <w:t xml:space="preserve">пунктом 1.7</w:t>
        </w:r>
      </w:hyperlink>
      <w:r>
        <w:rPr>
          <w:sz w:val="20"/>
        </w:rPr>
        <w:t xml:space="preserve"> настоящего Порядка, подтверждающее, что организация соответствует критериям и требованиям, установленным </w:t>
      </w:r>
      <w:hyperlink w:history="0" w:anchor="P54" w:tooltip="1.6. К участию в конкурсном отборе допускаются организации, отвечающие следующим критериям:">
        <w:r>
          <w:rPr>
            <w:sz w:val="20"/>
            <w:color w:val="0000ff"/>
          </w:rPr>
          <w:t xml:space="preserve">пунктами 1.6</w:t>
        </w:r>
      </w:hyperlink>
      <w:r>
        <w:rPr>
          <w:sz w:val="20"/>
        </w:rPr>
        <w:t xml:space="preserve">, </w:t>
      </w:r>
      <w:hyperlink w:history="0" w:anchor="P84" w:tooltip="2.2. Требования, которым должна соответствовать организация по состоянию на дату не ранее чем за 30 календарных дней до дня подачи документов, указанных в пункте 2.3 настоящего Порядк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л) план по созданию и (или) модернизации приюта для животных;</w:t>
      </w:r>
    </w:p>
    <w:bookmarkStart w:id="104" w:name="P104"/>
    <w:bookmarkEnd w:id="104"/>
    <w:p>
      <w:pPr>
        <w:pStyle w:val="0"/>
        <w:spacing w:before="200" w:line-rule="auto"/>
        <w:ind w:firstLine="540"/>
        <w:jc w:val="both"/>
      </w:pPr>
      <w:r>
        <w:rPr>
          <w:sz w:val="20"/>
        </w:rPr>
        <w:t xml:space="preserve">м) сведения об имеющемся у заявителя опыте работы в сфере обращения с животными, необходимом для достижения результата, в целях реализации которого предоставляется субсидия (при наличии) (далее - результат предоставления субсидии);</w:t>
      </w:r>
    </w:p>
    <w:p>
      <w:pPr>
        <w:pStyle w:val="0"/>
        <w:spacing w:before="200" w:line-rule="auto"/>
        <w:ind w:firstLine="540"/>
        <w:jc w:val="both"/>
      </w:pPr>
      <w:r>
        <w:rPr>
          <w:sz w:val="20"/>
        </w:rPr>
        <w:t xml:space="preserve">н) гарантийное обязательство организации обеспечить функционирование приюта для животных в течение не менее пяти лет после завершения создания и (или) модернизации приюта;</w:t>
      </w:r>
    </w:p>
    <w:p>
      <w:pPr>
        <w:pStyle w:val="0"/>
        <w:spacing w:before="200" w:line-rule="auto"/>
        <w:ind w:firstLine="540"/>
        <w:jc w:val="both"/>
      </w:pPr>
      <w:r>
        <w:rPr>
          <w:sz w:val="20"/>
        </w:rPr>
        <w:t xml:space="preserve">о) гарантийное обязательство обеспечить прием животных без владельцев в рамках исполнения органами местного самоуправления муниципальных образований переданных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п) опись представленных документов (в двух экземплярах).</w:t>
      </w:r>
    </w:p>
    <w:p>
      <w:pPr>
        <w:pStyle w:val="0"/>
        <w:spacing w:before="200" w:line-rule="auto"/>
        <w:ind w:firstLine="540"/>
        <w:jc w:val="both"/>
      </w:pPr>
      <w:r>
        <w:rPr>
          <w:sz w:val="20"/>
        </w:rPr>
        <w:t xml:space="preserve">Организация вправе представить по собственной инициативе документы, предусмотренные </w:t>
      </w:r>
      <w:hyperlink w:history="0" w:anchor="P96" w:tooltip="г) справку налогового органа об отсутствии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дату выдачи налоговым органом справки, указанной в настоящем абзаце, но не ранее чем за 30 календарных дней до даты подачи документов для получения субсидии;">
        <w:r>
          <w:rPr>
            <w:sz w:val="20"/>
            <w:color w:val="0000ff"/>
          </w:rPr>
          <w:t xml:space="preserve">подпунктами "г"</w:t>
        </w:r>
      </w:hyperlink>
      <w:r>
        <w:rPr>
          <w:sz w:val="20"/>
        </w:rPr>
        <w:t xml:space="preserve"> - </w:t>
      </w:r>
      <w:hyperlink w:history="0" w:anchor="P99" w:tooltip="ж) выписку из реестра дисквалифицированных лиц либо справку об отсутствии запрашиваемой информации, выданные в соответствии с приказом Федеральной налоговой службы от 10 декабря 2019 года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по состоянию на дату выдачи налоговым органом справки, указанной в настоящем абзаце, но н...">
        <w:r>
          <w:rPr>
            <w:sz w:val="20"/>
            <w:color w:val="0000ff"/>
          </w:rPr>
          <w:t xml:space="preserve">"ж"</w:t>
        </w:r>
      </w:hyperlink>
      <w:r>
        <w:rPr>
          <w:sz w:val="20"/>
        </w:rPr>
        <w:t xml:space="preserve"> настоящего пункта. В случае непредставления организацией документов, предусмотренных </w:t>
      </w:r>
      <w:hyperlink w:history="0" w:anchor="P96" w:tooltip="г) справку налогового органа об отсутствии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дату выдачи налоговым органом справки, указанной в настоящем абзаце, но не ранее чем за 30 календарных дней до даты подачи документов для получения субсидии;">
        <w:r>
          <w:rPr>
            <w:sz w:val="20"/>
            <w:color w:val="0000ff"/>
          </w:rPr>
          <w:t xml:space="preserve">подпунктами "г"</w:t>
        </w:r>
      </w:hyperlink>
      <w:r>
        <w:rPr>
          <w:sz w:val="20"/>
        </w:rPr>
        <w:t xml:space="preserve"> - </w:t>
      </w:r>
      <w:hyperlink w:history="0" w:anchor="P99" w:tooltip="ж) выписку из реестра дисквалифицированных лиц либо справку об отсутствии запрашиваемой информации, выданные в соответствии с приказом Федеральной налоговой службы от 10 декабря 2019 года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по состоянию на дату выдачи налоговым органом справки, указанной в настоящем абзаце, но н...">
        <w:r>
          <w:rPr>
            <w:sz w:val="20"/>
            <w:color w:val="0000ff"/>
          </w:rPr>
          <w:t xml:space="preserve">"ж"</w:t>
        </w:r>
      </w:hyperlink>
      <w:r>
        <w:rPr>
          <w:sz w:val="20"/>
        </w:rPr>
        <w:t xml:space="preserve"> настоящего пункта, по собственной инициативе инспекция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 Срок формирования и направления межведомственного запроса инспекцией не должен превышать трех рабочих дней со дня регистрации заявления и прилагаемых документов организации.</w:t>
      </w:r>
    </w:p>
    <w:p>
      <w:pPr>
        <w:pStyle w:val="0"/>
        <w:spacing w:before="200" w:line-rule="auto"/>
        <w:ind w:firstLine="540"/>
        <w:jc w:val="both"/>
      </w:pPr>
      <w:r>
        <w:rPr>
          <w:sz w:val="20"/>
        </w:rPr>
        <w:t xml:space="preserve">2.4. Все листы заявления и документов, прилагаемых к нему в соответствии с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должны быть пронумерованы и сшиты. Место скрепления документов заверяется печатью организации (при ее наличии) и подписью уполномоченного лица, с указанием количества листов. Подчистки и исправления не допускаются. Документы на иностранном языке организация представляет вместе с их переводом на русский язык, заверенным в установленном законодательством Российской Федерации порядке.</w:t>
      </w:r>
    </w:p>
    <w:p>
      <w:pPr>
        <w:pStyle w:val="0"/>
        <w:spacing w:before="200" w:line-rule="auto"/>
        <w:ind w:firstLine="540"/>
        <w:jc w:val="both"/>
      </w:pPr>
      <w:r>
        <w:rPr>
          <w:sz w:val="20"/>
        </w:rPr>
        <w:t xml:space="preserve">Организации несут ответственность за достоверность предоставляемой информации, а также за полноту представленных сведений в заявлении и прилагаемых документах, их содержание и соответствие требованиям настоящего Порядка в соответствии с законодательством Российской Федерации.</w:t>
      </w:r>
    </w:p>
    <w:p>
      <w:pPr>
        <w:pStyle w:val="0"/>
        <w:spacing w:before="200" w:line-rule="auto"/>
        <w:ind w:firstLine="540"/>
        <w:jc w:val="both"/>
      </w:pPr>
      <w:r>
        <w:rPr>
          <w:sz w:val="20"/>
        </w:rPr>
        <w:t xml:space="preserve">Одна организация представляет не более одного заявления и прилагаемых документов для участия в конкурсном отборе, указанных в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2.5. Организация вправе отозвать документы, указанные в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 до окончания срока, установленного в объявлении для подачи документов, путем направления соответствующего обращения в инспекцию.</w:t>
      </w:r>
    </w:p>
    <w:p>
      <w:pPr>
        <w:pStyle w:val="0"/>
        <w:spacing w:before="200" w:line-rule="auto"/>
        <w:ind w:firstLine="540"/>
        <w:jc w:val="both"/>
      </w:pPr>
      <w:r>
        <w:rPr>
          <w:sz w:val="20"/>
        </w:rPr>
        <w:t xml:space="preserve">Организация, отозвавшая документы, указанные в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 вправе повторно представить их в течение срока, установленного для подачи заявления.</w:t>
      </w:r>
    </w:p>
    <w:p>
      <w:pPr>
        <w:pStyle w:val="0"/>
        <w:spacing w:before="200" w:line-rule="auto"/>
        <w:ind w:firstLine="540"/>
        <w:jc w:val="both"/>
      </w:pPr>
      <w:r>
        <w:rPr>
          <w:sz w:val="20"/>
        </w:rPr>
        <w:t xml:space="preserve">Документы, указанные в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 поступившие после установленных в объявлении сроков, не рассматриваются.</w:t>
      </w:r>
    </w:p>
    <w:p>
      <w:pPr>
        <w:pStyle w:val="0"/>
        <w:spacing w:before="200" w:line-rule="auto"/>
        <w:ind w:firstLine="540"/>
        <w:jc w:val="both"/>
      </w:pPr>
      <w:r>
        <w:rPr>
          <w:sz w:val="20"/>
        </w:rPr>
        <w:t xml:space="preserve">2.6. Инспекция осуществляет прием заявлений от организаций в сроки, указанные в объявлении.</w:t>
      </w:r>
    </w:p>
    <w:p>
      <w:pPr>
        <w:pStyle w:val="0"/>
        <w:spacing w:before="200" w:line-rule="auto"/>
        <w:ind w:firstLine="540"/>
        <w:jc w:val="both"/>
      </w:pPr>
      <w:r>
        <w:rPr>
          <w:sz w:val="20"/>
        </w:rPr>
        <w:t xml:space="preserve">Регистрация заявлений и прилагаемых документов, предусмотренных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производится инспекцией в день их поступления в инспекцию в хронологическом порядке. При регистрации заявлению присваивается входящий номер. При приеме заявлений и прилагаемых документов проверка их полноты и соответствия установленным требованиям не осуществляется.</w:t>
      </w:r>
    </w:p>
    <w:p>
      <w:pPr>
        <w:pStyle w:val="0"/>
        <w:spacing w:before="200" w:line-rule="auto"/>
        <w:ind w:firstLine="540"/>
        <w:jc w:val="both"/>
      </w:pPr>
      <w:r>
        <w:rPr>
          <w:sz w:val="20"/>
        </w:rPr>
        <w:t xml:space="preserve">На двух экземплярах описи представленных документов указывается дата, время приема и номер заявления. Первый экземпляр описи представленных документов приобщается к пакету документов, второй экземпляр описи представленных документов остается у организации.</w:t>
      </w:r>
    </w:p>
    <w:p>
      <w:pPr>
        <w:pStyle w:val="0"/>
        <w:spacing w:before="200" w:line-rule="auto"/>
        <w:ind w:firstLine="540"/>
        <w:jc w:val="both"/>
      </w:pPr>
      <w:r>
        <w:rPr>
          <w:sz w:val="20"/>
        </w:rPr>
        <w:t xml:space="preserve">2.7. В целях проведения конкурсного отбора инспекцией создается конкурсная комиссия, положение о конкурсной комиссии и ее состав утверждаются приказом инспекции.</w:t>
      </w:r>
    </w:p>
    <w:p>
      <w:pPr>
        <w:pStyle w:val="0"/>
        <w:spacing w:before="200" w:line-rule="auto"/>
        <w:ind w:firstLine="540"/>
        <w:jc w:val="both"/>
      </w:pPr>
      <w:r>
        <w:rPr>
          <w:sz w:val="20"/>
        </w:rPr>
        <w:t xml:space="preserve">2.8. Конкурсный отбор осуществляется в два этапа:</w:t>
      </w:r>
    </w:p>
    <w:p>
      <w:pPr>
        <w:pStyle w:val="0"/>
        <w:spacing w:before="200" w:line-rule="auto"/>
        <w:ind w:firstLine="540"/>
        <w:jc w:val="both"/>
      </w:pPr>
      <w:r>
        <w:rPr>
          <w:sz w:val="20"/>
        </w:rPr>
        <w:t xml:space="preserve">первый этап - рассмотрение представленных организациями документов, предусмотренных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второй этап - оценка заявлений и прилагаемых к ним документов.</w:t>
      </w:r>
    </w:p>
    <w:p>
      <w:pPr>
        <w:pStyle w:val="0"/>
        <w:spacing w:before="200" w:line-rule="auto"/>
        <w:ind w:firstLine="540"/>
        <w:jc w:val="both"/>
      </w:pPr>
      <w:r>
        <w:rPr>
          <w:sz w:val="20"/>
        </w:rPr>
        <w:t xml:space="preserve">На первом этапе конкурсного отбора конкурсная комиссия в течение восьми календарных дней со дня окончания сроков приема заявлений, указанных в объявлении, рассматривает поступившие заявления и прилагаемые к ним документы на предмет их соответствия критериям и требованиям, предусмотренным </w:t>
      </w:r>
      <w:hyperlink w:history="0" w:anchor="P54" w:tooltip="1.6. К участию в конкурсном отборе допускаются организации, отвечающие следующим критериям:">
        <w:r>
          <w:rPr>
            <w:sz w:val="20"/>
            <w:color w:val="0000ff"/>
          </w:rPr>
          <w:t xml:space="preserve">пунктами 1.6</w:t>
        </w:r>
      </w:hyperlink>
      <w:r>
        <w:rPr>
          <w:sz w:val="20"/>
        </w:rPr>
        <w:t xml:space="preserve">, </w:t>
      </w:r>
      <w:hyperlink w:history="0" w:anchor="P84" w:tooltip="2.2. Требования, которым должна соответствовать организация по состоянию на дату не ранее чем за 30 календарных дней до дня подачи документов, указанных в пункте 2.3 настоящего Порядка:">
        <w:r>
          <w:rPr>
            <w:sz w:val="20"/>
            <w:color w:val="0000ff"/>
          </w:rPr>
          <w:t xml:space="preserve">2.2</w:t>
        </w:r>
      </w:hyperlink>
      <w:r>
        <w:rPr>
          <w:sz w:val="20"/>
        </w:rPr>
        <w:t xml:space="preserve"> настоящего Порядка, и в случае их соответствия таким критериям и требованиям принимает решение о допуске организации ко второму этапу, а в случае несоответствия - принимает решение о несоответствии заявления и прилагаемых к нему документов критериям и требованиям, предусмотренным </w:t>
      </w:r>
      <w:hyperlink w:history="0" w:anchor="P54" w:tooltip="1.6. К участию в конкурсном отборе допускаются организации, отвечающие следующим критериям:">
        <w:r>
          <w:rPr>
            <w:sz w:val="20"/>
            <w:color w:val="0000ff"/>
          </w:rPr>
          <w:t xml:space="preserve">пунктами 1.6</w:t>
        </w:r>
      </w:hyperlink>
      <w:r>
        <w:rPr>
          <w:sz w:val="20"/>
        </w:rPr>
        <w:t xml:space="preserve">, </w:t>
      </w:r>
      <w:hyperlink w:history="0" w:anchor="P84" w:tooltip="2.2. Требования, которым должна соответствовать организация по состоянию на дату не ранее чем за 30 календарных дней до дня подачи документов, указанных в пункте 2.3 настоящего Порядк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Решение конкурсной комиссии оформляется протоколом в день проведения первого этапа конкурсного отбора и утверждается председателем конкурсной комиссии или его заместителем в случае отсутствия председателя.</w:t>
      </w:r>
    </w:p>
    <w:p>
      <w:pPr>
        <w:pStyle w:val="0"/>
        <w:spacing w:before="200" w:line-rule="auto"/>
        <w:ind w:firstLine="540"/>
        <w:jc w:val="both"/>
      </w:pPr>
      <w:r>
        <w:rPr>
          <w:sz w:val="20"/>
        </w:rPr>
        <w:t xml:space="preserve">Решение конкурсной комиссии в течение двух рабочих дней со дня окончания первого этапа конкурсного отбора направляется в инспекцию.</w:t>
      </w:r>
    </w:p>
    <w:p>
      <w:pPr>
        <w:pStyle w:val="0"/>
        <w:spacing w:before="200" w:line-rule="auto"/>
        <w:ind w:firstLine="540"/>
        <w:jc w:val="both"/>
      </w:pPr>
      <w:r>
        <w:rPr>
          <w:sz w:val="20"/>
        </w:rPr>
        <w:t xml:space="preserve">В течение двух рабочих дней со дня получения решения конкурсной комиссии инспекция размещает его на официальном сайте.</w:t>
      </w:r>
    </w:p>
    <w:p>
      <w:pPr>
        <w:pStyle w:val="0"/>
        <w:spacing w:before="200" w:line-rule="auto"/>
        <w:ind w:firstLine="540"/>
        <w:jc w:val="both"/>
      </w:pPr>
      <w:r>
        <w:rPr>
          <w:sz w:val="20"/>
        </w:rPr>
        <w:t xml:space="preserve">С учетом решения конкурсной комиссии при наличии оснований для отклонения заявления инспекция в течение трех рабочих дней со дня получения решения конкурсной комиссии принимает приказ об отклонении заявления и размещает его на официальном сайте.</w:t>
      </w:r>
    </w:p>
    <w:p>
      <w:pPr>
        <w:pStyle w:val="0"/>
        <w:spacing w:before="200" w:line-rule="auto"/>
        <w:ind w:firstLine="540"/>
        <w:jc w:val="both"/>
      </w:pPr>
      <w:r>
        <w:rPr>
          <w:sz w:val="20"/>
        </w:rPr>
        <w:t xml:space="preserve">Уведомление о решении об отклонении заявления (с указанием причин отклонения заявления) не позднее двух рабочих дней со дня его принятия направляется организации по почте.</w:t>
      </w:r>
    </w:p>
    <w:p>
      <w:pPr>
        <w:pStyle w:val="0"/>
        <w:spacing w:before="200" w:line-rule="auto"/>
        <w:ind w:firstLine="540"/>
        <w:jc w:val="both"/>
      </w:pPr>
      <w:r>
        <w:rPr>
          <w:sz w:val="20"/>
        </w:rPr>
        <w:t xml:space="preserve">2.9. Основаниями для отклонения заявлений являются:</w:t>
      </w:r>
    </w:p>
    <w:p>
      <w:pPr>
        <w:pStyle w:val="0"/>
        <w:spacing w:before="200" w:line-rule="auto"/>
        <w:ind w:firstLine="540"/>
        <w:jc w:val="both"/>
      </w:pPr>
      <w:r>
        <w:rPr>
          <w:sz w:val="20"/>
        </w:rPr>
        <w:t xml:space="preserve">несоответствие организации критериям и требованиям, предусмотренным </w:t>
      </w:r>
      <w:hyperlink w:history="0" w:anchor="P54" w:tooltip="1.6. К участию в конкурсном отборе допускаются организации, отвечающие следующим критериям:">
        <w:r>
          <w:rPr>
            <w:sz w:val="20"/>
            <w:color w:val="0000ff"/>
          </w:rPr>
          <w:t xml:space="preserve">пунктами 1.6</w:t>
        </w:r>
      </w:hyperlink>
      <w:r>
        <w:rPr>
          <w:sz w:val="20"/>
        </w:rPr>
        <w:t xml:space="preserve">, </w:t>
      </w:r>
      <w:hyperlink w:history="0" w:anchor="P84" w:tooltip="2.2. Требования, которым должна соответствовать организация по состоянию на дату не ранее чем за 30 календарных дней до дня подачи документов, указанных в пункте 2.3 настоящего Порядк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заявления и документов требованиям к заявлению и документам, предусмотренным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а также наличие исправлений и подчисток в заявлениях и прилагаемых к ним документах;</w:t>
      </w:r>
    </w:p>
    <w:p>
      <w:pPr>
        <w:pStyle w:val="0"/>
        <w:spacing w:before="200" w:line-rule="auto"/>
        <w:ind w:firstLine="540"/>
        <w:jc w:val="both"/>
      </w:pPr>
      <w:r>
        <w:rPr>
          <w:sz w:val="20"/>
        </w:rPr>
        <w:t xml:space="preserve">установление факта недостоверности представленной информации;</w:t>
      </w:r>
    </w:p>
    <w:p>
      <w:pPr>
        <w:pStyle w:val="0"/>
        <w:spacing w:before="200" w:line-rule="auto"/>
        <w:ind w:firstLine="540"/>
        <w:jc w:val="both"/>
      </w:pPr>
      <w:r>
        <w:rPr>
          <w:sz w:val="20"/>
        </w:rPr>
        <w:t xml:space="preserve">представление документов, предусмотренных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по истечении срока, установленного в объявлении;</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за исключением документов, предусмотренных </w:t>
      </w:r>
      <w:hyperlink w:history="0" w:anchor="P96" w:tooltip="г) справку налогового органа об отсутствии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дату выдачи налоговым органом справки, указанной в настоящем абзаце, но не ранее чем за 30 календарных дней до даты подачи документов для получения субсидии;">
        <w:r>
          <w:rPr>
            <w:sz w:val="20"/>
            <w:color w:val="0000ff"/>
          </w:rPr>
          <w:t xml:space="preserve">подпунктами "г"</w:t>
        </w:r>
      </w:hyperlink>
      <w:r>
        <w:rPr>
          <w:sz w:val="20"/>
        </w:rPr>
        <w:t xml:space="preserve"> - </w:t>
      </w:r>
      <w:hyperlink w:history="0" w:anchor="P99" w:tooltip="ж) выписку из реестра дисквалифицированных лиц либо справку об отсутствии запрашиваемой информации, выданные в соответствии с приказом Федеральной налоговой службы от 10 декабря 2019 года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по состоянию на дату выдачи налоговым органом справки, указанной в настоящем абзаце, но н...">
        <w:r>
          <w:rPr>
            <w:sz w:val="20"/>
            <w:color w:val="0000ff"/>
          </w:rPr>
          <w:t xml:space="preserve">"ж"</w:t>
        </w:r>
      </w:hyperlink>
      <w:r>
        <w:rPr>
          <w:sz w:val="20"/>
        </w:rPr>
        <w:t xml:space="preserve">, </w:t>
      </w:r>
      <w:hyperlink w:history="0" w:anchor="P104" w:tooltip="м) сведения об имеющемся у заявителя опыте работы в сфере обращения с животными, необходимом для достижения результата, в целях реализации которого предоставляется субсидия (при наличии) (далее - результат предоставления субсидии);">
        <w:r>
          <w:rPr>
            <w:sz w:val="20"/>
            <w:color w:val="0000ff"/>
          </w:rPr>
          <w:t xml:space="preserve">"м" пункта 2.3</w:t>
        </w:r>
      </w:hyperlink>
      <w:r>
        <w:rPr>
          <w:sz w:val="20"/>
        </w:rPr>
        <w:t xml:space="preserve"> настоящего Порядка.</w:t>
      </w:r>
    </w:p>
    <w:p>
      <w:pPr>
        <w:pStyle w:val="0"/>
        <w:spacing w:before="200" w:line-rule="auto"/>
        <w:ind w:firstLine="540"/>
        <w:jc w:val="both"/>
      </w:pPr>
      <w:r>
        <w:rPr>
          <w:sz w:val="20"/>
        </w:rPr>
        <w:t xml:space="preserve">2.10. Второй этап конкурсного отбора проводится в форме оценки заявлений и прилагаемых к ним документов в течение десяти рабочих дней со дня размещения на официальном сайте решения конкурсной комиссии о рассмотрении заявления конкурсной комиссией во втором этапе. В случае если второй этап конкурсного отбора проводится в течение нескольких дней, датой его окончания считается дата последнего заседания конкурсной комиссии.</w:t>
      </w:r>
    </w:p>
    <w:p>
      <w:pPr>
        <w:pStyle w:val="0"/>
        <w:spacing w:before="200" w:line-rule="auto"/>
        <w:ind w:firstLine="540"/>
        <w:jc w:val="both"/>
      </w:pPr>
      <w:r>
        <w:rPr>
          <w:sz w:val="20"/>
        </w:rPr>
        <w:t xml:space="preserve">Оценка заявлений и прилагаемых к ним документов, предусмотренных </w:t>
      </w:r>
      <w:hyperlink w:history="0" w:anchor="P92"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во втором этапе конкурсного отбора осуществляется на заседании конкурсной комиссии по критериям, перечень которых установлен в </w:t>
      </w:r>
      <w:hyperlink w:history="0" w:anchor="P465" w:tooltip="КРИТЕРИИ">
        <w:r>
          <w:rPr>
            <w:sz w:val="20"/>
            <w:color w:val="0000ff"/>
          </w:rPr>
          <w:t xml:space="preserve">приложении N 3</w:t>
        </w:r>
      </w:hyperlink>
      <w:r>
        <w:rPr>
          <w:sz w:val="20"/>
        </w:rPr>
        <w:t xml:space="preserve"> к настоящему Порядку (далее - критерии оценки).</w:t>
      </w:r>
    </w:p>
    <w:p>
      <w:pPr>
        <w:pStyle w:val="0"/>
        <w:spacing w:before="200" w:line-rule="auto"/>
        <w:ind w:firstLine="540"/>
        <w:jc w:val="both"/>
      </w:pPr>
      <w:r>
        <w:rPr>
          <w:sz w:val="20"/>
        </w:rPr>
        <w:t xml:space="preserve">Конкурсная комиссия оценивает заявления организаций, допущенных к конкурсному отбору, исходя из наилучших условий достижения результатов предоставления субсидий, путем проставления баллов каждым членом конкурсной комиссии по балльной шкале по каждому из критериев оценки. По результатам суммирования баллов, проставленных членами конкурсной комиссии, формируется общий рейтинг организаций (далее - рейтинг).</w:t>
      </w:r>
    </w:p>
    <w:p>
      <w:pPr>
        <w:pStyle w:val="0"/>
        <w:spacing w:before="200" w:line-rule="auto"/>
        <w:ind w:firstLine="540"/>
        <w:jc w:val="both"/>
      </w:pPr>
      <w:r>
        <w:rPr>
          <w:sz w:val="20"/>
        </w:rPr>
        <w:t xml:space="preserve">Первое место в рейтинге присваивается организации, набравшей наибольшее количество баллов, и далее рейтинг формируется по убыванию баллов.</w:t>
      </w:r>
    </w:p>
    <w:p>
      <w:pPr>
        <w:pStyle w:val="0"/>
        <w:spacing w:before="200" w:line-rule="auto"/>
        <w:ind w:firstLine="540"/>
        <w:jc w:val="both"/>
      </w:pPr>
      <w:r>
        <w:rPr>
          <w:sz w:val="20"/>
        </w:rPr>
        <w:t xml:space="preserve">По результатам второго этапа конкурсного отбора конкурсная комиссия принимает решение о признании организаций, набравших наибольшее количество баллов по результатам рейтинга, победителями конкурсного отбора либо не прошедшими конкурсный отбор (далее - решение конкурсной комиссии).</w:t>
      </w:r>
    </w:p>
    <w:p>
      <w:pPr>
        <w:pStyle w:val="0"/>
        <w:spacing w:before="200" w:line-rule="auto"/>
        <w:ind w:firstLine="540"/>
        <w:jc w:val="both"/>
      </w:pPr>
      <w:r>
        <w:rPr>
          <w:sz w:val="20"/>
        </w:rPr>
        <w:t xml:space="preserve">Решение конкурсной комиссии оформляется протоколом в день завершения второго этапа конкурсного отбора и утверждается председателем конкурсной комиссии или его заместителем в случае отсутствия председателя.</w:t>
      </w:r>
    </w:p>
    <w:p>
      <w:pPr>
        <w:pStyle w:val="0"/>
        <w:spacing w:before="200" w:line-rule="auto"/>
        <w:ind w:firstLine="540"/>
        <w:jc w:val="both"/>
      </w:pPr>
      <w:r>
        <w:rPr>
          <w:sz w:val="20"/>
        </w:rPr>
        <w:t xml:space="preserve">Решение конкурсной комиссии в течение трех рабочих дней со дня окончания конкурсного отбора направляется в инспекцию.</w:t>
      </w:r>
    </w:p>
    <w:p>
      <w:pPr>
        <w:pStyle w:val="0"/>
        <w:spacing w:before="200" w:line-rule="auto"/>
        <w:ind w:firstLine="540"/>
        <w:jc w:val="both"/>
      </w:pPr>
      <w:r>
        <w:rPr>
          <w:sz w:val="20"/>
        </w:rPr>
        <w:t xml:space="preserve">С учетом решения конкурсной комиссии при отсутствии (наличии) оснований для отказа в предоставлении субсидий инспекция принимает приказ о предоставлении субсидии либо об отказе в предоставлении субсидии в течение трех рабочих дней со дня поступления решения конкурсной комиссии в инспекцию.</w:t>
      </w:r>
    </w:p>
    <w:p>
      <w:pPr>
        <w:pStyle w:val="0"/>
        <w:spacing w:before="200" w:line-rule="auto"/>
        <w:ind w:firstLine="540"/>
        <w:jc w:val="both"/>
      </w:pPr>
      <w:r>
        <w:rPr>
          <w:sz w:val="20"/>
        </w:rPr>
        <w:t xml:space="preserve">2.11. Основанием для отказа в предоставлении субсидии является:</w:t>
      </w:r>
    </w:p>
    <w:p>
      <w:pPr>
        <w:pStyle w:val="0"/>
        <w:spacing w:before="200" w:line-rule="auto"/>
        <w:ind w:firstLine="540"/>
        <w:jc w:val="both"/>
      </w:pPr>
      <w:r>
        <w:rPr>
          <w:sz w:val="20"/>
        </w:rPr>
        <w:t xml:space="preserve">отказ организации от получения субсидии;</w:t>
      </w:r>
    </w:p>
    <w:p>
      <w:pPr>
        <w:pStyle w:val="0"/>
        <w:spacing w:before="200" w:line-rule="auto"/>
        <w:ind w:firstLine="540"/>
        <w:jc w:val="both"/>
      </w:pPr>
      <w:r>
        <w:rPr>
          <w:sz w:val="20"/>
        </w:rPr>
        <w:t xml:space="preserve">решение конкурсной комиссии о признании организации не прошедшей конкурсный отбор.</w:t>
      </w:r>
    </w:p>
    <w:p>
      <w:pPr>
        <w:pStyle w:val="0"/>
        <w:spacing w:before="200" w:line-rule="auto"/>
        <w:ind w:firstLine="540"/>
        <w:jc w:val="both"/>
      </w:pPr>
      <w:r>
        <w:rPr>
          <w:sz w:val="20"/>
        </w:rPr>
        <w:t xml:space="preserve">Уведомление об отказе в предоставлении субсидии направляется инспекцией организациям по почте в течение трех рабочих дней со дня принятия инспекцией соответствующего решения с указанием причин отказа в предоставлении субсидий.</w:t>
      </w:r>
    </w:p>
    <w:p>
      <w:pPr>
        <w:pStyle w:val="0"/>
        <w:spacing w:before="200" w:line-rule="auto"/>
        <w:ind w:firstLine="540"/>
        <w:jc w:val="both"/>
      </w:pPr>
      <w:r>
        <w:rPr>
          <w:sz w:val="20"/>
        </w:rPr>
        <w:t xml:space="preserve">2.12. Информация о результатах конкурсного отбора размещается на едином портале, а также на официальном сайте не позднее 14-го календарного дня, следующего за днем принятия решения инспекцией о предоставлении (отказе в предоставлении) субсидии, и содержит:</w:t>
      </w:r>
    </w:p>
    <w:p>
      <w:pPr>
        <w:pStyle w:val="0"/>
        <w:spacing w:before="200" w:line-rule="auto"/>
        <w:ind w:firstLine="540"/>
        <w:jc w:val="both"/>
      </w:pPr>
      <w:r>
        <w:rPr>
          <w:sz w:val="20"/>
        </w:rPr>
        <w:t xml:space="preserve">дату, время и место рассмотрения и оценки заявлений и прилагаемых документов организаций;</w:t>
      </w:r>
    </w:p>
    <w:p>
      <w:pPr>
        <w:pStyle w:val="0"/>
        <w:spacing w:before="200" w:line-rule="auto"/>
        <w:ind w:firstLine="540"/>
        <w:jc w:val="both"/>
      </w:pPr>
      <w:r>
        <w:rPr>
          <w:sz w:val="20"/>
        </w:rPr>
        <w:t xml:space="preserve">информацию об организациях, заявления и прилагаемые документы которых были рассмотрены;</w:t>
      </w:r>
    </w:p>
    <w:p>
      <w:pPr>
        <w:pStyle w:val="0"/>
        <w:spacing w:before="200" w:line-rule="auto"/>
        <w:ind w:firstLine="540"/>
        <w:jc w:val="both"/>
      </w:pPr>
      <w:r>
        <w:rPr>
          <w:sz w:val="20"/>
        </w:rPr>
        <w:t xml:space="preserve">информацию об организациях, в отношении которых принято решение об отказе в предоставлении субсидий, с указанием причин отказа в предоставлении субсидий, в том числе положений объявления, которым не соответствуют такие заявления и приложенные к ним документы;</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3.1. Субсидия предоставляется организации единовременно один раз в год.</w:t>
      </w:r>
    </w:p>
    <w:p>
      <w:pPr>
        <w:pStyle w:val="0"/>
        <w:spacing w:before="200" w:line-rule="auto"/>
        <w:ind w:firstLine="540"/>
        <w:jc w:val="both"/>
      </w:pPr>
      <w:r>
        <w:rPr>
          <w:sz w:val="20"/>
        </w:rPr>
        <w:t xml:space="preserve">3.2. Размер субсидии, предоставляемой конкретной организации, определяется инспекцией исходя из объема запрашиваемой субсидии, указанного в заявлении, и сметы планируемых расходов, представленной организацией, но не более 10298420,00 рублей.</w:t>
      </w:r>
    </w:p>
    <w:bookmarkStart w:id="156" w:name="P156"/>
    <w:bookmarkEnd w:id="156"/>
    <w:p>
      <w:pPr>
        <w:pStyle w:val="0"/>
        <w:spacing w:before="200" w:line-rule="auto"/>
        <w:ind w:firstLine="540"/>
        <w:jc w:val="both"/>
      </w:pPr>
      <w:r>
        <w:rPr>
          <w:sz w:val="20"/>
        </w:rPr>
        <w:t xml:space="preserve">3.3. Результатом предоставления субсидии является создание и (или) модернизация приюта для животных, соответствующего требованиям </w:t>
      </w:r>
      <w:hyperlink w:history="0" r:id="rId23" w:tooltip="Постановление Правительства Приморского края от 30.01.2020 N 67-пп (ред. от 26.07.2023) &quot;Об утверждении Порядка организации деятельности приютов для животных и норм содержания животных в них на территории Приморского края&quot; {КонсультантПлюс}">
        <w:r>
          <w:rPr>
            <w:sz w:val="20"/>
            <w:color w:val="0000ff"/>
          </w:rPr>
          <w:t xml:space="preserve">постановления</w:t>
        </w:r>
      </w:hyperlink>
      <w:r>
        <w:rPr>
          <w:sz w:val="20"/>
        </w:rPr>
        <w:t xml:space="preserve"> N 67-пп.</w:t>
      </w:r>
    </w:p>
    <w:bookmarkStart w:id="157" w:name="P157"/>
    <w:bookmarkEnd w:id="157"/>
    <w:p>
      <w:pPr>
        <w:pStyle w:val="0"/>
        <w:spacing w:before="200" w:line-rule="auto"/>
        <w:ind w:firstLine="540"/>
        <w:jc w:val="both"/>
      </w:pPr>
      <w:r>
        <w:rPr>
          <w:sz w:val="20"/>
        </w:rPr>
        <w:t xml:space="preserve">3.4. Предоставление субсидии организации осуществляется на основании соглашения о предоставлении субсидий, заключаемого между инспекцией и организацией (далее - соглашение).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Приморского края.</w:t>
      </w:r>
    </w:p>
    <w:p>
      <w:pPr>
        <w:pStyle w:val="0"/>
        <w:spacing w:before="200" w:line-rule="auto"/>
        <w:ind w:firstLine="540"/>
        <w:jc w:val="both"/>
      </w:pPr>
      <w:r>
        <w:rPr>
          <w:sz w:val="20"/>
        </w:rPr>
        <w:t xml:space="preserve">Соглашение предусматривает в том числе:</w:t>
      </w:r>
    </w:p>
    <w:p>
      <w:pPr>
        <w:pStyle w:val="0"/>
        <w:spacing w:before="200" w:line-rule="auto"/>
        <w:ind w:firstLine="540"/>
        <w:jc w:val="both"/>
      </w:pPr>
      <w:r>
        <w:rPr>
          <w:sz w:val="20"/>
        </w:rPr>
        <w:t xml:space="preserve">а) целевое назначение субсидии;</w:t>
      </w:r>
    </w:p>
    <w:p>
      <w:pPr>
        <w:pStyle w:val="0"/>
        <w:spacing w:before="200" w:line-rule="auto"/>
        <w:ind w:firstLine="540"/>
        <w:jc w:val="both"/>
      </w:pPr>
      <w:r>
        <w:rPr>
          <w:sz w:val="20"/>
        </w:rPr>
        <w:t xml:space="preserve">б) согласие организации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2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согласия организации на соблюдение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ответственность сторон за нарушение условий предоставления субсидии;</w:t>
      </w:r>
    </w:p>
    <w:p>
      <w:pPr>
        <w:pStyle w:val="0"/>
        <w:spacing w:before="200" w:line-rule="auto"/>
        <w:ind w:firstLine="540"/>
        <w:jc w:val="both"/>
      </w:pPr>
      <w:r>
        <w:rPr>
          <w:sz w:val="20"/>
        </w:rPr>
        <w:t xml:space="preserve">г) результат предоставления субсидии, точную дату завершения и конечное значение результата предоставления субсидии;</w:t>
      </w:r>
    </w:p>
    <w:p>
      <w:pPr>
        <w:pStyle w:val="0"/>
        <w:spacing w:before="200" w:line-rule="auto"/>
        <w:ind w:firstLine="540"/>
        <w:jc w:val="both"/>
      </w:pPr>
      <w:r>
        <w:rPr>
          <w:sz w:val="20"/>
        </w:rPr>
        <w:t xml:space="preserve">д) случаи возврата субсидий в краевой бюджет;</w:t>
      </w:r>
    </w:p>
    <w:p>
      <w:pPr>
        <w:pStyle w:val="0"/>
        <w:spacing w:before="200" w:line-rule="auto"/>
        <w:ind w:firstLine="540"/>
        <w:jc w:val="both"/>
      </w:pPr>
      <w:r>
        <w:rPr>
          <w:sz w:val="20"/>
        </w:rPr>
        <w:t xml:space="preserve">е) обязательство организации по представлению отчетов в соответствии с </w:t>
      </w:r>
      <w:hyperlink w:history="0" w:anchor="P176" w:tooltip="4.1. Организации ежеквартально с нарастающим итогом в срок до 15-го числа месяца, следующего за отчетным кварталом, представляют в инспекцию отчеты об осуществлении расходов, на финансовое обеспечение которых предоставляется субсидия, по форме, установленной соглашением, с приложением копий подтверждающих документов.">
        <w:r>
          <w:rPr>
            <w:sz w:val="20"/>
            <w:color w:val="0000ff"/>
          </w:rPr>
          <w:t xml:space="preserve">пунктами 4.1</w:t>
        </w:r>
      </w:hyperlink>
      <w:r>
        <w:rPr>
          <w:sz w:val="20"/>
        </w:rPr>
        <w:t xml:space="preserve">, </w:t>
      </w:r>
      <w:hyperlink w:history="0" w:anchor="P177" w:tooltip="4.2. Оценка достижения результатов предоставления субсидии осуществляется инспекцией на основании установленных соглашением и фактически достигнутых по итогам реализации проекта результатов предоставления субсидий.">
        <w:r>
          <w:rPr>
            <w:sz w:val="20"/>
            <w:color w:val="0000ff"/>
          </w:rPr>
          <w:t xml:space="preserve">4.2</w:t>
        </w:r>
      </w:hyperlink>
      <w:r>
        <w:rPr>
          <w:sz w:val="20"/>
        </w:rPr>
        <w:t xml:space="preserve"> настоящего Порядка;</w:t>
      </w:r>
    </w:p>
    <w:p>
      <w:pPr>
        <w:pStyle w:val="0"/>
        <w:spacing w:before="200" w:line-rule="auto"/>
        <w:ind w:firstLine="540"/>
        <w:jc w:val="both"/>
      </w:pPr>
      <w:r>
        <w:rPr>
          <w:sz w:val="20"/>
        </w:rPr>
        <w:t xml:space="preserve">ж) согласие организации в случае уменьшения инспекции как получателю средств краевого бюджета ранее доведенных лимитов бюджетных обязательств, приводящего к невозможности предоставления субсидии в размере, определенном соглашением, на заключение дополнительного соглашения на новых условиях или о расторжении соглашения при не достижении согласия по новым условиям соглашения;</w:t>
      </w:r>
    </w:p>
    <w:p>
      <w:pPr>
        <w:pStyle w:val="0"/>
        <w:spacing w:before="200" w:line-rule="auto"/>
        <w:ind w:firstLine="540"/>
        <w:jc w:val="both"/>
      </w:pPr>
      <w:r>
        <w:rPr>
          <w:sz w:val="20"/>
        </w:rPr>
        <w:t xml:space="preserve">з) обязательство организации обеспечить функционирование приюта для животных в течение не менее пяти лет после завершения создания и (или) модернизации приюта;</w:t>
      </w:r>
    </w:p>
    <w:p>
      <w:pPr>
        <w:pStyle w:val="0"/>
        <w:spacing w:before="200" w:line-rule="auto"/>
        <w:ind w:firstLine="540"/>
        <w:jc w:val="both"/>
      </w:pPr>
      <w:r>
        <w:rPr>
          <w:sz w:val="20"/>
        </w:rPr>
        <w:t xml:space="preserve">и) обязательство обеспечить прием животных без владельцев в рамках исполнения органами местного самоуправления муниципальных образований переданных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к) обязательство организации по включению в договоры (соглашения), заключаемые организацией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2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3.5. Инспекция в течение двух рабочих дней со дня принятия решения о предоставлении субсидии подписывает и направляет в адрес организации для подписания два экземпляра соглашения, установленного </w:t>
      </w:r>
      <w:hyperlink w:history="0" w:anchor="P157" w:tooltip="3.4. Предоставление субсидии организации осуществляется на основании соглашения о предоставлении субсидий, заключаемого между инспекцией и организацией (далее - соглашение).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Приморского края.">
        <w:r>
          <w:rPr>
            <w:sz w:val="20"/>
            <w:color w:val="0000ff"/>
          </w:rPr>
          <w:t xml:space="preserve">пунктом 3.4</w:t>
        </w:r>
      </w:hyperlink>
      <w:r>
        <w:rPr>
          <w:sz w:val="20"/>
        </w:rPr>
        <w:t xml:space="preserve"> настоящего Порядка.</w:t>
      </w:r>
    </w:p>
    <w:bookmarkStart w:id="170" w:name="P170"/>
    <w:bookmarkEnd w:id="170"/>
    <w:p>
      <w:pPr>
        <w:pStyle w:val="0"/>
        <w:spacing w:before="200" w:line-rule="auto"/>
        <w:ind w:firstLine="540"/>
        <w:jc w:val="both"/>
      </w:pPr>
      <w:r>
        <w:rPr>
          <w:sz w:val="20"/>
        </w:rPr>
        <w:t xml:space="preserve">Организация в течение трех рабочих дней со дня направления инспекцией соглашений подписывает и возвращает один экземпляр соглашения в инспекцию.</w:t>
      </w:r>
    </w:p>
    <w:p>
      <w:pPr>
        <w:pStyle w:val="0"/>
        <w:spacing w:before="200" w:line-rule="auto"/>
        <w:ind w:firstLine="540"/>
        <w:jc w:val="both"/>
      </w:pPr>
      <w:r>
        <w:rPr>
          <w:sz w:val="20"/>
        </w:rPr>
        <w:t xml:space="preserve">В случае не подписания соглашения в указанный в </w:t>
      </w:r>
      <w:hyperlink w:history="0" w:anchor="P170" w:tooltip="Организация в течение трех рабочих дней со дня направления инспекцией соглашений подписывает и возвращает один экземпляр соглашения в инспекцию.">
        <w:r>
          <w:rPr>
            <w:sz w:val="20"/>
            <w:color w:val="0000ff"/>
          </w:rPr>
          <w:t xml:space="preserve">абзаце втором</w:t>
        </w:r>
      </w:hyperlink>
      <w:r>
        <w:rPr>
          <w:sz w:val="20"/>
        </w:rPr>
        <w:t xml:space="preserve"> настоящего пункта срок организация признается уклонившейся от заключения соглашения.</w:t>
      </w:r>
    </w:p>
    <w:p>
      <w:pPr>
        <w:pStyle w:val="0"/>
        <w:spacing w:before="200" w:line-rule="auto"/>
        <w:ind w:firstLine="540"/>
        <w:jc w:val="both"/>
      </w:pPr>
      <w:r>
        <w:rPr>
          <w:sz w:val="20"/>
        </w:rPr>
        <w:t xml:space="preserve">3.6. Перечисление субсидии осуществляется с лицевого счета инспекции, открытого в Управлении Федерального казначейства по Приморскому краю, на расчетные или корреспондентские счета организаций,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инспекции, но не позднее 10-го рабочего дня, следующего за днем получения инспекцией соглашения, подписанного организацией.</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176" w:name="P176"/>
    <w:bookmarkEnd w:id="176"/>
    <w:p>
      <w:pPr>
        <w:pStyle w:val="0"/>
        <w:ind w:firstLine="540"/>
        <w:jc w:val="both"/>
      </w:pPr>
      <w:r>
        <w:rPr>
          <w:sz w:val="20"/>
        </w:rPr>
        <w:t xml:space="preserve">4.1. Организации ежеквартально с нарастающим итогом в срок до 15-го числа месяца, следующего за отчетным кварталом, представляют в инспекцию отчеты об осуществлении расходов, на финансовое обеспечение которых предоставляется субсидия, по форме, установленной соглашением, с приложением копий подтверждающих документов.</w:t>
      </w:r>
    </w:p>
    <w:bookmarkStart w:id="177" w:name="P177"/>
    <w:bookmarkEnd w:id="177"/>
    <w:p>
      <w:pPr>
        <w:pStyle w:val="0"/>
        <w:spacing w:before="200" w:line-rule="auto"/>
        <w:ind w:firstLine="540"/>
        <w:jc w:val="both"/>
      </w:pPr>
      <w:r>
        <w:rPr>
          <w:sz w:val="20"/>
        </w:rPr>
        <w:t xml:space="preserve">4.2. Оценка достижения результатов предоставления субсидии осуществляется инспекцией на основании установленных соглашением и фактически достигнутых по итогам реализации проекта результатов предоставления субсидий.</w:t>
      </w:r>
    </w:p>
    <w:p>
      <w:pPr>
        <w:pStyle w:val="0"/>
        <w:spacing w:before="200" w:line-rule="auto"/>
        <w:ind w:firstLine="540"/>
        <w:jc w:val="both"/>
      </w:pPr>
      <w:r>
        <w:rPr>
          <w:sz w:val="20"/>
        </w:rPr>
        <w:t xml:space="preserve">Организации не позднее 20 января года, следующего за годом предоставления субсидий, представляют в инспекцию отчеты о достижении значений результатов предоставления субсидий по форме, установленной соглашением.</w:t>
      </w:r>
    </w:p>
    <w:p>
      <w:pPr>
        <w:pStyle w:val="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И ПОРЯДКА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Инспекция обеспечивает соблюдение получателем субсидии условий, целей и порядка, установленных при предоставлении субсидии.</w:t>
      </w:r>
    </w:p>
    <w:bookmarkStart w:id="185" w:name="P185"/>
    <w:bookmarkEnd w:id="185"/>
    <w:p>
      <w:pPr>
        <w:pStyle w:val="0"/>
        <w:spacing w:before="200" w:line-rule="auto"/>
        <w:ind w:firstLine="540"/>
        <w:jc w:val="both"/>
      </w:pPr>
      <w:r>
        <w:rPr>
          <w:sz w:val="20"/>
        </w:rPr>
        <w:t xml:space="preserve">5.2. Инспекция осуществляет проверку соблюдения организацией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проверки в соответствии со </w:t>
      </w:r>
      <w:hyperlink w:history="0" r:id="rId2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Инспекция проводит мониторинг достижения результатов предоставления субсидий в соответствии с </w:t>
      </w:r>
      <w:hyperlink w:history="0" r:id="rId3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Минфина России от 29 сентября 2021 года N 138н.</w:t>
      </w:r>
    </w:p>
    <w:p>
      <w:pPr>
        <w:pStyle w:val="0"/>
        <w:spacing w:before="200" w:line-rule="auto"/>
        <w:ind w:firstLine="540"/>
        <w:jc w:val="both"/>
      </w:pPr>
      <w:r>
        <w:rPr>
          <w:sz w:val="20"/>
        </w:rPr>
        <w:t xml:space="preserve">5.3. В случае не достижения получателем субсидии значений результатов предоставления субсидии, установленных соглашением, получатель субсидии обязан осуществить возврат субсидии в краевой бюджет в соответствии с </w:t>
      </w:r>
      <w:hyperlink w:history="0" w:anchor="P202" w:tooltip="5.5. В случае нарушения получателем субсидии условий, установленных при предоставлении субсидии (далее - нарушение), выявленного в том числе по результатам проверок, указанных в пункте 5.2 настоящего Порядка, получатели субсидии обязаны осуществить возврат субсидий в краевой бюджет в полном объеме на основании требования о возврате субсидии в краевой бюджет (далее - требование).">
        <w:r>
          <w:rPr>
            <w:sz w:val="20"/>
            <w:color w:val="0000ff"/>
          </w:rPr>
          <w:t xml:space="preserve">пунктом 5.5</w:t>
        </w:r>
      </w:hyperlink>
      <w:r>
        <w:rPr>
          <w:sz w:val="20"/>
        </w:rPr>
        <w:t xml:space="preserve"> настоящего Порядка пропорционально не достижению значений результата использования субсидии в соответствии со следующим расчетом размера возврата субсидии (V возврата):</w:t>
      </w:r>
    </w:p>
    <w:p>
      <w:pPr>
        <w:pStyle w:val="0"/>
        <w:jc w:val="both"/>
      </w:pPr>
      <w:r>
        <w:rPr>
          <w:sz w:val="20"/>
        </w:rPr>
      </w:r>
    </w:p>
    <w:p>
      <w:pPr>
        <w:pStyle w:val="0"/>
        <w:ind w:firstLine="540"/>
        <w:jc w:val="both"/>
      </w:pPr>
      <w:r>
        <w:rPr>
          <w:sz w:val="20"/>
        </w:rPr>
        <w:t xml:space="preserve">V возврата = С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 предоставленной i-й организации;</w:t>
      </w:r>
    </w:p>
    <w:p>
      <w:pPr>
        <w:pStyle w:val="0"/>
        <w:spacing w:before="200" w:line-rule="auto"/>
        <w:ind w:firstLine="540"/>
        <w:jc w:val="both"/>
      </w:pPr>
      <w:r>
        <w:rPr>
          <w:sz w:val="20"/>
        </w:rPr>
        <w:t xml:space="preserve">k - коэффициент возврата субсидии, отражающий уровень не достижения значения результата предоставления субсидии, который рассчитывается по формуле:</w:t>
      </w:r>
    </w:p>
    <w:p>
      <w:pPr>
        <w:pStyle w:val="0"/>
        <w:jc w:val="both"/>
      </w:pPr>
      <w:r>
        <w:rPr>
          <w:sz w:val="20"/>
        </w:rPr>
      </w:r>
    </w:p>
    <w:p>
      <w:pPr>
        <w:pStyle w:val="0"/>
        <w:ind w:firstLine="540"/>
        <w:jc w:val="both"/>
      </w:pPr>
      <w:r>
        <w:rPr>
          <w:sz w:val="20"/>
        </w:rPr>
        <w:t xml:space="preserve">k = 1 - n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фактически достигнутое значение результата предоставления субсидии;</w:t>
      </w:r>
    </w:p>
    <w:p>
      <w:pPr>
        <w:pStyle w:val="0"/>
        <w:spacing w:before="200" w:line-rule="auto"/>
        <w:ind w:firstLine="540"/>
        <w:jc w:val="both"/>
      </w:pPr>
      <w:r>
        <w:rPr>
          <w:sz w:val="20"/>
        </w:rPr>
        <w:t xml:space="preserve">p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Сумма возврата субсидии не может превышать размер субсидии, предоставленной получателю субсидии.</w:t>
      </w:r>
    </w:p>
    <w:p>
      <w:pPr>
        <w:pStyle w:val="0"/>
        <w:spacing w:before="200" w:line-rule="auto"/>
        <w:ind w:firstLine="540"/>
        <w:jc w:val="both"/>
      </w:pPr>
      <w:r>
        <w:rPr>
          <w:sz w:val="20"/>
        </w:rPr>
        <w:t xml:space="preserve">5.4. В случае непредставления отчетов в сроки и по формам, которые предусмотрены </w:t>
      </w:r>
      <w:hyperlink w:history="0" w:anchor="P176" w:tooltip="4.1. Организации ежеквартально с нарастающим итогом в срок до 15-го числа месяца, следующего за отчетным кварталом, представляют в инспекцию отчеты об осуществлении расходов, на финансовое обеспечение которых предоставляется субсидия, по форме, установленной соглашением, с приложением копий подтверждающих документов.">
        <w:r>
          <w:rPr>
            <w:sz w:val="20"/>
            <w:color w:val="0000ff"/>
          </w:rPr>
          <w:t xml:space="preserve">пунктами 4.1</w:t>
        </w:r>
      </w:hyperlink>
      <w:r>
        <w:rPr>
          <w:sz w:val="20"/>
        </w:rPr>
        <w:t xml:space="preserve">, </w:t>
      </w:r>
      <w:hyperlink w:history="0" w:anchor="P177" w:tooltip="4.2. Оценка достижения результатов предоставления субсидии осуществляется инспекцией на основании установленных соглашением и фактически достигнутых по итогам реализации проекта результатов предоставления субсидий.">
        <w:r>
          <w:rPr>
            <w:sz w:val="20"/>
            <w:color w:val="0000ff"/>
          </w:rPr>
          <w:t xml:space="preserve">4.2</w:t>
        </w:r>
      </w:hyperlink>
      <w:r>
        <w:rPr>
          <w:sz w:val="20"/>
        </w:rPr>
        <w:t xml:space="preserve"> настоящего Порядка, получатель субсидии обязан осуществить возврат субсидии в краевой бюджет в полном объеме в порядке, предусмотренном </w:t>
      </w:r>
      <w:hyperlink w:history="0" w:anchor="P202" w:tooltip="5.5. В случае нарушения получателем субсидии условий, установленных при предоставлении субсидии (далее - нарушение), выявленного в том числе по результатам проверок, указанных в пункте 5.2 настоящего Порядка, получатели субсидии обязаны осуществить возврат субсидий в краевой бюджет в полном объеме на основании требования о возврате субсидии в краевой бюджет (далее - требование).">
        <w:r>
          <w:rPr>
            <w:sz w:val="20"/>
            <w:color w:val="0000ff"/>
          </w:rPr>
          <w:t xml:space="preserve">пунктом 5.5</w:t>
        </w:r>
      </w:hyperlink>
      <w:r>
        <w:rPr>
          <w:sz w:val="20"/>
        </w:rPr>
        <w:t xml:space="preserve"> настоящего Порядка.</w:t>
      </w:r>
    </w:p>
    <w:bookmarkStart w:id="202" w:name="P202"/>
    <w:bookmarkEnd w:id="202"/>
    <w:p>
      <w:pPr>
        <w:pStyle w:val="0"/>
        <w:spacing w:before="200" w:line-rule="auto"/>
        <w:ind w:firstLine="540"/>
        <w:jc w:val="both"/>
      </w:pPr>
      <w:r>
        <w:rPr>
          <w:sz w:val="20"/>
        </w:rPr>
        <w:t xml:space="preserve">5.5. В случае нарушения получателем субсидии условий, установленных при предоставлении субсидии (далее - нарушение), выявленного в том числе по результатам проверок, указанных в </w:t>
      </w:r>
      <w:hyperlink w:history="0" w:anchor="P185" w:tooltip="5.2. Инспекция осуществляет проверку соблюдения организацией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и в соответствии со статьями 268.1 и 269.2 Бюджетного кодекса Российской Федерации.">
        <w:r>
          <w:rPr>
            <w:sz w:val="20"/>
            <w:color w:val="0000ff"/>
          </w:rPr>
          <w:t xml:space="preserve">пункте 5.2</w:t>
        </w:r>
      </w:hyperlink>
      <w:r>
        <w:rPr>
          <w:sz w:val="20"/>
        </w:rPr>
        <w:t xml:space="preserve"> настоящего Порядка, получатели субсидии обязаны осуществить возврат субсидий в краевой бюджет в полном объеме на основании требования о возврате субсидии в краевой бюджет (далее - требование).</w:t>
      </w:r>
    </w:p>
    <w:p>
      <w:pPr>
        <w:pStyle w:val="0"/>
        <w:spacing w:before="200" w:line-rule="auto"/>
        <w:ind w:firstLine="540"/>
        <w:jc w:val="both"/>
      </w:pPr>
      <w:r>
        <w:rPr>
          <w:sz w:val="20"/>
        </w:rPr>
        <w:t xml:space="preserve">Инспекция направляет требования получателю субсидии в течение пяти рабочих дней со дня установления нарушения.</w:t>
      </w:r>
    </w:p>
    <w:p>
      <w:pPr>
        <w:pStyle w:val="0"/>
        <w:spacing w:before="200" w:line-rule="auto"/>
        <w:ind w:firstLine="540"/>
        <w:jc w:val="both"/>
      </w:pPr>
      <w:r>
        <w:rPr>
          <w:sz w:val="20"/>
        </w:rPr>
        <w:t xml:space="preserve">Возврат субсидии производится получателем субсидии в течение тридцати рабочих дней со дня получения требования инспекции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отказа от добровольного возврата средства субсидии взыскиваются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субсидий</w:t>
      </w:r>
    </w:p>
    <w:p>
      <w:pPr>
        <w:pStyle w:val="0"/>
        <w:jc w:val="right"/>
      </w:pPr>
      <w:r>
        <w:rPr>
          <w:sz w:val="20"/>
        </w:rPr>
        <w:t xml:space="preserve">из краевого</w:t>
      </w:r>
    </w:p>
    <w:p>
      <w:pPr>
        <w:pStyle w:val="0"/>
        <w:jc w:val="right"/>
      </w:pPr>
      <w:r>
        <w:rPr>
          <w:sz w:val="20"/>
        </w:rPr>
        <w:t xml:space="preserve">бюджета социально</w:t>
      </w:r>
    </w:p>
    <w:p>
      <w:pPr>
        <w:pStyle w:val="0"/>
        <w:jc w:val="right"/>
      </w:pPr>
      <w:r>
        <w:rPr>
          <w:sz w:val="20"/>
        </w:rPr>
        <w:t xml:space="preserve">ориентированным</w:t>
      </w:r>
    </w:p>
    <w:p>
      <w:pPr>
        <w:pStyle w:val="0"/>
        <w:jc w:val="right"/>
      </w:pPr>
      <w:r>
        <w:rPr>
          <w:sz w:val="20"/>
        </w:rPr>
        <w:t xml:space="preserve">некоммерческим</w:t>
      </w:r>
    </w:p>
    <w:p>
      <w:pPr>
        <w:pStyle w:val="0"/>
        <w:jc w:val="right"/>
      </w:pPr>
      <w:r>
        <w:rPr>
          <w:sz w:val="20"/>
        </w:rPr>
        <w:t xml:space="preserve">организациям</w:t>
      </w:r>
    </w:p>
    <w:p>
      <w:pPr>
        <w:pStyle w:val="0"/>
        <w:jc w:val="right"/>
      </w:pPr>
      <w:r>
        <w:rPr>
          <w:sz w:val="20"/>
        </w:rPr>
        <w:t xml:space="preserve">на создание и (или)</w:t>
      </w:r>
    </w:p>
    <w:p>
      <w:pPr>
        <w:pStyle w:val="0"/>
        <w:jc w:val="right"/>
      </w:pPr>
      <w:r>
        <w:rPr>
          <w:sz w:val="20"/>
        </w:rPr>
        <w:t xml:space="preserve">модернизацию</w:t>
      </w:r>
    </w:p>
    <w:p>
      <w:pPr>
        <w:pStyle w:val="0"/>
        <w:jc w:val="right"/>
      </w:pPr>
      <w:r>
        <w:rPr>
          <w:sz w:val="20"/>
        </w:rPr>
        <w:t xml:space="preserve">приютов для</w:t>
      </w:r>
    </w:p>
    <w:p>
      <w:pPr>
        <w:pStyle w:val="0"/>
        <w:jc w:val="right"/>
      </w:pPr>
      <w:r>
        <w:rPr>
          <w:sz w:val="20"/>
        </w:rPr>
        <w:t xml:space="preserve">животных в целях</w:t>
      </w:r>
    </w:p>
    <w:p>
      <w:pPr>
        <w:pStyle w:val="0"/>
        <w:jc w:val="right"/>
      </w:pPr>
      <w:r>
        <w:rPr>
          <w:sz w:val="20"/>
        </w:rPr>
        <w:t xml:space="preserve">осуществления</w:t>
      </w:r>
    </w:p>
    <w:p>
      <w:pPr>
        <w:pStyle w:val="0"/>
        <w:jc w:val="right"/>
      </w:pPr>
      <w:r>
        <w:rPr>
          <w:sz w:val="20"/>
        </w:rPr>
        <w:t xml:space="preserve">деятельности</w:t>
      </w:r>
    </w:p>
    <w:p>
      <w:pPr>
        <w:pStyle w:val="0"/>
        <w:jc w:val="right"/>
      </w:pPr>
      <w:r>
        <w:rPr>
          <w:sz w:val="20"/>
        </w:rPr>
        <w:t xml:space="preserve">по содержанию</w:t>
      </w:r>
    </w:p>
    <w:p>
      <w:pPr>
        <w:pStyle w:val="0"/>
        <w:jc w:val="right"/>
      </w:pPr>
      <w:r>
        <w:rPr>
          <w:sz w:val="20"/>
        </w:rPr>
        <w:t xml:space="preserve">животных, в том</w:t>
      </w:r>
    </w:p>
    <w:p>
      <w:pPr>
        <w:pStyle w:val="0"/>
        <w:jc w:val="right"/>
      </w:pPr>
      <w:r>
        <w:rPr>
          <w:sz w:val="20"/>
        </w:rPr>
        <w:t xml:space="preserve">числе животных</w:t>
      </w:r>
    </w:p>
    <w:p>
      <w:pPr>
        <w:pStyle w:val="0"/>
        <w:jc w:val="right"/>
      </w:pPr>
      <w:r>
        <w:rPr>
          <w:sz w:val="20"/>
        </w:rPr>
        <w:t xml:space="preserve">без владельцев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33" w:name="P233"/>
          <w:bookmarkEnd w:id="233"/>
          <w:p>
            <w:pPr>
              <w:pStyle w:val="0"/>
              <w:jc w:val="center"/>
            </w:pPr>
            <w:r>
              <w:rPr>
                <w:sz w:val="20"/>
              </w:rPr>
              <w:t xml:space="preserve">ЗАЯВЛЕНИЕ</w:t>
            </w:r>
          </w:p>
          <w:p>
            <w:pPr>
              <w:pStyle w:val="0"/>
              <w:jc w:val="center"/>
            </w:pPr>
            <w:r>
              <w:rPr>
                <w:sz w:val="20"/>
              </w:rPr>
              <w:t xml:space="preserve">об участии в конкурсном отборе для предоставления в 2023 году субсидий социально ориентированным некоммерческим организациям на создание и (или) модернизацию приютов для животных в целях осуществления деятельности по содержанию животных, в том числе животных без владельцев</w:t>
            </w:r>
          </w:p>
        </w:tc>
      </w:tr>
      <w:tr>
        <w:tc>
          <w:tcPr>
            <w:tcW w:w="9070" w:type="dxa"/>
            <w:tcBorders>
              <w:top w:val="nil"/>
              <w:left w:val="nil"/>
              <w:bottom w:val="nil"/>
              <w:right w:val="nil"/>
            </w:tcBorders>
          </w:tcPr>
          <w:p>
            <w:pPr>
              <w:pStyle w:val="0"/>
              <w:jc w:val="both"/>
            </w:pPr>
            <w:r>
              <w:rPr>
                <w:sz w:val="20"/>
              </w:rPr>
              <w:t xml:space="preserve">Объем запрашиваемой субсидии на реализацию проекта по созданию и (или) модернизации приюта для животных в целях осуществления деятельности по содержанию животных, в том числе животных без владельцев, рублей _____________</w:t>
            </w:r>
          </w:p>
          <w:p>
            <w:pPr>
              <w:pStyle w:val="0"/>
              <w:jc w:val="both"/>
            </w:pPr>
            <w:r>
              <w:rPr>
                <w:sz w:val="20"/>
              </w:rPr>
              <w:t xml:space="preserve">__________________________________________________________________________</w:t>
            </w:r>
          </w:p>
        </w:tc>
      </w:tr>
      <w:tr>
        <w:tc>
          <w:tcPr>
            <w:tcW w:w="9070" w:type="dxa"/>
            <w:tcBorders>
              <w:top w:val="nil"/>
              <w:left w:val="nil"/>
              <w:bottom w:val="nil"/>
              <w:right w:val="nil"/>
            </w:tcBorders>
          </w:tcPr>
          <w:p>
            <w:pPr>
              <w:pStyle w:val="0"/>
              <w:jc w:val="center"/>
            </w:pPr>
            <w:r>
              <w:rPr>
                <w:sz w:val="20"/>
              </w:rPr>
              <w:t xml:space="preserve">(сумма цифрами и прописью)</w:t>
            </w:r>
          </w:p>
        </w:tc>
      </w:tr>
      <w:tr>
        <w:tc>
          <w:tcPr>
            <w:tcW w:w="9070" w:type="dxa"/>
            <w:tcBorders>
              <w:top w:val="nil"/>
              <w:left w:val="nil"/>
              <w:bottom w:val="nil"/>
              <w:right w:val="nil"/>
            </w:tcBorders>
          </w:tcPr>
          <w:p>
            <w:pPr>
              <w:pStyle w:val="0"/>
              <w:jc w:val="center"/>
            </w:pPr>
            <w:r>
              <w:rPr>
                <w:sz w:val="20"/>
              </w:rPr>
              <w:t xml:space="preserve">1. Общая информация о социально ориентированной некоммерческой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906"/>
      </w:tblGrid>
      <w:tr>
        <w:tc>
          <w:tcPr>
            <w:tcW w:w="8164" w:type="dxa"/>
          </w:tcPr>
          <w:p>
            <w:pPr>
              <w:pStyle w:val="0"/>
            </w:pPr>
            <w:r>
              <w:rPr>
                <w:sz w:val="20"/>
              </w:rPr>
              <w:t xml:space="preserve">Полное наименование организации в соответствии с уставом</w:t>
            </w:r>
          </w:p>
        </w:tc>
        <w:tc>
          <w:tcPr>
            <w:tcW w:w="906" w:type="dxa"/>
          </w:tcPr>
          <w:p>
            <w:pPr>
              <w:pStyle w:val="0"/>
            </w:pPr>
            <w:r>
              <w:rPr>
                <w:sz w:val="20"/>
              </w:rPr>
            </w:r>
          </w:p>
        </w:tc>
      </w:tr>
      <w:tr>
        <w:tc>
          <w:tcPr>
            <w:tcW w:w="8164" w:type="dxa"/>
          </w:tcPr>
          <w:p>
            <w:pPr>
              <w:pStyle w:val="0"/>
            </w:pPr>
            <w:r>
              <w:rPr>
                <w:sz w:val="20"/>
              </w:rPr>
              <w:t xml:space="preserve">Сокращенное наименование организации (если имеется) в точном соответствии с ее уставом</w:t>
            </w:r>
          </w:p>
        </w:tc>
        <w:tc>
          <w:tcPr>
            <w:tcW w:w="906" w:type="dxa"/>
          </w:tcPr>
          <w:p>
            <w:pPr>
              <w:pStyle w:val="0"/>
            </w:pPr>
            <w:r>
              <w:rPr>
                <w:sz w:val="20"/>
              </w:rPr>
            </w:r>
          </w:p>
        </w:tc>
      </w:tr>
      <w:tr>
        <w:tc>
          <w:tcPr>
            <w:tcW w:w="8164" w:type="dxa"/>
          </w:tcPr>
          <w:p>
            <w:pPr>
              <w:pStyle w:val="0"/>
            </w:pPr>
            <w:r>
              <w:rPr>
                <w:sz w:val="20"/>
              </w:rPr>
              <w:t xml:space="preserve">Дата регистрации организации</w:t>
            </w:r>
          </w:p>
        </w:tc>
        <w:tc>
          <w:tcPr>
            <w:tcW w:w="906" w:type="dxa"/>
          </w:tcPr>
          <w:p>
            <w:pPr>
              <w:pStyle w:val="0"/>
            </w:pPr>
            <w:r>
              <w:rPr>
                <w:sz w:val="20"/>
              </w:rPr>
            </w:r>
          </w:p>
        </w:tc>
      </w:tr>
      <w:tr>
        <w:tc>
          <w:tcPr>
            <w:tcW w:w="8164" w:type="dxa"/>
          </w:tcPr>
          <w:p>
            <w:pPr>
              <w:pStyle w:val="0"/>
            </w:pPr>
            <w:r>
              <w:rPr>
                <w:sz w:val="20"/>
              </w:rPr>
              <w:t xml:space="preserve">ИНН</w:t>
            </w:r>
          </w:p>
        </w:tc>
        <w:tc>
          <w:tcPr>
            <w:tcW w:w="906" w:type="dxa"/>
          </w:tcPr>
          <w:p>
            <w:pPr>
              <w:pStyle w:val="0"/>
            </w:pPr>
            <w:r>
              <w:rPr>
                <w:sz w:val="20"/>
              </w:rPr>
            </w:r>
          </w:p>
        </w:tc>
      </w:tr>
      <w:tr>
        <w:tc>
          <w:tcPr>
            <w:tcW w:w="8164" w:type="dxa"/>
          </w:tcPr>
          <w:p>
            <w:pPr>
              <w:pStyle w:val="0"/>
            </w:pPr>
            <w:r>
              <w:rPr>
                <w:sz w:val="20"/>
              </w:rPr>
              <w:t xml:space="preserve">КПП</w:t>
            </w:r>
          </w:p>
        </w:tc>
        <w:tc>
          <w:tcPr>
            <w:tcW w:w="906" w:type="dxa"/>
          </w:tcPr>
          <w:p>
            <w:pPr>
              <w:pStyle w:val="0"/>
            </w:pPr>
            <w:r>
              <w:rPr>
                <w:sz w:val="20"/>
              </w:rPr>
            </w:r>
          </w:p>
        </w:tc>
      </w:tr>
      <w:tr>
        <w:tc>
          <w:tcPr>
            <w:tcW w:w="8164" w:type="dxa"/>
          </w:tcPr>
          <w:p>
            <w:pPr>
              <w:pStyle w:val="0"/>
            </w:pPr>
            <w:r>
              <w:rPr>
                <w:sz w:val="20"/>
              </w:rPr>
              <w:t xml:space="preserve">ОГРН</w:t>
            </w:r>
          </w:p>
        </w:tc>
        <w:tc>
          <w:tcPr>
            <w:tcW w:w="906" w:type="dxa"/>
          </w:tcPr>
          <w:p>
            <w:pPr>
              <w:pStyle w:val="0"/>
            </w:pPr>
            <w:r>
              <w:rPr>
                <w:sz w:val="20"/>
              </w:rPr>
            </w:r>
          </w:p>
        </w:tc>
      </w:tr>
      <w:tr>
        <w:tc>
          <w:tcPr>
            <w:tcW w:w="8164" w:type="dxa"/>
          </w:tcPr>
          <w:p>
            <w:pPr>
              <w:pStyle w:val="0"/>
            </w:pPr>
            <w:r>
              <w:rPr>
                <w:sz w:val="20"/>
              </w:rPr>
              <w:t xml:space="preserve">Адрес (адреса) осуществления фактической деятельности</w:t>
            </w:r>
          </w:p>
        </w:tc>
        <w:tc>
          <w:tcPr>
            <w:tcW w:w="906" w:type="dxa"/>
          </w:tcPr>
          <w:p>
            <w:pPr>
              <w:pStyle w:val="0"/>
            </w:pPr>
            <w:r>
              <w:rPr>
                <w:sz w:val="20"/>
              </w:rPr>
            </w:r>
          </w:p>
        </w:tc>
      </w:tr>
      <w:tr>
        <w:tc>
          <w:tcPr>
            <w:tcW w:w="8164" w:type="dxa"/>
          </w:tcPr>
          <w:p>
            <w:pPr>
              <w:pStyle w:val="0"/>
              <w:jc w:val="both"/>
            </w:pPr>
            <w:r>
              <w:rPr>
                <w:sz w:val="20"/>
              </w:rPr>
              <w:t xml:space="preserve">Почтовый адрес для направления организации юридически значимых сообщений и документов</w:t>
            </w:r>
          </w:p>
        </w:tc>
        <w:tc>
          <w:tcPr>
            <w:tcW w:w="906" w:type="dxa"/>
          </w:tcPr>
          <w:p>
            <w:pPr>
              <w:pStyle w:val="0"/>
            </w:pPr>
            <w:r>
              <w:rPr>
                <w:sz w:val="20"/>
              </w:rPr>
            </w:r>
          </w:p>
        </w:tc>
      </w:tr>
      <w:tr>
        <w:tc>
          <w:tcPr>
            <w:tcW w:w="8164" w:type="dxa"/>
          </w:tcPr>
          <w:p>
            <w:pPr>
              <w:pStyle w:val="0"/>
            </w:pPr>
            <w:r>
              <w:rPr>
                <w:sz w:val="20"/>
              </w:rPr>
              <w:t xml:space="preserve">Адрес электронной почты для направления организации юридически значимых сообщений и документов</w:t>
            </w:r>
          </w:p>
        </w:tc>
        <w:tc>
          <w:tcPr>
            <w:tcW w:w="906" w:type="dxa"/>
          </w:tcPr>
          <w:p>
            <w:pPr>
              <w:pStyle w:val="0"/>
            </w:pPr>
            <w:r>
              <w:rPr>
                <w:sz w:val="20"/>
              </w:rPr>
            </w:r>
          </w:p>
        </w:tc>
      </w:tr>
      <w:tr>
        <w:tc>
          <w:tcPr>
            <w:tcW w:w="8164" w:type="dxa"/>
          </w:tcPr>
          <w:p>
            <w:pPr>
              <w:pStyle w:val="0"/>
            </w:pPr>
            <w:r>
              <w:rPr>
                <w:sz w:val="20"/>
              </w:rPr>
              <w:t xml:space="preserve">Контактный телефон</w:t>
            </w:r>
          </w:p>
        </w:tc>
        <w:tc>
          <w:tcPr>
            <w:tcW w:w="906" w:type="dxa"/>
          </w:tcPr>
          <w:p>
            <w:pPr>
              <w:pStyle w:val="0"/>
            </w:pPr>
            <w:r>
              <w:rPr>
                <w:sz w:val="20"/>
              </w:rPr>
            </w:r>
          </w:p>
        </w:tc>
      </w:tr>
      <w:tr>
        <w:tc>
          <w:tcPr>
            <w:tcW w:w="8164" w:type="dxa"/>
          </w:tcPr>
          <w:p>
            <w:pPr>
              <w:pStyle w:val="0"/>
            </w:pPr>
            <w:r>
              <w:rPr>
                <w:sz w:val="20"/>
              </w:rPr>
              <w:t xml:space="preserve">Основные виды деятельности организации, осуществляемые в соответствии с уставом</w:t>
            </w:r>
          </w:p>
        </w:tc>
        <w:tc>
          <w:tcPr>
            <w:tcW w:w="906" w:type="dxa"/>
          </w:tcPr>
          <w:p>
            <w:pPr>
              <w:pStyle w:val="0"/>
            </w:pPr>
            <w:r>
              <w:rPr>
                <w:sz w:val="20"/>
              </w:rPr>
              <w:t xml:space="preserve">1)...</w:t>
            </w:r>
          </w:p>
          <w:p>
            <w:pPr>
              <w:pStyle w:val="0"/>
            </w:pPr>
            <w:r>
              <w:rPr>
                <w:sz w:val="20"/>
              </w:rPr>
              <w:t xml:space="preserve">2)...</w:t>
            </w:r>
          </w:p>
          <w:p>
            <w:pPr>
              <w:pStyle w:val="0"/>
            </w:pPr>
            <w:r>
              <w:rPr>
                <w:sz w:val="20"/>
              </w:rPr>
              <w:t xml:space="preserve">3)...</w:t>
            </w:r>
          </w:p>
        </w:tc>
      </w:tr>
      <w:tr>
        <w:tc>
          <w:tcPr>
            <w:tcW w:w="8164" w:type="dxa"/>
          </w:tcPr>
          <w:p>
            <w:pPr>
              <w:pStyle w:val="0"/>
            </w:pPr>
            <w:r>
              <w:rPr>
                <w:sz w:val="20"/>
              </w:rPr>
              <w:t xml:space="preserve">Срок непрерывного осуществления вида деятельности</w:t>
            </w:r>
          </w:p>
        </w:tc>
        <w:tc>
          <w:tcPr>
            <w:tcW w:w="906" w:type="dxa"/>
          </w:tcPr>
          <w:p>
            <w:pPr>
              <w:pStyle w:val="0"/>
            </w:pPr>
            <w:r>
              <w:rPr>
                <w:sz w:val="20"/>
              </w:rPr>
            </w:r>
          </w:p>
        </w:tc>
      </w:tr>
      <w:tr>
        <w:tc>
          <w:tcPr>
            <w:tcW w:w="8164" w:type="dxa"/>
          </w:tcPr>
          <w:p>
            <w:pPr>
              <w:pStyle w:val="0"/>
            </w:pPr>
            <w:r>
              <w:rPr>
                <w:sz w:val="20"/>
              </w:rPr>
              <w:t xml:space="preserve">Организация в сети Интернет: Веб-сайт (если у организации нет сайта, следует написать "нет")</w:t>
            </w:r>
          </w:p>
        </w:tc>
        <w:tc>
          <w:tcPr>
            <w:tcW w:w="906" w:type="dxa"/>
          </w:tcPr>
          <w:p>
            <w:pPr>
              <w:pStyle w:val="0"/>
            </w:pPr>
            <w:r>
              <w:rPr>
                <w:sz w:val="20"/>
              </w:rPr>
            </w:r>
          </w:p>
        </w:tc>
      </w:tr>
      <w:tr>
        <w:tc>
          <w:tcPr>
            <w:tcW w:w="8164" w:type="dxa"/>
          </w:tcPr>
          <w:p>
            <w:pPr>
              <w:pStyle w:val="0"/>
            </w:pPr>
            <w:r>
              <w:rPr>
                <w:sz w:val="20"/>
              </w:rPr>
              <w:t xml:space="preserve">Группы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"нет")</w:t>
            </w:r>
          </w:p>
        </w:tc>
        <w:tc>
          <w:tcPr>
            <w:tcW w:w="906" w:type="dxa"/>
          </w:tcPr>
          <w:p>
            <w:pPr>
              <w:pStyle w:val="0"/>
            </w:pPr>
            <w:r>
              <w:rPr>
                <w:sz w:val="20"/>
              </w:rPr>
            </w:r>
          </w:p>
        </w:tc>
      </w:tr>
      <w:tr>
        <w:tc>
          <w:tcPr>
            <w:tcW w:w="8164" w:type="dxa"/>
          </w:tcPr>
          <w:p>
            <w:pPr>
              <w:pStyle w:val="0"/>
            </w:pPr>
            <w:r>
              <w:rPr>
                <w:sz w:val="20"/>
              </w:rPr>
              <w:t xml:space="preserve">Ф.И.О. и должность руководителя организации</w:t>
            </w:r>
          </w:p>
        </w:tc>
        <w:tc>
          <w:tcPr>
            <w:tcW w:w="906" w:type="dxa"/>
          </w:tcPr>
          <w:p>
            <w:pPr>
              <w:pStyle w:val="0"/>
            </w:pPr>
            <w:r>
              <w:rPr>
                <w:sz w:val="20"/>
              </w:rPr>
            </w:r>
          </w:p>
        </w:tc>
      </w:tr>
      <w:tr>
        <w:tc>
          <w:tcPr>
            <w:tcW w:w="8164" w:type="dxa"/>
          </w:tcPr>
          <w:p>
            <w:pPr>
              <w:pStyle w:val="0"/>
            </w:pPr>
            <w:r>
              <w:rPr>
                <w:sz w:val="20"/>
              </w:rPr>
              <w:t xml:space="preserve">Информация о наличии коллегиального органа управления (при отсутствии такого органа отметка не ставится. Общее собрание членов организации коллегиальным органом не является)</w:t>
            </w:r>
          </w:p>
        </w:tc>
        <w:tc>
          <w:tcPr>
            <w:tcW w:w="906" w:type="dxa"/>
          </w:tcPr>
          <w:p>
            <w:pPr>
              <w:pStyle w:val="0"/>
            </w:pPr>
            <w:r>
              <w:rPr>
                <w:sz w:val="20"/>
              </w:rPr>
            </w:r>
          </w:p>
        </w:tc>
      </w:tr>
      <w:tr>
        <w:tc>
          <w:tcPr>
            <w:tcW w:w="8164" w:type="dxa"/>
          </w:tcPr>
          <w:p>
            <w:pPr>
              <w:pStyle w:val="0"/>
            </w:pPr>
            <w:r>
              <w:rPr>
                <w:sz w:val="20"/>
              </w:rPr>
              <w:t xml:space="preserve">Главный бухгалтер, если ведение бухгалтерского учета возложено на главного бухгалтера организации</w:t>
            </w:r>
          </w:p>
        </w:tc>
        <w:tc>
          <w:tcPr>
            <w:tcW w:w="906" w:type="dxa"/>
          </w:tcPr>
          <w:p>
            <w:pPr>
              <w:pStyle w:val="0"/>
            </w:pPr>
            <w:r>
              <w:rPr>
                <w:sz w:val="20"/>
              </w:rPr>
            </w:r>
          </w:p>
        </w:tc>
      </w:tr>
      <w:tr>
        <w:tc>
          <w:tcPr>
            <w:tcW w:w="8164" w:type="dxa"/>
          </w:tcPr>
          <w:p>
            <w:pPr>
              <w:pStyle w:val="0"/>
            </w:pPr>
            <w:r>
              <w:rPr>
                <w:sz w:val="20"/>
              </w:rPr>
              <w:t xml:space="preserve">Имеющиеся в распоряжении организации материально-технические ресурсы</w:t>
            </w:r>
          </w:p>
        </w:tc>
        <w:tc>
          <w:tcPr>
            <w:tcW w:w="906" w:type="dxa"/>
          </w:tcPr>
          <w:p>
            <w:pPr>
              <w:pStyle w:val="0"/>
            </w:pPr>
            <w:r>
              <w:rPr>
                <w:sz w:val="20"/>
              </w:rPr>
            </w:r>
          </w:p>
        </w:tc>
      </w:tr>
      <w:tr>
        <w:tc>
          <w:tcPr>
            <w:tcW w:w="8164" w:type="dxa"/>
          </w:tcPr>
          <w:p>
            <w:pPr>
              <w:pStyle w:val="0"/>
            </w:pPr>
            <w:r>
              <w:rPr>
                <w:sz w:val="20"/>
              </w:rPr>
              <w:t xml:space="preserve">Публикации в СМИ за последние три года с информацией о деятельности организации (по желанию организации можно указать ссылки на публикации):</w:t>
            </w:r>
          </w:p>
        </w:tc>
        <w:tc>
          <w:tcPr>
            <w:tcW w:w="9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2. Информация о мероприятиях по созданию и (или) модернизации приютов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62"/>
        <w:gridCol w:w="4762"/>
      </w:tblGrid>
      <w:tr>
        <w:tc>
          <w:tcPr>
            <w:tcW w:w="4262" w:type="dxa"/>
          </w:tcPr>
          <w:p>
            <w:pPr>
              <w:pStyle w:val="0"/>
              <w:jc w:val="center"/>
            </w:pPr>
            <w:r>
              <w:rPr>
                <w:sz w:val="20"/>
              </w:rPr>
              <w:t xml:space="preserve">Вид деятельности</w:t>
            </w:r>
          </w:p>
        </w:tc>
        <w:tc>
          <w:tcPr>
            <w:tcW w:w="4762" w:type="dxa"/>
          </w:tcPr>
          <w:p>
            <w:pPr>
              <w:pStyle w:val="0"/>
              <w:jc w:val="center"/>
            </w:pPr>
            <w:r>
              <w:rPr>
                <w:sz w:val="20"/>
              </w:rPr>
              <w:t xml:space="preserve">Создание и (или) модернизация приютов для животных в целях осуществления деятельности по содержанию животных, в том числе животных без владельцев</w:t>
            </w:r>
          </w:p>
        </w:tc>
      </w:tr>
      <w:tr>
        <w:tc>
          <w:tcPr>
            <w:tcW w:w="4262" w:type="dxa"/>
          </w:tcPr>
          <w:p>
            <w:pPr>
              <w:pStyle w:val="0"/>
            </w:pPr>
            <w:r>
              <w:rPr>
                <w:sz w:val="20"/>
              </w:rPr>
              <w:t xml:space="preserve">Краткое описание мероприятий по созданию и (или) модернизации приюта, отражающее основную идею, целевую аудиторию, содержание и наиболее значимые ожидаемые результаты. Текст краткого описания будет общедоступным (в том числе в форме публикаций в СМИ и в сети Интернет)</w:t>
            </w:r>
          </w:p>
        </w:tc>
        <w:tc>
          <w:tcPr>
            <w:tcW w:w="4762" w:type="dxa"/>
          </w:tcPr>
          <w:p>
            <w:pPr>
              <w:pStyle w:val="0"/>
            </w:pPr>
            <w:r>
              <w:rPr>
                <w:sz w:val="20"/>
              </w:rPr>
              <w:t xml:space="preserve">(не более 3000 символов)</w:t>
            </w:r>
          </w:p>
        </w:tc>
      </w:tr>
      <w:tr>
        <w:tc>
          <w:tcPr>
            <w:tcW w:w="4262" w:type="dxa"/>
          </w:tcPr>
          <w:p>
            <w:pPr>
              <w:pStyle w:val="0"/>
            </w:pPr>
            <w:r>
              <w:rPr>
                <w:sz w:val="20"/>
              </w:rPr>
              <w:t xml:space="preserve">География мероприятий по созданию и (или) модернизации приютов (Приморский край, одно или несколько муниципальных образований). В случае если в уставе организации указана конкретная территория ее деятельности, такое ограничение должно быть учтено при определении географии мероприятий</w:t>
            </w:r>
          </w:p>
        </w:tc>
        <w:tc>
          <w:tcPr>
            <w:tcW w:w="4762" w:type="dxa"/>
          </w:tcPr>
          <w:p>
            <w:pPr>
              <w:pStyle w:val="0"/>
            </w:pPr>
            <w:r>
              <w:rPr>
                <w:sz w:val="20"/>
              </w:rPr>
              <w:t xml:space="preserve">(не более 1000 символов)</w:t>
            </w:r>
          </w:p>
        </w:tc>
      </w:tr>
      <w:tr>
        <w:tc>
          <w:tcPr>
            <w:tcW w:w="4262" w:type="dxa"/>
          </w:tcPr>
          <w:p>
            <w:pPr>
              <w:pStyle w:val="0"/>
            </w:pPr>
            <w:r>
              <w:rPr>
                <w:sz w:val="20"/>
              </w:rPr>
              <w:t xml:space="preserve">Дата начала реализации мероприятий по созданию и (или) модернизации приютов (не ранее даты заключения договора)</w:t>
            </w:r>
          </w:p>
        </w:tc>
        <w:tc>
          <w:tcPr>
            <w:tcW w:w="4762" w:type="dxa"/>
          </w:tcPr>
          <w:p>
            <w:pPr>
              <w:pStyle w:val="0"/>
            </w:pPr>
            <w:r>
              <w:rPr>
                <w:sz w:val="20"/>
              </w:rPr>
              <w:t xml:space="preserve">(дд.мм.гггг.)</w:t>
            </w:r>
          </w:p>
        </w:tc>
      </w:tr>
      <w:tr>
        <w:tc>
          <w:tcPr>
            <w:tcW w:w="4262" w:type="dxa"/>
          </w:tcPr>
          <w:p>
            <w:pPr>
              <w:pStyle w:val="0"/>
            </w:pPr>
            <w:r>
              <w:rPr>
                <w:sz w:val="20"/>
              </w:rPr>
              <w:t xml:space="preserve">Дата окончания реализации мероприятий по созданию и (или) модернизации приютов (не позднее 18 месяцев с даты заключения соглашения)</w:t>
            </w:r>
          </w:p>
        </w:tc>
        <w:tc>
          <w:tcPr>
            <w:tcW w:w="4762" w:type="dxa"/>
          </w:tcPr>
          <w:p>
            <w:pPr>
              <w:pStyle w:val="0"/>
            </w:pPr>
            <w:r>
              <w:rPr>
                <w:sz w:val="20"/>
              </w:rPr>
              <w:t xml:space="preserve">(дд.мм.гггг.)</w:t>
            </w:r>
          </w:p>
        </w:tc>
      </w:tr>
      <w:tr>
        <w:tc>
          <w:tcPr>
            <w:tcW w:w="4262" w:type="dxa"/>
          </w:tcPr>
          <w:p>
            <w:pPr>
              <w:pStyle w:val="0"/>
            </w:pPr>
            <w:r>
              <w:rPr>
                <w:sz w:val="20"/>
              </w:rPr>
              <w:t xml:space="preserve">Организация информационного сопровождения социального проекта в целом и его ключевых мероприятий в СМИ и в сети Интернет</w:t>
            </w:r>
          </w:p>
        </w:tc>
        <w:tc>
          <w:tcPr>
            <w:tcW w:w="4762" w:type="dxa"/>
          </w:tcPr>
          <w:p>
            <w:pPr>
              <w:pStyle w:val="0"/>
            </w:pPr>
            <w:r>
              <w:rPr>
                <w:sz w:val="20"/>
              </w:rPr>
              <w:t xml:space="preserve">(не более 1000 символов)</w:t>
            </w:r>
          </w:p>
        </w:tc>
      </w:tr>
      <w:tr>
        <w:tc>
          <w:tcPr>
            <w:tcW w:w="4262" w:type="dxa"/>
          </w:tcPr>
          <w:p>
            <w:pPr>
              <w:pStyle w:val="0"/>
            </w:pPr>
            <w:r>
              <w:rPr>
                <w:sz w:val="20"/>
              </w:rPr>
              <w:t xml:space="preserve">Видео о мероприятиях по созданию и (или) модернизации приюта. Заполняется по желанию организации. Можно указать до трех ссылок</w:t>
            </w:r>
          </w:p>
        </w:tc>
        <w:tc>
          <w:tcPr>
            <w:tcW w:w="476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3. Календарный план реализации проекта</w:t>
            </w:r>
          </w:p>
        </w:tc>
      </w:tr>
      <w:tr>
        <w:tc>
          <w:tcPr>
            <w:tcW w:w="9070" w:type="dxa"/>
            <w:tcBorders>
              <w:top w:val="nil"/>
              <w:left w:val="nil"/>
              <w:bottom w:val="nil"/>
              <w:right w:val="nil"/>
            </w:tcBorders>
          </w:tcPr>
          <w:p>
            <w:pPr>
              <w:pStyle w:val="0"/>
              <w:jc w:val="both"/>
            </w:pPr>
            <w:r>
              <w:rPr>
                <w:sz w:val="20"/>
              </w:rPr>
              <w:t xml:space="preserve">Для завершения подготовки заявления необходимо указать даты всех заявленных мероприятий в календарном плане.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191"/>
        <w:gridCol w:w="1755"/>
        <w:gridCol w:w="885"/>
        <w:gridCol w:w="1095"/>
        <w:gridCol w:w="1425"/>
        <w:gridCol w:w="2139"/>
      </w:tblGrid>
      <w:tr>
        <w:tc>
          <w:tcPr>
            <w:tcW w:w="566" w:type="dxa"/>
          </w:tcPr>
          <w:p>
            <w:pPr>
              <w:pStyle w:val="0"/>
              <w:jc w:val="center"/>
            </w:pPr>
            <w:r>
              <w:rPr>
                <w:sz w:val="20"/>
              </w:rPr>
              <w:t xml:space="preserve">N п/п</w:t>
            </w:r>
          </w:p>
        </w:tc>
        <w:tc>
          <w:tcPr>
            <w:tcW w:w="1191" w:type="dxa"/>
          </w:tcPr>
          <w:p>
            <w:pPr>
              <w:pStyle w:val="0"/>
              <w:jc w:val="center"/>
            </w:pPr>
            <w:r>
              <w:rPr>
                <w:sz w:val="20"/>
              </w:rPr>
              <w:t xml:space="preserve">Решаемая задача</w:t>
            </w:r>
          </w:p>
        </w:tc>
        <w:tc>
          <w:tcPr>
            <w:tcW w:w="1755" w:type="dxa"/>
          </w:tcPr>
          <w:p>
            <w:pPr>
              <w:pStyle w:val="0"/>
              <w:jc w:val="center"/>
            </w:pPr>
            <w:r>
              <w:rPr>
                <w:sz w:val="20"/>
              </w:rPr>
              <w:t xml:space="preserve">Наименование мероприятия</w:t>
            </w:r>
          </w:p>
        </w:tc>
        <w:tc>
          <w:tcPr>
            <w:tcW w:w="885" w:type="dxa"/>
          </w:tcPr>
          <w:p>
            <w:pPr>
              <w:pStyle w:val="0"/>
              <w:jc w:val="center"/>
            </w:pPr>
            <w:r>
              <w:rPr>
                <w:sz w:val="20"/>
              </w:rPr>
              <w:t xml:space="preserve">Дата начала</w:t>
            </w:r>
          </w:p>
        </w:tc>
        <w:tc>
          <w:tcPr>
            <w:tcW w:w="1095" w:type="dxa"/>
          </w:tcPr>
          <w:p>
            <w:pPr>
              <w:pStyle w:val="0"/>
              <w:jc w:val="center"/>
            </w:pPr>
            <w:r>
              <w:rPr>
                <w:sz w:val="20"/>
              </w:rPr>
              <w:t xml:space="preserve">Дата завершения</w:t>
            </w:r>
          </w:p>
        </w:tc>
        <w:tc>
          <w:tcPr>
            <w:tcW w:w="1425" w:type="dxa"/>
          </w:tcPr>
          <w:p>
            <w:pPr>
              <w:pStyle w:val="0"/>
              <w:jc w:val="center"/>
            </w:pPr>
            <w:r>
              <w:rPr>
                <w:sz w:val="20"/>
              </w:rPr>
              <w:t xml:space="preserve">География проведения</w:t>
            </w:r>
          </w:p>
        </w:tc>
        <w:tc>
          <w:tcPr>
            <w:tcW w:w="2139" w:type="dxa"/>
          </w:tcPr>
          <w:p>
            <w:pPr>
              <w:pStyle w:val="0"/>
              <w:jc w:val="center"/>
            </w:pPr>
            <w:r>
              <w:rPr>
                <w:sz w:val="20"/>
              </w:rPr>
              <w:t xml:space="preserve">Ожидаемые итоги (с указанием результатов предоставления субсидии)</w:t>
            </w:r>
          </w:p>
        </w:tc>
      </w:tr>
      <w:tr>
        <w:tc>
          <w:tcPr>
            <w:tcW w:w="566" w:type="dxa"/>
          </w:tcPr>
          <w:p>
            <w:pPr>
              <w:pStyle w:val="0"/>
            </w:pPr>
            <w:r>
              <w:rPr>
                <w:sz w:val="20"/>
              </w:rPr>
            </w:r>
          </w:p>
        </w:tc>
        <w:tc>
          <w:tcPr>
            <w:tcW w:w="1191" w:type="dxa"/>
          </w:tcPr>
          <w:p>
            <w:pPr>
              <w:pStyle w:val="0"/>
            </w:pPr>
            <w:r>
              <w:rPr>
                <w:sz w:val="20"/>
              </w:rPr>
            </w:r>
          </w:p>
        </w:tc>
        <w:tc>
          <w:tcPr>
            <w:tcW w:w="1755" w:type="dxa"/>
          </w:tcPr>
          <w:p>
            <w:pPr>
              <w:pStyle w:val="0"/>
            </w:pPr>
            <w:r>
              <w:rPr>
                <w:sz w:val="20"/>
              </w:rPr>
            </w:r>
          </w:p>
        </w:tc>
        <w:tc>
          <w:tcPr>
            <w:tcW w:w="885" w:type="dxa"/>
          </w:tcPr>
          <w:p>
            <w:pPr>
              <w:pStyle w:val="0"/>
            </w:pPr>
            <w:r>
              <w:rPr>
                <w:sz w:val="20"/>
              </w:rPr>
            </w:r>
          </w:p>
        </w:tc>
        <w:tc>
          <w:tcPr>
            <w:tcW w:w="1095" w:type="dxa"/>
          </w:tcPr>
          <w:p>
            <w:pPr>
              <w:pStyle w:val="0"/>
            </w:pPr>
            <w:r>
              <w:rPr>
                <w:sz w:val="20"/>
              </w:rPr>
            </w:r>
          </w:p>
        </w:tc>
        <w:tc>
          <w:tcPr>
            <w:tcW w:w="1425" w:type="dxa"/>
          </w:tcPr>
          <w:p>
            <w:pPr>
              <w:pStyle w:val="0"/>
            </w:pPr>
            <w:r>
              <w:rPr>
                <w:sz w:val="20"/>
              </w:rPr>
            </w:r>
          </w:p>
        </w:tc>
        <w:tc>
          <w:tcPr>
            <w:tcW w:w="2139" w:type="dxa"/>
          </w:tcPr>
          <w:p>
            <w:pPr>
              <w:pStyle w:val="0"/>
            </w:pPr>
            <w:r>
              <w:rPr>
                <w:sz w:val="20"/>
              </w:rPr>
            </w:r>
          </w:p>
        </w:tc>
      </w:tr>
      <w:tr>
        <w:tc>
          <w:tcPr>
            <w:tcW w:w="566" w:type="dxa"/>
          </w:tcPr>
          <w:p>
            <w:pPr>
              <w:pStyle w:val="0"/>
            </w:pPr>
            <w:r>
              <w:rPr>
                <w:sz w:val="20"/>
              </w:rPr>
              <w:t xml:space="preserve">2</w:t>
            </w:r>
          </w:p>
        </w:tc>
        <w:tc>
          <w:tcPr>
            <w:tcW w:w="1191" w:type="dxa"/>
          </w:tcPr>
          <w:p>
            <w:pPr>
              <w:pStyle w:val="0"/>
            </w:pPr>
            <w:r>
              <w:rPr>
                <w:sz w:val="20"/>
              </w:rPr>
            </w:r>
          </w:p>
        </w:tc>
        <w:tc>
          <w:tcPr>
            <w:tcW w:w="1755" w:type="dxa"/>
          </w:tcPr>
          <w:p>
            <w:pPr>
              <w:pStyle w:val="0"/>
            </w:pPr>
            <w:r>
              <w:rPr>
                <w:sz w:val="20"/>
              </w:rPr>
            </w:r>
          </w:p>
        </w:tc>
        <w:tc>
          <w:tcPr>
            <w:tcW w:w="885" w:type="dxa"/>
          </w:tcPr>
          <w:p>
            <w:pPr>
              <w:pStyle w:val="0"/>
            </w:pPr>
            <w:r>
              <w:rPr>
                <w:sz w:val="20"/>
              </w:rPr>
            </w:r>
          </w:p>
        </w:tc>
        <w:tc>
          <w:tcPr>
            <w:tcW w:w="1095" w:type="dxa"/>
          </w:tcPr>
          <w:p>
            <w:pPr>
              <w:pStyle w:val="0"/>
            </w:pPr>
            <w:r>
              <w:rPr>
                <w:sz w:val="20"/>
              </w:rPr>
            </w:r>
          </w:p>
        </w:tc>
        <w:tc>
          <w:tcPr>
            <w:tcW w:w="1425" w:type="dxa"/>
          </w:tcPr>
          <w:p>
            <w:pPr>
              <w:pStyle w:val="0"/>
            </w:pPr>
            <w:r>
              <w:rPr>
                <w:sz w:val="20"/>
              </w:rPr>
            </w:r>
          </w:p>
        </w:tc>
        <w:tc>
          <w:tcPr>
            <w:tcW w:w="2139" w:type="dxa"/>
          </w:tcPr>
          <w:p>
            <w:pPr>
              <w:pStyle w:val="0"/>
            </w:pPr>
            <w:r>
              <w:rPr>
                <w:sz w:val="20"/>
              </w:rPr>
            </w:r>
          </w:p>
        </w:tc>
      </w:tr>
      <w:tr>
        <w:tc>
          <w:tcPr>
            <w:tcW w:w="566" w:type="dxa"/>
          </w:tcPr>
          <w:p>
            <w:pPr>
              <w:pStyle w:val="0"/>
            </w:pPr>
            <w:r>
              <w:rPr>
                <w:sz w:val="20"/>
              </w:rPr>
              <w:t xml:space="preserve">...</w:t>
            </w:r>
          </w:p>
        </w:tc>
        <w:tc>
          <w:tcPr>
            <w:tcW w:w="1191" w:type="dxa"/>
          </w:tcPr>
          <w:p>
            <w:pPr>
              <w:pStyle w:val="0"/>
            </w:pPr>
            <w:r>
              <w:rPr>
                <w:sz w:val="20"/>
              </w:rPr>
            </w:r>
          </w:p>
        </w:tc>
        <w:tc>
          <w:tcPr>
            <w:tcW w:w="1755" w:type="dxa"/>
          </w:tcPr>
          <w:p>
            <w:pPr>
              <w:pStyle w:val="0"/>
            </w:pPr>
            <w:r>
              <w:rPr>
                <w:sz w:val="20"/>
              </w:rPr>
            </w:r>
          </w:p>
        </w:tc>
        <w:tc>
          <w:tcPr>
            <w:tcW w:w="885" w:type="dxa"/>
          </w:tcPr>
          <w:p>
            <w:pPr>
              <w:pStyle w:val="0"/>
            </w:pPr>
            <w:r>
              <w:rPr>
                <w:sz w:val="20"/>
              </w:rPr>
            </w:r>
          </w:p>
        </w:tc>
        <w:tc>
          <w:tcPr>
            <w:tcW w:w="1095" w:type="dxa"/>
          </w:tcPr>
          <w:p>
            <w:pPr>
              <w:pStyle w:val="0"/>
            </w:pPr>
            <w:r>
              <w:rPr>
                <w:sz w:val="20"/>
              </w:rPr>
            </w:r>
          </w:p>
        </w:tc>
        <w:tc>
          <w:tcPr>
            <w:tcW w:w="1425" w:type="dxa"/>
          </w:tcPr>
          <w:p>
            <w:pPr>
              <w:pStyle w:val="0"/>
            </w:pPr>
            <w:r>
              <w:rPr>
                <w:sz w:val="20"/>
              </w:rPr>
            </w:r>
          </w:p>
        </w:tc>
        <w:tc>
          <w:tcPr>
            <w:tcW w:w="213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4. К настоящему заявлению прилагаются следующие документы: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5"/>
        <w:gridCol w:w="6638"/>
        <w:gridCol w:w="1757"/>
      </w:tblGrid>
      <w:tr>
        <w:tc>
          <w:tcPr>
            <w:tcW w:w="655" w:type="dxa"/>
          </w:tcPr>
          <w:p>
            <w:pPr>
              <w:pStyle w:val="0"/>
              <w:jc w:val="center"/>
            </w:pPr>
            <w:r>
              <w:rPr>
                <w:sz w:val="20"/>
              </w:rPr>
              <w:t xml:space="preserve">N п/п</w:t>
            </w:r>
          </w:p>
        </w:tc>
        <w:tc>
          <w:tcPr>
            <w:tcW w:w="6638" w:type="dxa"/>
          </w:tcPr>
          <w:p>
            <w:pPr>
              <w:pStyle w:val="0"/>
              <w:jc w:val="center"/>
            </w:pPr>
            <w:r>
              <w:rPr>
                <w:sz w:val="20"/>
              </w:rPr>
              <w:t xml:space="preserve">Наименование документа</w:t>
            </w:r>
          </w:p>
        </w:tc>
        <w:tc>
          <w:tcPr>
            <w:tcW w:w="1757" w:type="dxa"/>
          </w:tcPr>
          <w:p>
            <w:pPr>
              <w:pStyle w:val="0"/>
              <w:jc w:val="center"/>
            </w:pPr>
            <w:r>
              <w:rPr>
                <w:sz w:val="20"/>
              </w:rPr>
              <w:t xml:space="preserve">Количество листов</w:t>
            </w:r>
          </w:p>
        </w:tc>
      </w:tr>
      <w:tr>
        <w:tc>
          <w:tcPr>
            <w:tcW w:w="655" w:type="dxa"/>
          </w:tcPr>
          <w:p>
            <w:pPr>
              <w:pStyle w:val="0"/>
            </w:pPr>
            <w:r>
              <w:rPr>
                <w:sz w:val="20"/>
              </w:rPr>
            </w:r>
          </w:p>
        </w:tc>
        <w:tc>
          <w:tcPr>
            <w:tcW w:w="6638" w:type="dxa"/>
          </w:tcPr>
          <w:p>
            <w:pPr>
              <w:pStyle w:val="0"/>
            </w:pPr>
            <w:r>
              <w:rPr>
                <w:sz w:val="20"/>
              </w:rPr>
            </w:r>
          </w:p>
        </w:tc>
        <w:tc>
          <w:tcPr>
            <w:tcW w:w="1757" w:type="dxa"/>
          </w:tcPr>
          <w:p>
            <w:pPr>
              <w:pStyle w:val="0"/>
            </w:pPr>
            <w:r>
              <w:rPr>
                <w:sz w:val="20"/>
              </w:rPr>
            </w:r>
          </w:p>
        </w:tc>
      </w:tr>
      <w:tr>
        <w:tc>
          <w:tcPr>
            <w:tcW w:w="655" w:type="dxa"/>
          </w:tcPr>
          <w:p>
            <w:pPr>
              <w:pStyle w:val="0"/>
            </w:pPr>
            <w:r>
              <w:rPr>
                <w:sz w:val="20"/>
              </w:rPr>
            </w:r>
          </w:p>
        </w:tc>
        <w:tc>
          <w:tcPr>
            <w:tcW w:w="6638" w:type="dxa"/>
          </w:tcPr>
          <w:p>
            <w:pPr>
              <w:pStyle w:val="0"/>
            </w:pPr>
            <w:r>
              <w:rPr>
                <w:sz w:val="20"/>
              </w:rPr>
            </w:r>
          </w:p>
        </w:tc>
        <w:tc>
          <w:tcPr>
            <w:tcW w:w="1757" w:type="dxa"/>
          </w:tcPr>
          <w:p>
            <w:pPr>
              <w:pStyle w:val="0"/>
            </w:pPr>
            <w:r>
              <w:rPr>
                <w:sz w:val="20"/>
              </w:rPr>
            </w:r>
          </w:p>
        </w:tc>
      </w:tr>
      <w:tr>
        <w:tc>
          <w:tcPr>
            <w:tcW w:w="655" w:type="dxa"/>
          </w:tcPr>
          <w:p>
            <w:pPr>
              <w:pStyle w:val="0"/>
            </w:pPr>
            <w:r>
              <w:rPr>
                <w:sz w:val="20"/>
              </w:rPr>
            </w:r>
          </w:p>
        </w:tc>
        <w:tc>
          <w:tcPr>
            <w:tcW w:w="6638" w:type="dxa"/>
          </w:tcPr>
          <w:p>
            <w:pPr>
              <w:pStyle w:val="0"/>
            </w:pPr>
            <w:r>
              <w:rPr>
                <w:sz w:val="20"/>
              </w:rPr>
            </w:r>
          </w:p>
        </w:tc>
        <w:tc>
          <w:tcPr>
            <w:tcW w:w="17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77"/>
        <w:gridCol w:w="2204"/>
        <w:gridCol w:w="2789"/>
      </w:tblGrid>
      <w:tr>
        <w:tc>
          <w:tcPr>
            <w:gridSpan w:val="3"/>
            <w:tcW w:w="9070" w:type="dxa"/>
            <w:tcBorders>
              <w:top w:val="nil"/>
              <w:left w:val="nil"/>
              <w:bottom w:val="nil"/>
              <w:right w:val="nil"/>
            </w:tcBorders>
          </w:tcPr>
          <w:p>
            <w:pPr>
              <w:pStyle w:val="0"/>
              <w:ind w:firstLine="283"/>
              <w:jc w:val="both"/>
            </w:pPr>
            <w:r>
              <w:rPr>
                <w:sz w:val="20"/>
              </w:rPr>
              <w:t xml:space="preserve">5. Настоящим подтверждаю:</w:t>
            </w:r>
          </w:p>
          <w:p>
            <w:pPr>
              <w:pStyle w:val="0"/>
              <w:ind w:firstLine="283"/>
              <w:jc w:val="both"/>
            </w:pPr>
            <w:r>
              <w:rPr>
                <w:sz w:val="20"/>
              </w:rPr>
              <w:t xml:space="preserve">1) организация-заявитель ознакомлена и согласна с условиями, установленными Порядком предоставления в 2023 году субсидий из краевого бюджета социально ориентированным некоммерческим организациям на создание и (или) модернизацию приютов для животных в целях осуществления деятельности по содержанию животных, в том числе животных без владельцев, утвержденным постановлением Правительства Приморского края (далее - Порядок);</w:t>
            </w:r>
          </w:p>
          <w:p>
            <w:pPr>
              <w:pStyle w:val="0"/>
              <w:ind w:firstLine="283"/>
              <w:jc w:val="both"/>
            </w:pPr>
            <w:r>
              <w:rPr>
                <w:sz w:val="20"/>
              </w:rPr>
              <w:t xml:space="preserve">2) организация соответствует критериям и требованиям, установленным Порядком;</w:t>
            </w:r>
          </w:p>
          <w:p>
            <w:pPr>
              <w:pStyle w:val="0"/>
              <w:ind w:firstLine="283"/>
              <w:jc w:val="both"/>
            </w:pPr>
            <w:r>
              <w:rPr>
                <w:sz w:val="20"/>
              </w:rPr>
              <w:t xml:space="preserve">3) достоверность представленной в составе заявления информации;</w:t>
            </w:r>
          </w:p>
          <w:p>
            <w:pPr>
              <w:pStyle w:val="0"/>
              <w:ind w:firstLine="283"/>
              <w:jc w:val="both"/>
            </w:pPr>
            <w:r>
              <w:rPr>
                <w:sz w:val="20"/>
              </w:rPr>
              <w:t xml:space="preserve">4) согласие на передачу и обработку своих персональных данных в соответствии с законодательством Российской Федерации;</w:t>
            </w:r>
          </w:p>
          <w:p>
            <w:pPr>
              <w:pStyle w:val="0"/>
              <w:ind w:firstLine="283"/>
              <w:jc w:val="both"/>
            </w:pPr>
            <w:r>
              <w:rPr>
                <w:sz w:val="20"/>
              </w:rPr>
              <w:t xml:space="preserve">5) согласие на осуществление государственной ветеринарной инспекцией Приморского края (далее -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6) согласие на публикацию (размещение) в информационно-телекоммуникационной сети Интернет информации об организации, о настоящем заявлении, иной информации, связанной с конкурсом;</w:t>
            </w:r>
          </w:p>
          <w:p>
            <w:pPr>
              <w:pStyle w:val="0"/>
              <w:ind w:firstLine="283"/>
              <w:jc w:val="both"/>
            </w:pPr>
            <w:r>
              <w:rPr>
                <w:sz w:val="20"/>
              </w:rPr>
              <w:t xml:space="preserve">7) согласие на заключение соглашения о предоставлении субсидии, заключаемого между инспекцией и организацией (далее - Соглашение), и представление в установленные Порядком сроки отчетности и информации согласно Соглашению в случае признания организации получателем субсидии;</w:t>
            </w:r>
          </w:p>
          <w:p>
            <w:pPr>
              <w:pStyle w:val="0"/>
              <w:ind w:firstLine="283"/>
              <w:jc w:val="both"/>
            </w:pPr>
            <w:r>
              <w:rPr>
                <w:sz w:val="20"/>
              </w:rPr>
              <w:t xml:space="preserve">8) организация не получает в текущем финансовом году средства из краевого бюджета в соответствии с иными нормативными правовыми актами Приморского края на реализацию проекта.</w:t>
            </w:r>
          </w:p>
        </w:tc>
      </w:tr>
      <w:tr>
        <w:tc>
          <w:tcPr>
            <w:tcW w:w="4077" w:type="dxa"/>
            <w:tcBorders>
              <w:top w:val="nil"/>
              <w:left w:val="nil"/>
              <w:bottom w:val="nil"/>
              <w:right w:val="nil"/>
            </w:tcBorders>
          </w:tcPr>
          <w:p>
            <w:pPr>
              <w:pStyle w:val="0"/>
            </w:pPr>
            <w:r>
              <w:rPr>
                <w:sz w:val="20"/>
              </w:rPr>
              <w:t xml:space="preserve">Руководитель (уполномоченный представитель) организации</w:t>
            </w:r>
          </w:p>
        </w:tc>
        <w:tc>
          <w:tcPr>
            <w:tcW w:w="2204"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2789"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субсидий</w:t>
      </w:r>
    </w:p>
    <w:p>
      <w:pPr>
        <w:pStyle w:val="0"/>
        <w:jc w:val="right"/>
      </w:pPr>
      <w:r>
        <w:rPr>
          <w:sz w:val="20"/>
        </w:rPr>
        <w:t xml:space="preserve">из краевого</w:t>
      </w:r>
    </w:p>
    <w:p>
      <w:pPr>
        <w:pStyle w:val="0"/>
        <w:jc w:val="right"/>
      </w:pPr>
      <w:r>
        <w:rPr>
          <w:sz w:val="20"/>
        </w:rPr>
        <w:t xml:space="preserve">бюджета социально</w:t>
      </w:r>
    </w:p>
    <w:p>
      <w:pPr>
        <w:pStyle w:val="0"/>
        <w:jc w:val="right"/>
      </w:pPr>
      <w:r>
        <w:rPr>
          <w:sz w:val="20"/>
        </w:rPr>
        <w:t xml:space="preserve">ориентированным</w:t>
      </w:r>
    </w:p>
    <w:p>
      <w:pPr>
        <w:pStyle w:val="0"/>
        <w:jc w:val="right"/>
      </w:pPr>
      <w:r>
        <w:rPr>
          <w:sz w:val="20"/>
        </w:rPr>
        <w:t xml:space="preserve">некоммерческим</w:t>
      </w:r>
    </w:p>
    <w:p>
      <w:pPr>
        <w:pStyle w:val="0"/>
        <w:jc w:val="right"/>
      </w:pPr>
      <w:r>
        <w:rPr>
          <w:sz w:val="20"/>
        </w:rPr>
        <w:t xml:space="preserve">организациям</w:t>
      </w:r>
    </w:p>
    <w:p>
      <w:pPr>
        <w:pStyle w:val="0"/>
        <w:jc w:val="right"/>
      </w:pPr>
      <w:r>
        <w:rPr>
          <w:sz w:val="20"/>
        </w:rPr>
        <w:t xml:space="preserve">на создание и (или)</w:t>
      </w:r>
    </w:p>
    <w:p>
      <w:pPr>
        <w:pStyle w:val="0"/>
        <w:jc w:val="right"/>
      </w:pPr>
      <w:r>
        <w:rPr>
          <w:sz w:val="20"/>
        </w:rPr>
        <w:t xml:space="preserve">модернизацию</w:t>
      </w:r>
    </w:p>
    <w:p>
      <w:pPr>
        <w:pStyle w:val="0"/>
        <w:jc w:val="right"/>
      </w:pPr>
      <w:r>
        <w:rPr>
          <w:sz w:val="20"/>
        </w:rPr>
        <w:t xml:space="preserve">приютов для</w:t>
      </w:r>
    </w:p>
    <w:p>
      <w:pPr>
        <w:pStyle w:val="0"/>
        <w:jc w:val="right"/>
      </w:pPr>
      <w:r>
        <w:rPr>
          <w:sz w:val="20"/>
        </w:rPr>
        <w:t xml:space="preserve">животных в целях</w:t>
      </w:r>
    </w:p>
    <w:p>
      <w:pPr>
        <w:pStyle w:val="0"/>
        <w:jc w:val="right"/>
      </w:pPr>
      <w:r>
        <w:rPr>
          <w:sz w:val="20"/>
        </w:rPr>
        <w:t xml:space="preserve">осуществления</w:t>
      </w:r>
    </w:p>
    <w:p>
      <w:pPr>
        <w:pStyle w:val="0"/>
        <w:jc w:val="right"/>
      </w:pPr>
      <w:r>
        <w:rPr>
          <w:sz w:val="20"/>
        </w:rPr>
        <w:t xml:space="preserve">деятельности</w:t>
      </w:r>
    </w:p>
    <w:p>
      <w:pPr>
        <w:pStyle w:val="0"/>
        <w:jc w:val="right"/>
      </w:pPr>
      <w:r>
        <w:rPr>
          <w:sz w:val="20"/>
        </w:rPr>
        <w:t xml:space="preserve">по содержанию</w:t>
      </w:r>
    </w:p>
    <w:p>
      <w:pPr>
        <w:pStyle w:val="0"/>
        <w:jc w:val="right"/>
      </w:pPr>
      <w:r>
        <w:rPr>
          <w:sz w:val="20"/>
        </w:rPr>
        <w:t xml:space="preserve">животных, в том</w:t>
      </w:r>
    </w:p>
    <w:p>
      <w:pPr>
        <w:pStyle w:val="0"/>
        <w:jc w:val="right"/>
      </w:pPr>
      <w:r>
        <w:rPr>
          <w:sz w:val="20"/>
        </w:rPr>
        <w:t xml:space="preserve">числе животных</w:t>
      </w:r>
    </w:p>
    <w:p>
      <w:pPr>
        <w:pStyle w:val="0"/>
        <w:jc w:val="right"/>
      </w:pPr>
      <w:r>
        <w:rPr>
          <w:sz w:val="20"/>
        </w:rPr>
        <w:t xml:space="preserve">без владельцев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86" w:name="P386"/>
          <w:bookmarkEnd w:id="386"/>
          <w:p>
            <w:pPr>
              <w:pStyle w:val="0"/>
              <w:jc w:val="center"/>
            </w:pPr>
            <w:r>
              <w:rPr>
                <w:sz w:val="20"/>
              </w:rPr>
              <w:t xml:space="preserve">СМЕТА</w:t>
            </w:r>
          </w:p>
          <w:p>
            <w:pPr>
              <w:pStyle w:val="0"/>
              <w:jc w:val="center"/>
            </w:pPr>
            <w:r>
              <w:rPr>
                <w:sz w:val="20"/>
              </w:rPr>
              <w:t xml:space="preserve">планируемых расходов социально ориентированной некоммерческой организации на реализацию проекта по созданию и (или) модернизации на территории Приморского края приюта для животных в целях осуществления деятельности по содержанию животных, в том числе животных без владельцев</w:t>
            </w:r>
          </w:p>
          <w:p>
            <w:pPr>
              <w:pStyle w:val="0"/>
              <w:jc w:val="center"/>
            </w:pPr>
            <w:r>
              <w:rPr>
                <w:sz w:val="20"/>
              </w:rPr>
              <w:t xml:space="preserve">_________________________________________________</w:t>
            </w:r>
          </w:p>
          <w:p>
            <w:pPr>
              <w:pStyle w:val="0"/>
              <w:jc w:val="center"/>
            </w:pPr>
            <w:r>
              <w:rPr>
                <w:sz w:val="20"/>
              </w:rPr>
              <w:t xml:space="preserve">на 2023 год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1757"/>
        <w:gridCol w:w="1757"/>
        <w:gridCol w:w="1133"/>
        <w:gridCol w:w="1360"/>
        <w:gridCol w:w="1190"/>
        <w:gridCol w:w="1303"/>
      </w:tblGrid>
      <w:tr>
        <w:tc>
          <w:tcPr>
            <w:tcW w:w="550" w:type="dxa"/>
          </w:tcPr>
          <w:p>
            <w:pPr>
              <w:pStyle w:val="0"/>
              <w:jc w:val="center"/>
            </w:pPr>
            <w:r>
              <w:rPr>
                <w:sz w:val="20"/>
              </w:rPr>
              <w:t xml:space="preserve">N п/п</w:t>
            </w:r>
          </w:p>
        </w:tc>
        <w:tc>
          <w:tcPr>
            <w:tcW w:w="1757" w:type="dxa"/>
          </w:tcPr>
          <w:p>
            <w:pPr>
              <w:pStyle w:val="0"/>
              <w:jc w:val="center"/>
            </w:pPr>
            <w:r>
              <w:rPr>
                <w:sz w:val="20"/>
              </w:rPr>
              <w:t xml:space="preserve">Наименование статьи</w:t>
            </w:r>
          </w:p>
        </w:tc>
        <w:tc>
          <w:tcPr>
            <w:tcW w:w="1757" w:type="dxa"/>
          </w:tcPr>
          <w:p>
            <w:pPr>
              <w:pStyle w:val="0"/>
              <w:jc w:val="center"/>
            </w:pPr>
            <w:r>
              <w:rPr>
                <w:sz w:val="20"/>
              </w:rPr>
              <w:t xml:space="preserve">Направления расходования целевых средств</w:t>
            </w:r>
          </w:p>
        </w:tc>
        <w:tc>
          <w:tcPr>
            <w:tcW w:w="1133" w:type="dxa"/>
          </w:tcPr>
          <w:p>
            <w:pPr>
              <w:pStyle w:val="0"/>
              <w:jc w:val="center"/>
            </w:pPr>
            <w:r>
              <w:rPr>
                <w:sz w:val="20"/>
              </w:rPr>
              <w:t xml:space="preserve">Код целевых средств</w:t>
            </w:r>
          </w:p>
        </w:tc>
        <w:tc>
          <w:tcPr>
            <w:tcW w:w="1360" w:type="dxa"/>
          </w:tcPr>
          <w:p>
            <w:pPr>
              <w:pStyle w:val="0"/>
              <w:jc w:val="center"/>
            </w:pPr>
            <w:r>
              <w:rPr>
                <w:sz w:val="20"/>
              </w:rPr>
              <w:t xml:space="preserve">Общая стоимость, рублей</w:t>
            </w:r>
          </w:p>
        </w:tc>
        <w:tc>
          <w:tcPr>
            <w:tcW w:w="1190" w:type="dxa"/>
          </w:tcPr>
          <w:p>
            <w:pPr>
              <w:pStyle w:val="0"/>
              <w:jc w:val="center"/>
            </w:pPr>
            <w:r>
              <w:rPr>
                <w:sz w:val="20"/>
              </w:rPr>
              <w:t xml:space="preserve">Запрашиваемая сумма, рублей</w:t>
            </w:r>
          </w:p>
        </w:tc>
        <w:tc>
          <w:tcPr>
            <w:tcW w:w="1303" w:type="dxa"/>
          </w:tcPr>
          <w:p>
            <w:pPr>
              <w:pStyle w:val="0"/>
              <w:jc w:val="center"/>
            </w:pPr>
            <w:r>
              <w:rPr>
                <w:sz w:val="20"/>
              </w:rPr>
              <w:t xml:space="preserve">Комментарий</w:t>
            </w:r>
          </w:p>
        </w:tc>
      </w:tr>
      <w:tr>
        <w:tc>
          <w:tcPr>
            <w:tcW w:w="550" w:type="dxa"/>
          </w:tcPr>
          <w:p>
            <w:pPr>
              <w:pStyle w:val="0"/>
            </w:pPr>
            <w:r>
              <w:rPr>
                <w:sz w:val="20"/>
              </w:rPr>
              <w:t xml:space="preserve">1</w:t>
            </w:r>
          </w:p>
        </w:tc>
        <w:tc>
          <w:tcPr>
            <w:tcW w:w="1757" w:type="dxa"/>
          </w:tcPr>
          <w:p>
            <w:pPr>
              <w:pStyle w:val="0"/>
            </w:pPr>
            <w:r>
              <w:rPr>
                <w:sz w:val="20"/>
              </w:rPr>
            </w:r>
          </w:p>
        </w:tc>
        <w:tc>
          <w:tcPr>
            <w:tcW w:w="175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550" w:type="dxa"/>
          </w:tcPr>
          <w:p>
            <w:pPr>
              <w:pStyle w:val="0"/>
            </w:pPr>
            <w:r>
              <w:rPr>
                <w:sz w:val="20"/>
              </w:rPr>
              <w:t xml:space="preserve">2</w:t>
            </w:r>
          </w:p>
        </w:tc>
        <w:tc>
          <w:tcPr>
            <w:tcW w:w="1757" w:type="dxa"/>
          </w:tcPr>
          <w:p>
            <w:pPr>
              <w:pStyle w:val="0"/>
            </w:pPr>
            <w:r>
              <w:rPr>
                <w:sz w:val="20"/>
              </w:rPr>
            </w:r>
          </w:p>
        </w:tc>
        <w:tc>
          <w:tcPr>
            <w:tcW w:w="175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550" w:type="dxa"/>
          </w:tcPr>
          <w:p>
            <w:pPr>
              <w:pStyle w:val="0"/>
            </w:pPr>
            <w:r>
              <w:rPr>
                <w:sz w:val="20"/>
              </w:rPr>
              <w:t xml:space="preserve">3</w:t>
            </w:r>
          </w:p>
        </w:tc>
        <w:tc>
          <w:tcPr>
            <w:tcW w:w="1757" w:type="dxa"/>
          </w:tcPr>
          <w:p>
            <w:pPr>
              <w:pStyle w:val="0"/>
            </w:pPr>
            <w:r>
              <w:rPr>
                <w:sz w:val="20"/>
              </w:rPr>
            </w:r>
          </w:p>
        </w:tc>
        <w:tc>
          <w:tcPr>
            <w:tcW w:w="175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550" w:type="dxa"/>
          </w:tcPr>
          <w:p>
            <w:pPr>
              <w:pStyle w:val="0"/>
            </w:pPr>
            <w:r>
              <w:rPr>
                <w:sz w:val="20"/>
              </w:rPr>
            </w:r>
          </w:p>
        </w:tc>
        <w:tc>
          <w:tcPr>
            <w:tcW w:w="1757" w:type="dxa"/>
          </w:tcPr>
          <w:p>
            <w:pPr>
              <w:pStyle w:val="0"/>
            </w:pPr>
            <w:r>
              <w:rPr>
                <w:sz w:val="20"/>
              </w:rPr>
              <w:t xml:space="preserve">ИТОГО</w:t>
            </w:r>
          </w:p>
        </w:tc>
        <w:tc>
          <w:tcPr>
            <w:tcW w:w="175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1190" w:type="dxa"/>
          </w:tcPr>
          <w:p>
            <w:pPr>
              <w:pStyle w:val="0"/>
            </w:pPr>
            <w:r>
              <w:rPr>
                <w:sz w:val="20"/>
              </w:rPr>
            </w:r>
          </w:p>
        </w:tc>
        <w:tc>
          <w:tcPr>
            <w:tcW w:w="130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2882"/>
        <w:gridCol w:w="2883"/>
      </w:tblGrid>
      <w:tr>
        <w:tc>
          <w:tcPr>
            <w:tcW w:w="3231" w:type="dxa"/>
            <w:tcBorders>
              <w:top w:val="nil"/>
              <w:left w:val="nil"/>
              <w:bottom w:val="nil"/>
              <w:right w:val="nil"/>
            </w:tcBorders>
          </w:tcPr>
          <w:p>
            <w:pPr>
              <w:pStyle w:val="0"/>
            </w:pPr>
            <w:r>
              <w:rPr>
                <w:sz w:val="20"/>
              </w:rPr>
              <w:t xml:space="preserve">Руководитель организации</w:t>
            </w:r>
          </w:p>
        </w:tc>
        <w:tc>
          <w:tcPr>
            <w:tcW w:w="288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2883"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tcW w:w="3231" w:type="dxa"/>
            <w:tcBorders>
              <w:top w:val="nil"/>
              <w:left w:val="nil"/>
              <w:bottom w:val="nil"/>
              <w:right w:val="nil"/>
            </w:tcBorders>
          </w:tcPr>
          <w:p>
            <w:pPr>
              <w:pStyle w:val="0"/>
            </w:pPr>
            <w:r>
              <w:rPr>
                <w:sz w:val="20"/>
              </w:rPr>
              <w:t xml:space="preserve">М.П.</w:t>
            </w:r>
          </w:p>
        </w:tc>
        <w:tc>
          <w:tcPr>
            <w:tcW w:w="2882" w:type="dxa"/>
            <w:tcBorders>
              <w:top w:val="nil"/>
              <w:left w:val="nil"/>
              <w:bottom w:val="nil"/>
              <w:right w:val="nil"/>
            </w:tcBorders>
          </w:tcPr>
          <w:p>
            <w:pPr>
              <w:pStyle w:val="0"/>
            </w:pPr>
            <w:r>
              <w:rPr>
                <w:sz w:val="20"/>
              </w:rPr>
            </w:r>
          </w:p>
        </w:tc>
        <w:tc>
          <w:tcPr>
            <w:tcW w:w="2883" w:type="dxa"/>
            <w:tcBorders>
              <w:top w:val="nil"/>
              <w:left w:val="nil"/>
              <w:bottom w:val="nil"/>
              <w:right w:val="nil"/>
            </w:tcBorders>
          </w:tcPr>
          <w:p>
            <w:pPr>
              <w:pStyle w:val="0"/>
            </w:pPr>
            <w:r>
              <w:rPr>
                <w:sz w:val="20"/>
              </w:rPr>
            </w:r>
          </w:p>
        </w:tc>
      </w:tr>
      <w:tr>
        <w:tc>
          <w:tcPr>
            <w:tcW w:w="3231" w:type="dxa"/>
            <w:tcBorders>
              <w:top w:val="nil"/>
              <w:left w:val="nil"/>
              <w:bottom w:val="nil"/>
              <w:right w:val="nil"/>
            </w:tcBorders>
          </w:tcPr>
          <w:p>
            <w:pPr>
              <w:pStyle w:val="0"/>
            </w:pPr>
            <w:r>
              <w:rPr>
                <w:sz w:val="20"/>
              </w:rPr>
              <w:t xml:space="preserve">Бухгалтер организации (при наличии)</w:t>
            </w:r>
          </w:p>
        </w:tc>
        <w:tc>
          <w:tcPr>
            <w:tcW w:w="288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2883"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субсидий</w:t>
      </w:r>
    </w:p>
    <w:p>
      <w:pPr>
        <w:pStyle w:val="0"/>
        <w:jc w:val="right"/>
      </w:pPr>
      <w:r>
        <w:rPr>
          <w:sz w:val="20"/>
        </w:rPr>
        <w:t xml:space="preserve">из краевого</w:t>
      </w:r>
    </w:p>
    <w:p>
      <w:pPr>
        <w:pStyle w:val="0"/>
        <w:jc w:val="right"/>
      </w:pPr>
      <w:r>
        <w:rPr>
          <w:sz w:val="20"/>
        </w:rPr>
        <w:t xml:space="preserve">бюджета социально</w:t>
      </w:r>
    </w:p>
    <w:p>
      <w:pPr>
        <w:pStyle w:val="0"/>
        <w:jc w:val="right"/>
      </w:pPr>
      <w:r>
        <w:rPr>
          <w:sz w:val="20"/>
        </w:rPr>
        <w:t xml:space="preserve">ориентированным</w:t>
      </w:r>
    </w:p>
    <w:p>
      <w:pPr>
        <w:pStyle w:val="0"/>
        <w:jc w:val="right"/>
      </w:pPr>
      <w:r>
        <w:rPr>
          <w:sz w:val="20"/>
        </w:rPr>
        <w:t xml:space="preserve">некоммерческим</w:t>
      </w:r>
    </w:p>
    <w:p>
      <w:pPr>
        <w:pStyle w:val="0"/>
        <w:jc w:val="right"/>
      </w:pPr>
      <w:r>
        <w:rPr>
          <w:sz w:val="20"/>
        </w:rPr>
        <w:t xml:space="preserve">организациям</w:t>
      </w:r>
    </w:p>
    <w:p>
      <w:pPr>
        <w:pStyle w:val="0"/>
        <w:jc w:val="right"/>
      </w:pPr>
      <w:r>
        <w:rPr>
          <w:sz w:val="20"/>
        </w:rPr>
        <w:t xml:space="preserve">на создание и (или)</w:t>
      </w:r>
    </w:p>
    <w:p>
      <w:pPr>
        <w:pStyle w:val="0"/>
        <w:jc w:val="right"/>
      </w:pPr>
      <w:r>
        <w:rPr>
          <w:sz w:val="20"/>
        </w:rPr>
        <w:t xml:space="preserve">модернизацию</w:t>
      </w:r>
    </w:p>
    <w:p>
      <w:pPr>
        <w:pStyle w:val="0"/>
        <w:jc w:val="right"/>
      </w:pPr>
      <w:r>
        <w:rPr>
          <w:sz w:val="20"/>
        </w:rPr>
        <w:t xml:space="preserve">приютов для</w:t>
      </w:r>
    </w:p>
    <w:p>
      <w:pPr>
        <w:pStyle w:val="0"/>
        <w:jc w:val="right"/>
      </w:pPr>
      <w:r>
        <w:rPr>
          <w:sz w:val="20"/>
        </w:rPr>
        <w:t xml:space="preserve">животных в целях</w:t>
      </w:r>
    </w:p>
    <w:p>
      <w:pPr>
        <w:pStyle w:val="0"/>
        <w:jc w:val="right"/>
      </w:pPr>
      <w:r>
        <w:rPr>
          <w:sz w:val="20"/>
        </w:rPr>
        <w:t xml:space="preserve">осуществления</w:t>
      </w:r>
    </w:p>
    <w:p>
      <w:pPr>
        <w:pStyle w:val="0"/>
        <w:jc w:val="right"/>
      </w:pPr>
      <w:r>
        <w:rPr>
          <w:sz w:val="20"/>
        </w:rPr>
        <w:t xml:space="preserve">деятельности</w:t>
      </w:r>
    </w:p>
    <w:p>
      <w:pPr>
        <w:pStyle w:val="0"/>
        <w:jc w:val="right"/>
      </w:pPr>
      <w:r>
        <w:rPr>
          <w:sz w:val="20"/>
        </w:rPr>
        <w:t xml:space="preserve">по содержанию</w:t>
      </w:r>
    </w:p>
    <w:p>
      <w:pPr>
        <w:pStyle w:val="0"/>
        <w:jc w:val="right"/>
      </w:pPr>
      <w:r>
        <w:rPr>
          <w:sz w:val="20"/>
        </w:rPr>
        <w:t xml:space="preserve">животных, в том</w:t>
      </w:r>
    </w:p>
    <w:p>
      <w:pPr>
        <w:pStyle w:val="0"/>
        <w:jc w:val="right"/>
      </w:pPr>
      <w:r>
        <w:rPr>
          <w:sz w:val="20"/>
        </w:rPr>
        <w:t xml:space="preserve">числе животных</w:t>
      </w:r>
    </w:p>
    <w:p>
      <w:pPr>
        <w:pStyle w:val="0"/>
        <w:jc w:val="right"/>
      </w:pPr>
      <w:r>
        <w:rPr>
          <w:sz w:val="20"/>
        </w:rPr>
        <w:t xml:space="preserve">без владельцев</w:t>
      </w:r>
    </w:p>
    <w:p>
      <w:pPr>
        <w:pStyle w:val="0"/>
        <w:jc w:val="both"/>
      </w:pPr>
      <w:r>
        <w:rPr>
          <w:sz w:val="20"/>
        </w:rPr>
      </w:r>
    </w:p>
    <w:bookmarkStart w:id="465" w:name="P465"/>
    <w:bookmarkEnd w:id="465"/>
    <w:p>
      <w:pPr>
        <w:pStyle w:val="2"/>
        <w:jc w:val="center"/>
      </w:pPr>
      <w:r>
        <w:rPr>
          <w:sz w:val="20"/>
        </w:rPr>
        <w:t xml:space="preserve">КРИТЕРИИ</w:t>
      </w:r>
    </w:p>
    <w:p>
      <w:pPr>
        <w:pStyle w:val="2"/>
        <w:jc w:val="center"/>
      </w:pPr>
      <w:r>
        <w:rPr>
          <w:sz w:val="20"/>
        </w:rPr>
        <w:t xml:space="preserve">ОЦЕНКИ УЧАСТНИКОВ КОНКУРСНОГО ОТБОРА ДЛЯ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РЕАЛИЗУЮЩИМ ПРОЕКТЫ ПО СОЗДАНИЮ И (ИЛИ)</w:t>
      </w:r>
    </w:p>
    <w:p>
      <w:pPr>
        <w:pStyle w:val="2"/>
        <w:jc w:val="center"/>
      </w:pPr>
      <w:r>
        <w:rPr>
          <w:sz w:val="20"/>
        </w:rPr>
        <w:t xml:space="preserve">МОДЕРНИЗАЦИИ ПРИЮТА ДЛЯ ЖИВОТНЫХ В ЦЕЛЯХ ОСУЩЕСТВЛЕНИЯ</w:t>
      </w:r>
    </w:p>
    <w:p>
      <w:pPr>
        <w:pStyle w:val="2"/>
        <w:jc w:val="center"/>
      </w:pPr>
      <w:r>
        <w:rPr>
          <w:sz w:val="20"/>
        </w:rPr>
        <w:t xml:space="preserve">ДЕЯТЕЛЬНОСТИ ПО СОДЕРЖАНИЮ ЖИВОТНЫХ, В ТОМ</w:t>
      </w:r>
    </w:p>
    <w:p>
      <w:pPr>
        <w:pStyle w:val="2"/>
        <w:jc w:val="center"/>
      </w:pPr>
      <w:r>
        <w:rPr>
          <w:sz w:val="20"/>
        </w:rPr>
        <w:t xml:space="preserve">ЧИСЛЕ ЖИВОТНЫХ БЕЗ ВЛАДЕЛЬЦЕВ</w:t>
      </w:r>
    </w:p>
    <w:p>
      <w:pPr>
        <w:pStyle w:val="0"/>
        <w:jc w:val="both"/>
      </w:pPr>
      <w:r>
        <w:rPr>
          <w:sz w:val="20"/>
        </w:rPr>
      </w:r>
    </w:p>
    <w:p>
      <w:pPr>
        <w:pStyle w:val="0"/>
        <w:ind w:firstLine="540"/>
        <w:jc w:val="both"/>
      </w:pPr>
      <w:r>
        <w:rPr>
          <w:sz w:val="20"/>
        </w:rPr>
        <w:t xml:space="preserve">Начисление баллов по номинациям:</w:t>
      </w:r>
    </w:p>
    <w:p>
      <w:pPr>
        <w:pStyle w:val="0"/>
        <w:spacing w:before="200" w:line-rule="auto"/>
        <w:ind w:firstLine="540"/>
        <w:jc w:val="both"/>
      </w:pPr>
      <w:r>
        <w:rPr>
          <w:sz w:val="20"/>
        </w:rPr>
        <w:t xml:space="preserve">1) наличие сайта социально ориентированной некоммерческой организации, не являющейся государственным (муниципальным) учреждением (далее - организация) в информационно-телекоммуникационной сети Интернет и (или) страницы в социальных сетях, где размещена информация о реализации проекта:</w:t>
      </w:r>
    </w:p>
    <w:p>
      <w:pPr>
        <w:pStyle w:val="0"/>
        <w:spacing w:before="200" w:line-rule="auto"/>
        <w:ind w:firstLine="540"/>
        <w:jc w:val="both"/>
      </w:pPr>
      <w:r>
        <w:rPr>
          <w:sz w:val="20"/>
        </w:rPr>
        <w:t xml:space="preserve">наличие сайта - 10 баллов;</w:t>
      </w:r>
    </w:p>
    <w:p>
      <w:pPr>
        <w:pStyle w:val="0"/>
        <w:spacing w:before="200" w:line-rule="auto"/>
        <w:ind w:firstLine="540"/>
        <w:jc w:val="both"/>
      </w:pPr>
      <w:r>
        <w:rPr>
          <w:sz w:val="20"/>
        </w:rPr>
        <w:t xml:space="preserve">наличие страницы в социальных сетях - 5 баллов за каждую страницу;</w:t>
      </w:r>
    </w:p>
    <w:p>
      <w:pPr>
        <w:pStyle w:val="0"/>
        <w:spacing w:before="200" w:line-rule="auto"/>
        <w:ind w:firstLine="540"/>
        <w:jc w:val="both"/>
      </w:pPr>
      <w:r>
        <w:rPr>
          <w:sz w:val="20"/>
        </w:rPr>
        <w:t xml:space="preserve">2) собственный вклад организации - привлечение собственной материально-технической базы, ресурсов и средств:</w:t>
      </w:r>
    </w:p>
    <w:p>
      <w:pPr>
        <w:pStyle w:val="0"/>
        <w:spacing w:before="200" w:line-rule="auto"/>
        <w:ind w:firstLine="540"/>
        <w:jc w:val="both"/>
      </w:pPr>
      <w:r>
        <w:rPr>
          <w:sz w:val="20"/>
        </w:rPr>
        <w:t xml:space="preserve">наличие собственных ресурсов в объеме более 50 процентов от общего объема затрат на реализацию проекта - 10 баллов;</w:t>
      </w:r>
    </w:p>
    <w:p>
      <w:pPr>
        <w:pStyle w:val="0"/>
        <w:spacing w:before="200" w:line-rule="auto"/>
        <w:ind w:firstLine="540"/>
        <w:jc w:val="both"/>
      </w:pPr>
      <w:r>
        <w:rPr>
          <w:sz w:val="20"/>
        </w:rPr>
        <w:t xml:space="preserve">наличие собственных ресурсов в объеме менее 50 процентов от общего объема затрат на реализацию проекта - 5 баллов;</w:t>
      </w:r>
    </w:p>
    <w:p>
      <w:pPr>
        <w:pStyle w:val="0"/>
        <w:spacing w:before="200" w:line-rule="auto"/>
        <w:ind w:firstLine="540"/>
        <w:jc w:val="both"/>
      </w:pPr>
      <w:r>
        <w:rPr>
          <w:sz w:val="20"/>
        </w:rPr>
        <w:t xml:space="preserve">3) наличие публикации о деятельности организации в средствах массовой информации:</w:t>
      </w:r>
    </w:p>
    <w:p>
      <w:pPr>
        <w:pStyle w:val="0"/>
        <w:spacing w:before="200" w:line-rule="auto"/>
        <w:ind w:firstLine="540"/>
        <w:jc w:val="both"/>
      </w:pPr>
      <w:r>
        <w:rPr>
          <w:sz w:val="20"/>
        </w:rPr>
        <w:t xml:space="preserve">наличие более одной публикации - 10 баллов;</w:t>
      </w:r>
    </w:p>
    <w:p>
      <w:pPr>
        <w:pStyle w:val="0"/>
        <w:spacing w:before="200" w:line-rule="auto"/>
        <w:ind w:firstLine="540"/>
        <w:jc w:val="both"/>
      </w:pPr>
      <w:r>
        <w:rPr>
          <w:sz w:val="20"/>
        </w:rPr>
        <w:t xml:space="preserve">наличие одной публикации - 5 баллов;</w:t>
      </w:r>
    </w:p>
    <w:p>
      <w:pPr>
        <w:pStyle w:val="0"/>
        <w:spacing w:before="200" w:line-rule="auto"/>
        <w:ind w:firstLine="540"/>
        <w:jc w:val="both"/>
      </w:pPr>
      <w:r>
        <w:rPr>
          <w:sz w:val="20"/>
        </w:rPr>
        <w:t xml:space="preserve">4) участие в деятельности организации волонтеров:</w:t>
      </w:r>
    </w:p>
    <w:p>
      <w:pPr>
        <w:pStyle w:val="0"/>
        <w:spacing w:before="200" w:line-rule="auto"/>
        <w:ind w:firstLine="540"/>
        <w:jc w:val="both"/>
      </w:pPr>
      <w:r>
        <w:rPr>
          <w:sz w:val="20"/>
        </w:rPr>
        <w:t xml:space="preserve">имеется - 2 балла за каждого привлеченного волонтера;</w:t>
      </w:r>
    </w:p>
    <w:p>
      <w:pPr>
        <w:pStyle w:val="0"/>
        <w:spacing w:before="200" w:line-rule="auto"/>
        <w:ind w:firstLine="540"/>
        <w:jc w:val="both"/>
      </w:pPr>
      <w:r>
        <w:rPr>
          <w:sz w:val="20"/>
        </w:rPr>
        <w:t xml:space="preserve">не имеется - 0 баллов.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12.07.2023 N 476-пп</w:t>
            <w:br/>
            <w:t>"Об утверждении Порядка предоставления в 2023 году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7E7A78C203D34F4D873A1AC2F957AB035887AAC0A849E12C03C1859DB00AFCE841EF2BD2E77FFE2727D25C4400454F83321AD7E54CF279M" TargetMode = "External"/>
	<Relationship Id="rId8" Type="http://schemas.openxmlformats.org/officeDocument/2006/relationships/hyperlink" Target="consultantplus://offline/ref=AF7E7A78C203D34F4D873A1AC2F957AB035E86ABCDAA49E12C03C1859DB00AFCE841EF2DD0EB2BA437239B0A481D45519C3004D7FE76M" TargetMode = "External"/>
	<Relationship Id="rId9" Type="http://schemas.openxmlformats.org/officeDocument/2006/relationships/hyperlink" Target="consultantplus://offline/ref=AF7E7A78C203D34F4D872417D49509A40756DDA5C4AC42B27451C7D2C2E00CA9A801E97881A42AF870778808491D465180F371M" TargetMode = "External"/>
	<Relationship Id="rId10" Type="http://schemas.openxmlformats.org/officeDocument/2006/relationships/hyperlink" Target="consultantplus://offline/ref=AF7E7A78C203D34F4D872417D49509A40756DDA5C4AC4BBE7652C7D2C2E00CA9A801E97893A472F47376970A49081000C66709D6E4502B40618CEF0AF073M" TargetMode = "External"/>
	<Relationship Id="rId11" Type="http://schemas.openxmlformats.org/officeDocument/2006/relationships/hyperlink" Target="consultantplus://offline/ref=AF7E7A78C203D34F4D872417D49509A40756DDA5C4A243BF7454C7D2C2E00CA9A801E97893A472F473749F084B081000C66709D6E4502B40618CEF0AF073M" TargetMode = "External"/>
	<Relationship Id="rId12" Type="http://schemas.openxmlformats.org/officeDocument/2006/relationships/hyperlink" Target="consultantplus://offline/ref=AF7E7A78C203D34F4D873A1AC2F957AB035881A0CCAA49E12C03C1859DB00AFCFA41B721D3E161F4736894094BF070M" TargetMode = "External"/>
	<Relationship Id="rId13" Type="http://schemas.openxmlformats.org/officeDocument/2006/relationships/hyperlink" Target="consultantplus://offline/ref=AF7E7A78C203D34F4D873A1AC2F957AB045B85ACCDAE49E12C03C1859DB00AFCE841EF2DD0E07FF4737DC2580D564952832C05D5FB4C2A42F77CM" TargetMode = "External"/>
	<Relationship Id="rId14" Type="http://schemas.openxmlformats.org/officeDocument/2006/relationships/hyperlink" Target="consultantplus://offline/ref=AF7E7A78C203D34F4D872417D49509A40756DDA5C4A345B1765EC7D2C2E00CA9A801E97893A472F47376960940081000C66709D6E4502B40618CEF0AF073M" TargetMode = "External"/>
	<Relationship Id="rId15" Type="http://schemas.openxmlformats.org/officeDocument/2006/relationships/hyperlink" Target="consultantplus://offline/ref=AF7E7A78C203D34F4D872417D49509A40756DDA5C4A344B47656C7D2C2E00CA9A801E97893A472F47375930A48081000C66709D6E4502B40618CEF0AF073M" TargetMode = "External"/>
	<Relationship Id="rId16" Type="http://schemas.openxmlformats.org/officeDocument/2006/relationships/hyperlink" Target="consultantplus://offline/ref=AF7E7A78C203D34F4D872417D49509A40756DDA5C4A345B1765EC7D2C2E00CA9A801E97893A472F47376960D48081000C66709D6E4502B40618CEF0AF073M" TargetMode = "External"/>
	<Relationship Id="rId17" Type="http://schemas.openxmlformats.org/officeDocument/2006/relationships/hyperlink" Target="consultantplus://offline/ref=AF7E7A78C203D34F4D872417D49509A40756DDA5C4AC4BBE7652C7D2C2E00CA9A801E97893A472F47376960049081000C66709D6E4502B40618CEF0AF073M" TargetMode = "External"/>
	<Relationship Id="rId18" Type="http://schemas.openxmlformats.org/officeDocument/2006/relationships/hyperlink" Target="consultantplus://offline/ref=AF7E7A78C203D34F4D873A1AC2F957AB035887AAC0A849E12C03C1859DB00AFCE841EF2FD7E07BFE2727D25C4400454F83321AD7E54CF279M" TargetMode = "External"/>
	<Relationship Id="rId19" Type="http://schemas.openxmlformats.org/officeDocument/2006/relationships/hyperlink" Target="consultantplus://offline/ref=AF7E7A78C203D34F4D873A1AC2F957AB035887AAC0A849E12C03C1859DB00AFCE841EF2FD7E27DFE2727D25C4400454F83321AD7E54CF279M" TargetMode = "External"/>
	<Relationship Id="rId20" Type="http://schemas.openxmlformats.org/officeDocument/2006/relationships/hyperlink" Target="consultantplus://offline/ref=AF7E7A78C203D34F4D873A1AC2F957AB035887AAC0A849E12C03C1859DB00AFCE841EF2FD7E07BFE2727D25C4400454F83321AD7E54CF279M" TargetMode = "External"/>
	<Relationship Id="rId21" Type="http://schemas.openxmlformats.org/officeDocument/2006/relationships/hyperlink" Target="consultantplus://offline/ref=AF7E7A78C203D34F4D873A1AC2F957AB035887AAC0A849E12C03C1859DB00AFCE841EF2FD7E27DFE2727D25C4400454F83321AD7E54CF279M" TargetMode = "External"/>
	<Relationship Id="rId22" Type="http://schemas.openxmlformats.org/officeDocument/2006/relationships/hyperlink" Target="consultantplus://offline/ref=AF7E7A78C203D34F4D873A1AC2F957AB045881AACDAF49E12C03C1859DB00AFCFA41B721D3E161F4736894094BF070M" TargetMode = "External"/>
	<Relationship Id="rId23" Type="http://schemas.openxmlformats.org/officeDocument/2006/relationships/hyperlink" Target="consultantplus://offline/ref=AF7E7A78C203D34F4D872417D49509A40756DDA5C4A345B1765EC7D2C2E00CA9A801E97881A42AF870778808491D465180F371M" TargetMode = "External"/>
	<Relationship Id="rId24" Type="http://schemas.openxmlformats.org/officeDocument/2006/relationships/hyperlink" Target="consultantplus://offline/ref=AF7E7A78C203D34F4D873A1AC2F957AB035887AAC0A849E12C03C1859DB00AFCE841EF2FD7E07BFE2727D25C4400454F83321AD7E54CF279M" TargetMode = "External"/>
	<Relationship Id="rId25" Type="http://schemas.openxmlformats.org/officeDocument/2006/relationships/hyperlink" Target="consultantplus://offline/ref=AF7E7A78C203D34F4D873A1AC2F957AB035887AAC0A849E12C03C1859DB00AFCE841EF2FD7E27DFE2727D25C4400454F83321AD7E54CF279M" TargetMode = "External"/>
	<Relationship Id="rId26" Type="http://schemas.openxmlformats.org/officeDocument/2006/relationships/hyperlink" Target="consultantplus://offline/ref=AF7E7A78C203D34F4D873A1AC2F957AB035887AAC0A849E12C03C1859DB00AFCE841EF2FD7E07BFE2727D25C4400454F83321AD7E54CF279M" TargetMode = "External"/>
	<Relationship Id="rId27" Type="http://schemas.openxmlformats.org/officeDocument/2006/relationships/hyperlink" Target="consultantplus://offline/ref=AF7E7A78C203D34F4D873A1AC2F957AB035887AAC0A849E12C03C1859DB00AFCE841EF2FD7E27DFE2727D25C4400454F83321AD7E54CF279M" TargetMode = "External"/>
	<Relationship Id="rId28" Type="http://schemas.openxmlformats.org/officeDocument/2006/relationships/hyperlink" Target="consultantplus://offline/ref=AF7E7A78C203D34F4D873A1AC2F957AB035887AAC0A849E12C03C1859DB00AFCE841EF2FD7E07BFE2727D25C4400454F83321AD7E54CF279M" TargetMode = "External"/>
	<Relationship Id="rId29" Type="http://schemas.openxmlformats.org/officeDocument/2006/relationships/hyperlink" Target="consultantplus://offline/ref=AF7E7A78C203D34F4D873A1AC2F957AB035887AAC0A849E12C03C1859DB00AFCE841EF2FD7E27DFE2727D25C4400454F83321AD7E54CF279M" TargetMode = "External"/>
	<Relationship Id="rId30" Type="http://schemas.openxmlformats.org/officeDocument/2006/relationships/hyperlink" Target="consultantplus://offline/ref=AF7E7A78C203D34F4D873A1AC2F957AB035D83ACC2A349E12C03C1859DB00AFCE841EF2DD0E07FF4707DC2580D564952832C05D5FB4C2A42F77CM" TargetMode = "External"/>
	<Relationship Id="rId31" Type="http://schemas.openxmlformats.org/officeDocument/2006/relationships/hyperlink" Target="consultantplus://offline/ref=AF7E7A78C203D34F4D873A1AC2F957AB035887AAC0A849E12C03C1859DB00AFCE841EF2FD7E07BFE2727D25C4400454F83321AD7E54CF279M" TargetMode = "External"/>
	<Relationship Id="rId32" Type="http://schemas.openxmlformats.org/officeDocument/2006/relationships/hyperlink" Target="consultantplus://offline/ref=AF7E7A78C203D34F4D873A1AC2F957AB035887AAC0A849E12C03C1859DB00AFCE841EF2FD7E27DFE2727D25C4400454F83321AD7E54CF27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12.07.2023 N 476-пп
"Об утверждении Порядка предоставления в 2023 году субсидий из краевого бюджета социально ориентированным некоммерческим организациям на создание и (или) модернизацию приютов для животных в целях осуществления деятельности по содержанию животных, в том числе животных без владельцев"</dc:title>
  <dcterms:created xsi:type="dcterms:W3CDTF">2023-10-31T12:59:05Z</dcterms:created>
</cp:coreProperties>
</file>