
<file path=[Content_Types].xml><?xml version="1.0" encoding="utf-8"?>
<Types xmlns="http://schemas.openxmlformats.org/package/2006/content-types">
  <Default Extension="png" ContentType="image/png"/>
  <Default Extension="jpeg" ContentType="image/jpeg"/>
  <Default Extension="bmp" ContentType="image/bmp"/>
  <Default Extension="rels" ContentType="application/vnd.openxmlformats-package.relationships+xml"/>
  <Default Extension="xml" ContentType="application/xml"/>
  <Default Extension="emf" ContentType="image/x-emf"/>
  <Default Extension="wmf" ContentType="image/x-wmf"/>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Types>
</file>

<file path=_rels/.rels>&#65279;<?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Ind w:w="0" w:type="dxa"/>
        <w:tblW w:w="5000" w:type="pct"/>
        <w:tblBorders>
          <w:top w:val="nil"/>
          <w:left w:val="nil"/>
          <w:bottom w:val="nil"/>
          <w:right w:val="nil"/>
          <w:insideV w:val="nil"/>
          <w:insideH w:val="nil"/>
        </w:tblBorders>
      </w:tblPr>
      <w:tblGrid>
        <w:gridCol w:w="10716"/>
      </w:tblGrid>
      <w:tr>
        <w:trPr>
          <w:trHeight w:val="3031" w:hRule="exact"/>
        </w:trPr>
        <w:tblPrEx>
          <w:tblBorders>
            <w:top w:val="nil"/>
            <w:left w:val="nil"/>
            <w:bottom w:val="nil"/>
            <w:right w:val="nil"/>
            <w:insideV w:val="nil"/>
            <w:insideH w:val="nil"/>
          </w:tblBorders>
        </w:tblPrEx>
        <w:tc>
          <w:tcPr>
            <w:tcW w:w="10716" w:type="dxa"/>
            <w:tcMar>
              <w:top w:w="60" w:type="dxa"/>
              <w:left w:w="80" w:type="dxa"/>
              <w:bottom w:w="60" w:type="dxa"/>
              <w:right w:w="80" w:type="dxa"/>
            </w:tcMar>
            <w:tcBorders>
              <w:top w:val="nil"/>
              <w:left w:val="nil"/>
              <w:bottom w:val="nil"/>
              <w:right w:val="nil"/>
            </w:tcBorders>
          </w:tcPr>
          <w:p>
            <w:pPr>
              <w:pStyle w:val="5"/>
            </w:pPr>
            <w:r>
              <w:rPr>
                <w:position w:val="-61"/>
              </w:rPr>
              <w:drawing>
                <wp:inline distT="0" distB="0" distL="0" distR="0">
                  <wp:extent cx="3810000" cy="904875"/>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2">
                            <a:extLst>
                              <a:ext uri="{28A0092B-C50C-407E-A947-70E740481C1C}">
                                <a14:useLocalDpi xmlns:a14="http://schemas.microsoft.com/office/drawing/2010/main" val="0"/>
                              </a:ext>
                            </a:extLst>
                          </a:blip>
                          <a:srcRect/>
                          <a:stretch>
                            <a:fillRect/>
                          </a:stretch>
                        </pic:blipFill>
                        <pic:spPr bwMode="auto">
                          <a:xfrm>
                            <a:off x="0" y="0"/>
                            <a:ext cx="3810000" cy="904875"/>
                          </a:xfrm>
                          <a:prstGeom prst="rect">
                            <a:avLst/>
                          </a:prstGeom>
                          <a:noFill/>
                          <a:ln>
                            <a:noFill/>
                          </a:ln>
                        </pic:spPr>
                      </pic:pic>
                    </a:graphicData>
                  </a:graphic>
                </wp:inline>
              </w:drawing>
            </w:r>
          </w:p>
        </w:tc>
      </w:tr>
      <w:tr>
        <w:trPr>
          <w:trHeight w:val="8335" w:hRule="exact"/>
        </w:trPr>
        <w:tblPrEx>
          <w:tblBorders>
            <w:top w:val="nil"/>
            <w:left w:val="nil"/>
            <w:bottom w:val="nil"/>
            <w:right w:val="nil"/>
            <w:insideV w:val="nil"/>
            <w:insideH w:val="nil"/>
          </w:tblBorders>
        </w:tblPrEx>
        <w:tc>
          <w:tcPr>
            <w:tcW w:w="10716" w:type="dxa"/>
            <w:vAlign w:val="center"/>
            <w:tcMar>
              <w:top w:w="60" w:type="dxa"/>
              <w:left w:w="80" w:type="dxa"/>
              <w:bottom w:w="60" w:type="dxa"/>
              <w:right w:w="80" w:type="dxa"/>
            </w:tcMar>
            <w:tcBorders>
              <w:top w:val="nil"/>
              <w:left w:val="nil"/>
              <w:bottom w:val="nil"/>
              <w:right w:val="nil"/>
            </w:tcBorders>
          </w:tcPr>
          <w:p>
            <w:pPr>
              <w:pStyle w:val="5"/>
              <w:jc w:val="center"/>
            </w:pPr>
            <w:r>
              <w:rPr>
                <w:sz w:val="48"/>
              </w:rPr>
              <w:t xml:space="preserve">Закон Республики Алтай от 22.12.2016 N 90-РЗ</w:t>
              <w:br/>
              <w:t xml:space="preserve">(ред. от 07.05.2025)</w:t>
              <w:br/>
              <w:t xml:space="preserve">"О регулировании некоторых вопросов формирования и организации деятельности Общественной палаты Республики Алтай"</w:t>
              <w:br/>
              <w:t xml:space="preserve">(принят ГСЭК РА 14.12.2016)</w:t>
            </w:r>
          </w:p>
        </w:tc>
      </w:tr>
      <w:tr>
        <w:trPr>
          <w:trHeight w:val="3031" w:hRule="exact"/>
        </w:trPr>
        <w:tblPrEx>
          <w:tblBorders>
            <w:top w:val="nil"/>
            <w:left w:val="nil"/>
            <w:bottom w:val="nil"/>
            <w:right w:val="nil"/>
            <w:insideV w:val="nil"/>
            <w:insideH w:val="nil"/>
          </w:tblBorders>
        </w:tblPrEx>
        <w:tc>
          <w:tcPr>
            <w:tcW w:w="10716" w:type="dxa"/>
            <w:vAlign w:val="center"/>
            <w:tcMar>
              <w:top w:w="60" w:type="dxa"/>
              <w:left w:w="80" w:type="dxa"/>
              <w:bottom w:w="60" w:type="dxa"/>
              <w:right w:w="80" w:type="dxa"/>
            </w:tcMar>
            <w:tcBorders>
              <w:top w:val="nil"/>
              <w:left w:val="nil"/>
              <w:bottom w:val="nil"/>
              <w:right w:val="nil"/>
            </w:tcBorders>
          </w:tcPr>
          <w:p>
            <w:pPr>
              <w:pStyle w:val="5"/>
              <w:jc w:val="center"/>
            </w:pPr>
            <w:r>
              <w:rPr>
                <w:sz w:val="28"/>
              </w:rPr>
              <w:t xml:space="preserve">Документ предоставлен </w:t>
            </w:r>
            <w:hyperlink w:history="0" r:id="rId3" w:tooltip="Ссылка на КонсультантПлюс">
              <w:r>
                <w:rPr>
                  <w:sz w:val="28"/>
                  <w:color w:val="0000ff"/>
                  <w:b w:val="on"/>
                </w:rPr>
                <w:t xml:space="preserve">КонсультантПлюс</w:t>
                <w:br/>
                <w:br/>
              </w:r>
            </w:hyperlink>
            <w:hyperlink w:history="0" r:id="rId4" w:tooltip="Ссылка на КонсультантПлюс">
              <w:r>
                <w:rPr>
                  <w:sz w:val="28"/>
                  <w:color w:val="0000ff"/>
                  <w:b w:val="on"/>
                </w:rPr>
                <w:t xml:space="preserve">www.consultant.ru</w:t>
              </w:r>
            </w:hyperlink>
            <w:r>
              <w:rPr>
                <w:sz w:val="28"/>
              </w:rPr>
              <w:br/>
              <w:br/>
              <w:t xml:space="preserve">Дата сохранения: 07.06.2025</w:t>
            </w:r>
            <w:r>
              <w:rPr>
                <w:sz w:val="28"/>
              </w:rPr>
              <w:br/>
              <w:t xml:space="preserve"> </w:t>
            </w:r>
          </w:p>
        </w:tc>
      </w:tr>
    </w:tbl>
    <w:p>
      <w:pPr>
        <w:sectPr>
          <w:pgSz w:w="11906" w:h="16838"/>
          <w:pgMar w:top="841" w:right="595" w:bottom="841" w:left="595" w:header="0" w:footer="0" w:gutter="0"/>
          <w:titlePg/>
        </w:sectPr>
      </w:pPr>
    </w:p>
    <w:p>
      <w:pPr>
        <w:pStyle w:val="0"/>
        <w:outlineLvl w:val="0"/>
        <w:jc w:val="both"/>
      </w:pPr>
      <w:r>
        <w:rPr>
          <w:sz w:val="20"/>
        </w:rPr>
      </w:r>
    </w:p>
    <w:tbl>
      <w:tblPr>
        <w:tblInd w:w="0" w:type="dxa"/>
        <w:tblW w:w="5000" w:type="pct"/>
        <w:tblBorders>
          <w:top w:val="single" w:sz="8"/>
          <w:left w:val="single" w:sz="8"/>
          <w:bottom w:val="single" w:sz="8"/>
          <w:right w:val="single" w:sz="8"/>
          <w:insideV w:val="single" w:sz="8"/>
          <w:insideH w:val="single" w:sz="8"/>
        </w:tblBorders>
        <w:tblCellMar>
          <w:top w:w="0" w:type="dxa"/>
          <w:left w:w="0" w:type="dxa"/>
          <w:bottom w:w="0" w:type="dxa"/>
          <w:right w:w="0" w:type="dxa"/>
        </w:tblCellMar>
      </w:tblPr>
      <w:tblGrid>
        <w:gridCol w:w="5103"/>
        <w:gridCol w:w="5103"/>
      </w:tblGrid>
      <w:tr>
        <w:tc>
          <w:tcPr>
            <w:tcW w:w="5103" w:type="dxa"/>
            <w:tcBorders>
              <w:top w:val="nil"/>
              <w:left w:val="nil"/>
              <w:bottom w:val="nil"/>
              <w:right w:val="nil"/>
            </w:tcBorders>
          </w:tcPr>
          <w:p>
            <w:pPr>
              <w:pStyle w:val="0"/>
            </w:pPr>
            <w:r>
              <w:rPr>
                <w:sz w:val="20"/>
              </w:rPr>
              <w:t xml:space="preserve">22 декабря 2016 года</w:t>
            </w:r>
          </w:p>
        </w:tc>
        <w:tc>
          <w:tcPr>
            <w:tcW w:w="5103" w:type="dxa"/>
            <w:tcBorders>
              <w:top w:val="nil"/>
              <w:left w:val="nil"/>
              <w:bottom w:val="nil"/>
              <w:right w:val="nil"/>
            </w:tcBorders>
          </w:tcPr>
          <w:p>
            <w:pPr>
              <w:pStyle w:val="0"/>
              <w:jc w:val="right"/>
            </w:pPr>
            <w:r>
              <w:rPr>
                <w:sz w:val="20"/>
              </w:rPr>
              <w:t xml:space="preserve">N 90-РЗ</w:t>
            </w:r>
          </w:p>
        </w:tc>
      </w:tr>
    </w:tbl>
    <w:p>
      <w:pPr>
        <w:pStyle w:val="0"/>
        <w:jc w:val="both"/>
        <w:pBdr>
          <w:bottom w:val="single" w:sz="6" w:space="0" w:color="auto"/>
        </w:pBdr>
        <w:spacing w:before="100" w:after="100"/>
        <w:rPr>
          <w:sz w:val="2"/>
          <w:szCs w:val="2"/>
        </w:rPr>
      </w:pPr>
    </w:p>
    <w:p>
      <w:pPr>
        <w:pStyle w:val="0"/>
        <w:jc w:val="both"/>
      </w:pPr>
      <w:r>
        <w:rPr>
          <w:sz w:val="20"/>
        </w:rPr>
      </w:r>
    </w:p>
    <w:p>
      <w:pPr>
        <w:pStyle w:val="2"/>
        <w:jc w:val="center"/>
      </w:pPr>
      <w:r>
        <w:rPr>
          <w:sz w:val="20"/>
        </w:rPr>
        <w:t xml:space="preserve">РЕСПУБЛИКА АЛТАЙ</w:t>
      </w:r>
    </w:p>
    <w:p>
      <w:pPr>
        <w:pStyle w:val="2"/>
        <w:jc w:val="center"/>
      </w:pPr>
      <w:r>
        <w:rPr>
          <w:sz w:val="20"/>
        </w:rPr>
      </w:r>
    </w:p>
    <w:p>
      <w:pPr>
        <w:pStyle w:val="2"/>
        <w:jc w:val="center"/>
      </w:pPr>
      <w:r>
        <w:rPr>
          <w:sz w:val="20"/>
        </w:rPr>
        <w:t xml:space="preserve">ЗАКОН</w:t>
      </w:r>
    </w:p>
    <w:p>
      <w:pPr>
        <w:pStyle w:val="2"/>
        <w:jc w:val="center"/>
      </w:pPr>
      <w:r>
        <w:rPr>
          <w:sz w:val="20"/>
        </w:rPr>
      </w:r>
    </w:p>
    <w:p>
      <w:pPr>
        <w:pStyle w:val="2"/>
        <w:jc w:val="center"/>
      </w:pPr>
      <w:r>
        <w:rPr>
          <w:sz w:val="20"/>
        </w:rPr>
        <w:t xml:space="preserve">О РЕГУЛИРОВАНИИ НЕКОТОРЫХ ВОПРОСОВ ФОРМИРОВАНИЯ И</w:t>
      </w:r>
    </w:p>
    <w:p>
      <w:pPr>
        <w:pStyle w:val="2"/>
        <w:jc w:val="center"/>
      </w:pPr>
      <w:r>
        <w:rPr>
          <w:sz w:val="20"/>
        </w:rPr>
        <w:t xml:space="preserve">ОРГАНИЗАЦИИ ДЕЯТЕЛЬНОСТИ ОБЩЕСТВЕННОЙ ПАЛАТЫ</w:t>
      </w:r>
    </w:p>
    <w:p>
      <w:pPr>
        <w:pStyle w:val="2"/>
        <w:jc w:val="center"/>
      </w:pPr>
      <w:r>
        <w:rPr>
          <w:sz w:val="20"/>
        </w:rPr>
        <w:t xml:space="preserve">РЕСПУБЛИКИ АЛТАЙ</w:t>
      </w:r>
    </w:p>
    <w:p>
      <w:pPr>
        <w:pStyle w:val="0"/>
        <w:jc w:val="both"/>
      </w:pPr>
      <w:r>
        <w:rPr>
          <w:sz w:val="20"/>
        </w:rPr>
      </w:r>
    </w:p>
    <w:p>
      <w:pPr>
        <w:pStyle w:val="0"/>
      </w:pPr>
      <w:r>
        <w:rPr>
          <w:sz w:val="20"/>
        </w:rPr>
        <w:t xml:space="preserve">Принят</w:t>
      </w:r>
    </w:p>
    <w:p>
      <w:pPr>
        <w:pStyle w:val="0"/>
        <w:spacing w:before="200" w:line-rule="auto"/>
      </w:pPr>
      <w:r>
        <w:rPr>
          <w:sz w:val="20"/>
        </w:rPr>
        <w:t xml:space="preserve">Государственным Собранием -</w:t>
      </w:r>
    </w:p>
    <w:p>
      <w:pPr>
        <w:pStyle w:val="0"/>
        <w:spacing w:before="200" w:line-rule="auto"/>
      </w:pPr>
      <w:r>
        <w:rPr>
          <w:sz w:val="20"/>
        </w:rPr>
        <w:t xml:space="preserve">Эл Курултай Республики Алтай</w:t>
      </w:r>
    </w:p>
    <w:p>
      <w:pPr>
        <w:pStyle w:val="0"/>
        <w:spacing w:before="200" w:line-rule="auto"/>
      </w:pPr>
      <w:r>
        <w:rPr>
          <w:sz w:val="20"/>
        </w:rPr>
        <w:t xml:space="preserve">14 декабря 2016 года</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center"/>
            </w:pPr>
            <w:r>
              <w:rPr>
                <w:sz w:val="20"/>
                <w:color w:val="392c69"/>
              </w:rPr>
              <w:t xml:space="preserve">Список изменяющих документов</w:t>
            </w:r>
          </w:p>
          <w:p>
            <w:pPr>
              <w:pStyle w:val="0"/>
              <w:jc w:val="center"/>
            </w:pPr>
            <w:r>
              <w:rPr>
                <w:sz w:val="20"/>
                <w:color w:val="392c69"/>
              </w:rPr>
              <w:t xml:space="preserve">(в ред. Законов Республики Алтай</w:t>
            </w:r>
          </w:p>
          <w:p>
            <w:pPr>
              <w:pStyle w:val="0"/>
              <w:jc w:val="center"/>
            </w:pPr>
            <w:r>
              <w:rPr>
                <w:sz w:val="20"/>
                <w:color w:val="392c69"/>
              </w:rPr>
              <w:t xml:space="preserve">от 19.06.2024 </w:t>
            </w:r>
            <w:hyperlink w:history="0" r:id="rId7" w:tooltip="Закон Республики Алтай от 19.06.2024 N 42-РЗ &quot;О внесении изменения в статью 3 Закона Республики Алтай &quot;О регулировании некоторых вопросов формирования и организации деятельности Общественной палаты Республики Алтай&quot; (принят ГСЭК РА 07.06.2024) {КонсультантПлюс}">
              <w:r>
                <w:rPr>
                  <w:sz w:val="20"/>
                  <w:color w:val="0000ff"/>
                </w:rPr>
                <w:t xml:space="preserve">N 42-РЗ</w:t>
              </w:r>
            </w:hyperlink>
            <w:r>
              <w:rPr>
                <w:sz w:val="20"/>
                <w:color w:val="392c69"/>
              </w:rPr>
              <w:t xml:space="preserve">, от 07.05.2025 </w:t>
            </w:r>
            <w:hyperlink w:history="0" r:id="rId8" w:tooltip="Закон Республики Алтай от 07.05.2025 N 29-РЗ &quot;О внесении изменения в статью 4 Закона Республики Алтай &quot;О регулировании некоторых вопросов формирования и организации деятельности Общественной палаты Республики Алтай&quot; (принят ГСЭК РА 24.04.2025) {КонсультантПлюс}">
              <w:r>
                <w:rPr>
                  <w:sz w:val="20"/>
                  <w:color w:val="0000ff"/>
                </w:rPr>
                <w:t xml:space="preserve">N 29-РЗ</w:t>
              </w:r>
            </w:hyperlink>
            <w:r>
              <w:rPr>
                <w:sz w:val="20"/>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jc w:val="both"/>
      </w:pPr>
      <w:r>
        <w:rPr>
          <w:sz w:val="20"/>
        </w:rPr>
      </w:r>
    </w:p>
    <w:p>
      <w:pPr>
        <w:pStyle w:val="2"/>
        <w:outlineLvl w:val="0"/>
        <w:ind w:firstLine="540"/>
        <w:jc w:val="both"/>
      </w:pPr>
      <w:r>
        <w:rPr>
          <w:sz w:val="20"/>
        </w:rPr>
        <w:t xml:space="preserve">Статья 1. Общие положения</w:t>
      </w:r>
    </w:p>
    <w:p>
      <w:pPr>
        <w:pStyle w:val="0"/>
        <w:jc w:val="both"/>
      </w:pPr>
      <w:r>
        <w:rPr>
          <w:sz w:val="20"/>
        </w:rPr>
      </w:r>
    </w:p>
    <w:p>
      <w:pPr>
        <w:pStyle w:val="0"/>
        <w:ind w:firstLine="540"/>
        <w:jc w:val="both"/>
      </w:pPr>
      <w:r>
        <w:rPr>
          <w:sz w:val="20"/>
        </w:rPr>
        <w:t xml:space="preserve">1. Настоящий Закон в соответствии с Федеральным </w:t>
      </w:r>
      <w:hyperlink w:history="0" r:id="rId9" w:tooltip="Федеральный закон от 23.06.2016 N 183-ФЗ (ред. от 23.11.2024) &quot;Об общих принципах организации и деятельности общественных палат субъектов Российской Федерации&quot; {КонсультантПлюс}">
        <w:r>
          <w:rPr>
            <w:sz w:val="20"/>
            <w:color w:val="0000ff"/>
          </w:rPr>
          <w:t xml:space="preserve">законом</w:t>
        </w:r>
      </w:hyperlink>
      <w:r>
        <w:rPr>
          <w:sz w:val="20"/>
        </w:rPr>
        <w:t xml:space="preserve"> от 23 июня 2016 года N 183-ФЗ "Об общих принципах организации и деятельности общественных палат субъектов Российской Федерации" (далее - Федеральный закон "Об общих принципах организации и деятельности общественных палат субъектов Российской Федерации") регулирует некоторые вопросы формирования и организации деятельности Общественной палаты Республики Алтай (далее - Общественная палата).</w:t>
      </w:r>
    </w:p>
    <w:p>
      <w:pPr>
        <w:pStyle w:val="0"/>
        <w:spacing w:before="200" w:line-rule="auto"/>
        <w:ind w:firstLine="540"/>
        <w:jc w:val="both"/>
      </w:pPr>
      <w:r>
        <w:rPr>
          <w:sz w:val="20"/>
        </w:rPr>
        <w:t xml:space="preserve">2. Общественная палата обеспечивает взаимодействие граждан Российской Федерации, проживающих на территории Республики Алтай (далее - граждане), и некоммерческих организаций, созданных для представления и защиты прав и законных интересов профессиональных и социальных групп, осуществляющих деятельность на территории Республики Алтай (далее - некоммерческие организации), с территориальными органами федеральных органов исполнительной власти, органами государственной власти Республики Алтай и органами местного самоуправления в Республике Алтай (далее - органы местного самоуправления), в целях учета потребностей и интересов граждан, защиты прав и свобод граждан, прав и законных интересов некоммерческих организаций при формировании и реализации государственной политики в целях осуществления общественного контроля за деятельностью территориальных органов федеральных органов исполнительной власти, исполнительных органов государственной власти Республики Алтай, органов местного самоуправления, государственных и муниципальных организаций, иных организаций, осуществляющих в соответствии с федеральными законами отдельные публичные полномочия на территории Республики Алтай.</w:t>
      </w:r>
    </w:p>
    <w:p>
      <w:pPr>
        <w:pStyle w:val="0"/>
        <w:spacing w:before="200" w:line-rule="auto"/>
        <w:ind w:firstLine="540"/>
        <w:jc w:val="both"/>
      </w:pPr>
      <w:r>
        <w:rPr>
          <w:sz w:val="20"/>
        </w:rPr>
        <w:t xml:space="preserve">3. Общественная палата формируется на основе добровольного участия в ее деятельности граждан и некоммерческих организаций.</w:t>
      </w:r>
    </w:p>
    <w:p>
      <w:pPr>
        <w:pStyle w:val="0"/>
        <w:spacing w:before="200" w:line-rule="auto"/>
        <w:ind w:firstLine="540"/>
        <w:jc w:val="both"/>
      </w:pPr>
      <w:r>
        <w:rPr>
          <w:sz w:val="20"/>
        </w:rPr>
        <w:t xml:space="preserve">4. Общественная палата не является юридическим лицом.</w:t>
      </w:r>
    </w:p>
    <w:p>
      <w:pPr>
        <w:pStyle w:val="0"/>
        <w:spacing w:before="200" w:line-rule="auto"/>
        <w:ind w:firstLine="540"/>
        <w:jc w:val="both"/>
      </w:pPr>
      <w:r>
        <w:rPr>
          <w:sz w:val="20"/>
        </w:rPr>
        <w:t xml:space="preserve">5. Цели, задачи, правовая основа и основные формы деятельности Общественной палаты, а также принципы ее формирования, правовой статус членов Общественной палаты, вопросы прекращения и приостановления их полномочий устанавливаются Федеральным </w:t>
      </w:r>
      <w:hyperlink w:history="0" r:id="rId10" w:tooltip="Федеральный закон от 23.06.2016 N 183-ФЗ (ред. от 23.11.2024) &quot;Об общих принципах организации и деятельности общественных палат субъектов Российской Федерации&quot; {КонсультантПлюс}">
        <w:r>
          <w:rPr>
            <w:sz w:val="20"/>
            <w:color w:val="0000ff"/>
          </w:rPr>
          <w:t xml:space="preserve">законом</w:t>
        </w:r>
      </w:hyperlink>
      <w:r>
        <w:rPr>
          <w:sz w:val="20"/>
        </w:rPr>
        <w:t xml:space="preserve"> "Об общих принципах организации и деятельности общественных палат субъектов Российской Федерации".</w:t>
      </w:r>
    </w:p>
    <w:p>
      <w:pPr>
        <w:pStyle w:val="0"/>
        <w:jc w:val="both"/>
      </w:pPr>
      <w:r>
        <w:rPr>
          <w:sz w:val="20"/>
        </w:rPr>
      </w:r>
    </w:p>
    <w:p>
      <w:pPr>
        <w:pStyle w:val="2"/>
        <w:outlineLvl w:val="0"/>
        <w:ind w:firstLine="540"/>
        <w:jc w:val="both"/>
      </w:pPr>
      <w:r>
        <w:rPr>
          <w:sz w:val="20"/>
        </w:rPr>
        <w:t xml:space="preserve">Статья 2. Состав Общественной палаты</w:t>
      </w:r>
    </w:p>
    <w:p>
      <w:pPr>
        <w:pStyle w:val="0"/>
        <w:jc w:val="both"/>
      </w:pPr>
      <w:r>
        <w:rPr>
          <w:sz w:val="20"/>
        </w:rPr>
      </w:r>
    </w:p>
    <w:p>
      <w:pPr>
        <w:pStyle w:val="0"/>
        <w:ind w:firstLine="540"/>
        <w:jc w:val="both"/>
      </w:pPr>
      <w:r>
        <w:rPr>
          <w:sz w:val="20"/>
        </w:rPr>
        <w:t xml:space="preserve">1. В состав Общественной палаты входят двадцать семь членов.</w:t>
      </w:r>
    </w:p>
    <w:p>
      <w:pPr>
        <w:pStyle w:val="0"/>
        <w:spacing w:before="200" w:line-rule="auto"/>
        <w:ind w:firstLine="540"/>
        <w:jc w:val="both"/>
      </w:pPr>
      <w:r>
        <w:rPr>
          <w:sz w:val="20"/>
        </w:rPr>
        <w:t xml:space="preserve">2. Общественная палата формируется из:</w:t>
      </w:r>
    </w:p>
    <w:p>
      <w:pPr>
        <w:pStyle w:val="0"/>
        <w:spacing w:before="200" w:line-rule="auto"/>
        <w:ind w:firstLine="540"/>
        <w:jc w:val="both"/>
      </w:pPr>
      <w:r>
        <w:rPr>
          <w:sz w:val="20"/>
        </w:rPr>
        <w:t xml:space="preserve">1) девяти граждан, утверждаемых Главой Республики Алтай, Председателем Правительства Республики Алтай по представлению зарегистрированных на территории Республики Алтай структурных подразделений общероссийских и межрегиональных общественных объединений (далее также - структурные подразделения общероссийских и межрегиональных общественных объединений);</w:t>
      </w:r>
    </w:p>
    <w:p>
      <w:pPr>
        <w:pStyle w:val="0"/>
        <w:spacing w:before="200" w:line-rule="auto"/>
        <w:ind w:firstLine="540"/>
        <w:jc w:val="both"/>
      </w:pPr>
      <w:r>
        <w:rPr>
          <w:sz w:val="20"/>
        </w:rPr>
        <w:t xml:space="preserve">2) девяти граждан, утверждаемых Государственным Собранием - Эл Курултай Республики Алтай по представлению зарегистрированных на территории Республики Алтай некоммерческих организаций, в том числе региональных общественных объединений;</w:t>
      </w:r>
    </w:p>
    <w:p>
      <w:pPr>
        <w:pStyle w:val="0"/>
        <w:spacing w:before="200" w:line-rule="auto"/>
        <w:ind w:firstLine="540"/>
        <w:jc w:val="both"/>
      </w:pPr>
      <w:r>
        <w:rPr>
          <w:sz w:val="20"/>
        </w:rPr>
        <w:t xml:space="preserve">3) девяти граждан, которых определяют члены Общественной палаты, утвержденные Главой Республики Алтай, Председателем Правительства Республики Алтай и Государственным Собранием - Эл Курултай Республики Алтай из числа кандидатур, представленных местными общественными объединениями, зарегистрированными на территории Республики Алтай (далее также - местные общественные объединения).</w:t>
      </w:r>
    </w:p>
    <w:p>
      <w:pPr>
        <w:pStyle w:val="0"/>
        <w:jc w:val="both"/>
      </w:pPr>
      <w:r>
        <w:rPr>
          <w:sz w:val="20"/>
        </w:rPr>
      </w:r>
    </w:p>
    <w:p>
      <w:pPr>
        <w:pStyle w:val="2"/>
        <w:outlineLvl w:val="0"/>
        <w:ind w:firstLine="540"/>
        <w:jc w:val="both"/>
      </w:pPr>
      <w:r>
        <w:rPr>
          <w:sz w:val="20"/>
        </w:rPr>
        <w:t xml:space="preserve">Статья 3. Порядок и сроки формирования Общественной палаты</w:t>
      </w:r>
    </w:p>
    <w:p>
      <w:pPr>
        <w:pStyle w:val="0"/>
        <w:jc w:val="both"/>
      </w:pPr>
      <w:r>
        <w:rPr>
          <w:sz w:val="20"/>
        </w:rPr>
      </w:r>
    </w:p>
    <w:p>
      <w:pPr>
        <w:pStyle w:val="0"/>
        <w:ind w:firstLine="540"/>
        <w:jc w:val="both"/>
      </w:pPr>
      <w:r>
        <w:rPr>
          <w:sz w:val="20"/>
        </w:rPr>
        <w:t xml:space="preserve">1. Не позднее чем за три месяца до истечения срока полномочий членов Общественной палаты Государственное Собрание - Эл Курултай Республики Алтай размещает на своем официальном сайте в информационно-телекоммуникационной сети "Интернет" (далее - официальный сайт Государственного Собрания - Эл Курултай Республики Алтай) информацию о начале процедуры формирования нового состава Общественной палаты, установленной настоящей статьей с учетом положений Федерального </w:t>
      </w:r>
      <w:hyperlink w:history="0" r:id="rId11" w:tooltip="Федеральный закон от 23.06.2016 N 183-ФЗ (ред. от 23.11.2024) &quot;Об общих принципах организации и деятельности общественных палат субъектов Российской Федерации&quot; {КонсультантПлюс}">
        <w:r>
          <w:rPr>
            <w:sz w:val="20"/>
            <w:color w:val="0000ff"/>
          </w:rPr>
          <w:t xml:space="preserve">закона</w:t>
        </w:r>
      </w:hyperlink>
      <w:r>
        <w:rPr>
          <w:sz w:val="20"/>
        </w:rPr>
        <w:t xml:space="preserve"> "Об общих принципах организации и деятельности общественных палат субъектов Российской Федерации".</w:t>
      </w:r>
    </w:p>
    <w:p>
      <w:pPr>
        <w:pStyle w:val="0"/>
        <w:spacing w:before="200" w:line-rule="auto"/>
        <w:ind w:firstLine="540"/>
        <w:jc w:val="both"/>
      </w:pPr>
      <w:r>
        <w:rPr>
          <w:sz w:val="20"/>
        </w:rPr>
        <w:t xml:space="preserve">2. День размещения на официальном сайте Государственного Собрания - Эл Курултай Республики Алтай информации о начале процедуры формирования нового состава Общественной палаты считается днем начала процедуры формирования нового состава Общественной палаты.</w:t>
      </w:r>
    </w:p>
    <w:p>
      <w:pPr>
        <w:pStyle w:val="0"/>
        <w:spacing w:before="200" w:line-rule="auto"/>
        <w:ind w:firstLine="540"/>
        <w:jc w:val="both"/>
      </w:pPr>
      <w:r>
        <w:rPr>
          <w:sz w:val="20"/>
        </w:rPr>
        <w:t xml:space="preserve">3. Информация о начале процедуры формирования нового состава Общественной палаты должна содержать:</w:t>
      </w:r>
    </w:p>
    <w:p>
      <w:pPr>
        <w:pStyle w:val="0"/>
        <w:spacing w:before="200" w:line-rule="auto"/>
        <w:ind w:firstLine="540"/>
        <w:jc w:val="both"/>
      </w:pPr>
      <w:r>
        <w:rPr>
          <w:sz w:val="20"/>
        </w:rPr>
        <w:t xml:space="preserve">1) порядок направления некоммерческими организациями представлений о кандидатурах в члены Общественной палаты (далее - представления о кандидатурах), указанный в </w:t>
      </w:r>
      <w:hyperlink w:history="0" w:anchor="P44" w:tooltip="4. Некоммерческие организации при направлении представлений о кандидатурах прилагают следующие документы:">
        <w:r>
          <w:rPr>
            <w:sz w:val="20"/>
            <w:color w:val="0000ff"/>
          </w:rPr>
          <w:t xml:space="preserve">частях 4</w:t>
        </w:r>
      </w:hyperlink>
      <w:r>
        <w:rPr>
          <w:sz w:val="20"/>
        </w:rPr>
        <w:t xml:space="preserve"> и </w:t>
      </w:r>
      <w:hyperlink w:history="0" w:anchor="P50" w:tooltip="5. Прием представлений о кандидатурах и прилагаемых к ним документов осуществляется аппаратом Общественной палаты, указанной в статье 6 настоящего Закона.">
        <w:r>
          <w:rPr>
            <w:sz w:val="20"/>
            <w:color w:val="0000ff"/>
          </w:rPr>
          <w:t xml:space="preserve">5</w:t>
        </w:r>
      </w:hyperlink>
      <w:r>
        <w:rPr>
          <w:sz w:val="20"/>
        </w:rPr>
        <w:t xml:space="preserve"> настоящей статьи;</w:t>
      </w:r>
    </w:p>
    <w:p>
      <w:pPr>
        <w:pStyle w:val="0"/>
        <w:spacing w:before="200" w:line-rule="auto"/>
        <w:ind w:firstLine="540"/>
        <w:jc w:val="both"/>
      </w:pPr>
      <w:r>
        <w:rPr>
          <w:sz w:val="20"/>
        </w:rPr>
        <w:t xml:space="preserve">2) требования, предъявляемые Федеральным </w:t>
      </w:r>
      <w:hyperlink w:history="0" r:id="rId12" w:tooltip="Федеральный закон от 23.06.2016 N 183-ФЗ (ред. от 23.11.2024) &quot;Об общих принципах организации и деятельности общественных палат субъектов Российской Федерации&quot; {КонсультантПлюс}">
        <w:r>
          <w:rPr>
            <w:sz w:val="20"/>
            <w:color w:val="0000ff"/>
          </w:rPr>
          <w:t xml:space="preserve">законом</w:t>
        </w:r>
      </w:hyperlink>
      <w:r>
        <w:rPr>
          <w:sz w:val="20"/>
        </w:rPr>
        <w:t xml:space="preserve"> "Об общих принципах организации и деятельности общественных палат субъектов Российской Федерации" к члену Общественной палаты и к некоммерческим организациям, имеющим право выдвижения кандидатов в члены Общественной палаты;</w:t>
      </w:r>
    </w:p>
    <w:p>
      <w:pPr>
        <w:pStyle w:val="0"/>
        <w:spacing w:before="200" w:line-rule="auto"/>
        <w:ind w:firstLine="540"/>
        <w:jc w:val="both"/>
      </w:pPr>
      <w:r>
        <w:rPr>
          <w:sz w:val="20"/>
        </w:rPr>
        <w:t xml:space="preserve">3) дату начала и дату окончания приема представлений о кандидатурах и прилагаемых к ним документов, указанных в </w:t>
      </w:r>
      <w:hyperlink w:history="0" w:anchor="P44" w:tooltip="4. Некоммерческие организации при направлении представлений о кандидатурах прилагают следующие документы:">
        <w:r>
          <w:rPr>
            <w:sz w:val="20"/>
            <w:color w:val="0000ff"/>
          </w:rPr>
          <w:t xml:space="preserve">части 4</w:t>
        </w:r>
      </w:hyperlink>
      <w:r>
        <w:rPr>
          <w:sz w:val="20"/>
        </w:rPr>
        <w:t xml:space="preserve"> настоящей статьи, срок приема которых составляет пятнадцать дней со дня начала процедуры формирования нового состава Общественной палаты.</w:t>
      </w:r>
    </w:p>
    <w:bookmarkStart w:id="44" w:name="P44"/>
    <w:bookmarkEnd w:id="44"/>
    <w:p>
      <w:pPr>
        <w:pStyle w:val="0"/>
        <w:spacing w:before="200" w:line-rule="auto"/>
        <w:ind w:firstLine="540"/>
        <w:jc w:val="both"/>
      </w:pPr>
      <w:r>
        <w:rPr>
          <w:sz w:val="20"/>
        </w:rPr>
        <w:t xml:space="preserve">4. Некоммерческие организации при направлении представлений о кандидатурах прилагают следующие документы:</w:t>
      </w:r>
    </w:p>
    <w:p>
      <w:pPr>
        <w:pStyle w:val="0"/>
        <w:spacing w:before="200" w:line-rule="auto"/>
        <w:ind w:firstLine="540"/>
        <w:jc w:val="both"/>
      </w:pPr>
      <w:r>
        <w:rPr>
          <w:sz w:val="20"/>
        </w:rPr>
        <w:t xml:space="preserve">1) решение о выдвижении кандидата в члены Общественной палаты, принятое в соответствии с </w:t>
      </w:r>
      <w:hyperlink w:history="0" r:id="rId13" w:tooltip="Федеральный закон от 23.06.2016 N 183-ФЗ (ред. от 23.11.2024) &quot;Об общих принципах организации и деятельности общественных палат субъектов Российской Федерации&quot; {КонсультантПлюс}">
        <w:r>
          <w:rPr>
            <w:sz w:val="20"/>
            <w:color w:val="0000ff"/>
          </w:rPr>
          <w:t xml:space="preserve">частями 5</w:t>
        </w:r>
      </w:hyperlink>
      <w:r>
        <w:rPr>
          <w:sz w:val="20"/>
        </w:rPr>
        <w:t xml:space="preserve"> и </w:t>
      </w:r>
      <w:hyperlink w:history="0" r:id="rId14" w:tooltip="Федеральный закон от 23.06.2016 N 183-ФЗ (ред. от 23.11.2024) &quot;Об общих принципах организации и деятельности общественных палат субъектов Российской Федерации&quot; {КонсультантПлюс}">
        <w:r>
          <w:rPr>
            <w:sz w:val="20"/>
            <w:color w:val="0000ff"/>
          </w:rPr>
          <w:t xml:space="preserve">6 статьи 8</w:t>
        </w:r>
      </w:hyperlink>
      <w:r>
        <w:rPr>
          <w:sz w:val="20"/>
        </w:rPr>
        <w:t xml:space="preserve"> Федерального закона "Об общих принципах организации и деятельности общественных палат субъектов Российской Федерации";</w:t>
      </w:r>
    </w:p>
    <w:p>
      <w:pPr>
        <w:pStyle w:val="0"/>
        <w:spacing w:before="200" w:line-rule="auto"/>
        <w:ind w:firstLine="540"/>
        <w:jc w:val="both"/>
      </w:pPr>
      <w:r>
        <w:rPr>
          <w:sz w:val="20"/>
        </w:rPr>
        <w:t xml:space="preserve">2) копию устава некоммерческой организации, направившей представление о кандидатуре;</w:t>
      </w:r>
    </w:p>
    <w:p>
      <w:pPr>
        <w:pStyle w:val="0"/>
        <w:spacing w:before="200" w:line-rule="auto"/>
        <w:ind w:firstLine="540"/>
        <w:jc w:val="both"/>
      </w:pPr>
      <w:r>
        <w:rPr>
          <w:sz w:val="20"/>
        </w:rPr>
        <w:t xml:space="preserve">3) копию документа, содержащего сведения о государственной регистрации некоммерческой организации, направившей представление о кандидатуре;</w:t>
      </w:r>
    </w:p>
    <w:p>
      <w:pPr>
        <w:pStyle w:val="0"/>
        <w:spacing w:before="200" w:line-rule="auto"/>
        <w:ind w:firstLine="540"/>
        <w:jc w:val="both"/>
      </w:pPr>
      <w:r>
        <w:rPr>
          <w:sz w:val="20"/>
        </w:rPr>
        <w:t xml:space="preserve">4) сведения о кандидате биографического характера (в частности, указываются фамилия, имя, отчество, дата, месяц, год рождения, наличие гражданства Российской Федерации, гражданства другого государства (других государств) или права на постоянное проживание гражданина на территории иностранного государства, сведения о судимости кандидата, адрес места жительства, место работы), а также иные характеризующие сведения по желанию кандидата;</w:t>
      </w:r>
    </w:p>
    <w:p>
      <w:pPr>
        <w:pStyle w:val="0"/>
        <w:spacing w:before="200" w:line-rule="auto"/>
        <w:ind w:firstLine="540"/>
        <w:jc w:val="both"/>
      </w:pPr>
      <w:r>
        <w:rPr>
          <w:sz w:val="20"/>
        </w:rPr>
        <w:t xml:space="preserve">5) согласие кандидата на выдвижение его членом Общественной палаты, а также согласие на обработку его персональных данных.</w:t>
      </w:r>
    </w:p>
    <w:bookmarkStart w:id="50" w:name="P50"/>
    <w:bookmarkEnd w:id="50"/>
    <w:p>
      <w:pPr>
        <w:pStyle w:val="0"/>
        <w:spacing w:before="200" w:line-rule="auto"/>
        <w:ind w:firstLine="540"/>
        <w:jc w:val="both"/>
      </w:pPr>
      <w:r>
        <w:rPr>
          <w:sz w:val="20"/>
        </w:rPr>
        <w:t xml:space="preserve">5. Прием представлений о кандидатурах и прилагаемых к ним документов осуществляется аппаратом Общественной палаты, указанной в </w:t>
      </w:r>
      <w:hyperlink w:history="0" w:anchor="P94" w:tooltip="Статья 6. Аппарат Общественной палаты. Порядок внесения Советом Общественной палаты предложения по кандидатуре на должность руководителя аппарата Общественной палаты">
        <w:r>
          <w:rPr>
            <w:sz w:val="20"/>
            <w:color w:val="0000ff"/>
          </w:rPr>
          <w:t xml:space="preserve">статье 6</w:t>
        </w:r>
      </w:hyperlink>
      <w:r>
        <w:rPr>
          <w:sz w:val="20"/>
        </w:rPr>
        <w:t xml:space="preserve"> настоящего Закона.</w:t>
      </w:r>
    </w:p>
    <w:bookmarkStart w:id="51" w:name="P51"/>
    <w:bookmarkEnd w:id="51"/>
    <w:p>
      <w:pPr>
        <w:pStyle w:val="0"/>
        <w:spacing w:before="200" w:line-rule="auto"/>
        <w:ind w:firstLine="540"/>
        <w:jc w:val="both"/>
      </w:pPr>
      <w:r>
        <w:rPr>
          <w:sz w:val="20"/>
        </w:rPr>
        <w:t xml:space="preserve">6. Аппарат Общественной палаты в течение семи дней со дня окончания приема представлений о кандидатурах и прилагаемых к ним документов (далее - документы о выдвижении) направляет:</w:t>
      </w:r>
    </w:p>
    <w:p>
      <w:pPr>
        <w:pStyle w:val="0"/>
        <w:spacing w:before="200" w:line-rule="auto"/>
        <w:ind w:firstLine="540"/>
        <w:jc w:val="both"/>
      </w:pPr>
      <w:r>
        <w:rPr>
          <w:sz w:val="20"/>
        </w:rPr>
        <w:t xml:space="preserve">1) документы о выдвижении, представленные структурными подразделениями общероссийских и межрегиональных общественных объединений, Главе Республики Алтай, Председателю Правительства Республики Алтай;</w:t>
      </w:r>
    </w:p>
    <w:p>
      <w:pPr>
        <w:pStyle w:val="0"/>
        <w:spacing w:before="200" w:line-rule="auto"/>
        <w:ind w:firstLine="540"/>
        <w:jc w:val="both"/>
      </w:pPr>
      <w:r>
        <w:rPr>
          <w:sz w:val="20"/>
        </w:rPr>
        <w:t xml:space="preserve">2) документы о выдвижении, представленные зарегистрированными на территории Республики Алтай некоммерческими организациями, в том числе региональными общественными объединениями, в Государственное Собрание - Эл Курултай Республики Алтай.</w:t>
      </w:r>
    </w:p>
    <w:bookmarkStart w:id="54" w:name="P54"/>
    <w:bookmarkEnd w:id="54"/>
    <w:p>
      <w:pPr>
        <w:pStyle w:val="0"/>
        <w:spacing w:before="200" w:line-rule="auto"/>
        <w:ind w:firstLine="540"/>
        <w:jc w:val="both"/>
      </w:pPr>
      <w:r>
        <w:rPr>
          <w:sz w:val="20"/>
        </w:rPr>
        <w:t xml:space="preserve">7. Документы о выдвижении в случае, если выдвижение указанных в них кандидатов в члены Общественной палаты осуществлено с нарушением требований, установленных Федеральным </w:t>
      </w:r>
      <w:hyperlink w:history="0" r:id="rId15" w:tooltip="Федеральный закон от 23.06.2016 N 183-ФЗ (ред. от 23.11.2024) &quot;Об общих принципах организации и деятельности общественных палат субъектов Российской Федерации&quot; {КонсультантПлюс}">
        <w:r>
          <w:rPr>
            <w:sz w:val="20"/>
            <w:color w:val="0000ff"/>
          </w:rPr>
          <w:t xml:space="preserve">законом</w:t>
        </w:r>
      </w:hyperlink>
      <w:r>
        <w:rPr>
          <w:sz w:val="20"/>
        </w:rPr>
        <w:t xml:space="preserve"> "Об общих принципах организации и деятельности общественных палат субъектов Российской Федерации", направляются аппаратом Общественной палаты с указанием таких нарушений в соответствии с </w:t>
      </w:r>
      <w:hyperlink w:history="0" w:anchor="P51" w:tooltip="6. Аппарат Общественной палаты в течение семи дней со дня окончания приема представлений о кандидатурах и прилагаемых к ним документов (далее - документы о выдвижении) направляет:">
        <w:r>
          <w:rPr>
            <w:sz w:val="20"/>
            <w:color w:val="0000ff"/>
          </w:rPr>
          <w:t xml:space="preserve">частью 6</w:t>
        </w:r>
      </w:hyperlink>
      <w:r>
        <w:rPr>
          <w:sz w:val="20"/>
        </w:rPr>
        <w:t xml:space="preserve"> настоящей статьи.</w:t>
      </w:r>
    </w:p>
    <w:p>
      <w:pPr>
        <w:pStyle w:val="0"/>
        <w:spacing w:before="200" w:line-rule="auto"/>
        <w:ind w:firstLine="540"/>
        <w:jc w:val="both"/>
      </w:pPr>
      <w:r>
        <w:rPr>
          <w:sz w:val="20"/>
        </w:rPr>
        <w:t xml:space="preserve">8. Глава Республики Алтай, Председатель Правительства Республики Алтай и Государственное Собрание - Эл Курултай Республики Алтай в течение сто двадцати дней со дня поступления документов о выдвижении рассматривают указанные документы и утверждают по девять членов Общественной палаты своими правовыми актами.</w:t>
      </w:r>
    </w:p>
    <w:p>
      <w:pPr>
        <w:pStyle w:val="0"/>
        <w:jc w:val="both"/>
      </w:pPr>
      <w:r>
        <w:rPr>
          <w:sz w:val="20"/>
        </w:rPr>
        <w:t xml:space="preserve">(в ред. </w:t>
      </w:r>
      <w:hyperlink w:history="0" r:id="rId16" w:tooltip="Закон Республики Алтай от 19.06.2024 N 42-РЗ &quot;О внесении изменения в статью 3 Закона Республики Алтай &quot;О регулировании некоторых вопросов формирования и организации деятельности Общественной палаты Республики Алтай&quot; (принят ГСЭК РА 07.06.2024) {КонсультантПлюс}">
        <w:r>
          <w:rPr>
            <w:sz w:val="20"/>
            <w:color w:val="0000ff"/>
          </w:rPr>
          <w:t xml:space="preserve">Закона</w:t>
        </w:r>
      </w:hyperlink>
      <w:r>
        <w:rPr>
          <w:sz w:val="20"/>
        </w:rPr>
        <w:t xml:space="preserve"> Республики Алтай от 19.06.2024 N 42-РЗ)</w:t>
      </w:r>
    </w:p>
    <w:bookmarkStart w:id="57" w:name="P57"/>
    <w:bookmarkEnd w:id="57"/>
    <w:p>
      <w:pPr>
        <w:pStyle w:val="0"/>
        <w:spacing w:before="200" w:line-rule="auto"/>
        <w:ind w:firstLine="540"/>
        <w:jc w:val="both"/>
      </w:pPr>
      <w:r>
        <w:rPr>
          <w:sz w:val="20"/>
        </w:rPr>
        <w:t xml:space="preserve">9. Порядок рассмотрения документов о выдвижении и утверждения членов Общественной палаты Главой Республики Алтай, Председателем Правительства Республики Алтай и Государственным Собранием - Эл Курултай Республики Алтай в части, не урегулированной Федеральным </w:t>
      </w:r>
      <w:hyperlink w:history="0" r:id="rId17" w:tooltip="Федеральный закон от 23.06.2016 N 183-ФЗ (ред. от 23.11.2024) &quot;Об общих принципах организации и деятельности общественных палат субъектов Российской Федерации&quot; {КонсультантПлюс}">
        <w:r>
          <w:rPr>
            <w:sz w:val="20"/>
            <w:color w:val="0000ff"/>
          </w:rPr>
          <w:t xml:space="preserve">законом</w:t>
        </w:r>
      </w:hyperlink>
      <w:r>
        <w:rPr>
          <w:sz w:val="20"/>
        </w:rPr>
        <w:t xml:space="preserve"> "Об общих принципах организации и деятельности общественных палат субъектов Российской Федерации" и настоящим Законом, могут устанавливаться правовыми актами соответственно Главы Республики Алтай, Председателя Правительства Республики Алтай и Государственного Собрания - Эл Курултай Республики Алтай.</w:t>
      </w:r>
    </w:p>
    <w:bookmarkStart w:id="58" w:name="P58"/>
    <w:bookmarkEnd w:id="58"/>
    <w:p>
      <w:pPr>
        <w:pStyle w:val="0"/>
        <w:spacing w:before="200" w:line-rule="auto"/>
        <w:ind w:firstLine="540"/>
        <w:jc w:val="both"/>
      </w:pPr>
      <w:r>
        <w:rPr>
          <w:sz w:val="20"/>
        </w:rPr>
        <w:t xml:space="preserve">10. Аппарат Общественной палаты в течение пятнадцати дней со дня утверждения Главой Республики Алтай, Председателем Правительства Республики Алтай и Государственным Собранием - Эл Курултай Республики Алтай членов Общественной палаты организует проведение заседания указанных членов Общественной палаты по определению остальных девяти членов Общественной палаты из числа кандидатур, представленных местными общественными объединениями (далее - заседание).</w:t>
      </w:r>
    </w:p>
    <w:p>
      <w:pPr>
        <w:pStyle w:val="0"/>
        <w:spacing w:before="200" w:line-rule="auto"/>
        <w:ind w:firstLine="540"/>
        <w:jc w:val="both"/>
      </w:pPr>
      <w:r>
        <w:rPr>
          <w:sz w:val="20"/>
        </w:rPr>
        <w:t xml:space="preserve">11. Заседание считается правомочным, если на нем присутствует более половины членов Общественной палаты, утвержденных Главой Республики Алтай, Председателем Правительства Республики Алтай и Государственным Собранием - Эл Курултай Республики Алтай (далее - участники заседания).</w:t>
      </w:r>
    </w:p>
    <w:p>
      <w:pPr>
        <w:pStyle w:val="0"/>
        <w:spacing w:before="200" w:line-rule="auto"/>
        <w:ind w:firstLine="540"/>
        <w:jc w:val="both"/>
      </w:pPr>
      <w:r>
        <w:rPr>
          <w:sz w:val="20"/>
        </w:rPr>
        <w:t xml:space="preserve">Участниками заседания утверждается регламент работы заседания, избирается председатель, секретарь заседания, а также определяются остальные девять членов Общественной палаты из числа кандидатур, представленных местными общественными объединениями.</w:t>
      </w:r>
    </w:p>
    <w:p>
      <w:pPr>
        <w:pStyle w:val="0"/>
        <w:spacing w:before="200" w:line-rule="auto"/>
        <w:ind w:firstLine="540"/>
        <w:jc w:val="both"/>
      </w:pPr>
      <w:r>
        <w:rPr>
          <w:sz w:val="20"/>
        </w:rPr>
        <w:t xml:space="preserve">Решения на заседании принимаются большинством голосов от числа присутствующих участников заседания и оформляются протоколом, который подписывается председателем и секретарем заседания.</w:t>
      </w:r>
    </w:p>
    <w:p>
      <w:pPr>
        <w:pStyle w:val="0"/>
        <w:spacing w:before="200" w:line-rule="auto"/>
        <w:ind w:firstLine="540"/>
        <w:jc w:val="both"/>
      </w:pPr>
      <w:r>
        <w:rPr>
          <w:sz w:val="20"/>
        </w:rPr>
        <w:t xml:space="preserve">12. К правоотношениям, возникающим при определении остальных девяти членов Общественной палаты из числа кандидатур, представленных местными общественными объединениями, в части, не урегулированной настоящей статьей, применяются положения Регламента Общественной палаты.</w:t>
      </w:r>
    </w:p>
    <w:p>
      <w:pPr>
        <w:pStyle w:val="0"/>
        <w:spacing w:before="200" w:line-rule="auto"/>
        <w:ind w:firstLine="540"/>
        <w:jc w:val="both"/>
      </w:pPr>
      <w:r>
        <w:rPr>
          <w:sz w:val="20"/>
        </w:rPr>
        <w:t xml:space="preserve">13. В случае, если полный состав Общественной палаты не будет сформирован в порядке, установленном настоящей статьей, а также в случае досрочного прекращения полномочий хотя бы одного члена Общественной палаты в соответствии с Федеральным </w:t>
      </w:r>
      <w:hyperlink w:history="0" r:id="rId18" w:tooltip="Федеральный закон от 23.06.2016 N 183-ФЗ (ред. от 23.11.2024) &quot;Об общих принципах организации и деятельности общественных палат субъектов Российской Федерации&quot; {КонсультантПлюс}">
        <w:r>
          <w:rPr>
            <w:sz w:val="20"/>
            <w:color w:val="0000ff"/>
          </w:rPr>
          <w:t xml:space="preserve">законом</w:t>
        </w:r>
      </w:hyperlink>
      <w:r>
        <w:rPr>
          <w:sz w:val="20"/>
        </w:rPr>
        <w:t xml:space="preserve"> "Об общих принципах организации и деятельности общественных палат субъектов Российской Федерации", новые члены вводятся в ее состав в порядке, предусмотренном </w:t>
      </w:r>
      <w:hyperlink w:history="0" w:anchor="P51" w:tooltip="6. Аппарат Общественной палаты в течение семи дней со дня окончания приема представлений о кандидатурах и прилагаемых к ним документов (далее - документы о выдвижении) направляет:">
        <w:r>
          <w:rPr>
            <w:sz w:val="20"/>
            <w:color w:val="0000ff"/>
          </w:rPr>
          <w:t xml:space="preserve">частями 6</w:t>
        </w:r>
      </w:hyperlink>
      <w:r>
        <w:rPr>
          <w:sz w:val="20"/>
        </w:rPr>
        <w:t xml:space="preserve">, </w:t>
      </w:r>
      <w:hyperlink w:history="0" w:anchor="P54" w:tooltip="7. Документы о выдвижении в случае, если выдвижение указанных в них кандидатов в члены Общественной палаты осуществлено с нарушением требований, установленных Федеральным законом &quot;Об общих принципах организации и деятельности общественных палат субъектов Российской Федерации&quot;, направляются аппаратом Общественной палаты с указанием таких нарушений в соответствии с частью 6 настоящей статьи.">
        <w:r>
          <w:rPr>
            <w:sz w:val="20"/>
            <w:color w:val="0000ff"/>
          </w:rPr>
          <w:t xml:space="preserve">7</w:t>
        </w:r>
      </w:hyperlink>
      <w:r>
        <w:rPr>
          <w:sz w:val="20"/>
        </w:rPr>
        <w:t xml:space="preserve">, </w:t>
      </w:r>
      <w:hyperlink w:history="0" w:anchor="P57" w:tooltip="9. Порядок рассмотрения документов о выдвижении и утверждения членов Общественной палаты Главой Республики Алтай, Председателем Правительства Республики Алтай и Государственным Собранием - Эл Курултай Республики Алтай в части, не урегулированной Федеральным законом &quot;Об общих принципах организации и деятельности общественных палат субъектов Российской Федерации&quot; и настоящим Законом, могут устанавливаться правовыми актами соответственно Главы Республики Алтай, Председателя Правительства Республики Алтай и ...">
        <w:r>
          <w:rPr>
            <w:sz w:val="20"/>
            <w:color w:val="0000ff"/>
          </w:rPr>
          <w:t xml:space="preserve">9</w:t>
        </w:r>
      </w:hyperlink>
      <w:r>
        <w:rPr>
          <w:sz w:val="20"/>
        </w:rPr>
        <w:t xml:space="preserve"> и </w:t>
      </w:r>
      <w:hyperlink w:history="0" w:anchor="P58" w:tooltip="10. Аппарат Общественной палаты в течение пятнадцати дней со дня утверждения Главой Республики Алтай, Председателем Правительства Республики Алтай и Государственным Собранием - Эл Курултай Республики Алтай членов Общественной палаты организует проведение заседания указанных членов Общественной палаты по определению остальных девяти членов Общественной палаты из числа кандидатур, представленных местными общественными объединениями (далее - заседание).">
        <w:r>
          <w:rPr>
            <w:sz w:val="20"/>
            <w:color w:val="0000ff"/>
          </w:rPr>
          <w:t xml:space="preserve">10</w:t>
        </w:r>
      </w:hyperlink>
      <w:r>
        <w:rPr>
          <w:sz w:val="20"/>
        </w:rPr>
        <w:t xml:space="preserve"> настоящей статьи, из числа кандидатов, не вошедших ранее в состав Общественной палаты.</w:t>
      </w:r>
    </w:p>
    <w:p>
      <w:pPr>
        <w:pStyle w:val="0"/>
        <w:spacing w:before="200" w:line-rule="auto"/>
        <w:ind w:firstLine="540"/>
        <w:jc w:val="both"/>
      </w:pPr>
      <w:r>
        <w:rPr>
          <w:sz w:val="20"/>
        </w:rPr>
        <w:t xml:space="preserve">В случае, если такие кандидаты отсутствуют, формирование проводится в порядке, предусмотренном настоящей статьей.</w:t>
      </w:r>
    </w:p>
    <w:p>
      <w:pPr>
        <w:pStyle w:val="0"/>
        <w:spacing w:before="200" w:line-rule="auto"/>
        <w:ind w:firstLine="540"/>
        <w:jc w:val="both"/>
      </w:pPr>
      <w:r>
        <w:rPr>
          <w:sz w:val="20"/>
        </w:rPr>
        <w:t xml:space="preserve">При этом в выдвижении кандидатов в состав Общественной палаты не участвуют некоммерческие организации, представители которых входят в состав Общественной палаты.</w:t>
      </w:r>
    </w:p>
    <w:p>
      <w:pPr>
        <w:pStyle w:val="0"/>
        <w:spacing w:before="200" w:line-rule="auto"/>
        <w:ind w:firstLine="540"/>
        <w:jc w:val="both"/>
      </w:pPr>
      <w:r>
        <w:rPr>
          <w:sz w:val="20"/>
        </w:rPr>
        <w:t xml:space="preserve">14. В случае досрочного прекращения полномочий члена Общественной палаты менее чем за три месяца до истечения срока полномочий Общественной палаты действующего состава новый член Общественной палаты в ее состав не вводится.</w:t>
      </w:r>
    </w:p>
    <w:p>
      <w:pPr>
        <w:pStyle w:val="0"/>
        <w:spacing w:before="200" w:line-rule="auto"/>
        <w:ind w:firstLine="540"/>
        <w:jc w:val="both"/>
      </w:pPr>
      <w:r>
        <w:rPr>
          <w:sz w:val="20"/>
        </w:rPr>
        <w:t xml:space="preserve">15. Срок полномочий новых членов Общественной палаты составляет три года и истекает вместе со сроком полномочий действующего состава Общественной палаты.</w:t>
      </w:r>
    </w:p>
    <w:p>
      <w:pPr>
        <w:pStyle w:val="0"/>
        <w:jc w:val="both"/>
      </w:pPr>
      <w:r>
        <w:rPr>
          <w:sz w:val="20"/>
        </w:rPr>
      </w:r>
    </w:p>
    <w:p>
      <w:pPr>
        <w:pStyle w:val="2"/>
        <w:outlineLvl w:val="0"/>
        <w:ind w:firstLine="540"/>
        <w:jc w:val="both"/>
      </w:pPr>
      <w:r>
        <w:rPr>
          <w:sz w:val="20"/>
        </w:rPr>
        <w:t xml:space="preserve">Статья 4. Комиссии и рабочие группы Общественной палаты</w:t>
      </w:r>
    </w:p>
    <w:p>
      <w:pPr>
        <w:pStyle w:val="0"/>
        <w:jc w:val="both"/>
      </w:pPr>
      <w:r>
        <w:rPr>
          <w:sz w:val="20"/>
        </w:rPr>
      </w:r>
    </w:p>
    <w:p>
      <w:pPr>
        <w:pStyle w:val="0"/>
        <w:ind w:firstLine="540"/>
        <w:jc w:val="both"/>
      </w:pPr>
      <w:r>
        <w:rPr>
          <w:sz w:val="20"/>
        </w:rPr>
        <w:t xml:space="preserve">1. В соответствии с Федеральным </w:t>
      </w:r>
      <w:hyperlink w:history="0" r:id="rId19" w:tooltip="Федеральный закон от 23.06.2016 N 183-ФЗ (ред. от 23.11.2024) &quot;Об общих принципах организации и деятельности общественных палат субъектов Российской Федерации&quot; {КонсультантПлюс}">
        <w:r>
          <w:rPr>
            <w:sz w:val="20"/>
            <w:color w:val="0000ff"/>
          </w:rPr>
          <w:t xml:space="preserve">законом</w:t>
        </w:r>
      </w:hyperlink>
      <w:r>
        <w:rPr>
          <w:sz w:val="20"/>
        </w:rPr>
        <w:t xml:space="preserve"> "Об общих принципах организации и деятельности общественных палат субъектов Российской Федерации" установить, что органами Общественной палаты наряду с советом Общественной палаты и председателем Общественной палаты являются комиссии Общественной палаты.</w:t>
      </w:r>
    </w:p>
    <w:p>
      <w:pPr>
        <w:pStyle w:val="0"/>
        <w:jc w:val="both"/>
      </w:pPr>
      <w:r>
        <w:rPr>
          <w:sz w:val="20"/>
        </w:rPr>
        <w:t xml:space="preserve">(в ред. </w:t>
      </w:r>
      <w:hyperlink w:history="0" r:id="rId20" w:tooltip="Закон Республики Алтай от 07.05.2025 N 29-РЗ &quot;О внесении изменения в статью 4 Закона Республики Алтай &quot;О регулировании некоторых вопросов формирования и организации деятельности Общественной палаты Республики Алтай&quot; (принят ГСЭК РА 24.04.2025) {КонсультантПлюс}">
        <w:r>
          <w:rPr>
            <w:sz w:val="20"/>
            <w:color w:val="0000ff"/>
          </w:rPr>
          <w:t xml:space="preserve">Закона</w:t>
        </w:r>
      </w:hyperlink>
      <w:r>
        <w:rPr>
          <w:sz w:val="20"/>
        </w:rPr>
        <w:t xml:space="preserve"> Республики Алтай от 07.05.2025 N 29-РЗ)</w:t>
      </w:r>
    </w:p>
    <w:p>
      <w:pPr>
        <w:pStyle w:val="0"/>
        <w:spacing w:before="200" w:line-rule="auto"/>
        <w:ind w:firstLine="540"/>
        <w:jc w:val="both"/>
      </w:pPr>
      <w:r>
        <w:rPr>
          <w:sz w:val="20"/>
        </w:rPr>
        <w:t xml:space="preserve">2. Порядок формирования и деятельности комиссий Общественной палаты и рабочих групп Общественной палаты устанавливается Регламентом Общественной палаты в соответствии с Федеральным </w:t>
      </w:r>
      <w:hyperlink w:history="0" r:id="rId21" w:tooltip="Федеральный закон от 23.06.2016 N 183-ФЗ (ред. от 23.11.2024) &quot;Об общих принципах организации и деятельности общественных палат субъектов Российской Федерации&quot; {КонсультантПлюс}">
        <w:r>
          <w:rPr>
            <w:sz w:val="20"/>
            <w:color w:val="0000ff"/>
          </w:rPr>
          <w:t xml:space="preserve">законом</w:t>
        </w:r>
      </w:hyperlink>
      <w:r>
        <w:rPr>
          <w:sz w:val="20"/>
        </w:rPr>
        <w:t xml:space="preserve"> "Об общих принципах организации и деятельности общественных палат субъектов Российской Федерации".</w:t>
      </w:r>
    </w:p>
    <w:p>
      <w:pPr>
        <w:pStyle w:val="0"/>
        <w:jc w:val="both"/>
      </w:pPr>
      <w:r>
        <w:rPr>
          <w:sz w:val="20"/>
        </w:rPr>
      </w:r>
    </w:p>
    <w:p>
      <w:pPr>
        <w:pStyle w:val="2"/>
        <w:outlineLvl w:val="0"/>
        <w:ind w:firstLine="540"/>
        <w:jc w:val="both"/>
      </w:pPr>
      <w:r>
        <w:rPr>
          <w:sz w:val="20"/>
        </w:rPr>
        <w:t xml:space="preserve">Статья 5. Порядок выплаты члену Общественной палаты компенсации понесенных за счет собственных средств расходов в связи с осуществлением им полномочий члена Общественной палаты</w:t>
      </w:r>
    </w:p>
    <w:p>
      <w:pPr>
        <w:pStyle w:val="0"/>
        <w:jc w:val="both"/>
      </w:pPr>
      <w:r>
        <w:rPr>
          <w:sz w:val="20"/>
        </w:rPr>
      </w:r>
    </w:p>
    <w:p>
      <w:pPr>
        <w:pStyle w:val="0"/>
        <w:ind w:firstLine="540"/>
        <w:jc w:val="both"/>
      </w:pPr>
      <w:r>
        <w:rPr>
          <w:sz w:val="20"/>
        </w:rPr>
        <w:t xml:space="preserve">1. Член Общественной палаты по решению Совета Общественной палаты, подписанному председателем Общественной палаты, а в его отсутствие - заместителем председателя Общественной палаты (далее - уполномоченное лицо), согласованному с руководителем государственного учреждения (далее - решение), может быть направлен на определенный срок для участия в мероприятиях, связанных с осуществлением им полномочий члена Общественной палаты, проводимых вне постоянного места его жительства.</w:t>
      </w:r>
    </w:p>
    <w:p>
      <w:pPr>
        <w:pStyle w:val="0"/>
        <w:spacing w:before="200" w:line-rule="auto"/>
        <w:ind w:firstLine="540"/>
        <w:jc w:val="both"/>
      </w:pPr>
      <w:r>
        <w:rPr>
          <w:sz w:val="20"/>
        </w:rPr>
        <w:t xml:space="preserve">На суммы, выплачиваемые в возмещение расходов на поездки членов Общественной палаты, распространяются нормы налогового законодательства, предусмотренные для служебных командировок.</w:t>
      </w:r>
    </w:p>
    <w:p>
      <w:pPr>
        <w:pStyle w:val="0"/>
        <w:spacing w:before="200" w:line-rule="auto"/>
        <w:ind w:firstLine="540"/>
        <w:jc w:val="both"/>
      </w:pPr>
      <w:r>
        <w:rPr>
          <w:sz w:val="20"/>
        </w:rPr>
        <w:t xml:space="preserve">2. Срок поездки члена Общественной палаты определяется уполномоченным лицом, направляющим его в поездку, с учетом объема, сложности и других особенностей мероприятий, для участия в которых направляется член Общественной палаты.</w:t>
      </w:r>
    </w:p>
    <w:bookmarkStart w:id="80" w:name="P80"/>
    <w:bookmarkEnd w:id="80"/>
    <w:p>
      <w:pPr>
        <w:pStyle w:val="0"/>
        <w:spacing w:before="200" w:line-rule="auto"/>
        <w:ind w:firstLine="540"/>
        <w:jc w:val="both"/>
      </w:pPr>
      <w:r>
        <w:rPr>
          <w:sz w:val="20"/>
        </w:rPr>
        <w:t xml:space="preserve">3. По возвращении члена Общественной палаты из поездки ему возмещаются:</w:t>
      </w:r>
    </w:p>
    <w:p>
      <w:pPr>
        <w:pStyle w:val="0"/>
        <w:spacing w:before="200" w:line-rule="auto"/>
        <w:ind w:firstLine="540"/>
        <w:jc w:val="both"/>
      </w:pPr>
      <w:r>
        <w:rPr>
          <w:sz w:val="20"/>
        </w:rPr>
        <w:t xml:space="preserve">а) расходы, связанные с проездом в место участия в мероприятии и обратно - в постоянное место его жительства либо в место, определенное уполномоченным лицом;</w:t>
      </w:r>
    </w:p>
    <w:p>
      <w:pPr>
        <w:pStyle w:val="0"/>
        <w:spacing w:before="200" w:line-rule="auto"/>
        <w:ind w:firstLine="540"/>
        <w:jc w:val="both"/>
      </w:pPr>
      <w:r>
        <w:rPr>
          <w:sz w:val="20"/>
        </w:rPr>
        <w:t xml:space="preserve">б) расходы, связанные с проездом из одного населенного пункта в другой, если член Общественной палаты направлен для участия в мероприятиях, проводимых в нескольких организациях, расположенных в разных населенных пунктах;</w:t>
      </w:r>
    </w:p>
    <w:p>
      <w:pPr>
        <w:pStyle w:val="0"/>
        <w:spacing w:before="200" w:line-rule="auto"/>
        <w:ind w:firstLine="540"/>
        <w:jc w:val="both"/>
      </w:pPr>
      <w:r>
        <w:rPr>
          <w:sz w:val="20"/>
        </w:rPr>
        <w:t xml:space="preserve">в) расходы, связанные с наймом жилого помещения (включая бронирование).</w:t>
      </w:r>
    </w:p>
    <w:p>
      <w:pPr>
        <w:pStyle w:val="0"/>
        <w:spacing w:before="200" w:line-rule="auto"/>
        <w:ind w:firstLine="540"/>
        <w:jc w:val="both"/>
      </w:pPr>
      <w:r>
        <w:rPr>
          <w:sz w:val="20"/>
        </w:rPr>
        <w:t xml:space="preserve">4. Расходы, связанные с проездом (включая оплату услуг по оформлению проездных документов, предоставлению в поездах постельных принадлежностей) воздушным, железнодорожным, водным и автомобильным транспортом, возмещаются по фактическим затратам, подтвержденным проездными документами, по следующим нормам:</w:t>
      </w:r>
    </w:p>
    <w:p>
      <w:pPr>
        <w:pStyle w:val="0"/>
        <w:spacing w:before="200" w:line-rule="auto"/>
        <w:ind w:firstLine="540"/>
        <w:jc w:val="both"/>
      </w:pPr>
      <w:r>
        <w:rPr>
          <w:sz w:val="20"/>
        </w:rPr>
        <w:t xml:space="preserve">1) воздушным транспортом - по тарифу экономического класса;</w:t>
      </w:r>
    </w:p>
    <w:p>
      <w:pPr>
        <w:pStyle w:val="0"/>
        <w:spacing w:before="200" w:line-rule="auto"/>
        <w:ind w:firstLine="540"/>
        <w:jc w:val="both"/>
      </w:pPr>
      <w:r>
        <w:rPr>
          <w:sz w:val="20"/>
        </w:rPr>
        <w:t xml:space="preserve">2) железнодорожным транспортом - в четырехместном купе категории "К" купейного вагона или в вагоне категории "С" с местами для сидения;</w:t>
      </w:r>
    </w:p>
    <w:p>
      <w:pPr>
        <w:pStyle w:val="0"/>
        <w:spacing w:before="200" w:line-rule="auto"/>
        <w:ind w:firstLine="540"/>
        <w:jc w:val="both"/>
      </w:pPr>
      <w:r>
        <w:rPr>
          <w:sz w:val="20"/>
        </w:rPr>
        <w:t xml:space="preserve">3) внутренним водным транспортом - в каюте второй категории речного судна;</w:t>
      </w:r>
    </w:p>
    <w:p>
      <w:pPr>
        <w:pStyle w:val="0"/>
        <w:spacing w:before="200" w:line-rule="auto"/>
        <w:ind w:firstLine="540"/>
        <w:jc w:val="both"/>
      </w:pPr>
      <w:r>
        <w:rPr>
          <w:sz w:val="20"/>
        </w:rPr>
        <w:t xml:space="preserve">4) автомобильным транспортом - в автомобильном транспорте общего пользования (кроме такси).</w:t>
      </w:r>
    </w:p>
    <w:p>
      <w:pPr>
        <w:pStyle w:val="0"/>
        <w:spacing w:before="200" w:line-rule="auto"/>
        <w:ind w:firstLine="540"/>
        <w:jc w:val="both"/>
      </w:pPr>
      <w:r>
        <w:rPr>
          <w:sz w:val="20"/>
        </w:rPr>
        <w:t xml:space="preserve">5. При отсутствии проездных документов оплата проезда не производится.</w:t>
      </w:r>
    </w:p>
    <w:p>
      <w:pPr>
        <w:pStyle w:val="0"/>
        <w:spacing w:before="200" w:line-rule="auto"/>
        <w:ind w:firstLine="540"/>
        <w:jc w:val="both"/>
      </w:pPr>
      <w:r>
        <w:rPr>
          <w:sz w:val="20"/>
        </w:rPr>
        <w:t xml:space="preserve">6. Расходы, связанные с бронированием и наймом жилого помещения, возмещаются члену Общественной палаты (кроме тех случаев, когда ему предоставляется бесплатное жилое помещение) по фактическим затратам при представлении документов, подтверждающих эти расходы, но не более стоимости одноместного номера.</w:t>
      </w:r>
    </w:p>
    <w:p>
      <w:pPr>
        <w:pStyle w:val="0"/>
        <w:spacing w:before="200" w:line-rule="auto"/>
        <w:ind w:firstLine="540"/>
        <w:jc w:val="both"/>
      </w:pPr>
      <w:r>
        <w:rPr>
          <w:sz w:val="20"/>
        </w:rPr>
        <w:t xml:space="preserve">7. В случае направления члена Общественной палаты в такую местность, из которой он по условиям транспортного сообщения и характеру выполняемого задания имеет возможность ежедневно возвращаться в постоянное место жительства, возмещение расходов, указанных в </w:t>
      </w:r>
      <w:hyperlink w:history="0" w:anchor="P80" w:tooltip="3. По возвращении члена Общественной палаты из поездки ему возмещаются:">
        <w:r>
          <w:rPr>
            <w:sz w:val="20"/>
            <w:color w:val="0000ff"/>
          </w:rPr>
          <w:t xml:space="preserve">части 3</w:t>
        </w:r>
      </w:hyperlink>
      <w:r>
        <w:rPr>
          <w:sz w:val="20"/>
        </w:rPr>
        <w:t xml:space="preserve"> настоящей статьи, не производится.</w:t>
      </w:r>
    </w:p>
    <w:p>
      <w:pPr>
        <w:pStyle w:val="0"/>
        <w:spacing w:before="200" w:line-rule="auto"/>
        <w:ind w:firstLine="540"/>
        <w:jc w:val="both"/>
      </w:pPr>
      <w:r>
        <w:rPr>
          <w:sz w:val="20"/>
        </w:rPr>
        <w:t xml:space="preserve">8. Для возмещения расходов член Общественной палаты при возвращении из поездки в трехдневный срок представляет в аппарат Общественной палаты отчет об израсходованных в связи с поездкой суммах и документы, подтверждающие расходы.</w:t>
      </w:r>
    </w:p>
    <w:p>
      <w:pPr>
        <w:pStyle w:val="0"/>
        <w:jc w:val="both"/>
      </w:pPr>
      <w:r>
        <w:rPr>
          <w:sz w:val="20"/>
        </w:rPr>
      </w:r>
    </w:p>
    <w:bookmarkStart w:id="94" w:name="P94"/>
    <w:bookmarkEnd w:id="94"/>
    <w:p>
      <w:pPr>
        <w:pStyle w:val="2"/>
        <w:outlineLvl w:val="0"/>
        <w:ind w:firstLine="540"/>
        <w:jc w:val="both"/>
      </w:pPr>
      <w:r>
        <w:rPr>
          <w:sz w:val="20"/>
        </w:rPr>
        <w:t xml:space="preserve">Статья 6. Аппарат Общественной палаты. Порядок внесения Советом Общественной палаты предложения по кандидатуре на должность руководителя аппарата Общественной палаты</w:t>
      </w:r>
    </w:p>
    <w:p>
      <w:pPr>
        <w:pStyle w:val="0"/>
        <w:jc w:val="both"/>
      </w:pPr>
      <w:r>
        <w:rPr>
          <w:sz w:val="20"/>
        </w:rPr>
      </w:r>
    </w:p>
    <w:p>
      <w:pPr>
        <w:pStyle w:val="0"/>
        <w:ind w:firstLine="540"/>
        <w:jc w:val="both"/>
      </w:pPr>
      <w:r>
        <w:rPr>
          <w:sz w:val="20"/>
        </w:rPr>
        <w:t xml:space="preserve">1. Организационное, правовое, аналитическое, информационное, документационное, финансовое и материально-техническое обеспечение деятельности Общественной палаты осуществляется аппаратом Общественной палаты.</w:t>
      </w:r>
    </w:p>
    <w:p>
      <w:pPr>
        <w:pStyle w:val="0"/>
        <w:spacing w:before="200" w:line-rule="auto"/>
        <w:ind w:firstLine="540"/>
        <w:jc w:val="both"/>
      </w:pPr>
      <w:r>
        <w:rPr>
          <w:sz w:val="20"/>
        </w:rPr>
        <w:t xml:space="preserve">2. Аппарат Общественной палаты является подразделением государственного учреждения Республики Алтай.</w:t>
      </w:r>
    </w:p>
    <w:p>
      <w:pPr>
        <w:pStyle w:val="0"/>
        <w:spacing w:before="200" w:line-rule="auto"/>
        <w:ind w:firstLine="540"/>
        <w:jc w:val="both"/>
      </w:pPr>
      <w:r>
        <w:rPr>
          <w:sz w:val="20"/>
        </w:rPr>
        <w:t xml:space="preserve">3. Руководитель аппарата Общественной палаты назначается на должность и освобождается от должности Правительством Республики Алтай по представлению совета Общественной палаты.</w:t>
      </w:r>
    </w:p>
    <w:p>
      <w:pPr>
        <w:pStyle w:val="0"/>
        <w:spacing w:before="200" w:line-rule="auto"/>
        <w:ind w:firstLine="540"/>
        <w:jc w:val="both"/>
      </w:pPr>
      <w:r>
        <w:rPr>
          <w:sz w:val="20"/>
        </w:rPr>
        <w:t xml:space="preserve">4. Кандидатуру руководителя аппарата Общественной палаты для рассмотрения на заседании совета Общественной палаты представляет председатель Общественной палаты.</w:t>
      </w:r>
    </w:p>
    <w:p>
      <w:pPr>
        <w:pStyle w:val="0"/>
        <w:spacing w:before="200" w:line-rule="auto"/>
        <w:ind w:firstLine="540"/>
        <w:jc w:val="both"/>
      </w:pPr>
      <w:r>
        <w:rPr>
          <w:sz w:val="20"/>
        </w:rPr>
        <w:t xml:space="preserve">Решение о поддержке представленной кандидатуры руководителя аппарата Общественной палаты принимается открытым голосованием большинством голосов членов совета Общественной палаты, присутствующих на заседании совета Общественной палаты.</w:t>
      </w:r>
    </w:p>
    <w:p>
      <w:pPr>
        <w:pStyle w:val="0"/>
        <w:spacing w:before="200" w:line-rule="auto"/>
        <w:ind w:firstLine="540"/>
        <w:jc w:val="both"/>
      </w:pPr>
      <w:r>
        <w:rPr>
          <w:sz w:val="20"/>
        </w:rPr>
        <w:t xml:space="preserve">5. По итогам рассмотрения на заседании совета Общественной палаты кандидатуры руководителя аппарата Общественной палаты оформляется представление с предложением назначить на должность руководителя аппарата Общественной палаты соответствующую кандидатуру, которое вносится в Правительство Республики Алтай в течение тридцати дней со дня первого заседания Общественной палаты нового состава или со дня образования вакансии на должность руководителя аппарата Общественной палаты.</w:t>
      </w:r>
    </w:p>
    <w:p>
      <w:pPr>
        <w:pStyle w:val="0"/>
        <w:spacing w:before="200" w:line-rule="auto"/>
        <w:ind w:firstLine="540"/>
        <w:jc w:val="both"/>
      </w:pPr>
      <w:r>
        <w:rPr>
          <w:sz w:val="20"/>
        </w:rPr>
        <w:t xml:space="preserve">6. По итогам рассмотрения указанного представления Правительство Республики Алтай принимает решение о назначении кандидатуры на должность либо об отклонении предложенной советом Общественной палаты кандидатуры.</w:t>
      </w:r>
    </w:p>
    <w:p>
      <w:pPr>
        <w:pStyle w:val="0"/>
        <w:spacing w:before="200" w:line-rule="auto"/>
        <w:ind w:firstLine="540"/>
        <w:jc w:val="both"/>
      </w:pPr>
      <w:r>
        <w:rPr>
          <w:sz w:val="20"/>
        </w:rPr>
        <w:t xml:space="preserve">7. В случае отклонения Правительством Республики Алтай предложенной советом Общественной палаты кандидатуры руководителя аппарата Общественной палаты Общественная палата вносит в Правительство Республики Алтай иную кандидатуру в порядке, установленном настоящей статьей.</w:t>
      </w:r>
    </w:p>
    <w:p>
      <w:pPr>
        <w:pStyle w:val="0"/>
        <w:spacing w:before="200" w:line-rule="auto"/>
        <w:ind w:firstLine="540"/>
        <w:jc w:val="both"/>
      </w:pPr>
      <w:r>
        <w:rPr>
          <w:sz w:val="20"/>
        </w:rPr>
        <w:t xml:space="preserve">8. Руководитель аппарата Общественной палаты назначается на период полномочий Общественной палаты. Срок полномочий руководителя аппарата Общественной палаты заканчивается в день, предшествующий дню назначения нового руководителя аппарата Общественной палаты.</w:t>
      </w:r>
    </w:p>
    <w:p>
      <w:pPr>
        <w:pStyle w:val="0"/>
        <w:jc w:val="both"/>
      </w:pPr>
      <w:r>
        <w:rPr>
          <w:sz w:val="20"/>
        </w:rPr>
      </w:r>
    </w:p>
    <w:p>
      <w:pPr>
        <w:pStyle w:val="2"/>
        <w:outlineLvl w:val="0"/>
        <w:ind w:firstLine="540"/>
        <w:jc w:val="both"/>
      </w:pPr>
      <w:r>
        <w:rPr>
          <w:sz w:val="20"/>
        </w:rPr>
        <w:t xml:space="preserve">Статья 7. Финансовое обеспечение деятельности Общественной палаты</w:t>
      </w:r>
    </w:p>
    <w:p>
      <w:pPr>
        <w:pStyle w:val="0"/>
        <w:jc w:val="both"/>
      </w:pPr>
      <w:r>
        <w:rPr>
          <w:sz w:val="20"/>
        </w:rPr>
      </w:r>
    </w:p>
    <w:p>
      <w:pPr>
        <w:pStyle w:val="0"/>
        <w:ind w:firstLine="540"/>
        <w:jc w:val="both"/>
      </w:pPr>
      <w:r>
        <w:rPr>
          <w:sz w:val="20"/>
        </w:rPr>
        <w:t xml:space="preserve">1. Финансовое обеспечение деятельности Общественной палаты является расходным обязательством Республики Алтай.</w:t>
      </w:r>
    </w:p>
    <w:p>
      <w:pPr>
        <w:pStyle w:val="0"/>
        <w:spacing w:before="200" w:line-rule="auto"/>
        <w:ind w:firstLine="540"/>
        <w:jc w:val="both"/>
      </w:pPr>
      <w:r>
        <w:rPr>
          <w:sz w:val="20"/>
        </w:rPr>
        <w:t xml:space="preserve">2. Финансовое обеспечение содержания аппарата Общественной палаты осуществляется в пределах и объемах бюджетных ассигнований, предусмотренных на соответствующие цели законом Республики Алтай о республиканском бюджете Республики Алтай на текущий финансовый год и плановый период.</w:t>
      </w:r>
    </w:p>
    <w:p>
      <w:pPr>
        <w:pStyle w:val="0"/>
        <w:jc w:val="both"/>
      </w:pPr>
      <w:r>
        <w:rPr>
          <w:sz w:val="20"/>
        </w:rPr>
      </w:r>
    </w:p>
    <w:p>
      <w:pPr>
        <w:pStyle w:val="2"/>
        <w:outlineLvl w:val="0"/>
        <w:ind w:firstLine="540"/>
        <w:jc w:val="both"/>
      </w:pPr>
      <w:r>
        <w:rPr>
          <w:sz w:val="20"/>
        </w:rPr>
        <w:t xml:space="preserve">Статья 8. Вступление в силу настоящего Закона, заключительные и переходные положения</w:t>
      </w:r>
    </w:p>
    <w:p>
      <w:pPr>
        <w:pStyle w:val="0"/>
        <w:jc w:val="both"/>
      </w:pPr>
      <w:r>
        <w:rPr>
          <w:sz w:val="20"/>
        </w:rPr>
      </w:r>
    </w:p>
    <w:p>
      <w:pPr>
        <w:pStyle w:val="0"/>
        <w:ind w:firstLine="540"/>
        <w:jc w:val="both"/>
      </w:pPr>
      <w:r>
        <w:rPr>
          <w:sz w:val="20"/>
        </w:rPr>
        <w:t xml:space="preserve">1. Настоящий Закон вступает в силу с 1 января 2017 года.</w:t>
      </w:r>
    </w:p>
    <w:p>
      <w:pPr>
        <w:pStyle w:val="0"/>
        <w:spacing w:before="200" w:line-rule="auto"/>
        <w:ind w:firstLine="540"/>
        <w:jc w:val="both"/>
      </w:pPr>
      <w:r>
        <w:rPr>
          <w:sz w:val="20"/>
        </w:rPr>
        <w:t xml:space="preserve">2. Положения настоящего Закона распространяются на правоотношения, возникшие в связи с формированием Общественной палаты, формирование которой началось после дня вступления в силу настоящего Закона.</w:t>
      </w:r>
    </w:p>
    <w:p>
      <w:pPr>
        <w:pStyle w:val="0"/>
        <w:spacing w:before="200" w:line-rule="auto"/>
        <w:ind w:firstLine="540"/>
        <w:jc w:val="both"/>
      </w:pPr>
      <w:r>
        <w:rPr>
          <w:sz w:val="20"/>
        </w:rPr>
        <w:t xml:space="preserve">3. Члены Общественной палаты действующего на день вступления в силу настоящего Закона состава прекращают свои полномочия со дня первого заседания Общественной палаты нового состава, сформированной в соответствии с настоящим Законом.</w:t>
      </w:r>
    </w:p>
    <w:p>
      <w:pPr>
        <w:pStyle w:val="0"/>
        <w:spacing w:before="200" w:line-rule="auto"/>
        <w:ind w:firstLine="540"/>
        <w:jc w:val="both"/>
      </w:pPr>
      <w:r>
        <w:rPr>
          <w:sz w:val="20"/>
        </w:rPr>
        <w:t xml:space="preserve">4. Деятельность Общественной палаты действующего на день вступления в силу настоящего Закона состава осуществляется в соответствии с Федеральным </w:t>
      </w:r>
      <w:hyperlink w:history="0" r:id="rId22" w:tooltip="Федеральный закон от 23.06.2016 N 183-ФЗ (ред. от 23.11.2024) &quot;Об общих принципах организации и деятельности общественных палат субъектов Российской Федерации&quot; {КонсультантПлюс}">
        <w:r>
          <w:rPr>
            <w:sz w:val="20"/>
            <w:color w:val="0000ff"/>
          </w:rPr>
          <w:t xml:space="preserve">законом</w:t>
        </w:r>
      </w:hyperlink>
      <w:r>
        <w:rPr>
          <w:sz w:val="20"/>
        </w:rPr>
        <w:t xml:space="preserve"> "Об общих принципах организации и деятельности общественных палат субъектов Российской Федерации", настоящим Законом и Регламентом Общественной палаты.</w:t>
      </w:r>
    </w:p>
    <w:p>
      <w:pPr>
        <w:pStyle w:val="0"/>
        <w:spacing w:before="200" w:line-rule="auto"/>
        <w:ind w:firstLine="540"/>
        <w:jc w:val="both"/>
      </w:pPr>
      <w:r>
        <w:rPr>
          <w:sz w:val="20"/>
        </w:rPr>
        <w:t xml:space="preserve">5. Со дня вступления в силу настоящего Закона признать утратившими силу:</w:t>
      </w:r>
    </w:p>
    <w:p>
      <w:pPr>
        <w:pStyle w:val="0"/>
        <w:spacing w:before="200" w:line-rule="auto"/>
        <w:ind w:firstLine="540"/>
        <w:jc w:val="both"/>
      </w:pPr>
      <w:hyperlink w:history="0" r:id="rId23" w:tooltip="Закон Республики Алтай от 29.12.2006 N 104-РЗ (ред. от 08.07.2011) &quot;Об Общественной палате Республики Алтай&quot; (принят ГСЭК РА 08.12.2006) ------------ Утратил силу или отменен {КонсультантПлюс}">
        <w:r>
          <w:rPr>
            <w:sz w:val="20"/>
            <w:color w:val="0000ff"/>
          </w:rPr>
          <w:t xml:space="preserve">Закон</w:t>
        </w:r>
      </w:hyperlink>
      <w:r>
        <w:rPr>
          <w:sz w:val="20"/>
        </w:rPr>
        <w:t xml:space="preserve"> Республики Алтай от 29 декабря 2006 года N 104-РЗ "Об Общественной палате Республики Алтай" (Сборник законодательства Республики Алтай, 2006, N 38(44));</w:t>
      </w:r>
    </w:p>
    <w:p>
      <w:pPr>
        <w:pStyle w:val="0"/>
        <w:spacing w:before="200" w:line-rule="auto"/>
        <w:ind w:firstLine="540"/>
        <w:jc w:val="both"/>
      </w:pPr>
      <w:hyperlink w:history="0" r:id="rId24" w:tooltip="Закон Республики Алтай от 03.07.2009 N 37-РЗ &quot;О внесении изменения в статью 8 Закона Республики Алтай &quot;Об Общественной палате Республики Алтай&quot; (принят ГСЭК РА 17.06.2009) ------------ Утратил силу или отменен {КонсультантПлюс}">
        <w:r>
          <w:rPr>
            <w:sz w:val="20"/>
            <w:color w:val="0000ff"/>
          </w:rPr>
          <w:t xml:space="preserve">Закон</w:t>
        </w:r>
      </w:hyperlink>
      <w:r>
        <w:rPr>
          <w:sz w:val="20"/>
        </w:rPr>
        <w:t xml:space="preserve"> Республики Алтай от 3 июля 2009 года N 37-РЗ "О внесении изменения в статью 8 Закона Республики Алтай "Об Общественной палате Республики Алтай" (Сборник законодательства Республики Алтай, 2009, N 59(65));</w:t>
      </w:r>
    </w:p>
    <w:p>
      <w:pPr>
        <w:pStyle w:val="0"/>
        <w:spacing w:before="200" w:line-rule="auto"/>
        <w:ind w:firstLine="540"/>
        <w:jc w:val="both"/>
      </w:pPr>
      <w:hyperlink w:history="0" r:id="rId25" w:tooltip="Закон Республики Алтай от 08.07.2011 N 45-РЗ &quot;О внесении изменения в статью 8 Закона Республики Алтай &quot;Об Общественной палате Республики Алтай&quot; (принят ГСЭК РА 24.06.2011) ------------ Утратил силу или отменен {КонсультантПлюс}">
        <w:r>
          <w:rPr>
            <w:sz w:val="20"/>
            <w:color w:val="0000ff"/>
          </w:rPr>
          <w:t xml:space="preserve">Закон</w:t>
        </w:r>
      </w:hyperlink>
      <w:r>
        <w:rPr>
          <w:sz w:val="20"/>
        </w:rPr>
        <w:t xml:space="preserve"> Республики Алтай от 8 июля 2011 года N 45-РЗ "О внесении изменения в статью 8 Закона Республики Алтай "Об Общественной палате Республики Алтай" (Сборник законодательства Республики Алтай, 2011, N 78(84)).</w:t>
      </w:r>
    </w:p>
    <w:p>
      <w:pPr>
        <w:pStyle w:val="0"/>
        <w:jc w:val="both"/>
      </w:pPr>
      <w:r>
        <w:rPr>
          <w:sz w:val="20"/>
        </w:rPr>
      </w:r>
    </w:p>
    <w:tbl>
      <w:tblPr>
        <w:tblInd w:w="0" w:type="dxa"/>
        <w:tblW w:w="5000" w:type="pct"/>
        <w:tblBorders>
          <w:top w:val="single" w:sz="8"/>
          <w:left w:val="single" w:sz="8"/>
          <w:bottom w:val="single" w:sz="8"/>
          <w:right w:val="single" w:sz="8"/>
          <w:insideV w:val="single" w:sz="8"/>
          <w:insideH w:val="single" w:sz="8"/>
        </w:tblBorders>
        <w:tblCellMar>
          <w:top w:w="0" w:type="dxa"/>
          <w:left w:w="0" w:type="dxa"/>
          <w:bottom w:w="0" w:type="dxa"/>
          <w:right w:w="0" w:type="dxa"/>
        </w:tblCellMar>
      </w:tblPr>
      <w:tblGrid>
        <w:gridCol w:w="5103"/>
        <w:gridCol w:w="5103"/>
      </w:tblGrid>
      <w:tr>
        <w:tc>
          <w:tcPr>
            <w:tcW w:w="5103" w:type="dxa"/>
            <w:tcBorders>
              <w:top w:val="nil"/>
              <w:left w:val="nil"/>
              <w:bottom w:val="nil"/>
              <w:right w:val="nil"/>
            </w:tcBorders>
          </w:tcPr>
          <w:p>
            <w:pPr>
              <w:pStyle w:val="0"/>
            </w:pPr>
            <w:r>
              <w:rPr>
                <w:sz w:val="20"/>
              </w:rPr>
              <w:t xml:space="preserve">Председатель</w:t>
            </w:r>
          </w:p>
          <w:p>
            <w:pPr>
              <w:pStyle w:val="0"/>
            </w:pPr>
            <w:r>
              <w:rPr>
                <w:sz w:val="20"/>
              </w:rPr>
              <w:t xml:space="preserve">Государственного Собрания -</w:t>
            </w:r>
          </w:p>
          <w:p>
            <w:pPr>
              <w:pStyle w:val="0"/>
            </w:pPr>
            <w:r>
              <w:rPr>
                <w:sz w:val="20"/>
              </w:rPr>
              <w:t xml:space="preserve">Эл Курултай Республики Алтай</w:t>
            </w:r>
          </w:p>
          <w:p>
            <w:pPr>
              <w:pStyle w:val="0"/>
            </w:pPr>
            <w:r>
              <w:rPr>
                <w:sz w:val="20"/>
              </w:rPr>
              <w:t xml:space="preserve">В.Н.ТЮЛЕНТИН</w:t>
            </w:r>
          </w:p>
        </w:tc>
        <w:tc>
          <w:tcPr>
            <w:tcW w:w="5103" w:type="dxa"/>
            <w:tcBorders>
              <w:top w:val="nil"/>
              <w:left w:val="nil"/>
              <w:bottom w:val="nil"/>
              <w:right w:val="nil"/>
            </w:tcBorders>
          </w:tcPr>
          <w:p>
            <w:pPr>
              <w:pStyle w:val="0"/>
              <w:jc w:val="right"/>
            </w:pPr>
            <w:r>
              <w:rPr>
                <w:sz w:val="20"/>
              </w:rPr>
              <w:t xml:space="preserve">Глава Республики Алтай,</w:t>
            </w:r>
          </w:p>
          <w:p>
            <w:pPr>
              <w:pStyle w:val="0"/>
              <w:jc w:val="right"/>
            </w:pPr>
            <w:r>
              <w:rPr>
                <w:sz w:val="20"/>
              </w:rPr>
              <w:t xml:space="preserve">Председатель Правительства</w:t>
            </w:r>
          </w:p>
          <w:p>
            <w:pPr>
              <w:pStyle w:val="0"/>
              <w:jc w:val="right"/>
            </w:pPr>
            <w:r>
              <w:rPr>
                <w:sz w:val="20"/>
              </w:rPr>
              <w:t xml:space="preserve">Республики Алтай</w:t>
            </w:r>
          </w:p>
          <w:p>
            <w:pPr>
              <w:pStyle w:val="0"/>
              <w:jc w:val="right"/>
            </w:pPr>
            <w:r>
              <w:rPr>
                <w:sz w:val="20"/>
              </w:rPr>
              <w:t xml:space="preserve">А.В.БЕРДНИКОВ</w:t>
            </w:r>
          </w:p>
        </w:tc>
      </w:tr>
    </w:tbl>
    <w:p>
      <w:pPr>
        <w:pStyle w:val="0"/>
        <w:spacing w:before="200" w:line-rule="auto"/>
        <w:jc w:val="right"/>
      </w:pPr>
      <w:r>
        <w:rPr>
          <w:sz w:val="20"/>
        </w:rPr>
        <w:t xml:space="preserve">г. Горно-Алтайск</w:t>
      </w:r>
    </w:p>
    <w:p>
      <w:pPr>
        <w:pStyle w:val="0"/>
        <w:jc w:val="right"/>
      </w:pPr>
      <w:r>
        <w:rPr>
          <w:sz w:val="20"/>
        </w:rPr>
        <w:t xml:space="preserve">22 декабря 2016 года</w:t>
      </w:r>
    </w:p>
    <w:p>
      <w:pPr>
        <w:pStyle w:val="0"/>
        <w:jc w:val="right"/>
      </w:pPr>
      <w:r>
        <w:rPr>
          <w:sz w:val="20"/>
        </w:rPr>
        <w:t xml:space="preserve">N 90-РЗ</w:t>
      </w:r>
    </w:p>
    <w:p>
      <w:pPr>
        <w:pStyle w:val="0"/>
        <w:jc w:val="both"/>
      </w:pPr>
      <w:r>
        <w:rPr>
          <w:sz w:val="20"/>
        </w:rPr>
      </w:r>
    </w:p>
    <w:p>
      <w:pPr>
        <w:pStyle w:val="0"/>
        <w:jc w:val="both"/>
      </w:pPr>
      <w:r>
        <w:rPr>
          <w:sz w:val="20"/>
        </w:rPr>
      </w:r>
    </w:p>
    <w:p>
      <w:pPr>
        <w:pStyle w:val="0"/>
        <w:jc w:val="both"/>
        <w:pBdr>
          <w:bottom w:val="single" w:sz="6" w:space="0" w:color="auto"/>
        </w:pBdr>
        <w:spacing w:before="100" w:after="100"/>
        <w:rPr>
          <w:sz w:val="2"/>
          <w:szCs w:val="2"/>
        </w:rPr>
      </w:pPr>
    </w:p>
    <w:sectPr>
      <w:headerReference w:type="default" r:id="rId5"/>
      <w:headerReference w:type="first" r:id="rId5"/>
      <w:footerReference w:type="default" r:id="rId6"/>
      <w:footerReference w:type="first" r:id="rId6"/>
      <w:pgSz w:w="11906" w:h="16838"/>
      <w:pgMar w:top="1440" w:right="566" w:bottom="1440" w:left="1133" w:header="0" w:footer="0" w:gutter="0"/>
      <w:titlePg/>
    </w:sectPr>
  </w:body>
</w:document>
</file>

<file path=word/footer1.xml><?xml version="1.0" encoding="utf-8"?>
<w:ftr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p>
    <w:pPr>
      <w:pBdr>
        <w:bottom w:val="single" w:sz="12" w:space="0" w:color="auto"/>
      </w:pBdr>
      <w:rPr>
        <w:sz w:val="2"/>
        <w:szCs w:val="2"/>
      </w:rPr>
    </w:pPr>
  </w:p>
  <w:tbl>
    <w:tblPr>
      <w:tblW w:w="5000" w:type="pct"/>
      <w:tblInd w:w="0" w:type="dxa"/>
      <w:tblCellMar>
        <w:left w:w="40" w:type="dxa"/>
        <w:right w:w="40" w:type="dxa"/>
      </w:tblCellMar>
      <w:tblLook w:firstRow="0" w:lastRow="0" w:firstColumn="0" w:lastColumn="0" w:noHBand="0" w:noVBand="0"/>
    </w:tblPr>
    <w:tblGrid>
      <w:gridCol w:w="1"/>
      <w:gridCol w:w="1"/>
      <w:gridCol w:w="1"/>
    </w:tblGrid>
    <w:tr>
      <w:trPr>
        <w:trHeight w:hRule="exact" w:val="1663"/>
      </w:trPr>
      <w:tc>
        <w:tcPr>
          <w:tcW w:w="1650" w:type="pct"/>
          <w:vAlign w:val="center"/>
        </w:tcPr>
        <w:p>
          <w:r>
            <w:rPr>
              <w:rFonts w:ascii="Tahoma" w:hAnsi="Tahoma" w:cs="Tahoma"/>
              <w:b/>
              <w:color w:val="f58220"/>
              <w:sz w:val="28"/>
              <w:szCs w:val="28"/>
              <w:noProof/>
            </w:rPr>
            <w:t>КонсультантПлюс</w:t>
          </w:r>
          <w:r>
            <w:rPr>
              <w:rFonts w:ascii="Tahoma" w:hAnsi="Tahoma" w:cs="Tahoma"/>
              <w:b/>
              <w:sz w:val="16"/>
              <w:szCs w:val="16"/>
              <w:noProof/>
            </w:rPr>
            <w:br/>
            <w:t>надежная правовая поддержка</w:t>
          </w:r>
        </w:p>
      </w:tc>
      <w:tc>
        <w:tcPr>
          <w:tcW w:w="1700" w:type="pct"/>
          <w:vAlign w:val="center"/>
        </w:tcPr>
        <w:p>
          <w:pPr>
            <w:jc w:val="center"/>
          </w:pPr>
          <w:hyperlink r:id="rId1" w:history="0">
            <w:r>
              <w:rPr>
                <w:rFonts w:ascii="Tahoma" w:hAnsi="Tahoma" w:cs="Tahoma"/>
                <w:b/>
                <w:color w:val="0000FF"/>
              </w:rPr>
              <w:t>www.consultant.ru</w:t>
            </w:r>
          </w:hyperlink>
        </w:p>
      </w:tc>
      <w:tc>
        <w:tcPr>
          <w:tcW w:w="1650" w:type="pct"/>
          <w:vAlign w:val="center"/>
        </w:tcPr>
        <w:p>
          <w:pPr>
            <w:jc w:val="end"/>
          </w:pPr>
          <w:r>
            <w:rPr>
              <w:rFonts w:ascii="Tahoma" w:hAnsi="Tahoma" w:cs="Tahoma"/>
            </w:rPr>
            <w:t xml:space="preserve">Страница </w:t>
          </w:r>
          <w:r>
            <w:fldChar w:fldCharType="begin"/>
          </w:r>
          <w:r>
            <w:rPr>
              <w:rFonts w:ascii="Tahoma" w:hAnsi="Tahoma" w:cs="Tahoma"/>
            </w:rPr>
            <w:instrText>PAGE</w:instrText>
          </w:r>
          <w:r>
            <w:fldChar w:fldCharType="separate"/>
          </w:r>
          <w:r>
            <w:rPr>
              <w:rFonts w:ascii="Tahoma" w:hAnsi="Tahoma" w:cs="Tahoma"/>
              <w:noProof/>
            </w:rPr>
            <w:t>5</w:t>
          </w:r>
          <w:r>
            <w:fldChar w:fldCharType="end"/>
          </w:r>
          <w:r>
            <w:rPr>
              <w:rFonts w:ascii="Tahoma" w:hAnsi="Tahoma" w:cs="Tahoma"/>
            </w:rPr>
            <w:t xml:space="preserve"> из </w:t>
          </w:r>
          <w:r>
            <w:fldChar w:fldCharType="begin"/>
          </w:r>
          <w:r>
            <w:rPr>
              <w:rFonts w:ascii="Tahoma" w:hAnsi="Tahoma" w:cs="Tahoma"/>
            </w:rPr>
            <w:instrText>NUMPAGES</w:instrText>
          </w:r>
          <w:r>
            <w:fldChar w:fldCharType="separate"/>
          </w:r>
          <w:r>
            <w:rPr>
              <w:rFonts w:ascii="Tahoma" w:hAnsi="Tahoma" w:cs="Tahoma"/>
              <w:noProof/>
            </w:rPr>
            <w:t>5</w:t>
          </w:r>
          <w:r>
            <w:fldChar w:fldCharType="end"/>
          </w:r>
        </w:p>
      </w:tc>
    </w:tr>
  </w:tbl>
  <w:p>
    <w:r>
      <w:rPr>
        <w:sz w:val="2"/>
        <w:szCs w:val="2"/>
      </w:rPr>
      <w:t>1</w:t>
    </w:r>
  </w:p>
</w:ftr>
</file>

<file path=word/header1.xml><?xml version="1.0" encoding="utf-8"?>
<w:hdr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tbl>
    <w:tblPr>
      <w:tblW w:w="5000" w:type="pct"/>
      <w:tblInd w:w="0" w:type="dxa"/>
      <w:tblLayout w:type="fixed"/>
      <w:tblCellMar>
        <w:left w:w="40" w:type="dxa"/>
        <w:right w:w="40" w:type="dxa"/>
      </w:tblCellMar>
    </w:tblPr>
    <w:tblGrid>
      <w:gridCol w:w="1"/>
      <w:gridCol w:w="1"/>
    </w:tblGrid>
    <w:tr>
      <w:trPr>
        <w:trHeight w:hRule="exact" w:val="1683"/>
      </w:trPr>
      <w:tc>
        <w:tcPr>
          <w:tcW w:w="2700" w:type="pct"/>
          <w:vAlign w:val="center"/>
        </w:tcPr>
        <w:p>
          <w:pPr>
            <w:rPr>
              <w:rFonts w:ascii="Tahoma" w:hAnsi="Tahoma" w:cs="Tahoma"/>
            </w:rPr>
          </w:pPr>
          <w:r>
            <w:rPr>
              <w:rFonts w:ascii="Tahoma" w:hAnsi="Tahoma" w:cs="Tahoma"/>
              <w:sz w:val="16"/>
              <w:szCs w:val="16"/>
            </w:rPr>
            <w:t>Закон Республики Алтай от 22.12.2016 N 90-РЗ</w:t>
            <w:br/>
            <w:t>(ред. от 07.05.2025)</w:t>
            <w:br/>
            <w:t>"О регулировании некоторых вопросов формирования и орг...</w:t>
          </w:r>
        </w:p>
      </w:tc>
      <w:tc>
        <w:tcPr>
          <w:tcW w:w="2300" w:type="pct"/>
          <w:vAlign w:val="center"/>
        </w:tcPr>
        <w:p>
          <w:pPr>
            <w:jc w:val="end"/>
            <w:rPr>
              <w:rFonts w:ascii="Tahoma" w:hAnsi="Tahoma" w:cs="Tahoma"/>
            </w:rPr>
          </w:pPr>
          <w:r>
            <w:rPr>
              <w:rFonts w:ascii="Tahoma" w:hAnsi="Tahoma" w:cs="Tahoma"/>
              <w:sz w:val="18"/>
              <w:szCs w:val="18"/>
              <w:noProof/>
            </w:rPr>
            <w:t xml:space="preserve">Документ предоставлен </w:t>
          </w:r>
          <w:hyperlink r:id="rId1" w:history="0" w:tooltip="КонсультантПлюс - надежная правовая система">
            <w:r>
              <w:rPr>
                <w:rFonts w:ascii="Tahoma" w:hAnsi="Tahoma" w:cs="Tahoma"/>
                <w:color w:val="0000FF"/>
                <w:sz w:val="18"/>
                <w:szCs w:val="18"/>
                <w:noProof/>
              </w:rPr>
              <w:t>КонсультантПлюс</w:t>
            </w:r>
          </w:hyperlink>
          <w:r>
            <w:rPr>
              <w:rFonts w:ascii="Tahoma" w:hAnsi="Tahoma" w:cs="Tahoma"/>
              <w:sz w:val="18"/>
              <w:szCs w:val="18"/>
            </w:rPr>
            <w:br/>
          </w:r>
          <w:r>
            <w:rPr>
              <w:rFonts w:ascii="Tahoma" w:hAnsi="Tahoma" w:cs="Tahoma"/>
              <w:sz w:val="16"/>
              <w:szCs w:val="16"/>
            </w:rPr>
            <w:t>Дата сохранения: 07.06.2025</w:t>
          </w:r>
        </w:p>
      </w:tc>
    </w:tr>
  </w:tbl>
  <w:p>
    <w:pPr>
      <w:pBdr>
        <w:bottom w:val="single" w:sz="12" w:space="0" w:color="auto"/>
      </w:pBdr>
      <w:rPr>
        <w:sz w:val="2"/>
        <w:szCs w:val="2"/>
      </w:rPr>
    </w:pPr>
  </w:p>
  <w:p/>
</w:hdr>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pPrDefault>
      <w:pPr>
        <w:spacing w:before="0" w:after="0" w:line="240" w:lineRule="auto"/>
      </w:pPr>
    </w:pPrDefault>
  </w:docDefaults>
  <w:style w:type="paragraph" w:default="1" w:customStyle="1" w:styleId="0">
    <w:name w:val="ConsPlusNormal"/>
    <w:pPr>
      <w:widowControl w:val="0"/>
      <w:autoSpaceDE w:val="0"/>
      <w:autoSpaceDN w:val="0"/>
    </w:pPr>
    <w:rPr>
      <w:rFonts w:ascii="Arial" w:hAnsi="Arial" w:cs="Arial"/>
      <w:sz w:val="20"/>
    </w:rPr>
  </w:style>
  <w:style w:type="paragraph" w:customStyle="1" w:styleId="1">
    <w:name w:val="ConsPlusNonformat"/>
    <w:pPr>
      <w:widowControl w:val="0"/>
      <w:autoSpaceDE w:val="0"/>
      <w:autoSpaceDN w:val="0"/>
    </w:pPr>
    <w:rPr>
      <w:rFonts w:ascii="Courier New" w:hAnsi="Courier New" w:cs="Courier New"/>
      <w:sz w:val="20"/>
    </w:rPr>
  </w:style>
  <w:style w:type="paragraph" w:customStyle="1" w:styleId="2">
    <w:name w:val="ConsPlusTitle"/>
    <w:pPr>
      <w:widowControl w:val="0"/>
      <w:autoSpaceDE w:val="0"/>
      <w:autoSpaceDN w:val="0"/>
    </w:pPr>
    <w:rPr>
      <w:rFonts w:ascii="Arial" w:hAnsi="Arial" w:cs="Arial"/>
      <w:sz w:val="20"/>
      <w:b/>
    </w:rPr>
  </w:style>
  <w:style w:type="paragraph" w:customStyle="1" w:styleId="3">
    <w:name w:val="ConsPlusCell"/>
    <w:pPr>
      <w:widowControl w:val="0"/>
      <w:autoSpaceDE w:val="0"/>
      <w:autoSpaceDN w:val="0"/>
    </w:pPr>
    <w:rPr>
      <w:rFonts w:ascii="Courier New" w:hAnsi="Courier New" w:cs="Courier New"/>
      <w:sz w:val="20"/>
    </w:rPr>
  </w:style>
  <w:style w:type="paragraph" w:customStyle="1" w:styleId="4">
    <w:name w:val="ConsPlusDocList"/>
    <w:pPr>
      <w:widowControl w:val="0"/>
      <w:autoSpaceDE w:val="0"/>
      <w:autoSpaceDN w:val="0"/>
    </w:pPr>
    <w:rPr>
      <w:rFonts w:ascii="Courier New" w:hAnsi="Courier New" w:cs="Courier New"/>
      <w:sz w:val="20"/>
    </w:rPr>
  </w:style>
  <w:style w:type="paragraph" w:customStyle="1" w:styleId="5">
    <w:name w:val="ConsPlusTitlePage"/>
    <w:pPr>
      <w:widowControl w:val="0"/>
      <w:autoSpaceDE w:val="0"/>
      <w:autoSpaceDN w:val="0"/>
    </w:pPr>
    <w:rPr>
      <w:rFonts w:ascii="Tahoma" w:hAnsi="Tahoma" w:cs="Tahoma"/>
      <w:sz w:val="20"/>
    </w:rPr>
  </w:style>
  <w:style w:type="paragraph" w:customStyle="1" w:styleId="6">
    <w:name w:val="ConsPlusJurTerm"/>
    <w:pPr>
      <w:widowControl w:val="0"/>
      <w:autoSpaceDE w:val="0"/>
      <w:autoSpaceDN w:val="0"/>
    </w:pPr>
    <w:rPr>
      <w:rFonts w:ascii="Tahoma" w:hAnsi="Tahoma" w:cs="Tahoma"/>
      <w:sz w:val="26"/>
    </w:rPr>
  </w:style>
  <w:style w:type="paragraph" w:customStyle="1" w:styleId="7">
    <w:name w:val="ConsPlusTextList"/>
    <w:pPr>
      <w:widowControl w:val="0"/>
      <w:autoSpaceDE w:val="0"/>
      <w:autoSpaceDN w:val="0"/>
    </w:pPr>
    <w:rPr>
      <w:rFonts w:ascii="Arial" w:hAnsi="Arial" w:cs="Arial"/>
      <w:sz w:val="20"/>
    </w:rPr>
  </w:style>
  <w:style w:type="paragraph" w:customStyle="1" w:styleId="8">
    <w:name w:val="ConsPlusTextList"/>
    <w:pPr>
      <w:widowControl w:val="0"/>
      <w:autoSpaceDE w:val="0"/>
      <w:autoSpaceDN w:val="0"/>
    </w:pPr>
    <w:rPr>
      <w:rFonts w:ascii="Arial" w:hAnsi="Arial" w:cs="Arial"/>
      <w:sz w:val="20"/>
    </w:rPr>
  </w:style>
  <w:style w:type="paragraph" w:default="1" w:customStyle="1" w:styleId="0">
    <w:name w:val="ConsPlusNormal"/>
    <w:pPr>
      <w:widowControl w:val="0"/>
      <w:autoSpaceDE w:val="0"/>
      <w:autoSpaceDN w:val="0"/>
    </w:pPr>
    <w:rPr>
      <w:rFonts w:ascii="Arial" w:hAnsi="Arial" w:cs="Arial"/>
      <w:sz w:val="20"/>
    </w:rPr>
  </w:style>
  <w:style w:type="paragraph" w:customStyle="1" w:styleId="1">
    <w:name w:val="ConsPlusNonformat"/>
    <w:pPr>
      <w:widowControl w:val="0"/>
      <w:autoSpaceDE w:val="0"/>
      <w:autoSpaceDN w:val="0"/>
    </w:pPr>
    <w:rPr>
      <w:rFonts w:ascii="Courier New" w:hAnsi="Courier New" w:cs="Courier New"/>
      <w:sz w:val="20"/>
    </w:rPr>
  </w:style>
  <w:style w:type="paragraph" w:customStyle="1" w:styleId="2">
    <w:name w:val="ConsPlusTitle"/>
    <w:pPr>
      <w:widowControl w:val="0"/>
      <w:autoSpaceDE w:val="0"/>
      <w:autoSpaceDN w:val="0"/>
    </w:pPr>
    <w:rPr>
      <w:rFonts w:ascii="Arial" w:hAnsi="Arial" w:cs="Arial"/>
      <w:sz w:val="20"/>
      <w:b/>
    </w:rPr>
  </w:style>
  <w:style w:type="paragraph" w:customStyle="1" w:styleId="3">
    <w:name w:val="ConsPlusCell"/>
    <w:pPr>
      <w:widowControl w:val="0"/>
      <w:autoSpaceDE w:val="0"/>
      <w:autoSpaceDN w:val="0"/>
    </w:pPr>
    <w:rPr>
      <w:rFonts w:ascii="Courier New" w:hAnsi="Courier New" w:cs="Courier New"/>
      <w:sz w:val="20"/>
    </w:rPr>
  </w:style>
  <w:style w:type="paragraph" w:customStyle="1" w:styleId="4">
    <w:name w:val="ConsPlusDocList"/>
    <w:pPr>
      <w:widowControl w:val="0"/>
      <w:autoSpaceDE w:val="0"/>
      <w:autoSpaceDN w:val="0"/>
    </w:pPr>
    <w:rPr>
      <w:rFonts w:ascii="Courier New" w:hAnsi="Courier New" w:cs="Courier New"/>
      <w:sz w:val="20"/>
    </w:rPr>
  </w:style>
  <w:style w:type="paragraph" w:customStyle="1" w:styleId="5">
    <w:name w:val="ConsPlusTitlePage"/>
    <w:pPr>
      <w:widowControl w:val="0"/>
      <w:autoSpaceDE w:val="0"/>
      <w:autoSpaceDN w:val="0"/>
    </w:pPr>
    <w:rPr>
      <w:rFonts w:ascii="Tahoma" w:hAnsi="Tahoma" w:cs="Tahoma"/>
      <w:sz w:val="20"/>
    </w:rPr>
  </w:style>
  <w:style w:type="paragraph" w:customStyle="1" w:styleId="6">
    <w:name w:val="ConsPlusJurTerm"/>
    <w:pPr>
      <w:widowControl w:val="0"/>
      <w:autoSpaceDE w:val="0"/>
      <w:autoSpaceDN w:val="0"/>
    </w:pPr>
    <w:rPr>
      <w:rFonts w:ascii="Tahoma" w:hAnsi="Tahoma" w:cs="Tahoma"/>
      <w:sz w:val="26"/>
    </w:rPr>
  </w:style>
  <w:style w:type="paragraph" w:customStyle="1" w:styleId="7">
    <w:name w:val="ConsPlusTextList"/>
    <w:pPr>
      <w:widowControl w:val="0"/>
      <w:autoSpaceDE w:val="0"/>
      <w:autoSpaceDN w:val="0"/>
    </w:pPr>
    <w:rPr>
      <w:rFonts w:ascii="Arial" w:hAnsi="Arial" w:cs="Arial"/>
      <w:sz w:val="20"/>
    </w:rPr>
  </w:style>
  <w:style w:type="paragraph" w:customStyle="1" w:styleId="8">
    <w:name w:val="ConsPlusTextList"/>
    <w:pPr>
      <w:widowControl w:val="0"/>
      <w:autoSpaceDE w:val="0"/>
      <w:autoSpaceDN w:val="0"/>
    </w:pPr>
    <w:rPr>
      <w:rFonts w:ascii="Arial" w:hAnsi="Arial" w:cs="Arial"/>
      <w:sz w:val="20"/>
    </w:rPr>
  </w:style>
</w:styles>
</file>

<file path=word/_rels/document.xml.rels>&#65279;<?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image" Target="media/image1.png"/>
	<Relationship Id="rId3" Type="http://schemas.openxmlformats.org/officeDocument/2006/relationships/hyperlink" Target="https://www.consultant.ru" TargetMode = "External"/>
	<Relationship Id="rId4" Type="http://schemas.openxmlformats.org/officeDocument/2006/relationships/hyperlink" Target="https://www.consultant.ru" TargetMode = "External"/>
	<Relationship Id="rId5" Type="http://schemas.openxmlformats.org/officeDocument/2006/relationships/header" Target="header1.xml"/>
	<Relationship Id="rId6" Type="http://schemas.openxmlformats.org/officeDocument/2006/relationships/footer" Target="footer1.xml"/>
	<Relationship Id="rId7" Type="http://schemas.openxmlformats.org/officeDocument/2006/relationships/hyperlink" Target="https://login.consultant.ru/link/?req=doc&amp;base=RLAW916&amp;n=58120&amp;dst=100008" TargetMode = "External"/>
	<Relationship Id="rId8" Type="http://schemas.openxmlformats.org/officeDocument/2006/relationships/hyperlink" Target="https://login.consultant.ru/link/?req=doc&amp;base=RLAW916&amp;n=61917&amp;dst=100008" TargetMode = "External"/>
	<Relationship Id="rId9" Type="http://schemas.openxmlformats.org/officeDocument/2006/relationships/hyperlink" Target="https://login.consultant.ru/link/?req=doc&amp;base=LAW&amp;n=491404&amp;dst=100022" TargetMode = "External"/>
	<Relationship Id="rId10" Type="http://schemas.openxmlformats.org/officeDocument/2006/relationships/hyperlink" Target="https://login.consultant.ru/link/?req=doc&amp;base=LAW&amp;n=491404" TargetMode = "External"/>
	<Relationship Id="rId11" Type="http://schemas.openxmlformats.org/officeDocument/2006/relationships/hyperlink" Target="https://login.consultant.ru/link/?req=doc&amp;base=LAW&amp;n=491404" TargetMode = "External"/>
	<Relationship Id="rId12" Type="http://schemas.openxmlformats.org/officeDocument/2006/relationships/hyperlink" Target="https://login.consultant.ru/link/?req=doc&amp;base=LAW&amp;n=491404" TargetMode = "External"/>
	<Relationship Id="rId13" Type="http://schemas.openxmlformats.org/officeDocument/2006/relationships/hyperlink" Target="https://login.consultant.ru/link/?req=doc&amp;base=LAW&amp;n=491404&amp;dst=100066" TargetMode = "External"/>
	<Relationship Id="rId14" Type="http://schemas.openxmlformats.org/officeDocument/2006/relationships/hyperlink" Target="https://login.consultant.ru/link/?req=doc&amp;base=LAW&amp;n=491404&amp;dst=100067" TargetMode = "External"/>
	<Relationship Id="rId15" Type="http://schemas.openxmlformats.org/officeDocument/2006/relationships/hyperlink" Target="https://login.consultant.ru/link/?req=doc&amp;base=LAW&amp;n=491404" TargetMode = "External"/>
	<Relationship Id="rId16" Type="http://schemas.openxmlformats.org/officeDocument/2006/relationships/hyperlink" Target="https://login.consultant.ru/link/?req=doc&amp;base=RLAW916&amp;n=58120&amp;dst=100008" TargetMode = "External"/>
	<Relationship Id="rId17" Type="http://schemas.openxmlformats.org/officeDocument/2006/relationships/hyperlink" Target="https://login.consultant.ru/link/?req=doc&amp;base=LAW&amp;n=491404" TargetMode = "External"/>
	<Relationship Id="rId18" Type="http://schemas.openxmlformats.org/officeDocument/2006/relationships/hyperlink" Target="https://login.consultant.ru/link/?req=doc&amp;base=LAW&amp;n=491404" TargetMode = "External"/>
	<Relationship Id="rId19" Type="http://schemas.openxmlformats.org/officeDocument/2006/relationships/hyperlink" Target="https://login.consultant.ru/link/?req=doc&amp;base=LAW&amp;n=491404" TargetMode = "External"/>
	<Relationship Id="rId20" Type="http://schemas.openxmlformats.org/officeDocument/2006/relationships/hyperlink" Target="https://login.consultant.ru/link/?req=doc&amp;base=RLAW916&amp;n=61917&amp;dst=100008" TargetMode = "External"/>
	<Relationship Id="rId21" Type="http://schemas.openxmlformats.org/officeDocument/2006/relationships/hyperlink" Target="https://login.consultant.ru/link/?req=doc&amp;base=LAW&amp;n=491404" TargetMode = "External"/>
	<Relationship Id="rId22" Type="http://schemas.openxmlformats.org/officeDocument/2006/relationships/hyperlink" Target="https://login.consultant.ru/link/?req=doc&amp;base=LAW&amp;n=491404" TargetMode = "External"/>
	<Relationship Id="rId23" Type="http://schemas.openxmlformats.org/officeDocument/2006/relationships/hyperlink" Target="https://login.consultant.ru/link/?req=doc&amp;base=RLAW916&amp;n=13455" TargetMode = "External"/>
	<Relationship Id="rId24" Type="http://schemas.openxmlformats.org/officeDocument/2006/relationships/hyperlink" Target="https://login.consultant.ru/link/?req=doc&amp;base=RLAW916&amp;n=9778" TargetMode = "External"/>
	<Relationship Id="rId25" Type="http://schemas.openxmlformats.org/officeDocument/2006/relationships/hyperlink" Target="https://login.consultant.ru/link/?req=doc&amp;base=RLAW916&amp;n=13439" TargetMode = "External"/>
</Relationships>
</file>

<file path=word/_rels/footer1.xml.rels>&#65279;<?xml version="1.0" encoding="UTF-8" standalone="yes"?>
<Relationships xmlns="http://schemas.openxmlformats.org/package/2006/relationships">
	<Relationship Id="rId1" Type="http://schemas.openxmlformats.org/officeDocument/2006/relationships/hyperlink" Target="https://www.consultant.ru" TargetMode = "External"/>
</Relationships>
</file>

<file path=word/_rels/header1.xml.rels>&#65279;<?xml version="1.0" encoding="UTF-8" standalone="yes"?>
<Relationships xmlns="http://schemas.openxmlformats.org/package/2006/relationships">
	<Relationship Id="rId1" Type="http://schemas.openxmlformats.org/officeDocument/2006/relationships/hyperlink" Target="https://www.consultant.ru" TargetMode = "External"/>
</Relationships>
</file>

<file path=docProps/app.xml><?xml version="1.0" encoding="utf-8"?>
<Properties xmlns="http://schemas.openxmlformats.org/officeDocument/2006/extended-properties" xmlns:vt="http://schemas.openxmlformats.org/officeDocument/2006/docPropsVTypes">
  <Application>КонсультантПлюс Версия 4025.00.02</Application>
  <Company>КонсультантПлюс Версия 4025.00.02</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Закон Республики Алтай от 22.12.2016 N 90-РЗ
(ред. от 07.05.2025)
"О регулировании некоторых вопросов формирования и организации деятельности Общественной палаты Республики Алтай"
(принят ГСЭК РА 14.12.2016)</dc:title>
  <dcterms:created xsi:type="dcterms:W3CDTF">2025-06-07T07:18:03Z</dcterms:created>
</cp:coreProperties>
</file>