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РК от 04.04.2023 N 150-р</w:t>
              <w:br/>
              <w:t xml:space="preserve">&lt;Об утверждении распределения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 на 2023 год&gt;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pPr>
      <w:r>
        <w:rPr>
          <w:sz w:val="20"/>
        </w:rPr>
      </w:r>
    </w:p>
    <w:p>
      <w:pPr>
        <w:pStyle w:val="2"/>
        <w:jc w:val="center"/>
      </w:pPr>
      <w:r>
        <w:rPr>
          <w:sz w:val="20"/>
        </w:rPr>
        <w:t xml:space="preserve">РАСПОРЯЖЕНИЕ</w:t>
      </w:r>
    </w:p>
    <w:p>
      <w:pPr>
        <w:pStyle w:val="2"/>
        <w:jc w:val="center"/>
      </w:pPr>
      <w:r>
        <w:rPr>
          <w:sz w:val="20"/>
        </w:rPr>
        <w:t xml:space="preserve">от 4 апреля 2023 г. N 150-р</w:t>
      </w:r>
    </w:p>
    <w:p>
      <w:pPr>
        <w:pStyle w:val="0"/>
      </w:pPr>
      <w:r>
        <w:rPr>
          <w:sz w:val="20"/>
        </w:rPr>
      </w:r>
    </w:p>
    <w:p>
      <w:pPr>
        <w:pStyle w:val="0"/>
        <w:ind w:firstLine="540"/>
        <w:jc w:val="both"/>
      </w:pPr>
      <w:r>
        <w:rPr>
          <w:sz w:val="20"/>
        </w:rPr>
        <w:t xml:space="preserve">В целях реализации </w:t>
      </w:r>
      <w:hyperlink w:history="0" r:id="rId7" w:tooltip="Закон Республики Коми от 05.12.2022 N 104-РЗ (ред. от 27.03.2023) &quot;О республиканском бюджете Республики Коми на 2023 год и плановый период 2024 и 2025 годов&quot; (принят ГС РК 30.11.2022) (вместе с &quot;Программой государственных внутренних заимствований Республики Коми на 2023 год и плановый период 2024 и 2025 годов&quot;, &quot;Программой государственных гарантий Республики Коми в валюте Российской Федерации на 2023 год и плановый период 2024 и 2025 годов&quot;) ------------ Недействующая редакция {КонсультантПлюс}">
        <w:r>
          <w:rPr>
            <w:sz w:val="20"/>
            <w:color w:val="0000ff"/>
          </w:rPr>
          <w:t xml:space="preserve">Закона</w:t>
        </w:r>
      </w:hyperlink>
      <w:r>
        <w:rPr>
          <w:sz w:val="20"/>
        </w:rPr>
        <w:t xml:space="preserve"> Республики Коми "О республиканском бюджете Республики Коми на 2023 год и плановый период 2024 и 2025 годов" и в соответствии с </w:t>
      </w:r>
      <w:hyperlink w:history="0" r:id="rId8" w:tooltip="Постановление Правительства РК от 31.10.2019 N 517 (ред. от 23.03.2023) &quot;О Государственной программе Республики Коми &quot;Социальная защита населения&quot; (вместе с &quot;Перечнем налоговых расходов Республики Коми, соответствующих целям Государственной программы, ее структурным элементам&quot;, &quot;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quot;О ветеранах&quot;, за счет средств, поступаю ------------ Недействующая редакция {КонсультантПлюс}">
        <w:r>
          <w:rPr>
            <w:sz w:val="20"/>
            <w:color w:val="0000ff"/>
          </w:rPr>
          <w:t xml:space="preserve">Правилами</w:t>
        </w:r>
      </w:hyperlink>
      <w:r>
        <w:rPr>
          <w:sz w:val="20"/>
        </w:rPr>
        <w:t xml:space="preserve">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 (приложение 2.6 к Государственной программе Республики Коми "Социальная защита населения", утвержденной постановлением Правительства Республики Коми от 31 октября 2019 г. N 517 (приложение N 1):</w:t>
      </w:r>
    </w:p>
    <w:p>
      <w:pPr>
        <w:pStyle w:val="0"/>
        <w:spacing w:before="200" w:line-rule="auto"/>
        <w:ind w:firstLine="540"/>
        <w:jc w:val="both"/>
      </w:pPr>
      <w:r>
        <w:rPr>
          <w:sz w:val="20"/>
        </w:rPr>
        <w:t xml:space="preserve">1. Утвердить </w:t>
      </w:r>
      <w:hyperlink w:history="0" w:anchor="P24" w:tooltip="РАСПРЕДЕЛЕНИЕ">
        <w:r>
          <w:rPr>
            <w:sz w:val="20"/>
            <w:color w:val="0000ff"/>
          </w:rPr>
          <w:t xml:space="preserve">распределение</w:t>
        </w:r>
      </w:hyperlink>
      <w:r>
        <w:rPr>
          <w:sz w:val="20"/>
        </w:rPr>
        <w:t xml:space="preserve">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 на 2023 год согласно приложению.</w:t>
      </w:r>
    </w:p>
    <w:p>
      <w:pPr>
        <w:pStyle w:val="0"/>
        <w:spacing w:before="200" w:line-rule="auto"/>
        <w:ind w:firstLine="540"/>
        <w:jc w:val="both"/>
      </w:pPr>
      <w:r>
        <w:rPr>
          <w:sz w:val="20"/>
        </w:rPr>
        <w:t xml:space="preserve">2. Настоящее распоряжение вступает в силу со дня его принятия.</w:t>
      </w:r>
    </w:p>
    <w:p>
      <w:pPr>
        <w:pStyle w:val="0"/>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Республики Коми</w:t>
      </w:r>
    </w:p>
    <w:p>
      <w:pPr>
        <w:pStyle w:val="0"/>
        <w:jc w:val="right"/>
      </w:pPr>
      <w:r>
        <w:rPr>
          <w:sz w:val="20"/>
        </w:rPr>
        <w:t xml:space="preserve">Э.АХМЕЕВА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Республики Коми</w:t>
      </w:r>
    </w:p>
    <w:p>
      <w:pPr>
        <w:pStyle w:val="0"/>
        <w:jc w:val="right"/>
      </w:pPr>
      <w:r>
        <w:rPr>
          <w:sz w:val="20"/>
        </w:rPr>
        <w:t xml:space="preserve">от 4 апреля 2023 г. N 150-р</w:t>
      </w:r>
    </w:p>
    <w:p>
      <w:pPr>
        <w:pStyle w:val="0"/>
        <w:jc w:val="right"/>
      </w:pPr>
      <w:r>
        <w:rPr>
          <w:sz w:val="20"/>
        </w:rPr>
        <w:t xml:space="preserve">(приложение)</w:t>
      </w:r>
    </w:p>
    <w:p>
      <w:pPr>
        <w:pStyle w:val="0"/>
      </w:pPr>
      <w:r>
        <w:rPr>
          <w:sz w:val="20"/>
        </w:rPr>
      </w:r>
    </w:p>
    <w:bookmarkStart w:id="24" w:name="P24"/>
    <w:bookmarkEnd w:id="24"/>
    <w:p>
      <w:pPr>
        <w:pStyle w:val="2"/>
        <w:jc w:val="center"/>
      </w:pPr>
      <w:r>
        <w:rPr>
          <w:sz w:val="20"/>
        </w:rPr>
        <w:t xml:space="preserve">РАСПРЕДЕЛЕНИЕ</w:t>
      </w:r>
    </w:p>
    <w:p>
      <w:pPr>
        <w:pStyle w:val="2"/>
        <w:jc w:val="center"/>
      </w:pPr>
      <w:r>
        <w:rPr>
          <w:sz w:val="20"/>
        </w:rPr>
        <w:t xml:space="preserve">СУБСИДИЙ ИЗ РЕСПУБЛИКАНСКОГО БЮДЖЕТА РЕСПУБЛИКИ КОМИ</w:t>
      </w:r>
    </w:p>
    <w:p>
      <w:pPr>
        <w:pStyle w:val="2"/>
        <w:jc w:val="center"/>
      </w:pPr>
      <w:r>
        <w:rPr>
          <w:sz w:val="20"/>
        </w:rPr>
        <w:t xml:space="preserve">БЮДЖЕТАМ МУНИЦИПАЛЬНЫХ ОБРАЗОВАНИЙ НА СОФИНАНСИРОВАНИЕ</w:t>
      </w:r>
    </w:p>
    <w:p>
      <w:pPr>
        <w:pStyle w:val="2"/>
        <w:jc w:val="center"/>
      </w:pPr>
      <w:r>
        <w:rPr>
          <w:sz w:val="20"/>
        </w:rPr>
        <w:t xml:space="preserve">РАСХОДНЫХ ОБЯЗАТЕЛЬСТВ ОРГАНОВ МЕСТНОГО САМОУПРАВЛЕНИЯ,</w:t>
      </w:r>
    </w:p>
    <w:p>
      <w:pPr>
        <w:pStyle w:val="2"/>
        <w:jc w:val="center"/>
      </w:pPr>
      <w:r>
        <w:rPr>
          <w:sz w:val="20"/>
        </w:rPr>
        <w:t xml:space="preserve">ВОЗНИКАЮЩИХ ПРИ РЕАЛИЗАЦИИ МУНИЦИПАЛЬНЫХ ПРОГРАММ</w:t>
      </w:r>
    </w:p>
    <w:p>
      <w:pPr>
        <w:pStyle w:val="2"/>
        <w:jc w:val="center"/>
      </w:pPr>
      <w:r>
        <w:rPr>
          <w:sz w:val="20"/>
        </w:rPr>
        <w:t xml:space="preserve">(ПОДПРОГРАММ) ПОДДЕРЖКИ СОЦИАЛЬНО ОРИЕНТИРОВАННЫХ</w:t>
      </w:r>
    </w:p>
    <w:p>
      <w:pPr>
        <w:pStyle w:val="2"/>
        <w:jc w:val="center"/>
      </w:pPr>
      <w:r>
        <w:rPr>
          <w:sz w:val="20"/>
        </w:rPr>
        <w:t xml:space="preserve">НЕКОММЕРЧЕСКИХ ОРГАНИЗАЦИЙ, НА 2023 ГОД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5669"/>
        <w:gridCol w:w="2551"/>
      </w:tblGrid>
      <w:tr>
        <w:tc>
          <w:tcPr>
            <w:tcW w:w="794" w:type="dxa"/>
          </w:tcPr>
          <w:p>
            <w:pPr>
              <w:pStyle w:val="0"/>
              <w:jc w:val="center"/>
            </w:pPr>
            <w:r>
              <w:rPr>
                <w:sz w:val="20"/>
              </w:rPr>
              <w:t xml:space="preserve">N п/п</w:t>
            </w:r>
          </w:p>
        </w:tc>
        <w:tc>
          <w:tcPr>
            <w:tcW w:w="5669" w:type="dxa"/>
          </w:tcPr>
          <w:p>
            <w:pPr>
              <w:pStyle w:val="0"/>
              <w:jc w:val="center"/>
            </w:pPr>
            <w:r>
              <w:rPr>
                <w:sz w:val="20"/>
              </w:rPr>
              <w:t xml:space="preserve">Наименование муниципального образования</w:t>
            </w:r>
          </w:p>
        </w:tc>
        <w:tc>
          <w:tcPr>
            <w:tcW w:w="2551" w:type="dxa"/>
          </w:tcPr>
          <w:p>
            <w:pPr>
              <w:pStyle w:val="0"/>
              <w:jc w:val="center"/>
            </w:pPr>
            <w:r>
              <w:rPr>
                <w:sz w:val="20"/>
              </w:rPr>
              <w:t xml:space="preserve">Размер субсидии (рублей)</w:t>
            </w:r>
          </w:p>
        </w:tc>
      </w:tr>
      <w:tr>
        <w:tc>
          <w:tcPr>
            <w:tcW w:w="794" w:type="dxa"/>
          </w:tcPr>
          <w:p>
            <w:pPr>
              <w:pStyle w:val="0"/>
            </w:pPr>
            <w:r>
              <w:rPr>
                <w:sz w:val="20"/>
              </w:rPr>
              <w:t xml:space="preserve">1.</w:t>
            </w:r>
          </w:p>
        </w:tc>
        <w:tc>
          <w:tcPr>
            <w:tcW w:w="5669" w:type="dxa"/>
          </w:tcPr>
          <w:p>
            <w:pPr>
              <w:pStyle w:val="0"/>
              <w:jc w:val="both"/>
            </w:pPr>
            <w:r>
              <w:rPr>
                <w:sz w:val="20"/>
              </w:rPr>
              <w:t xml:space="preserve">Городской округ "Воркута"</w:t>
            </w:r>
          </w:p>
        </w:tc>
        <w:tc>
          <w:tcPr>
            <w:tcW w:w="2551" w:type="dxa"/>
          </w:tcPr>
          <w:p>
            <w:pPr>
              <w:pStyle w:val="0"/>
              <w:jc w:val="center"/>
            </w:pPr>
            <w:r>
              <w:rPr>
                <w:sz w:val="20"/>
              </w:rPr>
              <w:t xml:space="preserve">92 909,00</w:t>
            </w:r>
          </w:p>
        </w:tc>
      </w:tr>
      <w:tr>
        <w:tc>
          <w:tcPr>
            <w:tcW w:w="794" w:type="dxa"/>
          </w:tcPr>
          <w:p>
            <w:pPr>
              <w:pStyle w:val="0"/>
            </w:pPr>
            <w:r>
              <w:rPr>
                <w:sz w:val="20"/>
              </w:rPr>
              <w:t xml:space="preserve">2.</w:t>
            </w:r>
          </w:p>
        </w:tc>
        <w:tc>
          <w:tcPr>
            <w:tcW w:w="5669" w:type="dxa"/>
          </w:tcPr>
          <w:p>
            <w:pPr>
              <w:pStyle w:val="0"/>
              <w:jc w:val="both"/>
            </w:pPr>
            <w:r>
              <w:rPr>
                <w:sz w:val="20"/>
              </w:rPr>
              <w:t xml:space="preserve">Городской округ "Вуктыл"</w:t>
            </w:r>
          </w:p>
        </w:tc>
        <w:tc>
          <w:tcPr>
            <w:tcW w:w="2551" w:type="dxa"/>
          </w:tcPr>
          <w:p>
            <w:pPr>
              <w:pStyle w:val="0"/>
              <w:jc w:val="center"/>
            </w:pPr>
            <w:r>
              <w:rPr>
                <w:sz w:val="20"/>
              </w:rPr>
              <w:t xml:space="preserve">49 711,51</w:t>
            </w:r>
          </w:p>
        </w:tc>
      </w:tr>
      <w:tr>
        <w:tc>
          <w:tcPr>
            <w:tcW w:w="794" w:type="dxa"/>
          </w:tcPr>
          <w:p>
            <w:pPr>
              <w:pStyle w:val="0"/>
            </w:pPr>
            <w:r>
              <w:rPr>
                <w:sz w:val="20"/>
              </w:rPr>
              <w:t xml:space="preserve">3.</w:t>
            </w:r>
          </w:p>
        </w:tc>
        <w:tc>
          <w:tcPr>
            <w:tcW w:w="5669" w:type="dxa"/>
          </w:tcPr>
          <w:p>
            <w:pPr>
              <w:pStyle w:val="0"/>
              <w:jc w:val="both"/>
            </w:pPr>
            <w:r>
              <w:rPr>
                <w:sz w:val="20"/>
              </w:rPr>
              <w:t xml:space="preserve">Городской округ "Инта"</w:t>
            </w:r>
          </w:p>
        </w:tc>
        <w:tc>
          <w:tcPr>
            <w:tcW w:w="2551" w:type="dxa"/>
          </w:tcPr>
          <w:p>
            <w:pPr>
              <w:pStyle w:val="0"/>
              <w:jc w:val="center"/>
            </w:pPr>
            <w:r>
              <w:rPr>
                <w:sz w:val="20"/>
              </w:rPr>
              <w:t xml:space="preserve">51 731,10</w:t>
            </w:r>
          </w:p>
        </w:tc>
      </w:tr>
      <w:tr>
        <w:tc>
          <w:tcPr>
            <w:tcW w:w="794" w:type="dxa"/>
          </w:tcPr>
          <w:p>
            <w:pPr>
              <w:pStyle w:val="0"/>
            </w:pPr>
            <w:r>
              <w:rPr>
                <w:sz w:val="20"/>
              </w:rPr>
              <w:t xml:space="preserve">4.</w:t>
            </w:r>
          </w:p>
        </w:tc>
        <w:tc>
          <w:tcPr>
            <w:tcW w:w="5669" w:type="dxa"/>
          </w:tcPr>
          <w:p>
            <w:pPr>
              <w:pStyle w:val="0"/>
              <w:jc w:val="both"/>
            </w:pPr>
            <w:r>
              <w:rPr>
                <w:sz w:val="20"/>
              </w:rPr>
              <w:t xml:space="preserve">Городской округ "Сыктывкар"</w:t>
            </w:r>
          </w:p>
        </w:tc>
        <w:tc>
          <w:tcPr>
            <w:tcW w:w="2551" w:type="dxa"/>
          </w:tcPr>
          <w:p>
            <w:pPr>
              <w:pStyle w:val="0"/>
              <w:jc w:val="center"/>
            </w:pPr>
            <w:r>
              <w:rPr>
                <w:sz w:val="20"/>
              </w:rPr>
              <w:t xml:space="preserve">256 547,30</w:t>
            </w:r>
          </w:p>
        </w:tc>
      </w:tr>
      <w:tr>
        <w:tc>
          <w:tcPr>
            <w:tcW w:w="794" w:type="dxa"/>
          </w:tcPr>
          <w:p>
            <w:pPr>
              <w:pStyle w:val="0"/>
            </w:pPr>
            <w:r>
              <w:rPr>
                <w:sz w:val="20"/>
              </w:rPr>
              <w:t xml:space="preserve">5.</w:t>
            </w:r>
          </w:p>
        </w:tc>
        <w:tc>
          <w:tcPr>
            <w:tcW w:w="5669" w:type="dxa"/>
          </w:tcPr>
          <w:p>
            <w:pPr>
              <w:pStyle w:val="0"/>
              <w:jc w:val="both"/>
            </w:pPr>
            <w:r>
              <w:rPr>
                <w:sz w:val="20"/>
              </w:rPr>
              <w:t xml:space="preserve">Городской округ "Ухта"</w:t>
            </w:r>
          </w:p>
        </w:tc>
        <w:tc>
          <w:tcPr>
            <w:tcW w:w="2551" w:type="dxa"/>
          </w:tcPr>
          <w:p>
            <w:pPr>
              <w:pStyle w:val="0"/>
              <w:jc w:val="center"/>
            </w:pPr>
            <w:r>
              <w:rPr>
                <w:sz w:val="20"/>
              </w:rPr>
              <w:t xml:space="preserve">119 559,27</w:t>
            </w:r>
          </w:p>
        </w:tc>
      </w:tr>
      <w:tr>
        <w:tc>
          <w:tcPr>
            <w:tcW w:w="794" w:type="dxa"/>
          </w:tcPr>
          <w:p>
            <w:pPr>
              <w:pStyle w:val="0"/>
            </w:pPr>
            <w:r>
              <w:rPr>
                <w:sz w:val="20"/>
              </w:rPr>
              <w:t xml:space="preserve">6.</w:t>
            </w:r>
          </w:p>
        </w:tc>
        <w:tc>
          <w:tcPr>
            <w:tcW w:w="5669" w:type="dxa"/>
          </w:tcPr>
          <w:p>
            <w:pPr>
              <w:pStyle w:val="0"/>
              <w:jc w:val="both"/>
            </w:pPr>
            <w:r>
              <w:rPr>
                <w:sz w:val="20"/>
              </w:rPr>
              <w:t xml:space="preserve">Муниципальный район "Ижемский"</w:t>
            </w:r>
          </w:p>
        </w:tc>
        <w:tc>
          <w:tcPr>
            <w:tcW w:w="2551" w:type="dxa"/>
          </w:tcPr>
          <w:p>
            <w:pPr>
              <w:pStyle w:val="0"/>
              <w:jc w:val="center"/>
            </w:pPr>
            <w:r>
              <w:rPr>
                <w:sz w:val="20"/>
              </w:rPr>
              <w:t xml:space="preserve">52 762,51</w:t>
            </w:r>
          </w:p>
        </w:tc>
      </w:tr>
      <w:tr>
        <w:tc>
          <w:tcPr>
            <w:tcW w:w="794" w:type="dxa"/>
          </w:tcPr>
          <w:p>
            <w:pPr>
              <w:pStyle w:val="0"/>
            </w:pPr>
            <w:r>
              <w:rPr>
                <w:sz w:val="20"/>
              </w:rPr>
              <w:t xml:space="preserve">7.</w:t>
            </w:r>
          </w:p>
        </w:tc>
        <w:tc>
          <w:tcPr>
            <w:tcW w:w="5669" w:type="dxa"/>
          </w:tcPr>
          <w:p>
            <w:pPr>
              <w:pStyle w:val="0"/>
              <w:jc w:val="both"/>
            </w:pPr>
            <w:r>
              <w:rPr>
                <w:sz w:val="20"/>
              </w:rPr>
              <w:t xml:space="preserve">Муниципальный район "Койгородский"</w:t>
            </w:r>
          </w:p>
        </w:tc>
        <w:tc>
          <w:tcPr>
            <w:tcW w:w="2551" w:type="dxa"/>
          </w:tcPr>
          <w:p>
            <w:pPr>
              <w:pStyle w:val="0"/>
              <w:jc w:val="center"/>
            </w:pPr>
            <w:r>
              <w:rPr>
                <w:sz w:val="20"/>
              </w:rPr>
              <w:t xml:space="preserve">50 277,55</w:t>
            </w:r>
          </w:p>
        </w:tc>
      </w:tr>
      <w:tr>
        <w:tc>
          <w:tcPr>
            <w:tcW w:w="794" w:type="dxa"/>
          </w:tcPr>
          <w:p>
            <w:pPr>
              <w:pStyle w:val="0"/>
            </w:pPr>
            <w:r>
              <w:rPr>
                <w:sz w:val="20"/>
              </w:rPr>
              <w:t xml:space="preserve">8.</w:t>
            </w:r>
          </w:p>
        </w:tc>
        <w:tc>
          <w:tcPr>
            <w:tcW w:w="5669" w:type="dxa"/>
          </w:tcPr>
          <w:p>
            <w:pPr>
              <w:pStyle w:val="0"/>
              <w:jc w:val="both"/>
            </w:pPr>
            <w:r>
              <w:rPr>
                <w:sz w:val="20"/>
              </w:rPr>
              <w:t xml:space="preserve">Муниципальный район "Корткеросский"</w:t>
            </w:r>
          </w:p>
        </w:tc>
        <w:tc>
          <w:tcPr>
            <w:tcW w:w="2551" w:type="dxa"/>
          </w:tcPr>
          <w:p>
            <w:pPr>
              <w:pStyle w:val="0"/>
              <w:jc w:val="center"/>
            </w:pPr>
            <w:r>
              <w:rPr>
                <w:sz w:val="20"/>
              </w:rPr>
              <w:t xml:space="preserve">55 946,08</w:t>
            </w:r>
          </w:p>
        </w:tc>
      </w:tr>
      <w:tr>
        <w:tc>
          <w:tcPr>
            <w:tcW w:w="794" w:type="dxa"/>
          </w:tcPr>
          <w:p>
            <w:pPr>
              <w:pStyle w:val="0"/>
            </w:pPr>
            <w:r>
              <w:rPr>
                <w:sz w:val="20"/>
              </w:rPr>
              <w:t xml:space="preserve">9.</w:t>
            </w:r>
          </w:p>
        </w:tc>
        <w:tc>
          <w:tcPr>
            <w:tcW w:w="5669" w:type="dxa"/>
          </w:tcPr>
          <w:p>
            <w:pPr>
              <w:pStyle w:val="0"/>
              <w:jc w:val="both"/>
            </w:pPr>
            <w:r>
              <w:rPr>
                <w:sz w:val="20"/>
              </w:rPr>
              <w:t xml:space="preserve">Муниципальный район "Печора"</w:t>
            </w:r>
          </w:p>
        </w:tc>
        <w:tc>
          <w:tcPr>
            <w:tcW w:w="2551" w:type="dxa"/>
          </w:tcPr>
          <w:p>
            <w:pPr>
              <w:pStyle w:val="0"/>
              <w:jc w:val="center"/>
            </w:pPr>
            <w:r>
              <w:rPr>
                <w:sz w:val="20"/>
              </w:rPr>
              <w:t xml:space="preserve">67 781,89</w:t>
            </w:r>
          </w:p>
        </w:tc>
      </w:tr>
      <w:tr>
        <w:tc>
          <w:tcPr>
            <w:tcW w:w="794" w:type="dxa"/>
          </w:tcPr>
          <w:p>
            <w:pPr>
              <w:pStyle w:val="0"/>
            </w:pPr>
            <w:r>
              <w:rPr>
                <w:sz w:val="20"/>
              </w:rPr>
              <w:t xml:space="preserve">10.</w:t>
            </w:r>
          </w:p>
        </w:tc>
        <w:tc>
          <w:tcPr>
            <w:tcW w:w="5669" w:type="dxa"/>
          </w:tcPr>
          <w:p>
            <w:pPr>
              <w:pStyle w:val="0"/>
              <w:jc w:val="both"/>
            </w:pPr>
            <w:r>
              <w:rPr>
                <w:sz w:val="20"/>
              </w:rPr>
              <w:t xml:space="preserve">Муниципальный район "Прилузский"</w:t>
            </w:r>
          </w:p>
        </w:tc>
        <w:tc>
          <w:tcPr>
            <w:tcW w:w="2551" w:type="dxa"/>
          </w:tcPr>
          <w:p>
            <w:pPr>
              <w:pStyle w:val="0"/>
              <w:jc w:val="center"/>
            </w:pPr>
            <w:r>
              <w:rPr>
                <w:sz w:val="20"/>
              </w:rPr>
              <w:t xml:space="preserve">69 740,92</w:t>
            </w:r>
          </w:p>
        </w:tc>
      </w:tr>
      <w:tr>
        <w:tc>
          <w:tcPr>
            <w:tcW w:w="794" w:type="dxa"/>
          </w:tcPr>
          <w:p>
            <w:pPr>
              <w:pStyle w:val="0"/>
            </w:pPr>
            <w:r>
              <w:rPr>
                <w:sz w:val="20"/>
              </w:rPr>
              <w:t xml:space="preserve">11.</w:t>
            </w:r>
          </w:p>
        </w:tc>
        <w:tc>
          <w:tcPr>
            <w:tcW w:w="5669" w:type="dxa"/>
          </w:tcPr>
          <w:p>
            <w:pPr>
              <w:pStyle w:val="0"/>
              <w:jc w:val="both"/>
            </w:pPr>
            <w:r>
              <w:rPr>
                <w:sz w:val="20"/>
              </w:rPr>
              <w:t xml:space="preserve">Муниципальный район "Сосногорск"</w:t>
            </w:r>
          </w:p>
        </w:tc>
        <w:tc>
          <w:tcPr>
            <w:tcW w:w="2551" w:type="dxa"/>
          </w:tcPr>
          <w:p>
            <w:pPr>
              <w:pStyle w:val="0"/>
              <w:jc w:val="center"/>
            </w:pPr>
            <w:r>
              <w:rPr>
                <w:sz w:val="20"/>
              </w:rPr>
              <w:t xml:space="preserve">54 653,37</w:t>
            </w:r>
          </w:p>
        </w:tc>
      </w:tr>
      <w:tr>
        <w:tc>
          <w:tcPr>
            <w:tcW w:w="794" w:type="dxa"/>
          </w:tcPr>
          <w:p>
            <w:pPr>
              <w:pStyle w:val="0"/>
            </w:pPr>
            <w:r>
              <w:rPr>
                <w:sz w:val="20"/>
              </w:rPr>
              <w:t xml:space="preserve">12.</w:t>
            </w:r>
          </w:p>
        </w:tc>
        <w:tc>
          <w:tcPr>
            <w:tcW w:w="5669" w:type="dxa"/>
          </w:tcPr>
          <w:p>
            <w:pPr>
              <w:pStyle w:val="0"/>
              <w:jc w:val="both"/>
            </w:pPr>
            <w:r>
              <w:rPr>
                <w:sz w:val="20"/>
              </w:rPr>
              <w:t xml:space="preserve">Муниципальный район "Сыктывдинский"</w:t>
            </w:r>
          </w:p>
        </w:tc>
        <w:tc>
          <w:tcPr>
            <w:tcW w:w="2551" w:type="dxa"/>
          </w:tcPr>
          <w:p>
            <w:pPr>
              <w:pStyle w:val="0"/>
              <w:jc w:val="center"/>
            </w:pPr>
            <w:r>
              <w:rPr>
                <w:sz w:val="20"/>
              </w:rPr>
              <w:t xml:space="preserve">71 144,09</w:t>
            </w:r>
          </w:p>
        </w:tc>
      </w:tr>
      <w:tr>
        <w:tc>
          <w:tcPr>
            <w:tcW w:w="794" w:type="dxa"/>
          </w:tcPr>
          <w:p>
            <w:pPr>
              <w:pStyle w:val="0"/>
            </w:pPr>
            <w:r>
              <w:rPr>
                <w:sz w:val="20"/>
              </w:rPr>
              <w:t xml:space="preserve">13.</w:t>
            </w:r>
          </w:p>
        </w:tc>
        <w:tc>
          <w:tcPr>
            <w:tcW w:w="5669" w:type="dxa"/>
          </w:tcPr>
          <w:p>
            <w:pPr>
              <w:pStyle w:val="0"/>
              <w:jc w:val="both"/>
            </w:pPr>
            <w:r>
              <w:rPr>
                <w:sz w:val="20"/>
              </w:rPr>
              <w:t xml:space="preserve">Муниципальный район "Сысольский"</w:t>
            </w:r>
          </w:p>
        </w:tc>
        <w:tc>
          <w:tcPr>
            <w:tcW w:w="2551" w:type="dxa"/>
          </w:tcPr>
          <w:p>
            <w:pPr>
              <w:pStyle w:val="0"/>
              <w:jc w:val="center"/>
            </w:pPr>
            <w:r>
              <w:rPr>
                <w:sz w:val="20"/>
              </w:rPr>
              <w:t xml:space="preserve">51 266,51</w:t>
            </w:r>
          </w:p>
        </w:tc>
      </w:tr>
      <w:tr>
        <w:tc>
          <w:tcPr>
            <w:tcW w:w="794" w:type="dxa"/>
          </w:tcPr>
          <w:p>
            <w:pPr>
              <w:pStyle w:val="0"/>
            </w:pPr>
            <w:r>
              <w:rPr>
                <w:sz w:val="20"/>
              </w:rPr>
              <w:t xml:space="preserve">14.</w:t>
            </w:r>
          </w:p>
        </w:tc>
        <w:tc>
          <w:tcPr>
            <w:tcW w:w="5669" w:type="dxa"/>
          </w:tcPr>
          <w:p>
            <w:pPr>
              <w:pStyle w:val="0"/>
              <w:jc w:val="both"/>
            </w:pPr>
            <w:r>
              <w:rPr>
                <w:sz w:val="20"/>
              </w:rPr>
              <w:t xml:space="preserve">Муниципальный район "Троицко-Печорский"</w:t>
            </w:r>
          </w:p>
        </w:tc>
        <w:tc>
          <w:tcPr>
            <w:tcW w:w="2551" w:type="dxa"/>
          </w:tcPr>
          <w:p>
            <w:pPr>
              <w:pStyle w:val="0"/>
              <w:jc w:val="center"/>
            </w:pPr>
            <w:r>
              <w:rPr>
                <w:sz w:val="20"/>
              </w:rPr>
              <w:t xml:space="preserve">44 282,50</w:t>
            </w:r>
          </w:p>
        </w:tc>
      </w:tr>
      <w:tr>
        <w:tc>
          <w:tcPr>
            <w:tcW w:w="794" w:type="dxa"/>
          </w:tcPr>
          <w:p>
            <w:pPr>
              <w:pStyle w:val="0"/>
            </w:pPr>
            <w:r>
              <w:rPr>
                <w:sz w:val="20"/>
              </w:rPr>
              <w:t xml:space="preserve">15.</w:t>
            </w:r>
          </w:p>
        </w:tc>
        <w:tc>
          <w:tcPr>
            <w:tcW w:w="5669" w:type="dxa"/>
          </w:tcPr>
          <w:p>
            <w:pPr>
              <w:pStyle w:val="0"/>
              <w:jc w:val="both"/>
            </w:pPr>
            <w:r>
              <w:rPr>
                <w:sz w:val="20"/>
              </w:rPr>
              <w:t xml:space="preserve">Муниципальный район "Удорский"</w:t>
            </w:r>
          </w:p>
        </w:tc>
        <w:tc>
          <w:tcPr>
            <w:tcW w:w="2551" w:type="dxa"/>
          </w:tcPr>
          <w:p>
            <w:pPr>
              <w:pStyle w:val="0"/>
              <w:jc w:val="center"/>
            </w:pPr>
            <w:r>
              <w:rPr>
                <w:sz w:val="20"/>
              </w:rPr>
              <w:t xml:space="preserve">52 994,16</w:t>
            </w:r>
          </w:p>
        </w:tc>
      </w:tr>
      <w:tr>
        <w:tc>
          <w:tcPr>
            <w:tcW w:w="794" w:type="dxa"/>
          </w:tcPr>
          <w:p>
            <w:pPr>
              <w:pStyle w:val="0"/>
            </w:pPr>
            <w:r>
              <w:rPr>
                <w:sz w:val="20"/>
              </w:rPr>
              <w:t xml:space="preserve">16.</w:t>
            </w:r>
          </w:p>
        </w:tc>
        <w:tc>
          <w:tcPr>
            <w:tcW w:w="5669" w:type="dxa"/>
          </w:tcPr>
          <w:p>
            <w:pPr>
              <w:pStyle w:val="0"/>
              <w:jc w:val="both"/>
            </w:pPr>
            <w:r>
              <w:rPr>
                <w:sz w:val="20"/>
              </w:rPr>
              <w:t xml:space="preserve">Муниципальный район "Усть-Куломский"</w:t>
            </w:r>
          </w:p>
        </w:tc>
        <w:tc>
          <w:tcPr>
            <w:tcW w:w="2551" w:type="dxa"/>
          </w:tcPr>
          <w:p>
            <w:pPr>
              <w:pStyle w:val="0"/>
              <w:jc w:val="center"/>
            </w:pPr>
            <w:r>
              <w:rPr>
                <w:sz w:val="20"/>
              </w:rPr>
              <w:t xml:space="preserve">77 538,12</w:t>
            </w:r>
          </w:p>
        </w:tc>
      </w:tr>
      <w:tr>
        <w:tc>
          <w:tcPr>
            <w:tcW w:w="794" w:type="dxa"/>
          </w:tcPr>
          <w:p>
            <w:pPr>
              <w:pStyle w:val="0"/>
            </w:pPr>
            <w:r>
              <w:rPr>
                <w:sz w:val="20"/>
              </w:rPr>
              <w:t xml:space="preserve">17.</w:t>
            </w:r>
          </w:p>
        </w:tc>
        <w:tc>
          <w:tcPr>
            <w:tcW w:w="5669" w:type="dxa"/>
          </w:tcPr>
          <w:p>
            <w:pPr>
              <w:pStyle w:val="0"/>
              <w:jc w:val="both"/>
            </w:pPr>
            <w:r>
              <w:rPr>
                <w:sz w:val="20"/>
              </w:rPr>
              <w:t xml:space="preserve">Муниципальный район "Усть-Цилемский"</w:t>
            </w:r>
          </w:p>
        </w:tc>
        <w:tc>
          <w:tcPr>
            <w:tcW w:w="2551" w:type="dxa"/>
          </w:tcPr>
          <w:p>
            <w:pPr>
              <w:pStyle w:val="0"/>
              <w:jc w:val="center"/>
            </w:pPr>
            <w:r>
              <w:rPr>
                <w:sz w:val="20"/>
              </w:rPr>
              <w:t xml:space="preserve">56 154,12</w:t>
            </w:r>
          </w:p>
        </w:tc>
      </w:tr>
      <w:tr>
        <w:tc>
          <w:tcPr>
            <w:gridSpan w:val="2"/>
            <w:tcW w:w="6463" w:type="dxa"/>
          </w:tcPr>
          <w:p>
            <w:pPr>
              <w:pStyle w:val="0"/>
              <w:jc w:val="both"/>
            </w:pPr>
            <w:r>
              <w:rPr>
                <w:sz w:val="20"/>
              </w:rPr>
              <w:t xml:space="preserve">Итого:</w:t>
            </w:r>
          </w:p>
        </w:tc>
        <w:tc>
          <w:tcPr>
            <w:tcW w:w="2551" w:type="dxa"/>
          </w:tcPr>
          <w:p>
            <w:pPr>
              <w:pStyle w:val="0"/>
              <w:jc w:val="center"/>
            </w:pPr>
            <w:r>
              <w:rPr>
                <w:sz w:val="20"/>
              </w:rPr>
              <w:t xml:space="preserve">1 275 000,00</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РК от 04.04.2023 N 150-р</w:t>
            <w:br/>
            <w:t>&lt;Об утверждении распределения субсидий из республиканского бюджета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D8360AD03D1E56891036367202712F59590DFBE444A650DAD4C1E321EEA8DF71B73C148C7993A4DC07D8562B903A2AE5Z6uFJ" TargetMode = "External"/>
	<Relationship Id="rId8" Type="http://schemas.openxmlformats.org/officeDocument/2006/relationships/hyperlink" Target="consultantplus://offline/ref=1AD8360AD03D1E56891036367202712F59590DFBE444A651D9DDC1E321EEA8DF71B73C149E79CBABD65497127883392DF96CB3C5D072FBZCu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РК от 04.04.2023 N 150-р
&lt;Об утверждении распределения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 на 2023 год&gt;</dc:title>
  <dcterms:created xsi:type="dcterms:W3CDTF">2023-06-17T09:46:25Z</dcterms:created>
</cp:coreProperties>
</file>