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РС(Я) от 28.06.2024 N 282</w:t>
              <w:br/>
              <w:t xml:space="preserve">(ред. от 01.07.2025)</w:t>
              <w:br/>
              <w:t xml:space="preserve">"Об утверждении порядка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04.01.2026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РЕСПУБЛИКИ САХА (ЯКУТИЯ)</w:t>
      </w:r>
    </w:p>
    <w:p>
      <w:pPr>
        <w:pStyle w:val="2"/>
        <w:jc w:val="both"/>
      </w:pPr>
      <w:r>
        <w:rPr>
          <w:sz w:val="20"/>
        </w:rPr>
      </w:r>
    </w:p>
    <w:p>
      <w:pPr>
        <w:pStyle w:val="2"/>
        <w:jc w:val="center"/>
      </w:pPr>
      <w:r>
        <w:rPr>
          <w:sz w:val="20"/>
        </w:rPr>
        <w:t xml:space="preserve">ПОСТАНОВЛЕНИЕ</w:t>
      </w:r>
    </w:p>
    <w:p>
      <w:pPr>
        <w:pStyle w:val="2"/>
        <w:jc w:val="center"/>
      </w:pPr>
      <w:r>
        <w:rPr>
          <w:sz w:val="20"/>
        </w:rPr>
        <w:t xml:space="preserve">от 28 июня 2024 г. N 282</w:t>
      </w:r>
    </w:p>
    <w:p>
      <w:pPr>
        <w:pStyle w:val="2"/>
        <w:jc w:val="both"/>
      </w:pPr>
      <w:r>
        <w:rPr>
          <w:sz w:val="20"/>
        </w:rPr>
      </w:r>
    </w:p>
    <w:p>
      <w:pPr>
        <w:pStyle w:val="2"/>
        <w:jc w:val="center"/>
      </w:pPr>
      <w:r>
        <w:rPr>
          <w:sz w:val="20"/>
        </w:rPr>
        <w:t xml:space="preserve">ОБ УТВЕРЖДЕНИИ ПОРЯДКА ПРЕДОСТАВЛЕНИЯ СУБСИДИЙ</w:t>
      </w:r>
    </w:p>
    <w:p>
      <w:pPr>
        <w:pStyle w:val="2"/>
        <w:jc w:val="center"/>
      </w:pPr>
      <w:r>
        <w:rPr>
          <w:sz w:val="20"/>
        </w:rPr>
        <w:t xml:space="preserve">ИЗ ГОСУДАРСТВЕННОГО БЮДЖЕТА РЕСПУБЛИКИ САХА (ЯКУТИЯ)</w:t>
      </w:r>
    </w:p>
    <w:p>
      <w:pPr>
        <w:pStyle w:val="2"/>
        <w:jc w:val="center"/>
      </w:pPr>
      <w:r>
        <w:rPr>
          <w:sz w:val="20"/>
        </w:rPr>
        <w:t xml:space="preserve">НЕКОММЕРЧЕСКИМ ОРГАНИЗАЦИЯМ НА ФИНАНСОВОЕ ОБЕСПЕЧЕНИЕ</w:t>
      </w:r>
    </w:p>
    <w:p>
      <w:pPr>
        <w:pStyle w:val="2"/>
        <w:jc w:val="center"/>
      </w:pPr>
      <w:r>
        <w:rPr>
          <w:sz w:val="20"/>
        </w:rPr>
        <w:t xml:space="preserve">ЗАТРАТ НА ОРГАНИЗАЦИЮ ОКАЗАНИЯ ПОДДЕРЖКИ НЕКОММЕРЧЕСКИМ</w:t>
      </w:r>
    </w:p>
    <w:p>
      <w:pPr>
        <w:pStyle w:val="2"/>
        <w:jc w:val="center"/>
      </w:pPr>
      <w:r>
        <w:rPr>
          <w:sz w:val="20"/>
        </w:rPr>
        <w:t xml:space="preserve">ОРГАНИЗАЦИЯМ (ВКЛЮЧАЯ ПОДГОТОВКУ И ПРОВЕДЕНИЕ КОНКУРСОВ)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РС(Я)</w:t>
            </w:r>
          </w:p>
          <w:p>
            <w:pPr>
              <w:pStyle w:val="0"/>
              <w:jc w:val="center"/>
            </w:pPr>
            <w:r>
              <w:rPr>
                <w:sz w:val="20"/>
                <w:color w:val="392c69"/>
              </w:rPr>
              <w:t xml:space="preserve">от 19.02.2025 </w:t>
            </w:r>
            <w:hyperlink w:history="0" r:id="rId8" w:tooltip="Постановление Правительства РС(Я) от 19.02.2025 N 55 &quot;О внесении изменений в порядок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утвержденный постановлением Правительства Республики Саха (Якутия) от 28 июня 2024 г. N 282&quot; {КонсультантПлюс}">
              <w:r>
                <w:rPr>
                  <w:sz w:val="20"/>
                  <w:color w:val="0000ff"/>
                </w:rPr>
                <w:t xml:space="preserve">N 55</w:t>
              </w:r>
            </w:hyperlink>
            <w:r>
              <w:rPr>
                <w:sz w:val="20"/>
                <w:color w:val="392c69"/>
              </w:rPr>
              <w:t xml:space="preserve">, от 01.07.2025 </w:t>
            </w:r>
            <w:hyperlink w:history="0" r:id="rId9" w:tooltip="Постановление Правительства РС(Я) от 01.07.2025 N 272 &quot;О внесении изменений в порядок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утвержденный постановлением Правительства Республики Саха (Якутия) от 28 июня 2024 г. N 282&quot; {КонсультантПлюс}">
              <w:r>
                <w:rPr>
                  <w:sz w:val="20"/>
                  <w:color w:val="0000ff"/>
                </w:rPr>
                <w:t xml:space="preserve">N 272</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 </w:t>
      </w:r>
      <w:hyperlink w:history="0" r:id="rId10" w:tooltip="Постановление Правительства РФ от 25.10.2023 N 1782 (ред. от 25.12.2025)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 Недействующая редакция {КонсультантПлюс}">
        <w:r>
          <w:rPr>
            <w:sz w:val="20"/>
            <w:color w:val="0000ff"/>
          </w:rPr>
          <w:t xml:space="preserve">постановлением</w:t>
        </w:r>
      </w:hyperlink>
      <w:r>
        <w:rPr>
          <w:sz w:val="20"/>
        </w:rPr>
        <w:t xml:space="preserve"> Правительства Российской Федерации от 25 октября 2023 г.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в целях поддержки некоммерческих организаций, созданных под учредительством государственных органов, осуществляющих деятельность, направленную на содействие развитию институтов гражданского общества в Республике Саха (Якутия), Правительство Республики Саха (Якутия) постановляет:</w:t>
      </w:r>
    </w:p>
    <w:p>
      <w:pPr>
        <w:pStyle w:val="0"/>
        <w:spacing w:before="200" w:lineRule="auto"/>
        <w:ind w:firstLine="540"/>
        <w:jc w:val="both"/>
      </w:pPr>
      <w:r>
        <w:rPr>
          <w:sz w:val="20"/>
        </w:rPr>
        <w:t xml:space="preserve">1. Утвердить:</w:t>
      </w:r>
    </w:p>
    <w:p>
      <w:pPr>
        <w:pStyle w:val="0"/>
        <w:spacing w:before="200" w:lineRule="auto"/>
        <w:ind w:firstLine="540"/>
        <w:jc w:val="both"/>
      </w:pPr>
      <w:r>
        <w:rPr>
          <w:sz w:val="20"/>
        </w:rPr>
        <w:t xml:space="preserve">1) </w:t>
      </w:r>
      <w:hyperlink w:history="0" w:anchor="P37" w:tooltip="ПОРЯДОК">
        <w:r>
          <w:rPr>
            <w:sz w:val="20"/>
            <w:color w:val="0000ff"/>
          </w:rPr>
          <w:t xml:space="preserve">порядок</w:t>
        </w:r>
      </w:hyperlink>
      <w:r>
        <w:rPr>
          <w:sz w:val="20"/>
        </w:rPr>
        <w:t xml:space="preserve">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согласно приложению N 1 к настоящему постановлению;</w:t>
      </w:r>
    </w:p>
    <w:p>
      <w:pPr>
        <w:pStyle w:val="0"/>
        <w:spacing w:before="200" w:lineRule="auto"/>
        <w:ind w:firstLine="540"/>
        <w:jc w:val="both"/>
      </w:pPr>
      <w:r>
        <w:rPr>
          <w:sz w:val="20"/>
        </w:rPr>
        <w:t xml:space="preserve">2) </w:t>
      </w:r>
      <w:hyperlink w:history="0" w:anchor="P824" w:tooltip="СОСТАВ">
        <w:r>
          <w:rPr>
            <w:sz w:val="20"/>
            <w:color w:val="0000ff"/>
          </w:rPr>
          <w:t xml:space="preserve">состав</w:t>
        </w:r>
      </w:hyperlink>
      <w:r>
        <w:rPr>
          <w:sz w:val="20"/>
        </w:rPr>
        <w:t xml:space="preserve"> экспертной комиссии по проведению конкурсов на предоставление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согласно приложению N 2 к настоящему постановлению.</w:t>
      </w:r>
    </w:p>
    <w:p>
      <w:pPr>
        <w:pStyle w:val="0"/>
        <w:spacing w:before="200" w:lineRule="auto"/>
        <w:ind w:firstLine="540"/>
        <w:jc w:val="both"/>
      </w:pPr>
      <w:r>
        <w:rPr>
          <w:sz w:val="20"/>
        </w:rPr>
        <w:t xml:space="preserve">2. Контроль исполнения настоящего постановления возложить на заместителя Председателя Правительства Республики Саха (Якутия) Балабкину О.В.</w:t>
      </w:r>
    </w:p>
    <w:p>
      <w:pPr>
        <w:pStyle w:val="0"/>
        <w:spacing w:before="200" w:lineRule="auto"/>
        <w:ind w:firstLine="540"/>
        <w:jc w:val="both"/>
      </w:pPr>
      <w:r>
        <w:rPr>
          <w:sz w:val="20"/>
        </w:rPr>
        <w:t xml:space="preserve">3. Опубликовать настоящее постановление в официальных средствах массовой информации.</w:t>
      </w:r>
    </w:p>
    <w:p>
      <w:pPr>
        <w:pStyle w:val="0"/>
        <w:jc w:val="both"/>
      </w:pPr>
      <w:r>
        <w:rPr>
          <w:sz w:val="20"/>
        </w:rPr>
      </w:r>
    </w:p>
    <w:p>
      <w:pPr>
        <w:pStyle w:val="0"/>
        <w:jc w:val="right"/>
      </w:pPr>
      <w:r>
        <w:rPr>
          <w:sz w:val="20"/>
        </w:rPr>
        <w:t xml:space="preserve">Председатель Правительства</w:t>
      </w:r>
    </w:p>
    <w:p>
      <w:pPr>
        <w:pStyle w:val="0"/>
        <w:jc w:val="right"/>
      </w:pPr>
      <w:r>
        <w:rPr>
          <w:sz w:val="20"/>
        </w:rPr>
        <w:t xml:space="preserve">Республики Саха (Якутия)</w:t>
      </w:r>
    </w:p>
    <w:p>
      <w:pPr>
        <w:pStyle w:val="0"/>
        <w:jc w:val="right"/>
      </w:pPr>
      <w:r>
        <w:rPr>
          <w:sz w:val="20"/>
        </w:rPr>
        <w:t xml:space="preserve">К.БЫЧКОВ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1</w:t>
      </w:r>
    </w:p>
    <w:p>
      <w:pPr>
        <w:pStyle w:val="0"/>
        <w:jc w:val="both"/>
      </w:pPr>
      <w:r>
        <w:rPr>
          <w:sz w:val="20"/>
        </w:rPr>
      </w:r>
    </w:p>
    <w:p>
      <w:pPr>
        <w:pStyle w:val="0"/>
        <w:jc w:val="right"/>
      </w:pPr>
      <w:r>
        <w:rPr>
          <w:sz w:val="20"/>
        </w:rPr>
        <w:t xml:space="preserve">Утвержден</w:t>
      </w:r>
    </w:p>
    <w:p>
      <w:pPr>
        <w:pStyle w:val="0"/>
        <w:jc w:val="right"/>
      </w:pPr>
      <w:r>
        <w:rPr>
          <w:sz w:val="20"/>
        </w:rPr>
        <w:t xml:space="preserve">постановлением Правительства</w:t>
      </w:r>
    </w:p>
    <w:p>
      <w:pPr>
        <w:pStyle w:val="0"/>
        <w:jc w:val="right"/>
      </w:pPr>
      <w:r>
        <w:rPr>
          <w:sz w:val="20"/>
        </w:rPr>
        <w:t xml:space="preserve">Республики Саха (Якутия)</w:t>
      </w:r>
    </w:p>
    <w:p>
      <w:pPr>
        <w:pStyle w:val="0"/>
        <w:jc w:val="right"/>
      </w:pPr>
      <w:r>
        <w:rPr>
          <w:sz w:val="20"/>
        </w:rPr>
        <w:t xml:space="preserve">от 28 июня 2024 г. N 282</w:t>
      </w:r>
    </w:p>
    <w:p>
      <w:pPr>
        <w:pStyle w:val="0"/>
        <w:jc w:val="both"/>
      </w:pPr>
      <w:r>
        <w:rPr>
          <w:sz w:val="20"/>
        </w:rPr>
      </w:r>
    </w:p>
    <w:bookmarkStart w:id="37" w:name="P37"/>
    <w:bookmarkEnd w:id="37"/>
    <w:p>
      <w:pPr>
        <w:pStyle w:val="2"/>
        <w:jc w:val="center"/>
      </w:pPr>
      <w:r>
        <w:rPr>
          <w:sz w:val="20"/>
        </w:rPr>
        <w:t xml:space="preserve">ПОРЯДОК</w:t>
      </w:r>
    </w:p>
    <w:p>
      <w:pPr>
        <w:pStyle w:val="2"/>
        <w:jc w:val="center"/>
      </w:pPr>
      <w:r>
        <w:rPr>
          <w:sz w:val="20"/>
        </w:rPr>
        <w:t xml:space="preserve">ПРЕДОСТАВЛЕНИЯ СУБСИДИЙ ИЗ ГОСУДАРСТВЕННОГО БЮДЖЕТА</w:t>
      </w:r>
    </w:p>
    <w:p>
      <w:pPr>
        <w:pStyle w:val="2"/>
        <w:jc w:val="center"/>
      </w:pPr>
      <w:r>
        <w:rPr>
          <w:sz w:val="20"/>
        </w:rPr>
        <w:t xml:space="preserve">РЕСПУБЛИКИ САХА (ЯКУТИЯ) НЕКОММЕРЧЕСКИМ ОРГАНИЗАЦИЯМ</w:t>
      </w:r>
    </w:p>
    <w:p>
      <w:pPr>
        <w:pStyle w:val="2"/>
        <w:jc w:val="center"/>
      </w:pPr>
      <w:r>
        <w:rPr>
          <w:sz w:val="20"/>
        </w:rPr>
        <w:t xml:space="preserve">НА ФИНАНСОВОЕ ОБЕСПЕЧЕНИЕ ЗАТРАТ НА ОРГАНИЗАЦИЮ ОКАЗАНИЯ</w:t>
      </w:r>
    </w:p>
    <w:p>
      <w:pPr>
        <w:pStyle w:val="2"/>
        <w:jc w:val="center"/>
      </w:pPr>
      <w:r>
        <w:rPr>
          <w:sz w:val="20"/>
        </w:rPr>
        <w:t xml:space="preserve">ПОДДЕРЖКИ НЕКОММЕРЧЕСКИМ ОРГАНИЗАЦИЯМ (ВКЛЮЧАЯ</w:t>
      </w:r>
    </w:p>
    <w:p>
      <w:pPr>
        <w:pStyle w:val="2"/>
        <w:jc w:val="center"/>
      </w:pPr>
      <w:r>
        <w:rPr>
          <w:sz w:val="20"/>
        </w:rPr>
        <w:t xml:space="preserve">ПОДГОТОВКУ И ПРОВЕДЕНИЕ КОНКУРСОВ)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РС(Я)</w:t>
            </w:r>
          </w:p>
          <w:p>
            <w:pPr>
              <w:pStyle w:val="0"/>
              <w:jc w:val="center"/>
            </w:pPr>
            <w:r>
              <w:rPr>
                <w:sz w:val="20"/>
                <w:color w:val="392c69"/>
              </w:rPr>
              <w:t xml:space="preserve">от 19.02.2025 </w:t>
            </w:r>
            <w:hyperlink w:history="0" r:id="rId11" w:tooltip="Постановление Правительства РС(Я) от 19.02.2025 N 55 &quot;О внесении изменений в порядок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утвержденный постановлением Правительства Республики Саха (Якутия) от 28 июня 2024 г. N 282&quot; {КонсультантПлюс}">
              <w:r>
                <w:rPr>
                  <w:sz w:val="20"/>
                  <w:color w:val="0000ff"/>
                </w:rPr>
                <w:t xml:space="preserve">N 55</w:t>
              </w:r>
            </w:hyperlink>
            <w:r>
              <w:rPr>
                <w:sz w:val="20"/>
                <w:color w:val="392c69"/>
              </w:rPr>
              <w:t xml:space="preserve">, от 01.07.2025 </w:t>
            </w:r>
            <w:hyperlink w:history="0" r:id="rId12" w:tooltip="Постановление Правительства РС(Я) от 01.07.2025 N 272 &quot;О внесении изменений в порядок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утвержденный постановлением Правительства Республики Саха (Якутия) от 28 июня 2024 г. N 282&quot; {КонсультантПлюс}">
              <w:r>
                <w:rPr>
                  <w:sz w:val="20"/>
                  <w:color w:val="0000ff"/>
                </w:rPr>
                <w:t xml:space="preserve">N 272</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Настоящий порядок разработан в соответствии с </w:t>
      </w:r>
      <w:hyperlink w:history="0" r:id="rId13" w:tooltip="&quot;Бюджетный кодекс Российской Федерации&quot; от 31.07.1998 N 145-ФЗ (ред. от 28.11.2025) ------------ Недействующая редакция {КонсультантПлюс}">
        <w:r>
          <w:rPr>
            <w:sz w:val="20"/>
            <w:color w:val="0000ff"/>
          </w:rPr>
          <w:t xml:space="preserve">пунктом 2 статьи 78.1</w:t>
        </w:r>
      </w:hyperlink>
      <w:r>
        <w:rPr>
          <w:sz w:val="20"/>
        </w:rPr>
        <w:t xml:space="preserve"> Бюджетного кодекса Российской Федерации, </w:t>
      </w:r>
      <w:hyperlink w:history="0" r:id="rId14" w:tooltip="Постановление Правительства РФ от 25.10.2023 N 1782 (ред. от 25.12.2025)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 Недействующая редакция {КонсультантПлюс}">
        <w:r>
          <w:rPr>
            <w:sz w:val="20"/>
            <w:color w:val="0000ff"/>
          </w:rPr>
          <w:t xml:space="preserve">постановлением</w:t>
        </w:r>
      </w:hyperlink>
      <w:r>
        <w:rPr>
          <w:sz w:val="20"/>
        </w:rPr>
        <w:t xml:space="preserve"> Правительства Российской Федерации от 25 октября 2023 г.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и определяет цели, условия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(далее - субсидии).</w:t>
      </w:r>
    </w:p>
    <w:p>
      <w:pPr>
        <w:pStyle w:val="0"/>
        <w:spacing w:before="200" w:lineRule="auto"/>
        <w:ind w:firstLine="540"/>
        <w:jc w:val="both"/>
      </w:pPr>
      <w:r>
        <w:rPr>
          <w:sz w:val="20"/>
        </w:rPr>
        <w:t xml:space="preserve">1.2. В целях настоящих правил используются нижеследующие понятия:</w:t>
      </w:r>
    </w:p>
    <w:p>
      <w:pPr>
        <w:pStyle w:val="0"/>
        <w:spacing w:before="200" w:lineRule="auto"/>
        <w:ind w:firstLine="540"/>
        <w:jc w:val="both"/>
      </w:pPr>
      <w:r>
        <w:rPr>
          <w:sz w:val="20"/>
        </w:rPr>
        <w:t xml:space="preserve">конкурс - конкурсный отбор на предоставление субсидий, проводимый в соответствии с настоящим порядком;</w:t>
      </w:r>
    </w:p>
    <w:p>
      <w:pPr>
        <w:pStyle w:val="0"/>
        <w:spacing w:before="200" w:lineRule="auto"/>
        <w:ind w:firstLine="540"/>
        <w:jc w:val="both"/>
      </w:pPr>
      <w:r>
        <w:rPr>
          <w:sz w:val="20"/>
        </w:rPr>
        <w:t xml:space="preserve">субсидии - средства государственного бюджета Республики Саха (Якутия), предоставляемые на безвозмездной и безвозвратной основе некоммерческим организациям, созданным под учредительством государственных органов, осуществляющим деятельность по развитию институтов гражданского общества в Республике Саха (Якутия) на реализацию социально значимого проекта (программы), победившим в конкурсе, с обязательным предоставлением отчетности, подтверждающей целевое использование денежных средств;</w:t>
      </w:r>
    </w:p>
    <w:p>
      <w:pPr>
        <w:pStyle w:val="0"/>
        <w:spacing w:before="200" w:lineRule="auto"/>
        <w:ind w:firstLine="540"/>
        <w:jc w:val="both"/>
      </w:pPr>
      <w:r>
        <w:rPr>
          <w:sz w:val="20"/>
        </w:rPr>
        <w:t xml:space="preserve">проект (программа) - проект, направленный на достижение целей и задач предоставления субсидий, указанных в </w:t>
      </w:r>
      <w:hyperlink w:history="0" w:anchor="P60" w:tooltip="1.3. Субсидии предоставляются в целях реализации мероприятия: &quot;Субсид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quot; за счет средств, предусмотренных в рамках государственной программы Республики Саха (Якутия) &quot;Реализация молодежной политики, патриотического воспитания граждан и развитие гражданского общества в Республике Саха (Якутия)&quot;, утвержденной постановлением Правительства Респ...">
        <w:r>
          <w:rPr>
            <w:sz w:val="20"/>
            <w:color w:val="0000ff"/>
          </w:rPr>
          <w:t xml:space="preserve">пунктах 3</w:t>
        </w:r>
      </w:hyperlink>
      <w:r>
        <w:rPr>
          <w:sz w:val="20"/>
        </w:rPr>
        <w:t xml:space="preserve">, </w:t>
      </w:r>
      <w:hyperlink w:history="0" w:anchor="P62" w:tooltip="1.5 Субсидии предоставляются на реализацию социального проекта, направленного на решение одной или нескольких перечисленных задач:">
        <w:r>
          <w:rPr>
            <w:sz w:val="20"/>
            <w:color w:val="0000ff"/>
          </w:rPr>
          <w:t xml:space="preserve">5</w:t>
        </w:r>
      </w:hyperlink>
      <w:r>
        <w:rPr>
          <w:sz w:val="20"/>
        </w:rPr>
        <w:t xml:space="preserve"> настоящего порядка;</w:t>
      </w:r>
    </w:p>
    <w:p>
      <w:pPr>
        <w:pStyle w:val="0"/>
        <w:spacing w:before="200" w:lineRule="auto"/>
        <w:ind w:firstLine="540"/>
        <w:jc w:val="both"/>
      </w:pPr>
      <w:r>
        <w:rPr>
          <w:sz w:val="20"/>
        </w:rPr>
        <w:t xml:space="preserve">уполномоченный орган - Министерство по делам молодежи и социальным коммуникациям Республики Саха (Якутия);</w:t>
      </w:r>
    </w:p>
    <w:p>
      <w:pPr>
        <w:pStyle w:val="0"/>
        <w:spacing w:before="200" w:lineRule="auto"/>
        <w:ind w:firstLine="540"/>
        <w:jc w:val="both"/>
      </w:pPr>
      <w:r>
        <w:rPr>
          <w:sz w:val="20"/>
        </w:rPr>
        <w:t xml:space="preserve">участник конкурса - некоммерческая организация - российское юридическое лицо, зарегистрированное и осуществляющее свою деятельность на территории Республики Саха (Якутия), направленную на развитие институтов гражданского общества на территории Республики Саха (Якутия), созданное в организационно-правовой форме общественной организации, общественного движения, фонда, частного (общественного) учреждения, автономной некоммерческой организации, ассоциации (союза), имеющее учредителя, являющегося государственным органом;</w:t>
      </w:r>
    </w:p>
    <w:p>
      <w:pPr>
        <w:pStyle w:val="0"/>
        <w:spacing w:before="200" w:lineRule="auto"/>
        <w:ind w:firstLine="540"/>
        <w:jc w:val="both"/>
      </w:pPr>
      <w:r>
        <w:rPr>
          <w:sz w:val="20"/>
        </w:rPr>
        <w:t xml:space="preserve">получатель субсидии - победитель конкурса, признанный победителем конкурса в соответствии с настоящим порядком и заключивший соглашение с уполномоченным органом о предоставлении субсидии;</w:t>
      </w:r>
    </w:p>
    <w:p>
      <w:pPr>
        <w:pStyle w:val="0"/>
        <w:spacing w:before="200" w:lineRule="auto"/>
        <w:ind w:firstLine="540"/>
        <w:jc w:val="both"/>
      </w:pPr>
      <w:r>
        <w:rPr>
          <w:sz w:val="20"/>
        </w:rPr>
        <w:t xml:space="preserve">экспертная комиссия - коллегиальный орган по проведению конкурса на предоставление субсидии;</w:t>
      </w:r>
    </w:p>
    <w:p>
      <w:pPr>
        <w:pStyle w:val="0"/>
        <w:spacing w:before="200" w:lineRule="auto"/>
        <w:ind w:firstLine="540"/>
        <w:jc w:val="both"/>
      </w:pPr>
      <w:r>
        <w:rPr>
          <w:sz w:val="20"/>
        </w:rPr>
        <w:t xml:space="preserve">член экспертной комиссии - независимое физическое лицо, привлеченное к работе экспертной комиссии и оценке поступивших заявок на участие в конкурсе;</w:t>
      </w:r>
    </w:p>
    <w:p>
      <w:pPr>
        <w:pStyle w:val="0"/>
        <w:spacing w:before="200" w:lineRule="auto"/>
        <w:ind w:firstLine="540"/>
        <w:jc w:val="both"/>
      </w:pPr>
      <w:r>
        <w:rPr>
          <w:sz w:val="20"/>
        </w:rPr>
        <w:t xml:space="preserve">конкурс грантов главы Республики Саха (Якутия) - конкурс на предоставление и расходование грантов Главы Республики Саха (Якутия) на развитие гражданского общества в Республике Саха (Якутия), проводимый уполномоченным органом соответствии с </w:t>
      </w:r>
      <w:hyperlink w:history="0" r:id="rId15" w:tooltip="Указ Главы РС(Я) от 20.04.2020 N 1127 (ред. от 29.08.2025) &quot;О грантах Главы Республики Саха (Якутия) на развитие гражданского общества в Республике Саха (Якутия)&quot; {КонсультантПлюс}">
        <w:r>
          <w:rPr>
            <w:sz w:val="20"/>
            <w:color w:val="0000ff"/>
          </w:rPr>
          <w:t xml:space="preserve">Указом</w:t>
        </w:r>
      </w:hyperlink>
      <w:r>
        <w:rPr>
          <w:sz w:val="20"/>
        </w:rPr>
        <w:t xml:space="preserve"> Главы Республики Саха (Якутия) от 20 апреля 2020 г. N 1127 "О грантах Главы Республики Саха (Якутия) на развитие гражданского общества в Республике Саха (Якутия).</w:t>
      </w:r>
    </w:p>
    <w:bookmarkStart w:id="60" w:name="P60"/>
    <w:bookmarkEnd w:id="60"/>
    <w:p>
      <w:pPr>
        <w:pStyle w:val="0"/>
        <w:spacing w:before="200" w:lineRule="auto"/>
        <w:ind w:firstLine="540"/>
        <w:jc w:val="both"/>
      </w:pPr>
      <w:r>
        <w:rPr>
          <w:sz w:val="20"/>
        </w:rPr>
        <w:t xml:space="preserve">1.3. Субсидии предоставляются в целях реализации мероприятия: "Субсидия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за счет средств, предусмотренных в рамках государственной </w:t>
      </w:r>
      <w:hyperlink w:history="0" r:id="rId16" w:tooltip="Постановление Правительства РС(Я) от 18.07.2022 N 430 (ред. от 23.01.2025) &quot;О государственной программе Республики Саха (Якутия) &quot;Реализация молодежной политики, патриотического воспитания граждан и развитие гражданского общества в Республике Саха (Якутия)&quot; {КонсультантПлюс}">
        <w:r>
          <w:rPr>
            <w:sz w:val="20"/>
            <w:color w:val="0000ff"/>
          </w:rPr>
          <w:t xml:space="preserve">программы</w:t>
        </w:r>
      </w:hyperlink>
      <w:r>
        <w:rPr>
          <w:sz w:val="20"/>
        </w:rPr>
        <w:t xml:space="preserve"> Республики Саха (Якутия) "Реализация молодежной политики, патриотического воспитания граждан и развитие гражданского общества в Республике Саха (Якутия)", утвержденной постановлением Правительства Республики Саха (Якутия) от 18 июля 2022 г. N 430.</w:t>
      </w:r>
    </w:p>
    <w:bookmarkStart w:id="61" w:name="P61"/>
    <w:bookmarkEnd w:id="61"/>
    <w:p>
      <w:pPr>
        <w:pStyle w:val="0"/>
        <w:spacing w:before="200" w:lineRule="auto"/>
        <w:ind w:firstLine="540"/>
        <w:jc w:val="both"/>
      </w:pPr>
      <w:r>
        <w:rPr>
          <w:sz w:val="20"/>
        </w:rPr>
        <w:t xml:space="preserve">1.4. Министерство по делам молодежи и социальным коммуникациям Республики Саха (Якутия) является главным распорядителем средств государственного бюджета Республики Саха (Якутия), которому в соответствии с бюджетным законодательством Российской Федерации как получателю средств государственного бюджета направлены в установленном порядке лимиты бюджетных обязательств на предоставление субсидии на соответствующий финансовый год и плановый период (далее - уполномоченный орган).</w:t>
      </w:r>
    </w:p>
    <w:bookmarkStart w:id="62" w:name="P62"/>
    <w:bookmarkEnd w:id="62"/>
    <w:p>
      <w:pPr>
        <w:pStyle w:val="0"/>
        <w:spacing w:before="200" w:lineRule="auto"/>
        <w:ind w:firstLine="540"/>
        <w:jc w:val="both"/>
      </w:pPr>
      <w:r>
        <w:rPr>
          <w:sz w:val="20"/>
        </w:rPr>
        <w:t xml:space="preserve">1.5 Субсидии предоставляются на реализацию социального проекта, направленного на решение одной или нескольких перечисленных задач:</w:t>
      </w:r>
    </w:p>
    <w:p>
      <w:pPr>
        <w:pStyle w:val="0"/>
        <w:spacing w:before="200" w:lineRule="auto"/>
        <w:ind w:firstLine="540"/>
        <w:jc w:val="both"/>
      </w:pPr>
      <w:r>
        <w:rPr>
          <w:sz w:val="20"/>
        </w:rPr>
        <w:t xml:space="preserve">повышение качества социального проектирования и эффективности участия активных граждан, социально ориентированных некоммерческих организаций республики в федеральных, региональных конкурсах;</w:t>
      </w:r>
    </w:p>
    <w:p>
      <w:pPr>
        <w:pStyle w:val="0"/>
        <w:spacing w:before="200" w:lineRule="auto"/>
        <w:ind w:firstLine="540"/>
        <w:jc w:val="both"/>
      </w:pPr>
      <w:r>
        <w:rPr>
          <w:sz w:val="20"/>
        </w:rPr>
        <w:t xml:space="preserve">оказание комплекса информационных, консультационных, методических услуг для действующих и создаваемых социально ориентированных некоммерческих организаций, а также специалистов муниципальных районов и городских округов Республики Саха (Якутия) по взаимодействию с институтами гражданского общества;</w:t>
      </w:r>
    </w:p>
    <w:p>
      <w:pPr>
        <w:pStyle w:val="0"/>
        <w:spacing w:before="200" w:lineRule="auto"/>
        <w:ind w:firstLine="540"/>
        <w:jc w:val="both"/>
      </w:pPr>
      <w:r>
        <w:rPr>
          <w:sz w:val="20"/>
        </w:rPr>
        <w:t xml:space="preserve">повышение профессиональных компетенций специалистов муниципальных районов и городских округов Республики Саха (Якутия), представителей социально ориентированных некоммерческих организаций в области организации деятельности некоммерческого сектора и социального проектирования;</w:t>
      </w:r>
    </w:p>
    <w:p>
      <w:pPr>
        <w:pStyle w:val="0"/>
        <w:spacing w:before="200" w:lineRule="auto"/>
        <w:ind w:firstLine="540"/>
        <w:jc w:val="both"/>
      </w:pPr>
      <w:r>
        <w:rPr>
          <w:sz w:val="20"/>
        </w:rPr>
        <w:t xml:space="preserve">содействие в создании и сопровождении муниципальных ресурсных и коворкинг-центров развития гражданских инициатив, проектных офисов, в том числе в образовательных учреждениях, библиотеках через механизм социального партнерства с органами местного самоуправления;</w:t>
      </w:r>
    </w:p>
    <w:p>
      <w:pPr>
        <w:pStyle w:val="0"/>
        <w:spacing w:before="200" w:lineRule="auto"/>
        <w:ind w:firstLine="540"/>
        <w:jc w:val="both"/>
      </w:pPr>
      <w:r>
        <w:rPr>
          <w:sz w:val="20"/>
        </w:rPr>
        <w:t xml:space="preserve">организация работы по консультационно-методологическому сопровождению получателей грантов Главы Республики Саха (Якутия) на развитие гражданского общества;</w:t>
      </w:r>
    </w:p>
    <w:p>
      <w:pPr>
        <w:pStyle w:val="0"/>
        <w:spacing w:before="200" w:lineRule="auto"/>
        <w:ind w:firstLine="540"/>
        <w:jc w:val="both"/>
      </w:pPr>
      <w:r>
        <w:rPr>
          <w:sz w:val="20"/>
        </w:rPr>
        <w:t xml:space="preserve">координация деятельности ресурсных центров муниципальных районов, городских округов Республики Саха (Якутия);</w:t>
      </w:r>
    </w:p>
    <w:p>
      <w:pPr>
        <w:pStyle w:val="0"/>
        <w:spacing w:before="200" w:lineRule="auto"/>
        <w:ind w:firstLine="540"/>
        <w:jc w:val="both"/>
      </w:pPr>
      <w:r>
        <w:rPr>
          <w:sz w:val="20"/>
        </w:rPr>
        <w:t xml:space="preserve">создание условий для информирования представителями социально ориентированных некоммерческих организаций о своей деятельности и получения ими информации о лучших практиках и возможностях некоммерческого сектора;</w:t>
      </w:r>
    </w:p>
    <w:p>
      <w:pPr>
        <w:pStyle w:val="0"/>
        <w:spacing w:before="200" w:lineRule="auto"/>
        <w:ind w:firstLine="540"/>
        <w:jc w:val="both"/>
      </w:pPr>
      <w:r>
        <w:rPr>
          <w:sz w:val="20"/>
        </w:rPr>
        <w:t xml:space="preserve">организационно-техническое сопровождение конкурса грантов Главы Республики Саха (Якутия) на развитие гражданского общества;</w:t>
      </w:r>
    </w:p>
    <w:p>
      <w:pPr>
        <w:pStyle w:val="0"/>
        <w:spacing w:before="200" w:lineRule="auto"/>
        <w:ind w:firstLine="540"/>
        <w:jc w:val="both"/>
      </w:pPr>
      <w:r>
        <w:rPr>
          <w:sz w:val="20"/>
        </w:rPr>
        <w:t xml:space="preserve">организация деятельности единого грантооператора для последующего распределения средств субсидии между некоммерческими организациями на конкурсной основе;</w:t>
      </w:r>
    </w:p>
    <w:p>
      <w:pPr>
        <w:pStyle w:val="0"/>
        <w:spacing w:before="200" w:lineRule="auto"/>
        <w:ind w:firstLine="540"/>
        <w:jc w:val="both"/>
      </w:pPr>
      <w:r>
        <w:rPr>
          <w:sz w:val="20"/>
        </w:rPr>
        <w:t xml:space="preserve">поддержка деятельности, направленной на борьбу с бедностью в Республике Саха (Якутия).</w:t>
      </w:r>
    </w:p>
    <w:p>
      <w:pPr>
        <w:pStyle w:val="0"/>
        <w:spacing w:before="200" w:lineRule="auto"/>
        <w:ind w:firstLine="540"/>
        <w:jc w:val="both"/>
      </w:pPr>
      <w:r>
        <w:rPr>
          <w:sz w:val="20"/>
        </w:rPr>
        <w:t xml:space="preserve">1.6. Способом предоставления субсидии является финансовое обеспечение затрат.</w:t>
      </w:r>
    </w:p>
    <w:p>
      <w:pPr>
        <w:pStyle w:val="0"/>
        <w:spacing w:before="200" w:lineRule="auto"/>
        <w:ind w:firstLine="540"/>
        <w:jc w:val="both"/>
      </w:pPr>
      <w:r>
        <w:rPr>
          <w:sz w:val="20"/>
        </w:rPr>
        <w:t xml:space="preserve">1.7. Информация о субсидии размещается в информационно-телекоммуникационной сети Интернет на едином портале бюджетной системы Российской Федерации (далее - единый портал) в порядке, установленном Министерством финансов Российской Федерации.</w:t>
      </w:r>
    </w:p>
    <w:p>
      <w:pPr>
        <w:pStyle w:val="0"/>
        <w:jc w:val="both"/>
      </w:pPr>
      <w:r>
        <w:rPr>
          <w:sz w:val="20"/>
        </w:rPr>
      </w:r>
    </w:p>
    <w:bookmarkStart w:id="76" w:name="P76"/>
    <w:bookmarkEnd w:id="76"/>
    <w:p>
      <w:pPr>
        <w:pStyle w:val="2"/>
        <w:outlineLvl w:val="1"/>
        <w:jc w:val="center"/>
      </w:pPr>
      <w:r>
        <w:rPr>
          <w:sz w:val="20"/>
        </w:rPr>
        <w:t xml:space="preserve">2. Порядок проведения отбора</w:t>
      </w:r>
    </w:p>
    <w:p>
      <w:pPr>
        <w:pStyle w:val="0"/>
        <w:jc w:val="both"/>
      </w:pPr>
      <w:r>
        <w:rPr>
          <w:sz w:val="20"/>
        </w:rPr>
      </w:r>
    </w:p>
    <w:p>
      <w:pPr>
        <w:pStyle w:val="0"/>
        <w:ind w:firstLine="540"/>
        <w:jc w:val="both"/>
      </w:pPr>
      <w:r>
        <w:rPr>
          <w:sz w:val="20"/>
        </w:rPr>
        <w:t xml:space="preserve">2.1. Отбор осуществляется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pPr>
        <w:pStyle w:val="0"/>
        <w:jc w:val="both"/>
      </w:pPr>
      <w:r>
        <w:rPr>
          <w:sz w:val="20"/>
        </w:rPr>
        <w:t xml:space="preserve">(п. 2.1 в ред. </w:t>
      </w:r>
      <w:hyperlink w:history="0" r:id="rId17" w:tooltip="Постановление Правительства РС(Я) от 19.02.2025 N 55 &quot;О внесении изменений в порядок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утвержденный постановлением Правительства Республики Саха (Якутия) от 28 июня 2024 г. N 282&quot; {КонсультантПлюс}">
        <w:r>
          <w:rPr>
            <w:sz w:val="20"/>
            <w:color w:val="0000ff"/>
          </w:rPr>
          <w:t xml:space="preserve">постановления</w:t>
        </w:r>
      </w:hyperlink>
      <w:r>
        <w:rPr>
          <w:sz w:val="20"/>
        </w:rPr>
        <w:t xml:space="preserve"> Правительства РС(Я) от 19.02.2025 N 55)</w:t>
      </w:r>
    </w:p>
    <w:p>
      <w:pPr>
        <w:pStyle w:val="0"/>
        <w:spacing w:before="200" w:lineRule="auto"/>
        <w:ind w:firstLine="540"/>
        <w:jc w:val="both"/>
      </w:pPr>
      <w:r>
        <w:rPr>
          <w:sz w:val="20"/>
        </w:rPr>
        <w:t xml:space="preserve">2.2. Отбор осуществляется на конкурентной основе путем проведения конкурса исходя из наилучших условий достижения результатов предоставления субсидий участниками конкурса.</w:t>
      </w:r>
    </w:p>
    <w:p>
      <w:pPr>
        <w:pStyle w:val="0"/>
        <w:spacing w:before="200" w:lineRule="auto"/>
        <w:ind w:firstLine="540"/>
        <w:jc w:val="both"/>
      </w:pPr>
      <w:r>
        <w:rPr>
          <w:sz w:val="20"/>
        </w:rPr>
        <w:t xml:space="preserve">Конкурс может быть отменен в случае отсутствия финансирования в соответствии со сводной бюджетной росписью государственного бюджета Республики Саха (Якутия) на соответствующий финансовый год и на плановый период на цели, установленные настоящим порядком.</w:t>
      </w:r>
    </w:p>
    <w:p>
      <w:pPr>
        <w:pStyle w:val="0"/>
        <w:spacing w:before="200" w:lineRule="auto"/>
        <w:ind w:firstLine="540"/>
        <w:jc w:val="both"/>
      </w:pPr>
      <w:r>
        <w:rPr>
          <w:sz w:val="20"/>
        </w:rPr>
        <w:t xml:space="preserve">В случае, если на конкурс не поступило ни одной заявки, конкурс признается несостоявшимся, утвержденная сумма по данному конкурсу возвращается уполномоченным органом в доход государственного бюджета Республики Саха (Якутия).</w:t>
      </w:r>
    </w:p>
    <w:p>
      <w:pPr>
        <w:pStyle w:val="0"/>
        <w:spacing w:before="200" w:lineRule="auto"/>
        <w:ind w:firstLine="540"/>
        <w:jc w:val="both"/>
      </w:pPr>
      <w:r>
        <w:rPr>
          <w:sz w:val="20"/>
        </w:rPr>
        <w:t xml:space="preserve">В случае отсутствия финансирования и (или) отсутствия заявок на участие в отборе, уполномоченным органом составляется акт и вносится на заседание координационной комиссии.</w:t>
      </w:r>
    </w:p>
    <w:p>
      <w:pPr>
        <w:pStyle w:val="0"/>
        <w:spacing w:before="200" w:lineRule="auto"/>
        <w:ind w:firstLine="540"/>
        <w:jc w:val="both"/>
      </w:pPr>
      <w:r>
        <w:rPr>
          <w:sz w:val="20"/>
        </w:rPr>
        <w:t xml:space="preserve">Решение уполномоченного органа об отмене и (или) признании конкурса несостоявшимся принимается на основании протокола экспертной комиссии.</w:t>
      </w:r>
    </w:p>
    <w:p>
      <w:pPr>
        <w:pStyle w:val="0"/>
        <w:spacing w:before="200" w:lineRule="auto"/>
        <w:ind w:firstLine="540"/>
        <w:jc w:val="both"/>
      </w:pPr>
      <w:r>
        <w:rPr>
          <w:sz w:val="20"/>
        </w:rPr>
        <w:t xml:space="preserve">2.3. Объявление о проведении отбора формируется и размещается в порядке, установленном настоящим пунктом:</w:t>
      </w:r>
    </w:p>
    <w:p>
      <w:pPr>
        <w:pStyle w:val="0"/>
        <w:spacing w:before="200" w:lineRule="auto"/>
        <w:ind w:firstLine="540"/>
        <w:jc w:val="both"/>
      </w:pPr>
      <w:r>
        <w:rPr>
          <w:sz w:val="20"/>
        </w:rPr>
        <w:t xml:space="preserve">1) объявление о проведении отбора размещается в течение трех календарных дней со дня подписания приказа уполномоченного органа о проведении конкурса в информационно-телекоммуникационной сети Интернет на едином портале бюджетной системы Российской Федерации и на официальном сайте уполномоченного органа;</w:t>
      </w:r>
    </w:p>
    <w:p>
      <w:pPr>
        <w:pStyle w:val="0"/>
        <w:spacing w:before="200" w:lineRule="auto"/>
        <w:ind w:firstLine="540"/>
        <w:jc w:val="both"/>
      </w:pPr>
      <w:r>
        <w:rPr>
          <w:sz w:val="20"/>
        </w:rPr>
        <w:t xml:space="preserve">2) объявление о проведении конкурса включает в себя:</w:t>
      </w:r>
    </w:p>
    <w:p>
      <w:pPr>
        <w:pStyle w:val="0"/>
        <w:spacing w:before="200" w:lineRule="auto"/>
        <w:ind w:firstLine="540"/>
        <w:jc w:val="both"/>
      </w:pPr>
      <w:r>
        <w:rPr>
          <w:sz w:val="20"/>
        </w:rPr>
        <w:t xml:space="preserve">а) сроки проведения конкурса;</w:t>
      </w:r>
    </w:p>
    <w:p>
      <w:pPr>
        <w:pStyle w:val="0"/>
        <w:spacing w:before="200" w:lineRule="auto"/>
        <w:ind w:firstLine="540"/>
        <w:jc w:val="both"/>
      </w:pPr>
      <w:r>
        <w:rPr>
          <w:sz w:val="20"/>
        </w:rPr>
        <w:t xml:space="preserve">б) дату начала подачи и окончания приема заявок участников конкурса, при этом дата окончания приема заявок не может быть ранее 30-го календарного дня, следующего за днем размещения объявления о проведении конкурса;</w:t>
      </w:r>
    </w:p>
    <w:p>
      <w:pPr>
        <w:pStyle w:val="0"/>
        <w:jc w:val="both"/>
      </w:pPr>
      <w:r>
        <w:rPr>
          <w:sz w:val="20"/>
        </w:rPr>
        <w:t xml:space="preserve">(пп. "б" в ред. </w:t>
      </w:r>
      <w:hyperlink w:history="0" r:id="rId18" w:tooltip="Постановление Правительства РС(Я) от 01.07.2025 N 272 &quot;О внесении изменений в порядок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утвержденный постановлением Правительства Республики Саха (Якутия) от 28 июня 2024 г. N 282&quot; {КонсультантПлюс}">
        <w:r>
          <w:rPr>
            <w:sz w:val="20"/>
            <w:color w:val="0000ff"/>
          </w:rPr>
          <w:t xml:space="preserve">постановления</w:t>
        </w:r>
      </w:hyperlink>
      <w:r>
        <w:rPr>
          <w:sz w:val="20"/>
        </w:rPr>
        <w:t xml:space="preserve"> Правительства РС(Я) от 01.07.2025 N 272)</w:t>
      </w:r>
    </w:p>
    <w:p>
      <w:pPr>
        <w:pStyle w:val="0"/>
        <w:spacing w:before="200" w:lineRule="auto"/>
        <w:ind w:firstLine="540"/>
        <w:jc w:val="both"/>
      </w:pPr>
      <w:r>
        <w:rPr>
          <w:sz w:val="20"/>
        </w:rPr>
        <w:t xml:space="preserve">в) наименование, место нахождения, почтовый адрес, адрес электронной почты уполномоченного органа;</w:t>
      </w:r>
    </w:p>
    <w:p>
      <w:pPr>
        <w:pStyle w:val="0"/>
        <w:spacing w:before="200" w:lineRule="auto"/>
        <w:ind w:firstLine="540"/>
        <w:jc w:val="both"/>
      </w:pPr>
      <w:r>
        <w:rPr>
          <w:sz w:val="20"/>
        </w:rPr>
        <w:t xml:space="preserve">г) информацию о результатах предоставления субсидии, а также характеристику (характеристики) результата (при ее установлении);</w:t>
      </w:r>
    </w:p>
    <w:p>
      <w:pPr>
        <w:pStyle w:val="0"/>
        <w:spacing w:before="200" w:lineRule="auto"/>
        <w:ind w:firstLine="540"/>
        <w:jc w:val="both"/>
      </w:pPr>
      <w:r>
        <w:rPr>
          <w:sz w:val="20"/>
        </w:rPr>
        <w:t xml:space="preserve">д) доменное имя и (или) указатели страниц государственной информационной системы в сети Интернет;</w:t>
      </w:r>
    </w:p>
    <w:p>
      <w:pPr>
        <w:pStyle w:val="0"/>
        <w:spacing w:before="200" w:lineRule="auto"/>
        <w:ind w:firstLine="540"/>
        <w:jc w:val="both"/>
      </w:pPr>
      <w:r>
        <w:rPr>
          <w:sz w:val="20"/>
        </w:rPr>
        <w:t xml:space="preserve">е) требования к участникам конкурса, определенные в соответствии с </w:t>
      </w:r>
      <w:hyperlink w:history="0" w:anchor="P76" w:tooltip="2. Порядок проведения отбора">
        <w:r>
          <w:rPr>
            <w:sz w:val="20"/>
            <w:color w:val="0000ff"/>
          </w:rPr>
          <w:t xml:space="preserve">разделом 2</w:t>
        </w:r>
      </w:hyperlink>
      <w:r>
        <w:rPr>
          <w:sz w:val="20"/>
        </w:rPr>
        <w:t xml:space="preserve"> настоящего порядка, которым участник конкурса должен соответствовать на момент подачи заявки, и к перечню документов, представляемых участниками конкурса для подтверждения их соответствия указанным требованиям;</w:t>
      </w:r>
    </w:p>
    <w:p>
      <w:pPr>
        <w:pStyle w:val="0"/>
        <w:spacing w:before="200" w:lineRule="auto"/>
        <w:ind w:firstLine="540"/>
        <w:jc w:val="both"/>
      </w:pPr>
      <w:r>
        <w:rPr>
          <w:sz w:val="20"/>
        </w:rPr>
        <w:t xml:space="preserve">ж) формы заявки на участие с согласием на публикацию (размещение) в информационно-телекоммуникационной сети Интернет информации об участнике конкурса, о подаваемом участником конкурса заявке, иной информации об участнике конкурса, связанной с соответствующим конкурсом;</w:t>
      </w:r>
    </w:p>
    <w:p>
      <w:pPr>
        <w:pStyle w:val="0"/>
        <w:spacing w:before="200" w:lineRule="auto"/>
        <w:ind w:firstLine="540"/>
        <w:jc w:val="both"/>
      </w:pPr>
      <w:r>
        <w:rPr>
          <w:sz w:val="20"/>
        </w:rPr>
        <w:t xml:space="preserve">з) порядок подачи заявок участниками конкурса и требования, предъявляемые к форме и содержанию заявок для подтверждения соответствия требованиям конкурса в соответствии с настоящим порядком;</w:t>
      </w:r>
    </w:p>
    <w:p>
      <w:pPr>
        <w:pStyle w:val="0"/>
        <w:spacing w:before="200" w:lineRule="auto"/>
        <w:ind w:firstLine="540"/>
        <w:jc w:val="both"/>
      </w:pPr>
      <w:r>
        <w:rPr>
          <w:sz w:val="20"/>
        </w:rPr>
        <w:t xml:space="preserve">и) порядок отзыва заявок участников конкурса, порядок возврата заявок участников конкурса, определяющего, в том числе основания для возврата заявок участников конкурса, порядок внесения изменений в заявки участников конкурса;</w:t>
      </w:r>
    </w:p>
    <w:p>
      <w:pPr>
        <w:pStyle w:val="0"/>
        <w:spacing w:before="200" w:lineRule="auto"/>
        <w:ind w:firstLine="540"/>
        <w:jc w:val="both"/>
      </w:pPr>
      <w:r>
        <w:rPr>
          <w:sz w:val="20"/>
        </w:rPr>
        <w:t xml:space="preserve">к) правила рассмотрения и оценки заявок участников конкурса в соответствии с настоящим порядком;</w:t>
      </w:r>
    </w:p>
    <w:p>
      <w:pPr>
        <w:pStyle w:val="0"/>
        <w:spacing w:before="200" w:lineRule="auto"/>
        <w:ind w:firstLine="540"/>
        <w:jc w:val="both"/>
      </w:pPr>
      <w:r>
        <w:rPr>
          <w:sz w:val="20"/>
        </w:rPr>
        <w:t xml:space="preserve">л) категории получателей субсидий и критерии оценки, показатели критериев оценки;</w:t>
      </w:r>
    </w:p>
    <w:p>
      <w:pPr>
        <w:pStyle w:val="0"/>
        <w:spacing w:before="200" w:lineRule="auto"/>
        <w:ind w:firstLine="540"/>
        <w:jc w:val="both"/>
      </w:pPr>
      <w:r>
        <w:rPr>
          <w:sz w:val="20"/>
        </w:rPr>
        <w:t xml:space="preserve">м) порядок возврата заявок на доработку;</w:t>
      </w:r>
    </w:p>
    <w:p>
      <w:pPr>
        <w:pStyle w:val="0"/>
        <w:spacing w:before="200" w:lineRule="auto"/>
        <w:ind w:firstLine="540"/>
        <w:jc w:val="both"/>
      </w:pPr>
      <w:r>
        <w:rPr>
          <w:sz w:val="20"/>
        </w:rPr>
        <w:t xml:space="preserve">н) порядок отклонения заявок, а также информацию об основаниях их отклонения;</w:t>
      </w:r>
    </w:p>
    <w:p>
      <w:pPr>
        <w:pStyle w:val="0"/>
        <w:spacing w:before="200" w:lineRule="auto"/>
        <w:ind w:firstLine="540"/>
        <w:jc w:val="both"/>
      </w:pPr>
      <w:r>
        <w:rPr>
          <w:sz w:val="20"/>
        </w:rPr>
        <w:t xml:space="preserve">о) порядок оценки заявок, включающий критерии и сроки оценки заявок, весовое значение критериев оценки, необходимую для представления участниками конкурса информацию по каждому критерию оценки, сведения, документы и материалы, подтверждающие такую информацию, сроки оценки заявок, а также информацию об участии комиссии и экспертов в оценке заявок;</w:t>
      </w:r>
    </w:p>
    <w:p>
      <w:pPr>
        <w:pStyle w:val="0"/>
        <w:spacing w:before="200" w:lineRule="auto"/>
        <w:ind w:firstLine="540"/>
        <w:jc w:val="both"/>
      </w:pPr>
      <w:r>
        <w:rPr>
          <w:sz w:val="20"/>
        </w:rPr>
        <w:t xml:space="preserve">п) порядок предоставления участникам конкурса разъяснений положений объявления о проведении конкурса, даты начала и окончания срока предоставления;</w:t>
      </w:r>
    </w:p>
    <w:p>
      <w:pPr>
        <w:pStyle w:val="0"/>
        <w:spacing w:before="200" w:lineRule="auto"/>
        <w:ind w:firstLine="540"/>
        <w:jc w:val="both"/>
      </w:pPr>
      <w:r>
        <w:rPr>
          <w:sz w:val="20"/>
        </w:rPr>
        <w:t xml:space="preserve">р) сроки, в течение которого победители конкурса должны подписать соглашение о предоставлении субсидии;</w:t>
      </w:r>
    </w:p>
    <w:p>
      <w:pPr>
        <w:pStyle w:val="0"/>
        <w:spacing w:before="200" w:lineRule="auto"/>
        <w:ind w:firstLine="540"/>
        <w:jc w:val="both"/>
      </w:pPr>
      <w:r>
        <w:rPr>
          <w:sz w:val="20"/>
        </w:rPr>
        <w:t xml:space="preserve">с) условия признания победителей конкурса уклонившимися от заключения соглашения;</w:t>
      </w:r>
    </w:p>
    <w:p>
      <w:pPr>
        <w:pStyle w:val="0"/>
        <w:spacing w:before="200" w:lineRule="auto"/>
        <w:ind w:firstLine="540"/>
        <w:jc w:val="both"/>
      </w:pPr>
      <w:r>
        <w:rPr>
          <w:sz w:val="20"/>
        </w:rPr>
        <w:t xml:space="preserve">т) дату начала реализации проекта;</w:t>
      </w:r>
    </w:p>
    <w:p>
      <w:pPr>
        <w:pStyle w:val="0"/>
        <w:spacing w:before="200" w:lineRule="auto"/>
        <w:ind w:firstLine="540"/>
        <w:jc w:val="both"/>
      </w:pPr>
      <w:r>
        <w:rPr>
          <w:sz w:val="20"/>
        </w:rPr>
        <w:t xml:space="preserve">у) объем субсидий, порядок расчета размера и правила их распределения по результатам конкурса, которые могут включать максимальный, минимальный размеры субсидий, предоставляемых победителю конкурса;</w:t>
      </w:r>
    </w:p>
    <w:p>
      <w:pPr>
        <w:pStyle w:val="0"/>
        <w:spacing w:before="200" w:lineRule="auto"/>
        <w:ind w:firstLine="540"/>
        <w:jc w:val="both"/>
      </w:pPr>
      <w:r>
        <w:rPr>
          <w:sz w:val="20"/>
        </w:rPr>
        <w:t xml:space="preserve">ф) сроки размещения протокола подведения итогов конкурса (документа об итогах проведения конкурса) на едином портале и на официальном сайте уполномоченного органа, сроки размещения которых не могут быть позднее одного рабочего дня, следующего за днем определения победителя конкурса;</w:t>
      </w:r>
    </w:p>
    <w:p>
      <w:pPr>
        <w:pStyle w:val="0"/>
        <w:jc w:val="both"/>
      </w:pPr>
      <w:r>
        <w:rPr>
          <w:sz w:val="20"/>
        </w:rPr>
        <w:t xml:space="preserve">(пп. "ф" в ред. </w:t>
      </w:r>
      <w:hyperlink w:history="0" r:id="rId19" w:tooltip="Постановление Правительства РС(Я) от 01.07.2025 N 272 &quot;О внесении изменений в порядок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утвержденный постановлением Правительства Республики Саха (Якутия) от 28 июня 2024 г. N 282&quot; {КонсультантПлюс}">
        <w:r>
          <w:rPr>
            <w:sz w:val="20"/>
            <w:color w:val="0000ff"/>
          </w:rPr>
          <w:t xml:space="preserve">постановления</w:t>
        </w:r>
      </w:hyperlink>
      <w:r>
        <w:rPr>
          <w:sz w:val="20"/>
        </w:rPr>
        <w:t xml:space="preserve"> Правительства РС(Я) от 01.07.2025 N 272)</w:t>
      </w:r>
    </w:p>
    <w:p>
      <w:pPr>
        <w:pStyle w:val="0"/>
        <w:spacing w:before="200" w:lineRule="auto"/>
        <w:ind w:firstLine="540"/>
        <w:jc w:val="both"/>
      </w:pPr>
      <w:r>
        <w:rPr>
          <w:sz w:val="20"/>
        </w:rPr>
        <w:t xml:space="preserve">х) наименование получателя субсидии, с которым заключаются соглашение и размер, предоставляемой ему субсидии;</w:t>
      </w:r>
    </w:p>
    <w:p>
      <w:pPr>
        <w:pStyle w:val="0"/>
        <w:spacing w:before="200" w:lineRule="auto"/>
        <w:ind w:firstLine="540"/>
        <w:jc w:val="both"/>
      </w:pPr>
      <w:r>
        <w:rPr>
          <w:sz w:val="20"/>
        </w:rPr>
        <w:t xml:space="preserve">ц) контактные номера должностных лиц Министерства, по которым осуществляется устная консультация по вопросам, связанным с проведением отбора, в том числе о разъяснении положений объявления.</w:t>
      </w:r>
    </w:p>
    <w:p>
      <w:pPr>
        <w:pStyle w:val="0"/>
        <w:jc w:val="both"/>
      </w:pPr>
      <w:r>
        <w:rPr>
          <w:sz w:val="20"/>
        </w:rPr>
        <w:t xml:space="preserve">(пп. "ц" введен </w:t>
      </w:r>
      <w:hyperlink w:history="0" r:id="rId20" w:tooltip="Постановление Правительства РС(Я) от 19.02.2025 N 55 &quot;О внесении изменений в порядок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утвержденный постановлением Правительства Республики Саха (Якутия) от 28 июня 2024 г. N 282&quot; {КонсультантПлюс}">
        <w:r>
          <w:rPr>
            <w:sz w:val="20"/>
            <w:color w:val="0000ff"/>
          </w:rPr>
          <w:t xml:space="preserve">постановлением</w:t>
        </w:r>
      </w:hyperlink>
      <w:r>
        <w:rPr>
          <w:sz w:val="20"/>
        </w:rPr>
        <w:t xml:space="preserve"> Правительства РС(Я) от 19.02.2025 N 55)</w:t>
      </w:r>
    </w:p>
    <w:p>
      <w:pPr>
        <w:pStyle w:val="0"/>
        <w:spacing w:before="200" w:lineRule="auto"/>
        <w:ind w:firstLine="540"/>
        <w:jc w:val="both"/>
      </w:pPr>
      <w:r>
        <w:rPr>
          <w:sz w:val="20"/>
        </w:rPr>
        <w:t xml:space="preserve">2.3.1. При необходимости в объявление о проведении отбора могут быть внесены изменения, но не позднее наступления даты окончания приема заявок участников отбора получателей субсидий с соблюдением следующих условий:</w:t>
      </w:r>
    </w:p>
    <w:p>
      <w:pPr>
        <w:pStyle w:val="0"/>
        <w:spacing w:before="200" w:lineRule="auto"/>
        <w:ind w:firstLine="540"/>
        <w:jc w:val="both"/>
      </w:pPr>
      <w:r>
        <w:rPr>
          <w:sz w:val="20"/>
        </w:rPr>
        <w:t xml:space="preserve">срок подачи участниками отбора заявок может быть продлен на 10 календарных дней, следующих за днем внесения таких изменений;</w:t>
      </w:r>
    </w:p>
    <w:p>
      <w:pPr>
        <w:pStyle w:val="0"/>
        <w:spacing w:before="200" w:lineRule="auto"/>
        <w:ind w:firstLine="540"/>
        <w:jc w:val="both"/>
      </w:pPr>
      <w:r>
        <w:rPr>
          <w:sz w:val="20"/>
        </w:rPr>
        <w:t xml:space="preserve">при внесении изменений в объявление о проведении отбора получателей субсидий изменение способа отбора получателей субсидий не допускается;</w:t>
      </w:r>
    </w:p>
    <w:p>
      <w:pPr>
        <w:pStyle w:val="0"/>
        <w:spacing w:before="200" w:lineRule="auto"/>
        <w:ind w:firstLine="540"/>
        <w:jc w:val="both"/>
      </w:pPr>
      <w:r>
        <w:rPr>
          <w:sz w:val="20"/>
        </w:rPr>
        <w:t xml:space="preserve">в случае внесения изменений в объявление о проведении отбора получателей субсидий после наступления даты начала приема заявок, в объявление о проведении отбора получателей субсидий включается положение, предусматривающее право участников отбора получателей субсидий внести изменения в заявки;</w:t>
      </w:r>
    </w:p>
    <w:p>
      <w:pPr>
        <w:pStyle w:val="0"/>
        <w:spacing w:before="200" w:lineRule="auto"/>
        <w:ind w:firstLine="540"/>
        <w:jc w:val="both"/>
      </w:pPr>
      <w:r>
        <w:rPr>
          <w:sz w:val="20"/>
        </w:rPr>
        <w:t xml:space="preserve">участники отбора получателей субсидий, подавшие заявку, уведомляются о внесении изменений в объявление о проведении отбора получателей субсидий не позднее дня, следующего за днем внесения изменений в объявление о проведении отбора получателей субсидий, с использованием системы "Электронный бюджет".</w:t>
      </w:r>
    </w:p>
    <w:p>
      <w:pPr>
        <w:pStyle w:val="0"/>
        <w:jc w:val="both"/>
      </w:pPr>
      <w:r>
        <w:rPr>
          <w:sz w:val="20"/>
        </w:rPr>
        <w:t xml:space="preserve">(п. 2.3.1 введен </w:t>
      </w:r>
      <w:hyperlink w:history="0" r:id="rId21" w:tooltip="Постановление Правительства РС(Я) от 19.02.2025 N 55 &quot;О внесении изменений в порядок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утвержденный постановлением Правительства Республики Саха (Якутия) от 28 июня 2024 г. N 282&quot; {КонсультантПлюс}">
        <w:r>
          <w:rPr>
            <w:sz w:val="20"/>
            <w:color w:val="0000ff"/>
          </w:rPr>
          <w:t xml:space="preserve">постановлением</w:t>
        </w:r>
      </w:hyperlink>
      <w:r>
        <w:rPr>
          <w:sz w:val="20"/>
        </w:rPr>
        <w:t xml:space="preserve"> Правительства РС(Я) от 19.02.2025 N 55)</w:t>
      </w:r>
    </w:p>
    <w:bookmarkStart w:id="119" w:name="P119"/>
    <w:bookmarkEnd w:id="119"/>
    <w:p>
      <w:pPr>
        <w:pStyle w:val="0"/>
        <w:spacing w:before="200" w:lineRule="auto"/>
        <w:ind w:firstLine="540"/>
        <w:jc w:val="both"/>
      </w:pPr>
      <w:r>
        <w:rPr>
          <w:sz w:val="20"/>
        </w:rPr>
        <w:t xml:space="preserve">2.4. Требования, которым должен соответствовать участник конкурса по состоянию на даты рассмотрения заявки и заключения соглашения:</w:t>
      </w:r>
    </w:p>
    <w:p>
      <w:pPr>
        <w:pStyle w:val="0"/>
        <w:jc w:val="both"/>
      </w:pPr>
      <w:r>
        <w:rPr>
          <w:sz w:val="20"/>
        </w:rPr>
        <w:t xml:space="preserve">(в ред. </w:t>
      </w:r>
      <w:hyperlink w:history="0" r:id="rId22" w:tooltip="Постановление Правительства РС(Я) от 19.02.2025 N 55 &quot;О внесении изменений в порядок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утвержденный постановлением Правительства Республики Саха (Якутия) от 28 июня 2024 г. N 282&quot; {КонсультантПлюс}">
        <w:r>
          <w:rPr>
            <w:sz w:val="20"/>
            <w:color w:val="0000ff"/>
          </w:rPr>
          <w:t xml:space="preserve">постановления</w:t>
        </w:r>
      </w:hyperlink>
      <w:r>
        <w:rPr>
          <w:sz w:val="20"/>
        </w:rPr>
        <w:t xml:space="preserve"> Правительства РС(Я) от 19.02.2025 N 55)</w:t>
      </w:r>
    </w:p>
    <w:bookmarkStart w:id="121" w:name="P121"/>
    <w:bookmarkEnd w:id="121"/>
    <w:p>
      <w:pPr>
        <w:pStyle w:val="0"/>
        <w:spacing w:before="200" w:lineRule="auto"/>
        <w:ind w:firstLine="540"/>
        <w:jc w:val="both"/>
      </w:pPr>
      <w:r>
        <w:rPr>
          <w:sz w:val="20"/>
        </w:rPr>
        <w:t xml:space="preserve">1) у участника конкурса отсутствуют просроченная задолженность по возврату в государственный бюджет Республики Саха (Якутия) иных субсидий, бюджетных инвестиций, а также иная просроченная (неурегулированная) задолженность по денежным обязательствам перед Республикой Саха (Якутия);</w:t>
      </w:r>
    </w:p>
    <w:bookmarkStart w:id="122" w:name="P122"/>
    <w:bookmarkEnd w:id="122"/>
    <w:p>
      <w:pPr>
        <w:pStyle w:val="0"/>
        <w:spacing w:before="200" w:lineRule="auto"/>
        <w:ind w:firstLine="540"/>
        <w:jc w:val="both"/>
      </w:pPr>
      <w:r>
        <w:rPr>
          <w:sz w:val="20"/>
        </w:rPr>
        <w:t xml:space="preserve">2) участник конкурса,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получателя субсидии (участника отбора) не приостановлена в порядке, предусмотренном законодательством Российской Федерации;</w:t>
      </w:r>
    </w:p>
    <w:bookmarkStart w:id="123" w:name="P123"/>
    <w:bookmarkEnd w:id="123"/>
    <w:p>
      <w:pPr>
        <w:pStyle w:val="0"/>
        <w:spacing w:before="200" w:lineRule="auto"/>
        <w:ind w:firstLine="540"/>
        <w:jc w:val="both"/>
      </w:pPr>
      <w:r>
        <w:rPr>
          <w:sz w:val="20"/>
        </w:rPr>
        <w:t xml:space="preserve">3) у участника конкурса на едином налоговом счете отсутствует или не превышает размер, определенный </w:t>
      </w:r>
      <w:hyperlink w:history="0" r:id="rId23" w:tooltip="&quot;Налоговый кодекс Российской Федерации (часть первая)&quot; от 31.07.1998 N 146-ФЗ (ред. от 28.11.2025) ------------ Недействующая редакция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bookmarkStart w:id="124" w:name="P124"/>
    <w:bookmarkEnd w:id="124"/>
    <w:p>
      <w:pPr>
        <w:pStyle w:val="0"/>
        <w:spacing w:before="200" w:lineRule="auto"/>
        <w:ind w:firstLine="540"/>
        <w:jc w:val="both"/>
      </w:pPr>
      <w:r>
        <w:rPr>
          <w:sz w:val="20"/>
        </w:rPr>
        <w:t xml:space="preserve">4) участник конкурса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bookmarkStart w:id="125" w:name="P125"/>
    <w:bookmarkEnd w:id="125"/>
    <w:p>
      <w:pPr>
        <w:pStyle w:val="0"/>
        <w:spacing w:before="200" w:lineRule="auto"/>
        <w:ind w:firstLine="540"/>
        <w:jc w:val="both"/>
      </w:pPr>
      <w:r>
        <w:rPr>
          <w:sz w:val="20"/>
        </w:rPr>
        <w:t xml:space="preserve">5) участник конкурса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bookmarkStart w:id="126" w:name="P126"/>
    <w:bookmarkEnd w:id="126"/>
    <w:p>
      <w:pPr>
        <w:pStyle w:val="0"/>
        <w:spacing w:before="200" w:lineRule="auto"/>
        <w:ind w:firstLine="540"/>
        <w:jc w:val="both"/>
      </w:pPr>
      <w:r>
        <w:rPr>
          <w:sz w:val="20"/>
        </w:rPr>
        <w:t xml:space="preserve">6) участник конкурса не находится в составляемых в рамках реализации полномочий, предусмотренных </w:t>
      </w:r>
      <w:hyperlink w:history="0" r:id="rId24"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bookmarkStart w:id="127" w:name="P127"/>
    <w:bookmarkEnd w:id="127"/>
    <w:p>
      <w:pPr>
        <w:pStyle w:val="0"/>
        <w:spacing w:before="200" w:lineRule="auto"/>
        <w:ind w:firstLine="540"/>
        <w:jc w:val="both"/>
      </w:pPr>
      <w:r>
        <w:rPr>
          <w:sz w:val="20"/>
        </w:rPr>
        <w:t xml:space="preserve">7) участник конкурса не получает средства из государственного бюджета Республики Саха (Якутия) на основании иных нормативных правовых актов Республики Саха (Якутия) на цели, установленные настоящим порядком;</w:t>
      </w:r>
    </w:p>
    <w:p>
      <w:pPr>
        <w:pStyle w:val="0"/>
        <w:jc w:val="both"/>
      </w:pPr>
      <w:r>
        <w:rPr>
          <w:sz w:val="20"/>
        </w:rPr>
        <w:t xml:space="preserve">(в ред. </w:t>
      </w:r>
      <w:hyperlink w:history="0" r:id="rId25" w:tooltip="Постановление Правительства РС(Я) от 19.02.2025 N 55 &quot;О внесении изменений в порядок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утвержденный постановлением Правительства Республики Саха (Якутия) от 28 июня 2024 г. N 282&quot; {КонсультантПлюс}">
        <w:r>
          <w:rPr>
            <w:sz w:val="20"/>
            <w:color w:val="0000ff"/>
          </w:rPr>
          <w:t xml:space="preserve">постановления</w:t>
        </w:r>
      </w:hyperlink>
      <w:r>
        <w:rPr>
          <w:sz w:val="20"/>
        </w:rPr>
        <w:t xml:space="preserve"> Правительства РС(Я) от 19.02.2025 N 55)</w:t>
      </w:r>
    </w:p>
    <w:bookmarkStart w:id="129" w:name="P129"/>
    <w:bookmarkEnd w:id="129"/>
    <w:p>
      <w:pPr>
        <w:pStyle w:val="0"/>
        <w:spacing w:before="200" w:lineRule="auto"/>
        <w:ind w:firstLine="540"/>
        <w:jc w:val="both"/>
      </w:pPr>
      <w:r>
        <w:rPr>
          <w:sz w:val="20"/>
        </w:rPr>
        <w:t xml:space="preserve">8)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и о физическом лице - производителе товаров, работ, услуг, являющихся участниками конкурса;</w:t>
      </w:r>
    </w:p>
    <w:bookmarkStart w:id="130" w:name="P130"/>
    <w:bookmarkEnd w:id="130"/>
    <w:p>
      <w:pPr>
        <w:pStyle w:val="0"/>
        <w:spacing w:before="200" w:lineRule="auto"/>
        <w:ind w:firstLine="540"/>
        <w:jc w:val="both"/>
      </w:pPr>
      <w:r>
        <w:rPr>
          <w:sz w:val="20"/>
        </w:rPr>
        <w:t xml:space="preserve">9) участник конкурса не является иностранным агентом в соответствии с Федеральным </w:t>
      </w:r>
      <w:hyperlink w:history="0" r:id="rId26"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 контроле за деятельностью лиц, находящихся под иностранным влиянием".</w:t>
      </w:r>
    </w:p>
    <w:p>
      <w:pPr>
        <w:pStyle w:val="0"/>
        <w:spacing w:before="200" w:lineRule="auto"/>
        <w:ind w:firstLine="540"/>
        <w:jc w:val="both"/>
      </w:pPr>
      <w:r>
        <w:rPr>
          <w:sz w:val="20"/>
        </w:rPr>
        <w:t xml:space="preserve">2.4.1. Участник конкурса вправе:</w:t>
      </w:r>
    </w:p>
    <w:p>
      <w:pPr>
        <w:pStyle w:val="0"/>
        <w:spacing w:before="200" w:lineRule="auto"/>
        <w:ind w:firstLine="540"/>
        <w:jc w:val="both"/>
      </w:pPr>
      <w:r>
        <w:rPr>
          <w:sz w:val="20"/>
        </w:rPr>
        <w:t xml:space="preserve">1) в течение срока подачи (приема) заявок, указанного в </w:t>
      </w:r>
      <w:hyperlink w:history="0" w:anchor="P145" w:tooltip="2.5. Участник отбора подает заявку с приложенными документами, установленными пунктом 3.4.1 настоящего порядка, подписанными усиленной квалифицированной электронной подписью, по форме согласно приложению к настоящему порядку на едином портале.">
        <w:r>
          <w:rPr>
            <w:sz w:val="20"/>
            <w:color w:val="0000ff"/>
          </w:rPr>
          <w:t xml:space="preserve">пункте 2.5</w:t>
        </w:r>
      </w:hyperlink>
      <w:r>
        <w:rPr>
          <w:sz w:val="20"/>
        </w:rPr>
        <w:t xml:space="preserve"> настоящего порядка, обратиться в Министерство за разъяснением положений объявления письменно или устно.</w:t>
      </w:r>
    </w:p>
    <w:p>
      <w:pPr>
        <w:pStyle w:val="0"/>
        <w:spacing w:before="200" w:lineRule="auto"/>
        <w:ind w:firstLine="540"/>
        <w:jc w:val="both"/>
      </w:pPr>
      <w:r>
        <w:rPr>
          <w:sz w:val="20"/>
        </w:rPr>
        <w:t xml:space="preserve">Устная консультация оказывается по контактным номерам должностных лиц Министерства, указанным в объявлении.</w:t>
      </w:r>
    </w:p>
    <w:p>
      <w:pPr>
        <w:pStyle w:val="0"/>
        <w:spacing w:before="200" w:lineRule="auto"/>
        <w:ind w:firstLine="540"/>
        <w:jc w:val="both"/>
      </w:pPr>
      <w:r>
        <w:rPr>
          <w:sz w:val="20"/>
        </w:rPr>
        <w:t xml:space="preserve">Письменный запрос о разъяснении положений объявления в произвольной форме направляется не позднее пяти рабочих дней до даты окончания подачи (приема) заявок и документов. В течение двух рабочих дней со дня поступления указанного запроса Министерство направляет письменный ответ с разъяснениями;</w:t>
      </w:r>
    </w:p>
    <w:p>
      <w:pPr>
        <w:pStyle w:val="0"/>
        <w:spacing w:before="200" w:lineRule="auto"/>
        <w:ind w:firstLine="540"/>
        <w:jc w:val="both"/>
      </w:pPr>
      <w:r>
        <w:rPr>
          <w:sz w:val="20"/>
        </w:rPr>
        <w:t xml:space="preserve">2) отозвать письменный запрос о разъяснении положений объявления, направив официальное обращение в произвольной форме в адрес Министерства с обоснованием мотивированной причины отзыва. Пакет документов, приложенный к заявке и поступивший в работу Министерства, но отозванный по инициативе участника конкурса, возврату не подлежит;</w:t>
      </w:r>
    </w:p>
    <w:p>
      <w:pPr>
        <w:pStyle w:val="0"/>
        <w:spacing w:before="200" w:lineRule="auto"/>
        <w:ind w:firstLine="540"/>
        <w:jc w:val="both"/>
      </w:pPr>
      <w:r>
        <w:rPr>
          <w:sz w:val="20"/>
        </w:rPr>
        <w:t xml:space="preserve">основанием для возврата запроса является поступление в адрес Министерства письменного уведомления участника конкурса об отзыве запроса, которое подлежит регистрации. Возврат запроса осуществляется в течение двух рабочих дней со дня поступления письменного уведомления участника отбора для возврата запроса на указанный участником конкурса почтовый адрес;</w:t>
      </w:r>
    </w:p>
    <w:p>
      <w:pPr>
        <w:pStyle w:val="0"/>
        <w:spacing w:before="200" w:lineRule="auto"/>
        <w:ind w:firstLine="540"/>
        <w:jc w:val="both"/>
      </w:pPr>
      <w:r>
        <w:rPr>
          <w:sz w:val="20"/>
        </w:rPr>
        <w:t xml:space="preserve">3) внести изменения в заявку и пакет документов, а также предоставить недостающие документы с сопроводительным письмом в Министерство с описью приложенных документов в течение срока подачи (приема) документов, указанного в объявлении.</w:t>
      </w:r>
    </w:p>
    <w:p>
      <w:pPr>
        <w:pStyle w:val="0"/>
        <w:jc w:val="both"/>
      </w:pPr>
      <w:r>
        <w:rPr>
          <w:sz w:val="20"/>
        </w:rPr>
        <w:t xml:space="preserve">(п. 2.4.1 введен </w:t>
      </w:r>
      <w:hyperlink w:history="0" r:id="rId27" w:tooltip="Постановление Правительства РС(Я) от 19.02.2025 N 55 &quot;О внесении изменений в порядок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утвержденный постановлением Правительства Республики Саха (Якутия) от 28 июня 2024 г. N 282&quot; {КонсультантПлюс}">
        <w:r>
          <w:rPr>
            <w:sz w:val="20"/>
            <w:color w:val="0000ff"/>
          </w:rPr>
          <w:t xml:space="preserve">постановлением</w:t>
        </w:r>
      </w:hyperlink>
      <w:r>
        <w:rPr>
          <w:sz w:val="20"/>
        </w:rPr>
        <w:t xml:space="preserve"> Правительства РС(Я) от 19.02.2025 N 55)</w:t>
      </w:r>
    </w:p>
    <w:p>
      <w:pPr>
        <w:pStyle w:val="0"/>
        <w:spacing w:before="200" w:lineRule="auto"/>
        <w:ind w:firstLine="540"/>
        <w:jc w:val="both"/>
      </w:pPr>
      <w:r>
        <w:rPr>
          <w:sz w:val="20"/>
        </w:rPr>
        <w:t xml:space="preserve">2.4.2. Запрещается требовать от участника отбора представления документов и информации в целях подтверждения соответствия участника отбора требованиям, указанным в </w:t>
      </w:r>
      <w:hyperlink w:history="0" w:anchor="P119" w:tooltip="2.4. Требования, которым должен соответствовать участник конкурса по состоянию на даты рассмотрения заявки и заключения соглашения:">
        <w:r>
          <w:rPr>
            <w:sz w:val="20"/>
            <w:color w:val="0000ff"/>
          </w:rPr>
          <w:t xml:space="preserve">пункте 2.4</w:t>
        </w:r>
      </w:hyperlink>
      <w:r>
        <w:rPr>
          <w:sz w:val="20"/>
        </w:rPr>
        <w:t xml:space="preserve"> настоящего порядка, при наличии соответствующей информации в государственных информационных системах, доступ к которым у Министерства имеется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Министерству по собственной инициативе.</w:t>
      </w:r>
    </w:p>
    <w:p>
      <w:pPr>
        <w:pStyle w:val="0"/>
        <w:spacing w:before="200" w:lineRule="auto"/>
        <w:ind w:firstLine="540"/>
        <w:jc w:val="both"/>
      </w:pPr>
      <w:r>
        <w:rPr>
          <w:sz w:val="20"/>
        </w:rPr>
        <w:t xml:space="preserve">Проверка участника отбора на соответствие требованиям, указанным в </w:t>
      </w:r>
      <w:hyperlink w:history="0" w:anchor="P119" w:tooltip="2.4. Требования, которым должен соответствовать участник конкурса по состоянию на даты рассмотрения заявки и заключения соглашения:">
        <w:r>
          <w:rPr>
            <w:sz w:val="20"/>
            <w:color w:val="0000ff"/>
          </w:rPr>
          <w:t xml:space="preserve">пункте 2.4</w:t>
        </w:r>
      </w:hyperlink>
      <w:r>
        <w:rPr>
          <w:sz w:val="20"/>
        </w:rPr>
        <w:t xml:space="preserve"> настоящего порядка,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w:t>
      </w:r>
    </w:p>
    <w:p>
      <w:pPr>
        <w:pStyle w:val="0"/>
        <w:spacing w:before="200" w:lineRule="auto"/>
        <w:ind w:firstLine="540"/>
        <w:jc w:val="both"/>
      </w:pPr>
      <w:r>
        <w:rPr>
          <w:sz w:val="20"/>
        </w:rPr>
        <w:t xml:space="preserve">Подтверждение соответствия участника отбора требованиям, указанным в пункте 2.4 настоящего порядка, в случае отсутствия технической возможности автоматической проверки в системе "Электронный бюджет",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"Электронный бюджет".</w:t>
      </w:r>
    </w:p>
    <w:p>
      <w:pPr>
        <w:pStyle w:val="0"/>
        <w:spacing w:before="200" w:lineRule="auto"/>
        <w:ind w:firstLine="540"/>
        <w:jc w:val="both"/>
      </w:pPr>
      <w:r>
        <w:rPr>
          <w:sz w:val="20"/>
        </w:rPr>
        <w:t xml:space="preserve">Доступ к системе "Электронный бюджет" обеспечивается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00" w:lineRule="auto"/>
        <w:ind w:firstLine="540"/>
        <w:jc w:val="both"/>
      </w:pPr>
      <w:r>
        <w:rPr>
          <w:sz w:val="20"/>
        </w:rPr>
        <w:t xml:space="preserve">Министерство осуществляет взаимодействие с участниками отбора с использованием документов в электронной форме в системе "Электронный бюджет".</w:t>
      </w:r>
    </w:p>
    <w:p>
      <w:pPr>
        <w:pStyle w:val="0"/>
        <w:jc w:val="both"/>
      </w:pPr>
      <w:r>
        <w:rPr>
          <w:sz w:val="20"/>
        </w:rPr>
        <w:t xml:space="preserve">(п. 2.4.2 введен </w:t>
      </w:r>
      <w:hyperlink w:history="0" r:id="rId28" w:tooltip="Постановление Правительства РС(Я) от 19.02.2025 N 55 &quot;О внесении изменений в порядок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утвержденный постановлением Правительства Республики Саха (Якутия) от 28 июня 2024 г. N 282&quot; {КонсультантПлюс}">
        <w:r>
          <w:rPr>
            <w:sz w:val="20"/>
            <w:color w:val="0000ff"/>
          </w:rPr>
          <w:t xml:space="preserve">постановлением</w:t>
        </w:r>
      </w:hyperlink>
      <w:r>
        <w:rPr>
          <w:sz w:val="20"/>
        </w:rPr>
        <w:t xml:space="preserve"> Правительства РС(Я) от 19.02.2025 N 55)</w:t>
      </w:r>
    </w:p>
    <w:bookmarkStart w:id="145" w:name="P145"/>
    <w:bookmarkEnd w:id="145"/>
    <w:p>
      <w:pPr>
        <w:pStyle w:val="0"/>
        <w:spacing w:before="200" w:lineRule="auto"/>
        <w:ind w:firstLine="540"/>
        <w:jc w:val="both"/>
      </w:pPr>
      <w:r>
        <w:rPr>
          <w:sz w:val="20"/>
        </w:rPr>
        <w:t xml:space="preserve">2.5. Участник отбора подает заявку с приложенными документами, установленными </w:t>
      </w:r>
      <w:hyperlink w:history="0" w:anchor="P350" w:tooltip="3.4.1. В состав заявки включаются следующие документы:">
        <w:r>
          <w:rPr>
            <w:sz w:val="20"/>
            <w:color w:val="0000ff"/>
          </w:rPr>
          <w:t xml:space="preserve">пунктом 3.4.1</w:t>
        </w:r>
      </w:hyperlink>
      <w:r>
        <w:rPr>
          <w:sz w:val="20"/>
        </w:rPr>
        <w:t xml:space="preserve"> настоящего порядка, подписанными усиленной квалифицированной электронной подписью, по форме согласно приложению к настоящему порядку на едином портале.</w:t>
      </w:r>
    </w:p>
    <w:p>
      <w:pPr>
        <w:pStyle w:val="0"/>
        <w:spacing w:before="200" w:lineRule="auto"/>
        <w:ind w:firstLine="540"/>
        <w:jc w:val="both"/>
      </w:pPr>
      <w:r>
        <w:rPr>
          <w:sz w:val="20"/>
        </w:rPr>
        <w:t xml:space="preserve">Участник отбора формирует заявку в электронной форме посредством заполнения соответствующих экранных форм веб-интерфейса системы "Электронный бюджет" и представляет в систему "Электронный бюджет" электронные копии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отбора.</w:t>
      </w:r>
    </w:p>
    <w:p>
      <w:pPr>
        <w:pStyle w:val="0"/>
        <w:spacing w:before="200" w:lineRule="auto"/>
        <w:ind w:firstLine="540"/>
        <w:jc w:val="both"/>
      </w:pPr>
      <w:r>
        <w:rPr>
          <w:sz w:val="20"/>
        </w:rPr>
        <w:t xml:space="preserve">Заявка на участие в отборе подписывается усиленной квалифицированной электронной подписью руководителя участника отбора или уполномоченного им лица.</w:t>
      </w:r>
    </w:p>
    <w:p>
      <w:pPr>
        <w:pStyle w:val="0"/>
        <w:spacing w:before="200" w:lineRule="auto"/>
        <w:ind w:firstLine="540"/>
        <w:jc w:val="both"/>
      </w:pPr>
      <w:r>
        <w:rPr>
          <w:sz w:val="20"/>
        </w:rPr>
        <w:t xml:space="preserve">Датой представления участником отбора заявки считается день подписания участником отбора заявки с присвоением ей регистрационного номера в системе "Электронный бюджет".</w:t>
      </w:r>
    </w:p>
    <w:p>
      <w:pPr>
        <w:pStyle w:val="0"/>
        <w:spacing w:before="200" w:lineRule="auto"/>
        <w:ind w:firstLine="540"/>
        <w:jc w:val="both"/>
      </w:pPr>
      <w:r>
        <w:rPr>
          <w:sz w:val="20"/>
        </w:rPr>
        <w:t xml:space="preserve">В случае, если заявка на участие в отборе подписана лицом, не являющимся руководителем организации, к заявке на участие в отборе прилагаются электронные копии подлинников документов, подтверждающих полномочия на подписание заявки на участие в отборе от имени участника отбора.</w:t>
      </w:r>
    </w:p>
    <w:p>
      <w:pPr>
        <w:pStyle w:val="0"/>
        <w:spacing w:before="200" w:lineRule="auto"/>
        <w:ind w:firstLine="540"/>
        <w:jc w:val="both"/>
      </w:pPr>
      <w:r>
        <w:rPr>
          <w:sz w:val="20"/>
        </w:rPr>
        <w:t xml:space="preserve">К заявке прилагаются документы, перечень которых указан в </w:t>
      </w:r>
      <w:hyperlink w:history="0" w:anchor="P350" w:tooltip="3.4.1. В состав заявки включаются следующие документы:">
        <w:r>
          <w:rPr>
            <w:sz w:val="20"/>
            <w:color w:val="0000ff"/>
          </w:rPr>
          <w:t xml:space="preserve">пункте 3.4.1</w:t>
        </w:r>
      </w:hyperlink>
      <w:r>
        <w:rPr>
          <w:sz w:val="20"/>
        </w:rPr>
        <w:t xml:space="preserve"> настоящего порядка. Копии документов должны быть заверены лицами, уполномоченными подавать заявки на участие в отборе.</w:t>
      </w:r>
    </w:p>
    <w:p>
      <w:pPr>
        <w:pStyle w:val="0"/>
        <w:spacing w:before="200" w:lineRule="auto"/>
        <w:ind w:firstLine="540"/>
        <w:jc w:val="both"/>
      </w:pPr>
      <w:r>
        <w:rPr>
          <w:sz w:val="20"/>
        </w:rPr>
        <w:t xml:space="preserve">Также к заявке прилагается информация об участнике отбора, предлагаемые участником отбора значения результата предоставления субсидии и размер запрашиваемой субсидии.</w:t>
      </w:r>
    </w:p>
    <w:p>
      <w:pPr>
        <w:pStyle w:val="0"/>
        <w:spacing w:before="200" w:lineRule="auto"/>
        <w:ind w:firstLine="540"/>
        <w:jc w:val="both"/>
      </w:pPr>
      <w:r>
        <w:rPr>
          <w:sz w:val="20"/>
        </w:rPr>
        <w:t xml:space="preserve">Один участник конкурса вправе представить не более одной заявки на участие в конкурсе.</w:t>
      </w:r>
    </w:p>
    <w:p>
      <w:pPr>
        <w:pStyle w:val="0"/>
        <w:jc w:val="both"/>
      </w:pPr>
      <w:r>
        <w:rPr>
          <w:sz w:val="20"/>
        </w:rPr>
        <w:t xml:space="preserve">(п. 2.5 в ред. </w:t>
      </w:r>
      <w:hyperlink w:history="0" r:id="rId29" w:tooltip="Постановление Правительства РС(Я) от 19.02.2025 N 55 &quot;О внесении изменений в порядок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утвержденный постановлением Правительства Республики Саха (Якутия) от 28 июня 2024 г. N 282&quot; {КонсультантПлюс}">
        <w:r>
          <w:rPr>
            <w:sz w:val="20"/>
            <w:color w:val="0000ff"/>
          </w:rPr>
          <w:t xml:space="preserve">постановления</w:t>
        </w:r>
      </w:hyperlink>
      <w:r>
        <w:rPr>
          <w:sz w:val="20"/>
        </w:rPr>
        <w:t xml:space="preserve"> Правительства РС(Я) от 19.02.2025 N 55)</w:t>
      </w:r>
    </w:p>
    <w:p>
      <w:pPr>
        <w:pStyle w:val="0"/>
        <w:spacing w:before="200" w:lineRule="auto"/>
        <w:ind w:firstLine="540"/>
        <w:jc w:val="both"/>
      </w:pPr>
      <w:r>
        <w:rPr>
          <w:sz w:val="20"/>
        </w:rPr>
        <w:t xml:space="preserve">2.6. При приеме заявки ответственный сотрудник уполномоченного органа в день поступления заявки регистрирует ее в журнале учета заявок. При регистрации в журнале учета заявок уполномоченным органом к каждой заявке присваивается порядковый номер, который в последующем может быть использован условным обозначением в процессе проведения процедуры конкурса, дата регистрации.</w:t>
      </w:r>
    </w:p>
    <w:p>
      <w:pPr>
        <w:pStyle w:val="0"/>
        <w:spacing w:before="200" w:lineRule="auto"/>
        <w:ind w:firstLine="540"/>
        <w:jc w:val="both"/>
      </w:pPr>
      <w:r>
        <w:rPr>
          <w:sz w:val="20"/>
        </w:rPr>
        <w:t xml:space="preserve">2.7. Отзыв заявок, возврат заявок, определяющий в том числе основания для возврата заявок участников отбора, внесение изменений в заявки осуществляются в следующем порядке.</w:t>
      </w:r>
    </w:p>
    <w:p>
      <w:pPr>
        <w:pStyle w:val="0"/>
        <w:spacing w:before="200" w:lineRule="auto"/>
        <w:ind w:firstLine="540"/>
        <w:jc w:val="both"/>
      </w:pPr>
      <w:r>
        <w:rPr>
          <w:sz w:val="20"/>
        </w:rPr>
        <w:t xml:space="preserve">Участник отбора, подавший заявку на участие в отборе, вправе вносить изменения в свою заявку на участие в отборе или отозвать ее в любое время до дня и времени окончания установленного срока приема заявки на участие в отборе путем подачи соответствующего письменного заявления на едином портале. Данное заявление подписывается в порядке, установленном настоящим пунктом и </w:t>
      </w:r>
      <w:hyperlink w:history="0" w:anchor="P145" w:tooltip="2.5. Участник отбора подает заявку с приложенными документами, установленными пунктом 3.4.1 настоящего порядка, подписанными усиленной квалифицированной электронной подписью, по форме согласно приложению к настоящему порядку на едином портале.">
        <w:r>
          <w:rPr>
            <w:sz w:val="20"/>
            <w:color w:val="0000ff"/>
          </w:rPr>
          <w:t xml:space="preserve">пунктом 2.5</w:t>
        </w:r>
      </w:hyperlink>
      <w:r>
        <w:rPr>
          <w:sz w:val="20"/>
        </w:rPr>
        <w:t xml:space="preserve"> настоящего порядка.</w:t>
      </w:r>
    </w:p>
    <w:p>
      <w:pPr>
        <w:pStyle w:val="0"/>
        <w:spacing w:before="200" w:lineRule="auto"/>
        <w:ind w:firstLine="540"/>
        <w:jc w:val="both"/>
      </w:pPr>
      <w:r>
        <w:rPr>
          <w:sz w:val="20"/>
        </w:rPr>
        <w:t xml:space="preserve">Основаниями для возврата заявки на доработку являются:</w:t>
      </w:r>
    </w:p>
    <w:p>
      <w:pPr>
        <w:pStyle w:val="0"/>
        <w:spacing w:before="200" w:lineRule="auto"/>
        <w:ind w:firstLine="540"/>
        <w:jc w:val="both"/>
      </w:pPr>
      <w:r>
        <w:rPr>
          <w:sz w:val="20"/>
        </w:rPr>
        <w:t xml:space="preserve">выявление Министерством технической ошибки (описка, опечатка, неполные или некорректные данные в форме заявки, файлы с поврежденной структурой или недоступные для просмотра, плохое качество изображения символов, букв и цифр, не позволяющее их прочитать) в заявке и (или) прилагаемых документах;</w:t>
      </w:r>
    </w:p>
    <w:p>
      <w:pPr>
        <w:pStyle w:val="0"/>
        <w:jc w:val="both"/>
      </w:pPr>
      <w:r>
        <w:rPr>
          <w:sz w:val="20"/>
        </w:rPr>
        <w:t xml:space="preserve">(в ред. </w:t>
      </w:r>
      <w:hyperlink w:history="0" r:id="rId30" w:tooltip="Постановление Правительства РС(Я) от 01.07.2025 N 272 &quot;О внесении изменений в порядок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утвержденный постановлением Правительства Республики Саха (Якутия) от 28 июня 2024 г. N 282&quot; {КонсультантПлюс}">
        <w:r>
          <w:rPr>
            <w:sz w:val="20"/>
            <w:color w:val="0000ff"/>
          </w:rPr>
          <w:t xml:space="preserve">постановления</w:t>
        </w:r>
      </w:hyperlink>
      <w:r>
        <w:rPr>
          <w:sz w:val="20"/>
        </w:rPr>
        <w:t xml:space="preserve"> Правительства РС(Я) от 01.07.2025 N 272)</w:t>
      </w:r>
    </w:p>
    <w:p>
      <w:pPr>
        <w:pStyle w:val="0"/>
        <w:spacing w:before="200" w:lineRule="auto"/>
        <w:ind w:firstLine="540"/>
        <w:jc w:val="both"/>
      </w:pPr>
      <w:r>
        <w:rPr>
          <w:sz w:val="20"/>
        </w:rPr>
        <w:t xml:space="preserve">заявление участника отбора о возврате заявки для внесения изменений.</w:t>
      </w:r>
    </w:p>
    <w:p>
      <w:pPr>
        <w:pStyle w:val="0"/>
        <w:spacing w:before="200" w:lineRule="auto"/>
        <w:ind w:firstLine="540"/>
        <w:jc w:val="both"/>
      </w:pPr>
      <w:r>
        <w:rPr>
          <w:sz w:val="20"/>
        </w:rPr>
        <w:t xml:space="preserve">В течение одного рабочего дня со дня выявления технической ошибки, поступления письменного заявления о внесении изменений в заявку Министерство возвращает заявку участнику отбора на доработку. Доработанные заявки должны быть представлены участником отбора до истечения установленного в объявлении о проведении отбора срока.</w:t>
      </w:r>
    </w:p>
    <w:p>
      <w:pPr>
        <w:pStyle w:val="0"/>
        <w:spacing w:before="200" w:lineRule="auto"/>
        <w:ind w:firstLine="540"/>
        <w:jc w:val="both"/>
      </w:pPr>
      <w:r>
        <w:rPr>
          <w:sz w:val="20"/>
        </w:rPr>
        <w:t xml:space="preserve">Заявление в день его поступления в Министерство регистрируется с присвоением ему входящего номера. Запись о регистрации заявления заносится в журнал регистрации входящих документов с указанием даты и времени поступления заявления.</w:t>
      </w:r>
    </w:p>
    <w:p>
      <w:pPr>
        <w:pStyle w:val="0"/>
        <w:spacing w:before="200" w:lineRule="auto"/>
        <w:ind w:firstLine="540"/>
        <w:jc w:val="both"/>
      </w:pPr>
      <w:r>
        <w:rPr>
          <w:sz w:val="20"/>
        </w:rPr>
        <w:t xml:space="preserve">Министерство осуществляет возврат участнику отбора заявки на участие в отборе в течение трех рабочих дней со дня поступления письменного заявления об отзыве заявки на участие в отборе в Министерство.</w:t>
      </w:r>
    </w:p>
    <w:p>
      <w:pPr>
        <w:pStyle w:val="0"/>
        <w:spacing w:before="200" w:lineRule="auto"/>
        <w:ind w:firstLine="540"/>
        <w:jc w:val="both"/>
      </w:pPr>
      <w:r>
        <w:rPr>
          <w:sz w:val="20"/>
        </w:rPr>
        <w:t xml:space="preserve">По истечении установленного срока для подачи (приема) заявок на участие в отборе заявления об изменении поданной заявки на участие в отборе или об отзыве заявки на участие в отборе не принимаются.</w:t>
      </w:r>
    </w:p>
    <w:p>
      <w:pPr>
        <w:pStyle w:val="0"/>
        <w:jc w:val="both"/>
      </w:pPr>
      <w:r>
        <w:rPr>
          <w:sz w:val="20"/>
        </w:rPr>
        <w:t xml:space="preserve">(п. 2.7 в ред. </w:t>
      </w:r>
      <w:hyperlink w:history="0" r:id="rId31" w:tooltip="Постановление Правительства РС(Я) от 19.02.2025 N 55 &quot;О внесении изменений в порядок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утвержденный постановлением Правительства Республики Саха (Якутия) от 28 июня 2024 г. N 282&quot; {КонсультантПлюс}">
        <w:r>
          <w:rPr>
            <w:sz w:val="20"/>
            <w:color w:val="0000ff"/>
          </w:rPr>
          <w:t xml:space="preserve">постановления</w:t>
        </w:r>
      </w:hyperlink>
      <w:r>
        <w:rPr>
          <w:sz w:val="20"/>
        </w:rPr>
        <w:t xml:space="preserve"> Правительства РС(Я) от 19.02.2025 N 55)</w:t>
      </w:r>
    </w:p>
    <w:p>
      <w:pPr>
        <w:pStyle w:val="0"/>
        <w:spacing w:before="200" w:lineRule="auto"/>
        <w:ind w:firstLine="540"/>
        <w:jc w:val="both"/>
      </w:pPr>
      <w:r>
        <w:rPr>
          <w:sz w:val="20"/>
        </w:rPr>
        <w:t xml:space="preserve">2.8. Не позднее одного рабочего дня, следующего за днем окончания срока подачи заявок, установленного в объявлении о проведении отбора, в системе "Электронный бюджет" открывается доступ уполномоченному органу и членам экспертной комиссии. Допущенные заявки направляются на оценку членам экспертной комиссии.</w:t>
      </w:r>
    </w:p>
    <w:p>
      <w:pPr>
        <w:pStyle w:val="0"/>
        <w:spacing w:before="200" w:lineRule="auto"/>
        <w:ind w:firstLine="540"/>
        <w:jc w:val="both"/>
      </w:pPr>
      <w:r>
        <w:rPr>
          <w:sz w:val="20"/>
        </w:rPr>
        <w:t xml:space="preserve">Члены экспертной комиссии в течение 10 рабочих дней со дня окончания срока подачи (приема) заявок участников отбора рассматривают, оценивают, а также проверяют заявки на участие в отборе и приложенные к ним документы на предмет их соответствия установленным в объявлении о проведении отбора требованиям.</w:t>
      </w:r>
    </w:p>
    <w:p>
      <w:pPr>
        <w:pStyle w:val="0"/>
        <w:spacing w:before="200" w:lineRule="auto"/>
        <w:ind w:firstLine="540"/>
        <w:jc w:val="both"/>
      </w:pPr>
      <w:r>
        <w:rPr>
          <w:sz w:val="20"/>
        </w:rPr>
        <w:t xml:space="preserve">Уполномоченный орган принимает решение о недопуске заявки на участие в отборе на стадии рассмотрения и ее оценки в случае:</w:t>
      </w:r>
    </w:p>
    <w:p>
      <w:pPr>
        <w:pStyle w:val="0"/>
        <w:spacing w:before="200" w:lineRule="auto"/>
        <w:ind w:firstLine="540"/>
        <w:jc w:val="both"/>
      </w:pPr>
      <w:r>
        <w:rPr>
          <w:sz w:val="20"/>
        </w:rPr>
        <w:t xml:space="preserve">1) несоответствия участника отбора требованиям, установленным в </w:t>
      </w:r>
      <w:hyperlink w:history="0" w:anchor="P119" w:tooltip="2.4. Требования, которым должен соответствовать участник конкурса по состоянию на даты рассмотрения заявки и заключения соглашения:">
        <w:r>
          <w:rPr>
            <w:sz w:val="20"/>
            <w:color w:val="0000ff"/>
          </w:rPr>
          <w:t xml:space="preserve">пункте 2.4</w:t>
        </w:r>
      </w:hyperlink>
      <w:r>
        <w:rPr>
          <w:sz w:val="20"/>
        </w:rPr>
        <w:t xml:space="preserve"> настоящего порядка;</w:t>
      </w:r>
    </w:p>
    <w:p>
      <w:pPr>
        <w:pStyle w:val="0"/>
        <w:spacing w:before="200" w:lineRule="auto"/>
        <w:ind w:firstLine="540"/>
        <w:jc w:val="both"/>
      </w:pPr>
      <w:r>
        <w:rPr>
          <w:sz w:val="20"/>
        </w:rPr>
        <w:t xml:space="preserve">2) непредставления (представления не в полном объеме) документов, указанных в объявлении о проведении отбора, предусмотренных настоящим порядком;</w:t>
      </w:r>
    </w:p>
    <w:p>
      <w:pPr>
        <w:pStyle w:val="0"/>
        <w:spacing w:before="200" w:lineRule="auto"/>
        <w:ind w:firstLine="540"/>
        <w:jc w:val="both"/>
      </w:pPr>
      <w:r>
        <w:rPr>
          <w:sz w:val="20"/>
        </w:rPr>
        <w:t xml:space="preserve">3) несоответствия представленных участником отбора заявки и (или) документов требованиям, установленным в объявлении о проведении отбора, предусмотренных настоящим порядком;</w:t>
      </w:r>
    </w:p>
    <w:p>
      <w:pPr>
        <w:pStyle w:val="0"/>
        <w:spacing w:before="200" w:lineRule="auto"/>
        <w:ind w:firstLine="540"/>
        <w:jc w:val="both"/>
      </w:pPr>
      <w:r>
        <w:rPr>
          <w:sz w:val="20"/>
        </w:rPr>
        <w:t xml:space="preserve">4) недостоверности информации, содержащейся в документах, представленных участником отбора в целях подтверждения соответствия установленным в </w:t>
      </w:r>
      <w:hyperlink w:history="0" w:anchor="P119" w:tooltip="2.4. Требования, которым должен соответствовать участник конкурса по состоянию на даты рассмотрения заявки и заключения соглашения:">
        <w:r>
          <w:rPr>
            <w:sz w:val="20"/>
            <w:color w:val="0000ff"/>
          </w:rPr>
          <w:t xml:space="preserve">пункте 2.4</w:t>
        </w:r>
      </w:hyperlink>
      <w:r>
        <w:rPr>
          <w:sz w:val="20"/>
        </w:rPr>
        <w:t xml:space="preserve"> настоящего порядка требованиям, в том числе информации о месте нахождения и адресе юридического лица;</w:t>
      </w:r>
    </w:p>
    <w:p>
      <w:pPr>
        <w:pStyle w:val="0"/>
        <w:spacing w:before="200" w:lineRule="auto"/>
        <w:ind w:firstLine="540"/>
        <w:jc w:val="both"/>
      </w:pPr>
      <w:r>
        <w:rPr>
          <w:sz w:val="20"/>
        </w:rPr>
        <w:t xml:space="preserve">5) подачи участником отбора заявки после даты и (или) времени, определенных для подачи заявки.</w:t>
      </w:r>
    </w:p>
    <w:p>
      <w:pPr>
        <w:pStyle w:val="0"/>
        <w:spacing w:before="200" w:lineRule="auto"/>
        <w:ind w:firstLine="540"/>
        <w:jc w:val="both"/>
      </w:pPr>
      <w:r>
        <w:rPr>
          <w:sz w:val="20"/>
        </w:rPr>
        <w:t xml:space="preserve">Автоматическое формирование протокола вскрытия заявок на едином портале и подписание его усиленной квалифицированной электронной подписью руководителя уполномоченного органа в системе "Электронный бюджет", а также размещение указанного протокола на едином портале осуществляется не позднее одного рабочего дня, следующего за днем его подписания.</w:t>
      </w:r>
    </w:p>
    <w:p>
      <w:pPr>
        <w:pStyle w:val="0"/>
        <w:jc w:val="both"/>
      </w:pPr>
      <w:r>
        <w:rPr>
          <w:sz w:val="20"/>
        </w:rPr>
        <w:t xml:space="preserve">(п. 2.8 в ред. </w:t>
      </w:r>
      <w:hyperlink w:history="0" r:id="rId32" w:tooltip="Постановление Правительства РС(Я) от 19.02.2025 N 55 &quot;О внесении изменений в порядок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утвержденный постановлением Правительства Республики Саха (Якутия) от 28 июня 2024 г. N 282&quot; {КонсультантПлюс}">
        <w:r>
          <w:rPr>
            <w:sz w:val="20"/>
            <w:color w:val="0000ff"/>
          </w:rPr>
          <w:t xml:space="preserve">постановления</w:t>
        </w:r>
      </w:hyperlink>
      <w:r>
        <w:rPr>
          <w:sz w:val="20"/>
        </w:rPr>
        <w:t xml:space="preserve"> Правительства РС(Я) от 19.02.2025 N 55)</w:t>
      </w:r>
    </w:p>
    <w:p>
      <w:pPr>
        <w:pStyle w:val="0"/>
        <w:spacing w:before="200" w:lineRule="auto"/>
        <w:ind w:firstLine="540"/>
        <w:jc w:val="both"/>
      </w:pPr>
      <w:r>
        <w:rPr>
          <w:sz w:val="20"/>
        </w:rPr>
        <w:t xml:space="preserve">2.9. Члены экспертной комиссии не позднее 10 календарных дней со дня допущения к конкурсу или отклонения заявок на стадии отбора проводят оценку заявок согласно </w:t>
      </w:r>
      <w:hyperlink w:history="0" w:anchor="P651" w:tooltip="ОЦЕНОЧНАЯ ВЕДОМОСТЬ">
        <w:r>
          <w:rPr>
            <w:sz w:val="20"/>
            <w:color w:val="0000ff"/>
          </w:rPr>
          <w:t xml:space="preserve">приложению N 3</w:t>
        </w:r>
      </w:hyperlink>
      <w:r>
        <w:rPr>
          <w:sz w:val="20"/>
        </w:rPr>
        <w:t xml:space="preserve"> к настоящему порядку.</w:t>
      </w:r>
    </w:p>
    <w:p>
      <w:pPr>
        <w:pStyle w:val="0"/>
        <w:jc w:val="both"/>
      </w:pPr>
      <w:r>
        <w:rPr>
          <w:sz w:val="20"/>
        </w:rPr>
        <w:t xml:space="preserve">(п. 2.9 в ред. </w:t>
      </w:r>
      <w:hyperlink w:history="0" r:id="rId33" w:tooltip="Постановление Правительства РС(Я) от 19.02.2025 N 55 &quot;О внесении изменений в порядок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утвержденный постановлением Правительства Республики Саха (Якутия) от 28 июня 2024 г. N 282&quot; {КонсультантПлюс}">
        <w:r>
          <w:rPr>
            <w:sz w:val="20"/>
            <w:color w:val="0000ff"/>
          </w:rPr>
          <w:t xml:space="preserve">постановления</w:t>
        </w:r>
      </w:hyperlink>
      <w:r>
        <w:rPr>
          <w:sz w:val="20"/>
        </w:rPr>
        <w:t xml:space="preserve"> Правительства РС(Я) от 19.02.2025 N 55)</w:t>
      </w:r>
    </w:p>
    <w:p>
      <w:pPr>
        <w:pStyle w:val="0"/>
        <w:spacing w:before="200" w:lineRule="auto"/>
        <w:ind w:firstLine="540"/>
        <w:jc w:val="both"/>
      </w:pPr>
      <w:r>
        <w:rPr>
          <w:sz w:val="20"/>
        </w:rPr>
        <w:t xml:space="preserve">2.9.1. Автоматическое формирование протокола рассмотрения заявок осуществляется на едином портале на основании результатов рассмотрения заявок и подписания его усиленной квалифицированной электронной подписью руководителя главного распорядителя бюджетных средств (уполномоченного им лица) или председателя комиссии (председателя комиссии и членов комиссии) в системе "Электронный бюджет", а также размещение указанного протокола на едином портале не позднее одного рабочего дня, следующего за днем его подписания.</w:t>
      </w:r>
    </w:p>
    <w:p>
      <w:pPr>
        <w:pStyle w:val="0"/>
        <w:jc w:val="both"/>
      </w:pPr>
      <w:r>
        <w:rPr>
          <w:sz w:val="20"/>
        </w:rPr>
        <w:t xml:space="preserve">(пп. 2.9.1 введен </w:t>
      </w:r>
      <w:hyperlink w:history="0" r:id="rId34" w:tooltip="Постановление Правительства РС(Я) от 01.07.2025 N 272 &quot;О внесении изменений в порядок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утвержденный постановлением Правительства Республики Саха (Якутия) от 28 июня 2024 г. N 282&quot; {КонсультантПлюс}">
        <w:r>
          <w:rPr>
            <w:sz w:val="20"/>
            <w:color w:val="0000ff"/>
          </w:rPr>
          <w:t xml:space="preserve">постановлением</w:t>
        </w:r>
      </w:hyperlink>
      <w:r>
        <w:rPr>
          <w:sz w:val="20"/>
        </w:rPr>
        <w:t xml:space="preserve"> Правительства РС(Я) от 01.07.2025 N 272)</w:t>
      </w:r>
    </w:p>
    <w:p>
      <w:pPr>
        <w:pStyle w:val="0"/>
        <w:spacing w:before="200" w:lineRule="auto"/>
        <w:ind w:firstLine="540"/>
        <w:jc w:val="both"/>
      </w:pPr>
      <w:r>
        <w:rPr>
          <w:sz w:val="20"/>
        </w:rPr>
        <w:t xml:space="preserve">2.10. Экспертная комиссия</w:t>
      </w:r>
    </w:p>
    <w:p>
      <w:pPr>
        <w:pStyle w:val="0"/>
        <w:spacing w:before="200" w:lineRule="auto"/>
        <w:ind w:firstLine="540"/>
        <w:jc w:val="both"/>
      </w:pPr>
      <w:r>
        <w:rPr>
          <w:sz w:val="20"/>
        </w:rPr>
        <w:t xml:space="preserve">В своей деятельности экспертная комиссия руководствуется </w:t>
      </w:r>
      <w:hyperlink w:history="0" r:id="rId3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w:t>
      </w:r>
      <w:hyperlink w:history="0" r:id="rId36" w:tooltip="&quot;Конституция (Основной закон) Республики Саха (Якутия)&quot; (принята на внеочередной одиннадцатой сессии Верховного Совета Республики Саха (Якутия) двенадцатого созыва постановлением от 04.04.1992 N 908-XII) (ред. от 06.11.2025) (Текст Конституции (Основного закона) РС(Я) утвержден Законом РС(Я) от 17.10.2002 54-З N 445-II) {КонсультантПлюс}">
        <w:r>
          <w:rPr>
            <w:sz w:val="20"/>
            <w:color w:val="0000ff"/>
          </w:rPr>
          <w:t xml:space="preserve">Конституцией</w:t>
        </w:r>
      </w:hyperlink>
      <w:r>
        <w:rPr>
          <w:sz w:val="20"/>
        </w:rPr>
        <w:t xml:space="preserve"> (Основным законом) Республики Саха (Якутия), федеральными законами, законами Республики Саха (Якутия), нормативными правовыми актами Российской Федерации и Республики Саха (Якутия), а также настоящим порядком.</w:t>
      </w:r>
    </w:p>
    <w:p>
      <w:pPr>
        <w:pStyle w:val="0"/>
        <w:spacing w:before="200" w:lineRule="auto"/>
        <w:ind w:firstLine="540"/>
        <w:jc w:val="both"/>
      </w:pPr>
      <w:r>
        <w:rPr>
          <w:sz w:val="20"/>
        </w:rPr>
        <w:t xml:space="preserve">Координация работы экспертной комиссии возлагается на уполномоченный орган.</w:t>
      </w:r>
    </w:p>
    <w:p>
      <w:pPr>
        <w:pStyle w:val="0"/>
        <w:spacing w:before="200" w:lineRule="auto"/>
        <w:ind w:firstLine="540"/>
        <w:jc w:val="both"/>
      </w:pPr>
      <w:r>
        <w:rPr>
          <w:sz w:val="20"/>
        </w:rPr>
        <w:t xml:space="preserve">Функции экспертной комиссии:</w:t>
      </w:r>
    </w:p>
    <w:p>
      <w:pPr>
        <w:pStyle w:val="0"/>
        <w:spacing w:before="200" w:lineRule="auto"/>
        <w:ind w:firstLine="540"/>
        <w:jc w:val="both"/>
      </w:pPr>
      <w:r>
        <w:rPr>
          <w:sz w:val="20"/>
        </w:rPr>
        <w:t xml:space="preserve">1) оценка допущенных на конкурс заявок;</w:t>
      </w:r>
    </w:p>
    <w:p>
      <w:pPr>
        <w:pStyle w:val="0"/>
        <w:spacing w:before="200" w:lineRule="auto"/>
        <w:ind w:firstLine="540"/>
        <w:jc w:val="both"/>
      </w:pPr>
      <w:r>
        <w:rPr>
          <w:sz w:val="20"/>
        </w:rPr>
        <w:t xml:space="preserve">2) рассмотрение, а также проверка заявок на участие в отборе и приложенных к ним документов на предмет их соответствия установленным в объявлении о проведении отбора требованиям.</w:t>
      </w:r>
    </w:p>
    <w:p>
      <w:pPr>
        <w:pStyle w:val="0"/>
        <w:spacing w:before="200" w:lineRule="auto"/>
        <w:ind w:firstLine="540"/>
        <w:jc w:val="both"/>
      </w:pPr>
      <w:r>
        <w:rPr>
          <w:sz w:val="20"/>
        </w:rPr>
        <w:t xml:space="preserve">Требования к экспертной комиссии:</w:t>
      </w:r>
    </w:p>
    <w:p>
      <w:pPr>
        <w:pStyle w:val="0"/>
        <w:spacing w:before="200" w:lineRule="auto"/>
        <w:ind w:firstLine="540"/>
        <w:jc w:val="both"/>
      </w:pPr>
      <w:r>
        <w:rPr>
          <w:sz w:val="20"/>
        </w:rPr>
        <w:t xml:space="preserve">1) работа экспертной комиссии проводится добровольно на общественных началах;</w:t>
      </w:r>
    </w:p>
    <w:p>
      <w:pPr>
        <w:pStyle w:val="0"/>
        <w:spacing w:before="200" w:lineRule="auto"/>
        <w:ind w:firstLine="540"/>
        <w:jc w:val="both"/>
      </w:pPr>
      <w:r>
        <w:rPr>
          <w:sz w:val="20"/>
        </w:rPr>
        <w:t xml:space="preserve">2) член экспертной комиссии имеет право прекратить полномочия эксперта при подаче им соответствующего заявления в письменной форме в адрес председателя экспертной комиссии;</w:t>
      </w:r>
    </w:p>
    <w:p>
      <w:pPr>
        <w:pStyle w:val="0"/>
        <w:spacing w:before="200" w:lineRule="auto"/>
        <w:ind w:firstLine="540"/>
        <w:jc w:val="both"/>
      </w:pPr>
      <w:r>
        <w:rPr>
          <w:sz w:val="20"/>
        </w:rPr>
        <w:t xml:space="preserve">3) в случае возникновения у члена экспертной комиссии конфликта интересов в отношении участников конкурса он обязан уведомить об этом председателя экспертной комиссии. Такой член экспертной комиссии не принимает участие в оценке этой заявки.</w:t>
      </w:r>
    </w:p>
    <w:p>
      <w:pPr>
        <w:pStyle w:val="0"/>
        <w:spacing w:before="200" w:lineRule="auto"/>
        <w:ind w:firstLine="540"/>
        <w:jc w:val="both"/>
      </w:pPr>
      <w:r>
        <w:rPr>
          <w:sz w:val="20"/>
        </w:rPr>
        <w:t xml:space="preserve">Под конфликтом интересов в настоящем порядке понимается ситуация, при которой личная заинтересованность (прямая или косвенная) эксперта влияет или может повлиять на надлежащее, объективное и беспристрастное исполнение им своих полномочий.</w:t>
      </w:r>
    </w:p>
    <w:p>
      <w:pPr>
        <w:pStyle w:val="0"/>
        <w:jc w:val="both"/>
      </w:pPr>
      <w:r>
        <w:rPr>
          <w:sz w:val="20"/>
        </w:rPr>
        <w:t xml:space="preserve">(п. 2.10 в ред. </w:t>
      </w:r>
      <w:hyperlink w:history="0" r:id="rId37" w:tooltip="Постановление Правительства РС(Я) от 19.02.2025 N 55 &quot;О внесении изменений в порядок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утвержденный постановлением Правительства Республики Саха (Якутия) от 28 июня 2024 г. N 282&quot; {КонсультантПлюс}">
        <w:r>
          <w:rPr>
            <w:sz w:val="20"/>
            <w:color w:val="0000ff"/>
          </w:rPr>
          <w:t xml:space="preserve">постановления</w:t>
        </w:r>
      </w:hyperlink>
      <w:r>
        <w:rPr>
          <w:sz w:val="20"/>
        </w:rPr>
        <w:t xml:space="preserve"> Правительства РС(Я) от 19.02.2025 N 55)</w:t>
      </w:r>
    </w:p>
    <w:p>
      <w:pPr>
        <w:pStyle w:val="0"/>
        <w:spacing w:before="200" w:lineRule="auto"/>
        <w:ind w:firstLine="540"/>
        <w:jc w:val="both"/>
      </w:pPr>
      <w:r>
        <w:rPr>
          <w:sz w:val="20"/>
        </w:rPr>
        <w:t xml:space="preserve">2.11. Оценка заявок на участие в конкурсе осуществляется членами экспертной комиссии в соответствии со следующими критериями оценки и их показателями, а также весовыми значениями в общей оценке:</w:t>
      </w:r>
    </w:p>
    <w:p>
      <w:pPr>
        <w:pStyle w:val="0"/>
        <w:spacing w:before="200" w:lineRule="auto"/>
        <w:ind w:firstLine="540"/>
        <w:jc w:val="both"/>
      </w:pPr>
      <w:r>
        <w:rPr>
          <w:sz w:val="20"/>
        </w:rPr>
        <w:t xml:space="preserve">2.12. Оценка заявок на участие в конкурсе осуществляется членами экспертной комиссии в соответствии со следующими критериями оценки и их показателями, а также весовыми значениями в общей оценке: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71"/>
        <w:gridCol w:w="7087"/>
        <w:gridCol w:w="1417"/>
      </w:tblGrid>
      <w:tr>
        <w:tc>
          <w:tcPr>
            <w:tcW w:w="571" w:type="dxa"/>
            <w:vAlign w:val="center"/>
          </w:tcPr>
          <w:p>
            <w:pPr>
              <w:pStyle w:val="0"/>
              <w:jc w:val="center"/>
            </w:pPr>
            <w:r>
              <w:rPr>
                <w:sz w:val="20"/>
              </w:rPr>
              <w:t xml:space="preserve">N</w:t>
            </w:r>
          </w:p>
        </w:tc>
        <w:tc>
          <w:tcPr>
            <w:tcW w:w="7087" w:type="dxa"/>
            <w:vAlign w:val="center"/>
          </w:tcPr>
          <w:p>
            <w:pPr>
              <w:pStyle w:val="0"/>
              <w:jc w:val="center"/>
            </w:pPr>
            <w:r>
              <w:rPr>
                <w:sz w:val="20"/>
              </w:rPr>
              <w:t xml:space="preserve">Содержание критерия</w:t>
            </w:r>
          </w:p>
        </w:tc>
        <w:tc>
          <w:tcPr>
            <w:tcW w:w="1417" w:type="dxa"/>
            <w:vAlign w:val="center"/>
          </w:tcPr>
          <w:p>
            <w:pPr>
              <w:pStyle w:val="0"/>
              <w:jc w:val="center"/>
            </w:pPr>
            <w:r>
              <w:rPr>
                <w:sz w:val="20"/>
              </w:rPr>
              <w:t xml:space="preserve">Оценка критерия (баллы)</w:t>
            </w:r>
          </w:p>
        </w:tc>
      </w:tr>
      <w:tr>
        <w:tc>
          <w:tcPr>
            <w:tcW w:w="571" w:type="dxa"/>
          </w:tcPr>
          <w:p>
            <w:pPr>
              <w:pStyle w:val="0"/>
              <w:jc w:val="center"/>
            </w:pPr>
            <w:r>
              <w:rPr>
                <w:sz w:val="20"/>
              </w:rPr>
              <w:t xml:space="preserve">1</w:t>
            </w:r>
          </w:p>
        </w:tc>
        <w:tc>
          <w:tcPr>
            <w:gridSpan w:val="2"/>
            <w:tcW w:w="8504" w:type="dxa"/>
          </w:tcPr>
          <w:p>
            <w:pPr>
              <w:pStyle w:val="0"/>
              <w:jc w:val="both"/>
            </w:pPr>
            <w:r>
              <w:rPr>
                <w:sz w:val="20"/>
              </w:rPr>
              <w:t xml:space="preserve">Логическая связность и реализуемость проекта, соответствие мероприятий проекта его целям, задачам и ожидаемым результатам</w:t>
            </w:r>
          </w:p>
        </w:tc>
      </w:tr>
      <w:tr>
        <w:tc>
          <w:tcPr>
            <w:tcW w:w="571" w:type="dxa"/>
          </w:tcPr>
          <w:p>
            <w:pPr>
              <w:pStyle w:val="0"/>
              <w:jc w:val="center"/>
            </w:pPr>
            <w:r>
              <w:rPr>
                <w:sz w:val="20"/>
              </w:rPr>
              <w:t xml:space="preserve">1.1</w:t>
            </w:r>
          </w:p>
        </w:tc>
        <w:tc>
          <w:tcPr>
            <w:tcW w:w="7087" w:type="dxa"/>
          </w:tcPr>
          <w:p>
            <w:pPr>
              <w:pStyle w:val="0"/>
              <w:jc w:val="both"/>
            </w:pPr>
            <w:r>
              <w:rPr>
                <w:sz w:val="20"/>
              </w:rPr>
              <w:t xml:space="preserve">Ожидаемые результаты в проекте соответствуют требуемым настоящим порядком показателям, они соответствуют логике проекта и достижимы путем реализации всех запланированных мероприятий. Все потребляемые в проекте ресурсы, используемые методики и технологии полностью отвечают целям и задачам проекта и требованиям настоящего порядка</w:t>
            </w:r>
          </w:p>
        </w:tc>
        <w:tc>
          <w:tcPr>
            <w:tcW w:w="1417" w:type="dxa"/>
          </w:tcPr>
          <w:p>
            <w:pPr>
              <w:pStyle w:val="0"/>
              <w:jc w:val="center"/>
            </w:pPr>
            <w:r>
              <w:rPr>
                <w:sz w:val="20"/>
              </w:rPr>
              <w:t xml:space="preserve">20</w:t>
            </w:r>
          </w:p>
        </w:tc>
      </w:tr>
      <w:tr>
        <w:tc>
          <w:tcPr>
            <w:tcW w:w="571" w:type="dxa"/>
          </w:tcPr>
          <w:p>
            <w:pPr>
              <w:pStyle w:val="0"/>
              <w:jc w:val="center"/>
            </w:pPr>
            <w:r>
              <w:rPr>
                <w:sz w:val="20"/>
              </w:rPr>
              <w:t xml:space="preserve">1.2</w:t>
            </w:r>
          </w:p>
        </w:tc>
        <w:tc>
          <w:tcPr>
            <w:tcW w:w="7087" w:type="dxa"/>
          </w:tcPr>
          <w:p>
            <w:pPr>
              <w:pStyle w:val="0"/>
              <w:jc w:val="both"/>
            </w:pPr>
            <w:r>
              <w:rPr>
                <w:sz w:val="20"/>
              </w:rPr>
              <w:t xml:space="preserve">В проекте понятно изложены ожидаемые результаты, которые достигаются путем реализации запланированных мероприятий и обеспечивают решение поставленных задач, а также достижение предполагаемых результатов проекта, вместе с тем состав мероприятий и предполагаемые результаты не являются взаимосвязанными для достижения всех показателей настоящего порядка</w:t>
            </w:r>
          </w:p>
        </w:tc>
        <w:tc>
          <w:tcPr>
            <w:tcW w:w="1417" w:type="dxa"/>
          </w:tcPr>
          <w:p>
            <w:pPr>
              <w:pStyle w:val="0"/>
              <w:jc w:val="center"/>
            </w:pPr>
            <w:r>
              <w:rPr>
                <w:sz w:val="20"/>
              </w:rPr>
              <w:t xml:space="preserve">15</w:t>
            </w:r>
          </w:p>
        </w:tc>
      </w:tr>
      <w:tr>
        <w:tc>
          <w:tcPr>
            <w:tcW w:w="571" w:type="dxa"/>
          </w:tcPr>
          <w:p>
            <w:pPr>
              <w:pStyle w:val="0"/>
              <w:jc w:val="center"/>
            </w:pPr>
            <w:r>
              <w:rPr>
                <w:sz w:val="20"/>
              </w:rPr>
              <w:t xml:space="preserve">1.3</w:t>
            </w:r>
          </w:p>
        </w:tc>
        <w:tc>
          <w:tcPr>
            <w:tcW w:w="7087" w:type="dxa"/>
          </w:tcPr>
          <w:p>
            <w:pPr>
              <w:pStyle w:val="0"/>
              <w:jc w:val="both"/>
            </w:pPr>
            <w:r>
              <w:rPr>
                <w:sz w:val="20"/>
              </w:rPr>
              <w:t xml:space="preserve">Изложенные в проекте ожидаемые результаты не полностью отвечают логике проекта, часть их недостижима путем осуществления запланированных мероприятий, которые не обеспечивают решение поставленных задач и достижение предполагаемых результатов проекта. Их эффективность в достижении ожидаемых результатов не подтверждается доказательными материалами</w:t>
            </w:r>
          </w:p>
        </w:tc>
        <w:tc>
          <w:tcPr>
            <w:tcW w:w="1417" w:type="dxa"/>
          </w:tcPr>
          <w:p>
            <w:pPr>
              <w:pStyle w:val="0"/>
              <w:jc w:val="center"/>
            </w:pPr>
            <w:r>
              <w:rPr>
                <w:sz w:val="20"/>
              </w:rPr>
              <w:t xml:space="preserve">10</w:t>
            </w:r>
          </w:p>
        </w:tc>
      </w:tr>
      <w:tr>
        <w:tc>
          <w:tcPr>
            <w:tcW w:w="571" w:type="dxa"/>
          </w:tcPr>
          <w:p>
            <w:pPr>
              <w:pStyle w:val="0"/>
              <w:jc w:val="center"/>
            </w:pPr>
            <w:r>
              <w:rPr>
                <w:sz w:val="20"/>
              </w:rPr>
              <w:t xml:space="preserve">1.4</w:t>
            </w:r>
          </w:p>
        </w:tc>
        <w:tc>
          <w:tcPr>
            <w:tcW w:w="7087" w:type="dxa"/>
          </w:tcPr>
          <w:p>
            <w:pPr>
              <w:pStyle w:val="0"/>
              <w:jc w:val="both"/>
            </w:pPr>
            <w:r>
              <w:rPr>
                <w:sz w:val="20"/>
              </w:rPr>
              <w:t xml:space="preserve">В заявке представлены ожидаемые результаты проекта, вместе с тем описание результатов не соответствует требованиям настоящего порядка, являются недостижимыми, запланированные мероприятия не обеспечивают решение поставленных задач и достижение предполагаемых результатов проекта, потребляемые в проекте ресурсы расходуются на сторонние мероприятия</w:t>
            </w:r>
          </w:p>
        </w:tc>
        <w:tc>
          <w:tcPr>
            <w:tcW w:w="1417" w:type="dxa"/>
          </w:tcPr>
          <w:p>
            <w:pPr>
              <w:pStyle w:val="0"/>
              <w:jc w:val="center"/>
            </w:pPr>
            <w:r>
              <w:rPr>
                <w:sz w:val="20"/>
              </w:rPr>
              <w:t xml:space="preserve">5</w:t>
            </w:r>
          </w:p>
        </w:tc>
      </w:tr>
      <w:tr>
        <w:tc>
          <w:tcPr>
            <w:tcW w:w="571" w:type="dxa"/>
          </w:tcPr>
          <w:p>
            <w:pPr>
              <w:pStyle w:val="0"/>
              <w:jc w:val="center"/>
            </w:pPr>
            <w:r>
              <w:rPr>
                <w:sz w:val="20"/>
              </w:rPr>
              <w:t xml:space="preserve">1.5</w:t>
            </w:r>
          </w:p>
        </w:tc>
        <w:tc>
          <w:tcPr>
            <w:tcW w:w="7087" w:type="dxa"/>
          </w:tcPr>
          <w:p>
            <w:pPr>
              <w:pStyle w:val="0"/>
              <w:jc w:val="both"/>
            </w:pPr>
            <w:r>
              <w:rPr>
                <w:sz w:val="20"/>
              </w:rPr>
              <w:t xml:space="preserve">Описание ожидаемых результатов отсутствует в проекте. Логическая связь мероприятий с целями и задачами отсутствует</w:t>
            </w:r>
          </w:p>
        </w:tc>
        <w:tc>
          <w:tcPr>
            <w:tcW w:w="1417" w:type="dxa"/>
          </w:tcPr>
          <w:p>
            <w:pPr>
              <w:pStyle w:val="0"/>
              <w:jc w:val="center"/>
            </w:pPr>
            <w:r>
              <w:rPr>
                <w:sz w:val="20"/>
              </w:rPr>
              <w:t xml:space="preserve">0</w:t>
            </w:r>
          </w:p>
        </w:tc>
      </w:tr>
      <w:tr>
        <w:tc>
          <w:tcPr>
            <w:tcW w:w="571" w:type="dxa"/>
          </w:tcPr>
          <w:p>
            <w:pPr>
              <w:pStyle w:val="0"/>
              <w:jc w:val="center"/>
            </w:pPr>
            <w:r>
              <w:rPr>
                <w:sz w:val="20"/>
              </w:rPr>
              <w:t xml:space="preserve">2</w:t>
            </w:r>
          </w:p>
        </w:tc>
        <w:tc>
          <w:tcPr>
            <w:gridSpan w:val="2"/>
            <w:tcW w:w="8504" w:type="dxa"/>
          </w:tcPr>
          <w:p>
            <w:pPr>
              <w:pStyle w:val="0"/>
              <w:jc w:val="both"/>
            </w:pPr>
            <w:r>
              <w:rPr>
                <w:sz w:val="20"/>
              </w:rPr>
              <w:t xml:space="preserve">Соотношение планируемых ресурсов на реализацию проекта и его ожидаемых результатов, измеримость и достижимость таких результатов</w:t>
            </w:r>
          </w:p>
        </w:tc>
      </w:tr>
      <w:tr>
        <w:tc>
          <w:tcPr>
            <w:tcW w:w="571" w:type="dxa"/>
          </w:tcPr>
          <w:p>
            <w:pPr>
              <w:pStyle w:val="0"/>
              <w:jc w:val="center"/>
            </w:pPr>
            <w:r>
              <w:rPr>
                <w:sz w:val="20"/>
              </w:rPr>
              <w:t xml:space="preserve">2.1</w:t>
            </w:r>
          </w:p>
        </w:tc>
        <w:tc>
          <w:tcPr>
            <w:tcW w:w="7087" w:type="dxa"/>
          </w:tcPr>
          <w:p>
            <w:pPr>
              <w:pStyle w:val="0"/>
              <w:jc w:val="both"/>
            </w:pPr>
            <w:r>
              <w:rPr>
                <w:sz w:val="20"/>
              </w:rPr>
              <w:t xml:space="preserve">Все разделы проекта логически взаимосвязаны, каждый раздел содержит информацию, необходимую и достаточную для понимания содержания проекта. Календарный план хорошо структурирован, детализирован, содержит описание конкретных мероприятий, их очередность прописана логично и последовательно</w:t>
            </w:r>
          </w:p>
        </w:tc>
        <w:tc>
          <w:tcPr>
            <w:tcW w:w="1417" w:type="dxa"/>
          </w:tcPr>
          <w:p>
            <w:pPr>
              <w:pStyle w:val="0"/>
              <w:jc w:val="center"/>
            </w:pPr>
            <w:r>
              <w:rPr>
                <w:sz w:val="20"/>
              </w:rPr>
              <w:t xml:space="preserve">20</w:t>
            </w:r>
          </w:p>
        </w:tc>
      </w:tr>
      <w:tr>
        <w:tc>
          <w:tcPr>
            <w:tcW w:w="571" w:type="dxa"/>
          </w:tcPr>
          <w:p>
            <w:pPr>
              <w:pStyle w:val="0"/>
              <w:jc w:val="center"/>
            </w:pPr>
            <w:r>
              <w:rPr>
                <w:sz w:val="20"/>
              </w:rPr>
              <w:t xml:space="preserve">2.2</w:t>
            </w:r>
          </w:p>
        </w:tc>
        <w:tc>
          <w:tcPr>
            <w:tcW w:w="7087" w:type="dxa"/>
          </w:tcPr>
          <w:p>
            <w:pPr>
              <w:pStyle w:val="0"/>
              <w:jc w:val="both"/>
            </w:pPr>
            <w:r>
              <w:rPr>
                <w:sz w:val="20"/>
              </w:rPr>
              <w:t xml:space="preserve">Разделы проекта логически взаимосвязаны, содержат информацию, ясную для понимания содержания проекта, однако имеются отличия между целями, задачами, мероприятиями и ожидаемыми результатами проекта. Календарный план структурирован и развернут, содержит описание конкретных мероприятий, между тем, их очередность нарушена в части логики и последовательности, а сроки выполнения отдельных мероприятий проекта завышены или занижены</w:t>
            </w:r>
          </w:p>
        </w:tc>
        <w:tc>
          <w:tcPr>
            <w:tcW w:w="1417" w:type="dxa"/>
          </w:tcPr>
          <w:p>
            <w:pPr>
              <w:pStyle w:val="0"/>
              <w:jc w:val="center"/>
            </w:pPr>
            <w:r>
              <w:rPr>
                <w:sz w:val="20"/>
              </w:rPr>
              <w:t xml:space="preserve">15</w:t>
            </w:r>
          </w:p>
        </w:tc>
      </w:tr>
      <w:tr>
        <w:tc>
          <w:tcPr>
            <w:tcW w:w="571" w:type="dxa"/>
          </w:tcPr>
          <w:p>
            <w:pPr>
              <w:pStyle w:val="0"/>
              <w:jc w:val="center"/>
            </w:pPr>
            <w:r>
              <w:rPr>
                <w:sz w:val="20"/>
              </w:rPr>
              <w:t xml:space="preserve">2.3</w:t>
            </w:r>
          </w:p>
        </w:tc>
        <w:tc>
          <w:tcPr>
            <w:tcW w:w="7087" w:type="dxa"/>
          </w:tcPr>
          <w:p>
            <w:pPr>
              <w:pStyle w:val="0"/>
              <w:jc w:val="both"/>
            </w:pPr>
            <w:r>
              <w:rPr>
                <w:sz w:val="20"/>
              </w:rPr>
              <w:t xml:space="preserve">Разделы проекта имеют взаимосвязь, но не все содержат информацию, в связи с чем смыслы текста не завершены. Календарный план не структурирован, не детализирован, содержит описание конкретных мероприятий, но их очередность прописана непоследовательно, взаимозависимые мероприятия не совпадают по срокам, сроки проведения мероприятий местами недостижимы. Проект содержит пункты, которые противоречат друг другу и риски, которые могут быть компенсированы усилиями организаторов и их партнеров</w:t>
            </w:r>
          </w:p>
        </w:tc>
        <w:tc>
          <w:tcPr>
            <w:tcW w:w="1417" w:type="dxa"/>
          </w:tcPr>
          <w:p>
            <w:pPr>
              <w:pStyle w:val="0"/>
              <w:jc w:val="center"/>
            </w:pPr>
            <w:r>
              <w:rPr>
                <w:sz w:val="20"/>
              </w:rPr>
              <w:t xml:space="preserve">10</w:t>
            </w:r>
          </w:p>
        </w:tc>
      </w:tr>
      <w:tr>
        <w:tc>
          <w:tcPr>
            <w:tcW w:w="571" w:type="dxa"/>
          </w:tcPr>
          <w:p>
            <w:pPr>
              <w:pStyle w:val="0"/>
              <w:jc w:val="center"/>
            </w:pPr>
            <w:r>
              <w:rPr>
                <w:sz w:val="20"/>
              </w:rPr>
              <w:t xml:space="preserve">2.4</w:t>
            </w:r>
          </w:p>
        </w:tc>
        <w:tc>
          <w:tcPr>
            <w:tcW w:w="7087" w:type="dxa"/>
          </w:tcPr>
          <w:p>
            <w:pPr>
              <w:pStyle w:val="0"/>
              <w:jc w:val="both"/>
            </w:pPr>
            <w:r>
              <w:rPr>
                <w:sz w:val="20"/>
              </w:rPr>
              <w:t xml:space="preserve">Проект не проработан, разделы проекта не взаимосвязаны, не содержат информацию, необходимую и достаточную для понимания его содержания. Выявлены несоответствия мероприятий проекта его целям и задачам, отклонения между планируемой деятельностью и ожидаемыми результатами. Ошибки, допущенные в постановке целей, задач, описании мероприятий, результатов проекта делают реализацию такого проекта проблематичной. Сроки выполнения мероприятий не продуманы</w:t>
            </w:r>
          </w:p>
        </w:tc>
        <w:tc>
          <w:tcPr>
            <w:tcW w:w="1417" w:type="dxa"/>
          </w:tcPr>
          <w:p>
            <w:pPr>
              <w:pStyle w:val="0"/>
              <w:jc w:val="center"/>
            </w:pPr>
            <w:r>
              <w:rPr>
                <w:sz w:val="20"/>
              </w:rPr>
              <w:t xml:space="preserve">5</w:t>
            </w:r>
          </w:p>
        </w:tc>
      </w:tr>
      <w:tr>
        <w:tc>
          <w:tcPr>
            <w:tcW w:w="571" w:type="dxa"/>
          </w:tcPr>
          <w:p>
            <w:pPr>
              <w:pStyle w:val="0"/>
              <w:jc w:val="center"/>
            </w:pPr>
            <w:r>
              <w:rPr>
                <w:sz w:val="20"/>
              </w:rPr>
              <w:t xml:space="preserve">2.5</w:t>
            </w:r>
          </w:p>
        </w:tc>
        <w:tc>
          <w:tcPr>
            <w:tcW w:w="7087" w:type="dxa"/>
          </w:tcPr>
          <w:p>
            <w:pPr>
              <w:pStyle w:val="0"/>
              <w:jc w:val="both"/>
            </w:pPr>
            <w:r>
              <w:rPr>
                <w:sz w:val="20"/>
              </w:rPr>
              <w:t xml:space="preserve">Информация о результатах проекта, его целях, задачах и механизме реализации не представлена в заявке, либо соотношение ресурсов и результатов делают его не реализуемым</w:t>
            </w:r>
          </w:p>
        </w:tc>
        <w:tc>
          <w:tcPr>
            <w:tcW w:w="1417" w:type="dxa"/>
          </w:tcPr>
          <w:p>
            <w:pPr>
              <w:pStyle w:val="0"/>
              <w:jc w:val="center"/>
            </w:pPr>
            <w:r>
              <w:rPr>
                <w:sz w:val="20"/>
              </w:rPr>
              <w:t xml:space="preserve">0</w:t>
            </w:r>
          </w:p>
        </w:tc>
      </w:tr>
      <w:tr>
        <w:tc>
          <w:tcPr>
            <w:tcW w:w="571" w:type="dxa"/>
          </w:tcPr>
          <w:p>
            <w:pPr>
              <w:pStyle w:val="0"/>
              <w:jc w:val="center"/>
            </w:pPr>
            <w:r>
              <w:rPr>
                <w:sz w:val="20"/>
              </w:rPr>
              <w:t xml:space="preserve">3</w:t>
            </w:r>
          </w:p>
        </w:tc>
        <w:tc>
          <w:tcPr>
            <w:gridSpan w:val="2"/>
            <w:tcW w:w="8504" w:type="dxa"/>
          </w:tcPr>
          <w:p>
            <w:pPr>
              <w:pStyle w:val="0"/>
              <w:jc w:val="both"/>
            </w:pPr>
            <w:r>
              <w:rPr>
                <w:sz w:val="20"/>
              </w:rPr>
              <w:t xml:space="preserve">Реалистичность бюджета проекта и обоснованность планируемых расходов на реализацию проекта</w:t>
            </w:r>
          </w:p>
        </w:tc>
      </w:tr>
      <w:tr>
        <w:tc>
          <w:tcPr>
            <w:tcW w:w="571" w:type="dxa"/>
          </w:tcPr>
          <w:p>
            <w:pPr>
              <w:pStyle w:val="0"/>
              <w:jc w:val="center"/>
            </w:pPr>
            <w:r>
              <w:rPr>
                <w:sz w:val="20"/>
              </w:rPr>
              <w:t xml:space="preserve">3.1</w:t>
            </w:r>
          </w:p>
        </w:tc>
        <w:tc>
          <w:tcPr>
            <w:tcW w:w="7087" w:type="dxa"/>
          </w:tcPr>
          <w:p>
            <w:pPr>
              <w:pStyle w:val="0"/>
              <w:jc w:val="both"/>
            </w:pPr>
            <w:r>
              <w:rPr>
                <w:sz w:val="20"/>
              </w:rPr>
              <w:t xml:space="preserve">Общий бюджет проекта (включая собственные средства и ресурсы команды, партнеров проекта) и запрашиваемая сумма субсидии позволяют охватить масштаб проекта, численности благополучателей проекта, ожидаемым результатам проекта. Расходы по проекту соответствуют его социальному эффекту, затраты по проекту обоснованы</w:t>
            </w:r>
          </w:p>
        </w:tc>
        <w:tc>
          <w:tcPr>
            <w:tcW w:w="1417" w:type="dxa"/>
          </w:tcPr>
          <w:p>
            <w:pPr>
              <w:pStyle w:val="0"/>
              <w:jc w:val="center"/>
            </w:pPr>
            <w:r>
              <w:rPr>
                <w:sz w:val="20"/>
              </w:rPr>
              <w:t xml:space="preserve">20</w:t>
            </w:r>
          </w:p>
        </w:tc>
      </w:tr>
      <w:tr>
        <w:tc>
          <w:tcPr>
            <w:tcW w:w="571" w:type="dxa"/>
          </w:tcPr>
          <w:p>
            <w:pPr>
              <w:pStyle w:val="0"/>
              <w:jc w:val="center"/>
            </w:pPr>
            <w:r>
              <w:rPr>
                <w:sz w:val="20"/>
              </w:rPr>
              <w:t xml:space="preserve">3.2</w:t>
            </w:r>
          </w:p>
        </w:tc>
        <w:tc>
          <w:tcPr>
            <w:tcW w:w="7087" w:type="dxa"/>
          </w:tcPr>
          <w:p>
            <w:pPr>
              <w:pStyle w:val="0"/>
              <w:jc w:val="both"/>
            </w:pPr>
            <w:r>
              <w:rPr>
                <w:sz w:val="20"/>
              </w:rPr>
              <w:t xml:space="preserve">Получение ожидаемых результатов проекта за сумму запрашиваемую на его реализацию субсидии имеют обоснование потребности, вместе с тем, общая сумма расходов проекта в соотношении с его масштабом и количеством участников имеют завышение на не более 5 процентов. Проект обеспечивает улучшение качества жизни целевой группы, но проект можно реализовать при меньших затратах</w:t>
            </w:r>
          </w:p>
        </w:tc>
        <w:tc>
          <w:tcPr>
            <w:tcW w:w="1417" w:type="dxa"/>
          </w:tcPr>
          <w:p>
            <w:pPr>
              <w:pStyle w:val="0"/>
              <w:jc w:val="center"/>
            </w:pPr>
            <w:r>
              <w:rPr>
                <w:sz w:val="20"/>
              </w:rPr>
              <w:t xml:space="preserve">10</w:t>
            </w:r>
          </w:p>
        </w:tc>
      </w:tr>
      <w:tr>
        <w:tc>
          <w:tcPr>
            <w:tcW w:w="571" w:type="dxa"/>
          </w:tcPr>
          <w:p>
            <w:pPr>
              <w:pStyle w:val="0"/>
              <w:jc w:val="center"/>
            </w:pPr>
            <w:r>
              <w:rPr>
                <w:sz w:val="20"/>
              </w:rPr>
              <w:t xml:space="preserve">3.3</w:t>
            </w:r>
          </w:p>
        </w:tc>
        <w:tc>
          <w:tcPr>
            <w:tcW w:w="7087" w:type="dxa"/>
          </w:tcPr>
          <w:p>
            <w:pPr>
              <w:pStyle w:val="0"/>
              <w:jc w:val="both"/>
            </w:pPr>
            <w:r>
              <w:rPr>
                <w:sz w:val="20"/>
              </w:rPr>
              <w:t xml:space="preserve">Предполагаемый проект можно реализовать при меньших затратах либо достичь значительного эффекта при указанных затратах. Расходы и выгоды по проекту несоизмеримы, проект экономически нецелесообразен</w:t>
            </w:r>
          </w:p>
        </w:tc>
        <w:tc>
          <w:tcPr>
            <w:tcW w:w="1417" w:type="dxa"/>
          </w:tcPr>
          <w:p>
            <w:pPr>
              <w:pStyle w:val="0"/>
              <w:jc w:val="center"/>
            </w:pPr>
            <w:r>
              <w:rPr>
                <w:sz w:val="20"/>
              </w:rPr>
              <w:t xml:space="preserve">5</w:t>
            </w:r>
          </w:p>
        </w:tc>
      </w:tr>
      <w:tr>
        <w:tc>
          <w:tcPr>
            <w:tcW w:w="571" w:type="dxa"/>
          </w:tcPr>
          <w:p>
            <w:pPr>
              <w:pStyle w:val="0"/>
              <w:jc w:val="center"/>
            </w:pPr>
            <w:r>
              <w:rPr>
                <w:sz w:val="20"/>
              </w:rPr>
              <w:t xml:space="preserve">3.4</w:t>
            </w:r>
          </w:p>
        </w:tc>
        <w:tc>
          <w:tcPr>
            <w:tcW w:w="7087" w:type="dxa"/>
          </w:tcPr>
          <w:p>
            <w:pPr>
              <w:pStyle w:val="0"/>
              <w:jc w:val="both"/>
            </w:pPr>
            <w:r>
              <w:rPr>
                <w:sz w:val="20"/>
              </w:rPr>
              <w:t xml:space="preserve">Информация, позволяющая сделать выводы об экономической целесообразности проекта, соотношении общего бюджета проекта с заявленными значениями результата проекта не представлена в заявке. Описание расходов и выгод по проекту не связано с его результатами</w:t>
            </w:r>
          </w:p>
        </w:tc>
        <w:tc>
          <w:tcPr>
            <w:tcW w:w="1417" w:type="dxa"/>
          </w:tcPr>
          <w:p>
            <w:pPr>
              <w:pStyle w:val="0"/>
              <w:jc w:val="center"/>
            </w:pPr>
            <w:r>
              <w:rPr>
                <w:sz w:val="20"/>
              </w:rPr>
              <w:t xml:space="preserve">0</w:t>
            </w:r>
          </w:p>
        </w:tc>
      </w:tr>
      <w:tr>
        <w:tc>
          <w:tcPr>
            <w:tcW w:w="571" w:type="dxa"/>
          </w:tcPr>
          <w:p>
            <w:pPr>
              <w:pStyle w:val="0"/>
              <w:jc w:val="center"/>
            </w:pPr>
            <w:r>
              <w:rPr>
                <w:sz w:val="20"/>
              </w:rPr>
              <w:t xml:space="preserve">4</w:t>
            </w:r>
          </w:p>
        </w:tc>
        <w:tc>
          <w:tcPr>
            <w:gridSpan w:val="2"/>
            <w:tcW w:w="8504" w:type="dxa"/>
          </w:tcPr>
          <w:p>
            <w:pPr>
              <w:pStyle w:val="0"/>
              <w:jc w:val="both"/>
            </w:pPr>
            <w:r>
              <w:rPr>
                <w:sz w:val="20"/>
              </w:rPr>
              <w:t xml:space="preserve">Опыт организации по успешной реализации программ, проектов по соответствующему направлению деятельности</w:t>
            </w:r>
          </w:p>
        </w:tc>
      </w:tr>
      <w:tr>
        <w:tc>
          <w:tcPr>
            <w:tcW w:w="571" w:type="dxa"/>
          </w:tcPr>
          <w:p>
            <w:pPr>
              <w:pStyle w:val="0"/>
              <w:jc w:val="center"/>
            </w:pPr>
            <w:r>
              <w:rPr>
                <w:sz w:val="20"/>
              </w:rPr>
              <w:t xml:space="preserve">4.1</w:t>
            </w:r>
          </w:p>
        </w:tc>
        <w:tc>
          <w:tcPr>
            <w:tcW w:w="7087" w:type="dxa"/>
          </w:tcPr>
          <w:p>
            <w:pPr>
              <w:pStyle w:val="0"/>
              <w:jc w:val="both"/>
            </w:pPr>
            <w:r>
              <w:rPr>
                <w:sz w:val="20"/>
              </w:rPr>
              <w:t xml:space="preserve">Организация имеет опыт устойчивой активной деятельности по выбранному направлению на протяжении более двух лет. В заявке представлено описание собственного опыта организации с указанием конкретных программ, проектов или мероприятий, имеются сведения о результативности данных мероприятий. Опыт деятельности и ее успешность подтверждаются наградами, отзывами, публикациями в средствах массовой информации и Интернете. Организация получала грантовые средства, субсидии и спонсорскую помощь (благотворительную) на реализацию своих программ, проектов информация и претензии по поводу их использования отсутствует. У организации есть материально-техническая база для реализации проектов по выбранному направлению, имеются (если применимо) лицензии, иные разрешительные документы, обязательные для осуществления запланированной деятельности</w:t>
            </w:r>
          </w:p>
        </w:tc>
        <w:tc>
          <w:tcPr>
            <w:tcW w:w="1417" w:type="dxa"/>
          </w:tcPr>
          <w:p>
            <w:pPr>
              <w:pStyle w:val="0"/>
              <w:jc w:val="center"/>
            </w:pPr>
            <w:r>
              <w:rPr>
                <w:sz w:val="20"/>
              </w:rPr>
              <w:t xml:space="preserve">20</w:t>
            </w:r>
          </w:p>
        </w:tc>
      </w:tr>
      <w:tr>
        <w:tc>
          <w:tcPr>
            <w:tcW w:w="571" w:type="dxa"/>
          </w:tcPr>
          <w:p>
            <w:pPr>
              <w:pStyle w:val="0"/>
              <w:jc w:val="center"/>
            </w:pPr>
            <w:r>
              <w:rPr>
                <w:sz w:val="20"/>
              </w:rPr>
              <w:t xml:space="preserve">4.2</w:t>
            </w:r>
          </w:p>
        </w:tc>
        <w:tc>
          <w:tcPr>
            <w:tcW w:w="7087" w:type="dxa"/>
          </w:tcPr>
          <w:p>
            <w:pPr>
              <w:pStyle w:val="0"/>
              <w:jc w:val="both"/>
            </w:pPr>
            <w:r>
              <w:rPr>
                <w:sz w:val="20"/>
              </w:rPr>
              <w:t xml:space="preserve">Организация имеет опыт активной деятельности на протяжении более двух лет либо опыт работы менее двух лет, но создана гражданами, имеющими значительный опыт активной общественной деятельности. В заявке представлено описание собственного опыта организации с указанием конкретных программ, проектов или мероприятий. Успешность опыта организации подтверждается наградами, отзывами, публикациями в средствах массовой информации и Интернете. У организации имеется достаточный опыт по выбранному направлению (по масштабу и количеству мероприятий)</w:t>
            </w:r>
          </w:p>
        </w:tc>
        <w:tc>
          <w:tcPr>
            <w:tcW w:w="1417" w:type="dxa"/>
          </w:tcPr>
          <w:p>
            <w:pPr>
              <w:pStyle w:val="0"/>
              <w:jc w:val="center"/>
            </w:pPr>
            <w:r>
              <w:rPr>
                <w:sz w:val="20"/>
              </w:rPr>
              <w:t xml:space="preserve">15</w:t>
            </w:r>
          </w:p>
        </w:tc>
      </w:tr>
      <w:tr>
        <w:tc>
          <w:tcPr>
            <w:tcW w:w="571" w:type="dxa"/>
          </w:tcPr>
          <w:p>
            <w:pPr>
              <w:pStyle w:val="0"/>
              <w:jc w:val="center"/>
            </w:pPr>
            <w:r>
              <w:rPr>
                <w:sz w:val="20"/>
              </w:rPr>
              <w:t xml:space="preserve">4.3</w:t>
            </w:r>
          </w:p>
        </w:tc>
        <w:tc>
          <w:tcPr>
            <w:tcW w:w="7087" w:type="dxa"/>
          </w:tcPr>
          <w:p>
            <w:pPr>
              <w:pStyle w:val="0"/>
              <w:jc w:val="both"/>
            </w:pPr>
            <w:r>
              <w:rPr>
                <w:sz w:val="20"/>
              </w:rPr>
              <w:t xml:space="preserve">В заявке приведено описание собственного опыта организации по реализации программ, проектов по выбранному направлению, но оно не позволяет сделать однозначный вывод о системном и устойчивом характере такой работы в течение двух лет или с момента создания организации (если она существует меньше двух лет) и наличии положительных результатов. Организация имеет опыт реализации локальных проектов по выбранному направлению и не имеет опыта работы с (с запрашиваемой суммой гранта) объемами целевых средств, однако информация о реализованных проектах не освещена в социальных сетях и на сайте организации, заявленные достигнутые результаты не представлены</w:t>
            </w:r>
          </w:p>
        </w:tc>
        <w:tc>
          <w:tcPr>
            <w:tcW w:w="1417" w:type="dxa"/>
          </w:tcPr>
          <w:p>
            <w:pPr>
              <w:pStyle w:val="0"/>
              <w:jc w:val="center"/>
            </w:pPr>
            <w:r>
              <w:rPr>
                <w:sz w:val="20"/>
              </w:rPr>
              <w:t xml:space="preserve">10</w:t>
            </w:r>
          </w:p>
        </w:tc>
      </w:tr>
      <w:tr>
        <w:tc>
          <w:tcPr>
            <w:tcW w:w="571" w:type="dxa"/>
          </w:tcPr>
          <w:p>
            <w:pPr>
              <w:pStyle w:val="0"/>
              <w:jc w:val="center"/>
            </w:pPr>
            <w:r>
              <w:rPr>
                <w:sz w:val="20"/>
              </w:rPr>
              <w:t xml:space="preserve">4.4</w:t>
            </w:r>
          </w:p>
        </w:tc>
        <w:tc>
          <w:tcPr>
            <w:tcW w:w="7087" w:type="dxa"/>
          </w:tcPr>
          <w:p>
            <w:pPr>
              <w:pStyle w:val="0"/>
              <w:jc w:val="both"/>
            </w:pPr>
            <w:r>
              <w:rPr>
                <w:sz w:val="20"/>
              </w:rPr>
              <w:t xml:space="preserve">Организация не имеет опыта активной деятельности. Имеются отклонения между описанным в заявке опытом организации и информацией из открытых источников. Опыт проектной работы организации в заявке описан слабо</w:t>
            </w:r>
          </w:p>
        </w:tc>
        <w:tc>
          <w:tcPr>
            <w:tcW w:w="1417" w:type="dxa"/>
          </w:tcPr>
          <w:p>
            <w:pPr>
              <w:pStyle w:val="0"/>
              <w:jc w:val="center"/>
            </w:pPr>
            <w:r>
              <w:rPr>
                <w:sz w:val="20"/>
              </w:rPr>
              <w:t xml:space="preserve">5</w:t>
            </w:r>
          </w:p>
        </w:tc>
      </w:tr>
      <w:tr>
        <w:tc>
          <w:tcPr>
            <w:tcW w:w="571" w:type="dxa"/>
          </w:tcPr>
          <w:p>
            <w:pPr>
              <w:pStyle w:val="0"/>
              <w:jc w:val="center"/>
            </w:pPr>
            <w:r>
              <w:rPr>
                <w:sz w:val="20"/>
              </w:rPr>
              <w:t xml:space="preserve">4.5</w:t>
            </w:r>
          </w:p>
        </w:tc>
        <w:tc>
          <w:tcPr>
            <w:tcW w:w="7087" w:type="dxa"/>
          </w:tcPr>
          <w:p>
            <w:pPr>
              <w:pStyle w:val="0"/>
              <w:jc w:val="both"/>
            </w:pPr>
            <w:r>
              <w:rPr>
                <w:sz w:val="20"/>
              </w:rPr>
              <w:t xml:space="preserve">Опыт проектной работы организации в заявке практически не описан</w:t>
            </w:r>
          </w:p>
        </w:tc>
        <w:tc>
          <w:tcPr>
            <w:tcW w:w="1417" w:type="dxa"/>
          </w:tcPr>
          <w:p>
            <w:pPr>
              <w:pStyle w:val="0"/>
              <w:jc w:val="center"/>
            </w:pPr>
            <w:r>
              <w:rPr>
                <w:sz w:val="20"/>
              </w:rPr>
              <w:t xml:space="preserve">0</w:t>
            </w:r>
          </w:p>
        </w:tc>
      </w:tr>
      <w:tr>
        <w:tc>
          <w:tcPr>
            <w:tcW w:w="571" w:type="dxa"/>
          </w:tcPr>
          <w:p>
            <w:pPr>
              <w:pStyle w:val="0"/>
              <w:jc w:val="center"/>
            </w:pPr>
            <w:r>
              <w:rPr>
                <w:sz w:val="20"/>
              </w:rPr>
              <w:t xml:space="preserve">5</w:t>
            </w:r>
          </w:p>
        </w:tc>
        <w:tc>
          <w:tcPr>
            <w:gridSpan w:val="2"/>
            <w:tcW w:w="8504" w:type="dxa"/>
          </w:tcPr>
          <w:p>
            <w:pPr>
              <w:pStyle w:val="0"/>
              <w:jc w:val="both"/>
            </w:pPr>
            <w:r>
              <w:rPr>
                <w:sz w:val="20"/>
              </w:rPr>
              <w:t xml:space="preserve">Соответствие опыта и компетенций команды проекта планируемой деятельности</w:t>
            </w:r>
          </w:p>
        </w:tc>
      </w:tr>
      <w:tr>
        <w:tc>
          <w:tcPr>
            <w:tcW w:w="571" w:type="dxa"/>
          </w:tcPr>
          <w:p>
            <w:pPr>
              <w:pStyle w:val="0"/>
              <w:jc w:val="center"/>
            </w:pPr>
            <w:r>
              <w:rPr>
                <w:sz w:val="20"/>
              </w:rPr>
              <w:t xml:space="preserve">5.1</w:t>
            </w:r>
          </w:p>
        </w:tc>
        <w:tc>
          <w:tcPr>
            <w:tcW w:w="7087" w:type="dxa"/>
          </w:tcPr>
          <w:p>
            <w:pPr>
              <w:pStyle w:val="0"/>
              <w:jc w:val="both"/>
            </w:pPr>
            <w:r>
              <w:rPr>
                <w:sz w:val="20"/>
              </w:rPr>
              <w:t xml:space="preserve">Проект полностью обеспечен опытным, квалифицированным персоналом по всем необходимым для реализации проекта профилям деятельности за счет членов команды. В команде целесообразно распределен функционал, ни одна из потенциальных зон ответственности не оставлена без контроля членов команды, функционал каждого члена команды конкретизирован. Квалификация команды проекта подтверждена документами, члены команды обладают сопоставимым с содержанием проекта опытом проектной деятельности</w:t>
            </w:r>
          </w:p>
        </w:tc>
        <w:tc>
          <w:tcPr>
            <w:tcW w:w="1417" w:type="dxa"/>
          </w:tcPr>
          <w:p>
            <w:pPr>
              <w:pStyle w:val="0"/>
              <w:jc w:val="center"/>
            </w:pPr>
            <w:r>
              <w:rPr>
                <w:sz w:val="20"/>
              </w:rPr>
              <w:t xml:space="preserve">20</w:t>
            </w:r>
          </w:p>
        </w:tc>
      </w:tr>
      <w:tr>
        <w:tc>
          <w:tcPr>
            <w:tcW w:w="571" w:type="dxa"/>
          </w:tcPr>
          <w:p>
            <w:pPr>
              <w:pStyle w:val="0"/>
              <w:jc w:val="center"/>
            </w:pPr>
            <w:r>
              <w:rPr>
                <w:sz w:val="20"/>
              </w:rPr>
              <w:t xml:space="preserve">5.2</w:t>
            </w:r>
          </w:p>
        </w:tc>
        <w:tc>
          <w:tcPr>
            <w:tcW w:w="7087" w:type="dxa"/>
          </w:tcPr>
          <w:p>
            <w:pPr>
              <w:pStyle w:val="0"/>
              <w:jc w:val="both"/>
            </w:pPr>
            <w:r>
              <w:rPr>
                <w:sz w:val="20"/>
              </w:rPr>
              <w:t xml:space="preserve">Проект в целом обеспечен опытными, квалифицированными специалистами по ключевым профилям предстоящей деятельности, команда проекта способна реализовать проект в указанные сроки и с заявленными ресурсами. Функционал каждого члена команды конкретизирован, за членами команды закреплены зоны ответственности, однако имеются мероприятия и функции в мероприятиях проекта, не отнесенных ни к чьей компетенции. Квалификация команды проекта подтверждена документами, члены команды вполне обладают проекта опытом проектной деятельности</w:t>
            </w:r>
          </w:p>
        </w:tc>
        <w:tc>
          <w:tcPr>
            <w:tcW w:w="1417" w:type="dxa"/>
          </w:tcPr>
          <w:p>
            <w:pPr>
              <w:pStyle w:val="0"/>
              <w:jc w:val="center"/>
            </w:pPr>
            <w:r>
              <w:rPr>
                <w:sz w:val="20"/>
              </w:rPr>
              <w:t xml:space="preserve">15</w:t>
            </w:r>
          </w:p>
        </w:tc>
      </w:tr>
      <w:tr>
        <w:tc>
          <w:tcPr>
            <w:tcW w:w="571" w:type="dxa"/>
          </w:tcPr>
          <w:p>
            <w:pPr>
              <w:pStyle w:val="0"/>
              <w:jc w:val="center"/>
            </w:pPr>
            <w:r>
              <w:rPr>
                <w:sz w:val="20"/>
              </w:rPr>
              <w:t xml:space="preserve">5.3</w:t>
            </w:r>
          </w:p>
        </w:tc>
        <w:tc>
          <w:tcPr>
            <w:tcW w:w="7087" w:type="dxa"/>
          </w:tcPr>
          <w:p>
            <w:pPr>
              <w:pStyle w:val="0"/>
              <w:jc w:val="both"/>
            </w:pPr>
            <w:r>
              <w:rPr>
                <w:sz w:val="20"/>
              </w:rPr>
              <w:t xml:space="preserve">В заявке содержится описание команды проекта, но зоны ответственности членов команды не распределены по основным мероприятиям предстоящей деятельности, функции членов команды изложены общими словами. Сведения о квалификации, знаниях и опыте членов команды не информативны либо опыт и компетенции членов команды не подтверждены документально</w:t>
            </w:r>
          </w:p>
        </w:tc>
        <w:tc>
          <w:tcPr>
            <w:tcW w:w="1417" w:type="dxa"/>
          </w:tcPr>
          <w:p>
            <w:pPr>
              <w:pStyle w:val="0"/>
              <w:jc w:val="center"/>
            </w:pPr>
            <w:r>
              <w:rPr>
                <w:sz w:val="20"/>
              </w:rPr>
              <w:t xml:space="preserve">10</w:t>
            </w:r>
          </w:p>
        </w:tc>
      </w:tr>
      <w:tr>
        <w:tc>
          <w:tcPr>
            <w:tcW w:w="571" w:type="dxa"/>
          </w:tcPr>
          <w:p>
            <w:pPr>
              <w:pStyle w:val="0"/>
              <w:jc w:val="center"/>
            </w:pPr>
            <w:r>
              <w:rPr>
                <w:sz w:val="20"/>
              </w:rPr>
              <w:t xml:space="preserve">5.4</w:t>
            </w:r>
          </w:p>
        </w:tc>
        <w:tc>
          <w:tcPr>
            <w:tcW w:w="7087" w:type="dxa"/>
          </w:tcPr>
          <w:p>
            <w:pPr>
              <w:pStyle w:val="0"/>
              <w:jc w:val="both"/>
            </w:pPr>
            <w:r>
              <w:rPr>
                <w:sz w:val="20"/>
              </w:rPr>
              <w:t xml:space="preserve">В заявке содержится описание команды проекта, которая не обладает для его реализации опытом и компетенциями. Имеются отклонения между описанным в проекте опытом членов команды</w:t>
            </w:r>
          </w:p>
        </w:tc>
        <w:tc>
          <w:tcPr>
            <w:tcW w:w="1417" w:type="dxa"/>
          </w:tcPr>
          <w:p>
            <w:pPr>
              <w:pStyle w:val="0"/>
              <w:jc w:val="center"/>
            </w:pPr>
            <w:r>
              <w:rPr>
                <w:sz w:val="20"/>
              </w:rPr>
              <w:t xml:space="preserve">5</w:t>
            </w:r>
          </w:p>
        </w:tc>
      </w:tr>
      <w:tr>
        <w:tc>
          <w:tcPr>
            <w:tcW w:w="571" w:type="dxa"/>
          </w:tcPr>
          <w:p>
            <w:pPr>
              <w:pStyle w:val="0"/>
              <w:jc w:val="center"/>
            </w:pPr>
            <w:r>
              <w:rPr>
                <w:sz w:val="20"/>
              </w:rPr>
              <w:t xml:space="preserve">5.5</w:t>
            </w:r>
          </w:p>
        </w:tc>
        <w:tc>
          <w:tcPr>
            <w:tcW w:w="7087" w:type="dxa"/>
          </w:tcPr>
          <w:p>
            <w:pPr>
              <w:pStyle w:val="0"/>
              <w:jc w:val="both"/>
            </w:pPr>
            <w:r>
              <w:rPr>
                <w:sz w:val="20"/>
              </w:rPr>
              <w:t xml:space="preserve">Информация об опыте и компетенциях команды проекта не представлена в заявке, описание квалификации команды проекта и системы управления отсутствуют</w:t>
            </w:r>
          </w:p>
        </w:tc>
        <w:tc>
          <w:tcPr>
            <w:tcW w:w="1417" w:type="dxa"/>
          </w:tcPr>
          <w:p>
            <w:pPr>
              <w:pStyle w:val="0"/>
              <w:jc w:val="center"/>
            </w:pPr>
            <w:r>
              <w:rPr>
                <w:sz w:val="20"/>
              </w:rPr>
              <w:t xml:space="preserve">0</w:t>
            </w:r>
          </w:p>
        </w:tc>
      </w:tr>
      <w:tr>
        <w:tc>
          <w:tcPr>
            <w:tcW w:w="571" w:type="dxa"/>
          </w:tcPr>
          <w:p>
            <w:pPr>
              <w:pStyle w:val="0"/>
            </w:pPr>
            <w:r>
              <w:rPr>
                <w:sz w:val="20"/>
              </w:rPr>
            </w:r>
          </w:p>
        </w:tc>
        <w:tc>
          <w:tcPr>
            <w:tcW w:w="7087" w:type="dxa"/>
          </w:tcPr>
          <w:p>
            <w:pPr>
              <w:pStyle w:val="0"/>
              <w:jc w:val="both"/>
            </w:pPr>
            <w:r>
              <w:rPr>
                <w:sz w:val="20"/>
              </w:rPr>
              <w:t xml:space="preserve">Максимальный балл</w:t>
            </w:r>
          </w:p>
        </w:tc>
        <w:tc>
          <w:tcPr>
            <w:tcW w:w="1417" w:type="dxa"/>
          </w:tcPr>
          <w:p>
            <w:pPr>
              <w:pStyle w:val="0"/>
              <w:jc w:val="center"/>
            </w:pPr>
            <w:r>
              <w:rPr>
                <w:sz w:val="20"/>
              </w:rPr>
              <w:t xml:space="preserve">100</w:t>
            </w:r>
          </w:p>
        </w:tc>
      </w:tr>
    </w:tbl>
    <w:p>
      <w:pPr>
        <w:pStyle w:val="0"/>
        <w:jc w:val="both"/>
      </w:pPr>
      <w:r>
        <w:rPr>
          <w:sz w:val="20"/>
        </w:rPr>
      </w:r>
    </w:p>
    <w:p>
      <w:pPr>
        <w:pStyle w:val="0"/>
        <w:ind w:firstLine="540"/>
        <w:jc w:val="both"/>
      </w:pPr>
      <w:r>
        <w:rPr>
          <w:sz w:val="20"/>
        </w:rPr>
        <w:t xml:space="preserve">Каждый член экспертной комиссии присваивает заявке от 0 до 20 баллов по каждому критерию, установленному настоящим пунктом.</w:t>
      </w:r>
    </w:p>
    <w:p>
      <w:pPr>
        <w:pStyle w:val="0"/>
        <w:jc w:val="both"/>
      </w:pPr>
      <w:r>
        <w:rPr>
          <w:sz w:val="20"/>
        </w:rPr>
        <w:t xml:space="preserve">(п. 2.12 в ред. </w:t>
      </w:r>
      <w:hyperlink w:history="0" r:id="rId38" w:tooltip="Постановление Правительства РС(Я) от 19.02.2025 N 55 &quot;О внесении изменений в порядок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утвержденный постановлением Правительства Республики Саха (Якутия) от 28 июня 2024 г. N 282&quot; {КонсультантПлюс}">
        <w:r>
          <w:rPr>
            <w:sz w:val="20"/>
            <w:color w:val="0000ff"/>
          </w:rPr>
          <w:t xml:space="preserve">постановления</w:t>
        </w:r>
      </w:hyperlink>
      <w:r>
        <w:rPr>
          <w:sz w:val="20"/>
        </w:rPr>
        <w:t xml:space="preserve"> Правительства РС(Я) от 19.02.2025 N 55)</w:t>
      </w:r>
    </w:p>
    <w:p>
      <w:pPr>
        <w:pStyle w:val="0"/>
        <w:spacing w:before="200" w:lineRule="auto"/>
        <w:ind w:firstLine="540"/>
        <w:jc w:val="both"/>
      </w:pPr>
      <w:r>
        <w:rPr>
          <w:sz w:val="20"/>
        </w:rPr>
        <w:t xml:space="preserve">2.13. По результатам оценки к каждой заявке присваиваются баллы согласно следующей формуле:</w:t>
      </w:r>
    </w:p>
    <w:p>
      <w:pPr>
        <w:pStyle w:val="0"/>
        <w:jc w:val="both"/>
      </w:pPr>
      <w:r>
        <w:rPr>
          <w:sz w:val="20"/>
        </w:rPr>
      </w:r>
    </w:p>
    <w:p>
      <w:pPr>
        <w:pStyle w:val="0"/>
        <w:jc w:val="center"/>
      </w:pPr>
      <w:r>
        <w:rPr>
          <w:position w:val="-10"/>
        </w:rPr>
        <w:drawing>
          <wp:inline distT="0" distB="0" distL="0" distR="0">
            <wp:extent cx="1304925" cy="257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a:extLst>
                        <a:ext uri="{28A0092B-C50C-407E-A947-70E740481C1C}">
                          <a14:useLocalDpi xmlns:a14="http://schemas.microsoft.com/office/drawing/2010/main" val="0"/>
                        </a:ext>
                      </a:extLst>
                    </a:blip>
                    <a:srcRect/>
                    <a:stretch>
                      <a:fillRect/>
                    </a:stretch>
                  </pic:blipFill>
                  <pic:spPr bwMode="auto">
                    <a:xfrm>
                      <a:off x="0" y="0"/>
                      <a:ext cx="1304925" cy="257175"/>
                    </a:xfrm>
                    <a:prstGeom prst="rect">
                      <a:avLst/>
                    </a:prstGeom>
                    <a:noFill/>
                    <a:ln>
                      <a:noFill/>
                    </a:ln>
                  </pic:spPr>
                </pic:pic>
              </a:graphicData>
            </a:graphic>
          </wp:inline>
        </w:drawing>
      </w:r>
      <w:r>
        <w:rPr>
          <w:sz w:val="20"/>
        </w:rPr>
        <w:t xml:space="preserve">,</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Kcp - общая экспертная оценка проекта (балл заявки) по итогам оценки членов экспертной комиссии;</w:t>
      </w:r>
    </w:p>
    <w:p>
      <w:pPr>
        <w:pStyle w:val="0"/>
        <w:spacing w:before="200" w:lineRule="auto"/>
        <w:ind w:firstLine="540"/>
        <w:jc w:val="both"/>
      </w:pPr>
      <w:r>
        <w:rPr>
          <w:position w:val="-10"/>
        </w:rPr>
        <w:drawing>
          <wp:inline distT="0" distB="0" distL="0" distR="0">
            <wp:extent cx="409575" cy="257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val="0"/>
                        </a:ext>
                      </a:extLst>
                    </a:blip>
                    <a:srcRect/>
                    <a:stretch>
                      <a:fillRect/>
                    </a:stretch>
                  </pic:blipFill>
                  <pic:spPr bwMode="auto">
                    <a:xfrm>
                      <a:off x="0" y="0"/>
                      <a:ext cx="409575" cy="257175"/>
                    </a:xfrm>
                    <a:prstGeom prst="rect">
                      <a:avLst/>
                    </a:prstGeom>
                    <a:noFill/>
                    <a:ln>
                      <a:noFill/>
                    </a:ln>
                  </pic:spPr>
                </pic:pic>
              </a:graphicData>
            </a:graphic>
          </wp:inline>
        </w:drawing>
      </w:r>
      <w:r>
        <w:rPr>
          <w:sz w:val="20"/>
        </w:rPr>
        <w:t xml:space="preserve"> - сумма баллов по всем критериям членов экспертной комиссии, принимающих участие в оценочной работе;</w:t>
      </w:r>
    </w:p>
    <w:p>
      <w:pPr>
        <w:pStyle w:val="0"/>
        <w:spacing w:before="200" w:lineRule="auto"/>
        <w:ind w:firstLine="540"/>
        <w:jc w:val="both"/>
      </w:pPr>
      <w:r>
        <w:rPr>
          <w:position w:val="-10"/>
        </w:rPr>
        <w:drawing>
          <wp:inline distT="0" distB="0" distL="0" distR="0">
            <wp:extent cx="333375" cy="257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r>
        <w:rPr>
          <w:sz w:val="20"/>
        </w:rPr>
        <w:t xml:space="preserve"> - количество членов экспертной комиссии, принявших участие в оценочной работе.</w:t>
      </w:r>
    </w:p>
    <w:p>
      <w:pPr>
        <w:pStyle w:val="0"/>
        <w:spacing w:before="200" w:lineRule="auto"/>
        <w:ind w:firstLine="540"/>
        <w:jc w:val="both"/>
      </w:pPr>
      <w:r>
        <w:rPr>
          <w:sz w:val="20"/>
        </w:rPr>
        <w:t xml:space="preserve">Получатель субсидии определяется исходя из баллов, выставленных по итогам общей экспертной оценки проектов, по мере уменьшения полученных баллов по итогам оценки заявок и очередности поступления заявок в случае равенства количества полученных баллов.</w:t>
      </w:r>
    </w:p>
    <w:p>
      <w:pPr>
        <w:pStyle w:val="0"/>
        <w:jc w:val="both"/>
      </w:pPr>
      <w:r>
        <w:rPr>
          <w:sz w:val="20"/>
        </w:rPr>
        <w:t xml:space="preserve">(в ред. </w:t>
      </w:r>
      <w:hyperlink w:history="0" r:id="rId42" w:tooltip="Постановление Правительства РС(Я) от 19.02.2025 N 55 &quot;О внесении изменений в порядок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утвержденный постановлением Правительства Республики Саха (Якутия) от 28 июня 2024 г. N 282&quot; {КонсультантПлюс}">
        <w:r>
          <w:rPr>
            <w:sz w:val="20"/>
            <w:color w:val="0000ff"/>
          </w:rPr>
          <w:t xml:space="preserve">постановления</w:t>
        </w:r>
      </w:hyperlink>
      <w:r>
        <w:rPr>
          <w:sz w:val="20"/>
        </w:rPr>
        <w:t xml:space="preserve"> Правительства РС(Я) от 19.02.2025 N 55)</w:t>
      </w:r>
    </w:p>
    <w:p>
      <w:pPr>
        <w:pStyle w:val="0"/>
        <w:spacing w:before="200" w:lineRule="auto"/>
        <w:ind w:firstLine="540"/>
        <w:jc w:val="both"/>
      </w:pPr>
      <w:r>
        <w:rPr>
          <w:sz w:val="20"/>
        </w:rPr>
        <w:t xml:space="preserve">При этом размер субсидии, запрашиваемый участником конкурса, не может превышать объемов лимитов бюджетных обязательств, направленных уполномоченному органу, и предельной суммы размера субсидии.</w:t>
      </w:r>
    </w:p>
    <w:p>
      <w:pPr>
        <w:pStyle w:val="0"/>
        <w:spacing w:before="200" w:lineRule="auto"/>
        <w:ind w:firstLine="540"/>
        <w:jc w:val="both"/>
      </w:pPr>
      <w:r>
        <w:rPr>
          <w:sz w:val="20"/>
        </w:rPr>
        <w:t xml:space="preserve">2.14. В случае, если на конкурс подана только одна заявка, соответствующая требованиям и условиям, установленным настоящим порядком, то экспертная комиссия признает получателем субсидии участника конкурса, подавшего такую заявку.</w:t>
      </w:r>
    </w:p>
    <w:p>
      <w:pPr>
        <w:pStyle w:val="0"/>
        <w:spacing w:before="200" w:lineRule="auto"/>
        <w:ind w:firstLine="540"/>
        <w:jc w:val="both"/>
      </w:pPr>
      <w:r>
        <w:rPr>
          <w:sz w:val="20"/>
        </w:rPr>
        <w:t xml:space="preserve">В случае равенства баллов средства субсидии предоставляются получателю субсидии, подавшему заявку первым.</w:t>
      </w:r>
    </w:p>
    <w:p>
      <w:pPr>
        <w:pStyle w:val="0"/>
        <w:spacing w:before="200" w:lineRule="auto"/>
        <w:ind w:firstLine="540"/>
        <w:jc w:val="both"/>
      </w:pPr>
      <w:r>
        <w:rPr>
          <w:sz w:val="20"/>
        </w:rPr>
        <w:t xml:space="preserve">Получателем субсидии определяется участник конкурса, предложивший наилучшее условие достижения результатов предоставления субсидии.</w:t>
      </w:r>
    </w:p>
    <w:p>
      <w:pPr>
        <w:pStyle w:val="0"/>
        <w:spacing w:before="200" w:lineRule="auto"/>
        <w:ind w:firstLine="540"/>
        <w:jc w:val="both"/>
      </w:pPr>
      <w:r>
        <w:rPr>
          <w:sz w:val="20"/>
        </w:rPr>
        <w:t xml:space="preserve">2.15. В течение пяти рабочих дней после размещения протокола на едином портале Министерство принимает решение о результатах отбора.</w:t>
      </w:r>
    </w:p>
    <w:p>
      <w:pPr>
        <w:pStyle w:val="0"/>
        <w:jc w:val="both"/>
      </w:pPr>
      <w:r>
        <w:rPr>
          <w:sz w:val="20"/>
        </w:rPr>
        <w:t xml:space="preserve">(п. 2.15 в ред. </w:t>
      </w:r>
      <w:hyperlink w:history="0" r:id="rId43" w:tooltip="Постановление Правительства РС(Я) от 19.02.2025 N 55 &quot;О внесении изменений в порядок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утвержденный постановлением Правительства Республики Саха (Якутия) от 28 июня 2024 г. N 282&quot; {КонсультантПлюс}">
        <w:r>
          <w:rPr>
            <w:sz w:val="20"/>
            <w:color w:val="0000ff"/>
          </w:rPr>
          <w:t xml:space="preserve">постановления</w:t>
        </w:r>
      </w:hyperlink>
      <w:r>
        <w:rPr>
          <w:sz w:val="20"/>
        </w:rPr>
        <w:t xml:space="preserve"> Правительства РС(Я) от 19.02.2025 N 55)</w:t>
      </w:r>
    </w:p>
    <w:p>
      <w:pPr>
        <w:pStyle w:val="0"/>
        <w:spacing w:before="200" w:lineRule="auto"/>
        <w:ind w:firstLine="540"/>
        <w:jc w:val="both"/>
      </w:pPr>
      <w:r>
        <w:rPr>
          <w:sz w:val="20"/>
        </w:rPr>
        <w:t xml:space="preserve">2.16. Автоматическое формирование протокола подведения итогов отбора на едином портале на основании результатов определения победителя (победителей) отбора и подписание его усиленной квалифицированной электронной подписью руководителя уполномоченного органа в системе "Электронный бюджет", а также размещение указанного протокола на едином портале осуществляются не позднее одного рабочего дня, следующего за днем его подписания.</w:t>
      </w:r>
    </w:p>
    <w:p>
      <w:pPr>
        <w:pStyle w:val="0"/>
        <w:spacing w:before="200" w:lineRule="auto"/>
        <w:ind w:firstLine="540"/>
        <w:jc w:val="both"/>
      </w:pPr>
      <w:r>
        <w:rPr>
          <w:sz w:val="20"/>
        </w:rPr>
        <w:t xml:space="preserve">Протокол подведения итогов отбора размещается в течение одного рабочего дня в государственной информационной системе (с размещением указателя страницы сайта на едином портале), а также на официальном сайте главного распорядителя бюджетных средств в сети Интернет, включающего следующие сведения:</w:t>
      </w:r>
    </w:p>
    <w:p>
      <w:pPr>
        <w:pStyle w:val="0"/>
        <w:spacing w:before="200" w:lineRule="auto"/>
        <w:ind w:firstLine="540"/>
        <w:jc w:val="both"/>
      </w:pPr>
      <w:r>
        <w:rPr>
          <w:sz w:val="20"/>
        </w:rPr>
        <w:t xml:space="preserve">1) дата, время и место проведения рассмотрения заявок;</w:t>
      </w:r>
    </w:p>
    <w:p>
      <w:pPr>
        <w:pStyle w:val="0"/>
        <w:spacing w:before="200" w:lineRule="auto"/>
        <w:ind w:firstLine="540"/>
        <w:jc w:val="both"/>
      </w:pPr>
      <w:r>
        <w:rPr>
          <w:sz w:val="20"/>
        </w:rPr>
        <w:t xml:space="preserve">2) дата, время и место оценки заявок;</w:t>
      </w:r>
    </w:p>
    <w:p>
      <w:pPr>
        <w:pStyle w:val="0"/>
        <w:spacing w:before="200" w:lineRule="auto"/>
        <w:ind w:firstLine="540"/>
        <w:jc w:val="both"/>
      </w:pPr>
      <w:r>
        <w:rPr>
          <w:sz w:val="20"/>
        </w:rPr>
        <w:t xml:space="preserve">3) информация об участниках отбора, заявки которых были рассмотрены;</w:t>
      </w:r>
    </w:p>
    <w:p>
      <w:pPr>
        <w:pStyle w:val="0"/>
        <w:spacing w:before="200" w:lineRule="auto"/>
        <w:ind w:firstLine="540"/>
        <w:jc w:val="both"/>
      </w:pPr>
      <w:r>
        <w:rPr>
          <w:sz w:val="20"/>
        </w:rPr>
        <w:t xml:space="preserve">4) 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pPr>
        <w:pStyle w:val="0"/>
        <w:spacing w:before="200" w:lineRule="auto"/>
        <w:ind w:firstLine="540"/>
        <w:jc w:val="both"/>
      </w:pPr>
      <w:r>
        <w:rPr>
          <w:sz w:val="20"/>
        </w:rPr>
        <w:t xml:space="preserve">5) последовательность оценки заявок, присвоенные заявкам значения по каждому из предусмотренных критериев оценки, показателей критериев оценки (при необходимости), принятое на основании результатов оценки заявок решение о присвоении заявкам порядковых номеров;</w:t>
      </w:r>
    </w:p>
    <w:p>
      <w:pPr>
        <w:pStyle w:val="0"/>
        <w:spacing w:before="200" w:lineRule="auto"/>
        <w:ind w:firstLine="540"/>
        <w:jc w:val="both"/>
      </w:pPr>
      <w:r>
        <w:rPr>
          <w:sz w:val="20"/>
        </w:rPr>
        <w:t xml:space="preserve">6) наименование получателя (получателей) субсидии, с которым заключается соглашение, и размер предоставляемой ему субсидии.</w:t>
      </w:r>
    </w:p>
    <w:p>
      <w:pPr>
        <w:pStyle w:val="0"/>
        <w:jc w:val="both"/>
      </w:pPr>
      <w:r>
        <w:rPr>
          <w:sz w:val="20"/>
        </w:rPr>
        <w:t xml:space="preserve">(п. 2.16 в ред. </w:t>
      </w:r>
      <w:hyperlink w:history="0" r:id="rId44" w:tooltip="Постановление Правительства РС(Я) от 19.02.2025 N 55 &quot;О внесении изменений в порядок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утвержденный постановлением Правительства Республики Саха (Якутия) от 28 июня 2024 г. N 282&quot; {КонсультантПлюс}">
        <w:r>
          <w:rPr>
            <w:sz w:val="20"/>
            <w:color w:val="0000ff"/>
          </w:rPr>
          <w:t xml:space="preserve">постановления</w:t>
        </w:r>
      </w:hyperlink>
      <w:r>
        <w:rPr>
          <w:sz w:val="20"/>
        </w:rPr>
        <w:t xml:space="preserve"> Правительства РС(Я) от 19.02.2025 N 55)</w:t>
      </w:r>
    </w:p>
    <w:p>
      <w:pPr>
        <w:pStyle w:val="0"/>
        <w:spacing w:before="200" w:lineRule="auto"/>
        <w:ind w:firstLine="540"/>
        <w:jc w:val="both"/>
      </w:pPr>
      <w:r>
        <w:rPr>
          <w:sz w:val="20"/>
        </w:rPr>
        <w:t xml:space="preserve">2.17. Внесение изменений в протокол рассмотрения заявок и протокол подведения итогов отбора осуществляется не позднее 10 календарных дней со дня подписания первых версий протокола рассмотрения заявок и протокола подведения итогов отбора путем формирования новых версий указанных протоколов с указанием причин внесения изменений.</w:t>
      </w:r>
    </w:p>
    <w:p>
      <w:pPr>
        <w:pStyle w:val="0"/>
        <w:jc w:val="both"/>
      </w:pPr>
      <w:r>
        <w:rPr>
          <w:sz w:val="20"/>
        </w:rPr>
        <w:t xml:space="preserve">(п. 2.17 введен </w:t>
      </w:r>
      <w:hyperlink w:history="0" r:id="rId45" w:tooltip="Постановление Правительства РС(Я) от 19.02.2025 N 55 &quot;О внесении изменений в порядок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утвержденный постановлением Правительства Республики Саха (Якутия) от 28 июня 2024 г. N 282&quot; {КонсультантПлюс}">
        <w:r>
          <w:rPr>
            <w:sz w:val="20"/>
            <w:color w:val="0000ff"/>
          </w:rPr>
          <w:t xml:space="preserve">постановлением</w:t>
        </w:r>
      </w:hyperlink>
      <w:r>
        <w:rPr>
          <w:sz w:val="20"/>
        </w:rPr>
        <w:t xml:space="preserve"> Правительства РС(Я) от 19.02.2025 N 55)</w:t>
      </w:r>
    </w:p>
    <w:p>
      <w:pPr>
        <w:pStyle w:val="0"/>
        <w:jc w:val="both"/>
      </w:pPr>
      <w:r>
        <w:rPr>
          <w:sz w:val="20"/>
        </w:rPr>
      </w:r>
    </w:p>
    <w:p>
      <w:pPr>
        <w:pStyle w:val="2"/>
        <w:outlineLvl w:val="1"/>
        <w:jc w:val="center"/>
      </w:pPr>
      <w:r>
        <w:rPr>
          <w:sz w:val="20"/>
        </w:rPr>
        <w:t xml:space="preserve">3. Условия и порядок предоставления субсидии</w:t>
      </w:r>
    </w:p>
    <w:p>
      <w:pPr>
        <w:pStyle w:val="0"/>
        <w:jc w:val="both"/>
      </w:pPr>
      <w:r>
        <w:rPr>
          <w:sz w:val="20"/>
        </w:rPr>
      </w:r>
    </w:p>
    <w:p>
      <w:pPr>
        <w:pStyle w:val="0"/>
        <w:ind w:firstLine="540"/>
        <w:jc w:val="both"/>
      </w:pPr>
      <w:r>
        <w:rPr>
          <w:sz w:val="20"/>
        </w:rPr>
        <w:t xml:space="preserve">3.1. Размер субсидии определяется в размере 10 процентов от предусмотренной суммы в государственном бюджете Республики Саха (Якутия) на проведение конкурса грантов Главы Республики Саха (Якутия) на соответствующий финансовый год и на плановый период в соответствии с законом Республики Саха (Якутия) согласно следующей формуле:</w:t>
      </w:r>
    </w:p>
    <w:p>
      <w:pPr>
        <w:pStyle w:val="0"/>
        <w:jc w:val="both"/>
      </w:pPr>
      <w:r>
        <w:rPr>
          <w:sz w:val="20"/>
        </w:rPr>
      </w:r>
    </w:p>
    <w:p>
      <w:pPr>
        <w:pStyle w:val="0"/>
        <w:jc w:val="center"/>
      </w:pPr>
      <w:r>
        <w:rPr>
          <w:sz w:val="20"/>
        </w:rPr>
        <w:t xml:space="preserve">V = G x 10%,</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V - объем субсидий, предоставляемых из государственного бюджета Республики Саха (Якутия) некоммерческим организациям, созданным под учредительством государственных органов, осуществляющим деятельность по развитию институтов гражданского общества в Республике Саха (Якутия);</w:t>
      </w:r>
    </w:p>
    <w:p>
      <w:pPr>
        <w:pStyle w:val="0"/>
        <w:spacing w:before="200" w:lineRule="auto"/>
        <w:ind w:firstLine="540"/>
        <w:jc w:val="both"/>
      </w:pPr>
      <w:r>
        <w:rPr>
          <w:sz w:val="20"/>
        </w:rPr>
        <w:t xml:space="preserve">G - объем средств грантов Главы Республики Саха (Якутия) на развитие гражданского общества в Республике Саха (Якутия), предусмотренный в соответствии с бюджетными ассигнованиями, утвержденными законом Республики Саха (Якутия) о государственном бюджете Республики Саха (Якутия) на соответствующий финансовый год и на плановый период.</w:t>
      </w:r>
    </w:p>
    <w:p>
      <w:pPr>
        <w:pStyle w:val="0"/>
        <w:spacing w:before="200" w:lineRule="auto"/>
        <w:ind w:firstLine="540"/>
        <w:jc w:val="both"/>
      </w:pPr>
      <w:r>
        <w:rPr>
          <w:sz w:val="20"/>
        </w:rPr>
        <w:t xml:space="preserve">3.2. Субсидии предоставляются на осуществление следующих расходов:</w:t>
      </w:r>
    </w:p>
    <w:p>
      <w:pPr>
        <w:pStyle w:val="0"/>
        <w:spacing w:before="200" w:lineRule="auto"/>
        <w:ind w:firstLine="540"/>
        <w:jc w:val="both"/>
      </w:pPr>
      <w:r>
        <w:rPr>
          <w:sz w:val="20"/>
        </w:rPr>
        <w:t xml:space="preserve">а) оплату труда штатных работников (включая НДФЛ);</w:t>
      </w:r>
    </w:p>
    <w:p>
      <w:pPr>
        <w:pStyle w:val="0"/>
        <w:spacing w:before="200" w:lineRule="auto"/>
        <w:ind w:firstLine="540"/>
        <w:jc w:val="both"/>
      </w:pPr>
      <w:r>
        <w:rPr>
          <w:sz w:val="20"/>
        </w:rPr>
        <w:t xml:space="preserve">б) выплату физическим лицам (за исключением индивидуальных предпринимателей) за оказание ими услуг (выполнение работ) по гражданско-правовым договорам (включая НДФЛ);</w:t>
      </w:r>
    </w:p>
    <w:p>
      <w:pPr>
        <w:pStyle w:val="0"/>
        <w:spacing w:before="200" w:lineRule="auto"/>
        <w:ind w:firstLine="540"/>
        <w:jc w:val="both"/>
      </w:pPr>
      <w:r>
        <w:rPr>
          <w:sz w:val="20"/>
        </w:rPr>
        <w:t xml:space="preserve">в) уплату налогов, сборов и иных обязательных платежей в бюджетную систему;</w:t>
      </w:r>
    </w:p>
    <w:p>
      <w:pPr>
        <w:pStyle w:val="0"/>
        <w:spacing w:before="200" w:lineRule="auto"/>
        <w:ind w:firstLine="540"/>
        <w:jc w:val="both"/>
      </w:pPr>
      <w:r>
        <w:rPr>
          <w:sz w:val="20"/>
        </w:rPr>
        <w:t xml:space="preserve">г) страховые взносы;</w:t>
      </w:r>
    </w:p>
    <w:p>
      <w:pPr>
        <w:pStyle w:val="0"/>
        <w:spacing w:before="200" w:lineRule="auto"/>
        <w:ind w:firstLine="540"/>
        <w:jc w:val="both"/>
      </w:pPr>
      <w:r>
        <w:rPr>
          <w:sz w:val="20"/>
        </w:rPr>
        <w:t xml:space="preserve">д) командировочные расходы;</w:t>
      </w:r>
    </w:p>
    <w:p>
      <w:pPr>
        <w:pStyle w:val="0"/>
        <w:spacing w:before="200" w:lineRule="auto"/>
        <w:ind w:firstLine="540"/>
        <w:jc w:val="both"/>
      </w:pPr>
      <w:r>
        <w:rPr>
          <w:sz w:val="20"/>
        </w:rPr>
        <w:t xml:space="preserve">е) офисные расходы;</w:t>
      </w:r>
    </w:p>
    <w:p>
      <w:pPr>
        <w:pStyle w:val="0"/>
        <w:spacing w:before="200" w:lineRule="auto"/>
        <w:ind w:firstLine="540"/>
        <w:jc w:val="both"/>
      </w:pPr>
      <w:r>
        <w:rPr>
          <w:sz w:val="20"/>
        </w:rPr>
        <w:t xml:space="preserve">ж) аренду нежилого помещения;</w:t>
      </w:r>
    </w:p>
    <w:p>
      <w:pPr>
        <w:pStyle w:val="0"/>
        <w:spacing w:before="200" w:lineRule="auto"/>
        <w:ind w:firstLine="540"/>
        <w:jc w:val="both"/>
      </w:pPr>
      <w:r>
        <w:rPr>
          <w:sz w:val="20"/>
        </w:rPr>
        <w:t xml:space="preserve">з) услуги связи. Данные расходы включают услуги телефонии, интернета и других услуг связи;</w:t>
      </w:r>
    </w:p>
    <w:p>
      <w:pPr>
        <w:pStyle w:val="0"/>
        <w:spacing w:before="200" w:lineRule="auto"/>
        <w:ind w:firstLine="540"/>
        <w:jc w:val="both"/>
      </w:pPr>
      <w:r>
        <w:rPr>
          <w:sz w:val="20"/>
        </w:rPr>
        <w:t xml:space="preserve">и) оплату юридических, информационных, консультационных услуг и иные аналогичные расходы. Статья бюджета включает оплату привлеченных сторонних организаций для оказания юридических, информационных, консультационных и других аналогичных услуг, которые необходимы для реализации проекта и требуют профессиональных знаний;</w:t>
      </w:r>
    </w:p>
    <w:p>
      <w:pPr>
        <w:pStyle w:val="0"/>
        <w:spacing w:before="200" w:lineRule="auto"/>
        <w:ind w:firstLine="540"/>
        <w:jc w:val="both"/>
      </w:pPr>
      <w:r>
        <w:rPr>
          <w:sz w:val="20"/>
        </w:rPr>
        <w:t xml:space="preserve">к) расходы на проведение мероприятий. Данная статья включает в себя расходы, связанные с проведением публичных мероприятий (форумов, семинаров, тренингов, пресс-конференций, обучения и т.п.);</w:t>
      </w:r>
    </w:p>
    <w:p>
      <w:pPr>
        <w:pStyle w:val="0"/>
        <w:spacing w:before="200" w:lineRule="auto"/>
        <w:ind w:firstLine="540"/>
        <w:jc w:val="both"/>
      </w:pPr>
      <w:r>
        <w:rPr>
          <w:sz w:val="20"/>
        </w:rPr>
        <w:t xml:space="preserve">л) грантовую и иную поддержку деятельности социально ориентированных некоммерческих организаций.</w:t>
      </w:r>
    </w:p>
    <w:bookmarkStart w:id="335" w:name="P335"/>
    <w:bookmarkEnd w:id="335"/>
    <w:p>
      <w:pPr>
        <w:pStyle w:val="0"/>
        <w:spacing w:before="200" w:lineRule="auto"/>
        <w:ind w:firstLine="540"/>
        <w:jc w:val="both"/>
      </w:pPr>
      <w:r>
        <w:rPr>
          <w:sz w:val="20"/>
        </w:rPr>
        <w:t xml:space="preserve">3.3. Участниками конкурса не могут быть (не допускаются до участия в конкурсе):</w:t>
      </w:r>
    </w:p>
    <w:p>
      <w:pPr>
        <w:pStyle w:val="0"/>
        <w:spacing w:before="200" w:lineRule="auto"/>
        <w:ind w:firstLine="540"/>
        <w:jc w:val="both"/>
      </w:pPr>
      <w:r>
        <w:rPr>
          <w:sz w:val="20"/>
        </w:rPr>
        <w:t xml:space="preserve">некоммерческие организации - российские юридические лица, зарегистрированные и осуществляющие свою деятельность, направленную на развитие институтов гражданского общества на территории Республики Саха (Якутия), созданные в организационно-правовой форме общественных организаций, общественных движений, фондов, частных (общественных) учреждений, автономных некоммерческих организаций, ассоциаций (союзов), имеющие учредителей, не являющихся государственным органом;</w:t>
      </w:r>
    </w:p>
    <w:p>
      <w:pPr>
        <w:pStyle w:val="0"/>
        <w:spacing w:before="200" w:lineRule="auto"/>
        <w:ind w:firstLine="540"/>
        <w:jc w:val="both"/>
      </w:pPr>
      <w:r>
        <w:rPr>
          <w:sz w:val="20"/>
        </w:rPr>
        <w:t xml:space="preserve">территориальные общественные самоуправления, казачьи общества, общины коренных малочисленных народов, религиозные организации, потребительские кооперативы, к которым относятся, в том числе жилищные, жилищно-строительные и гаражные кооперативы, садоводческие, огороднические и дачные потребительские кооперативы, общества взаимного страхования, кредитные кооперативы, фонды проката, сельскохозяйственные потребительские кооперативы;</w:t>
      </w:r>
    </w:p>
    <w:p>
      <w:pPr>
        <w:pStyle w:val="0"/>
        <w:spacing w:before="200" w:lineRule="auto"/>
        <w:ind w:firstLine="540"/>
        <w:jc w:val="both"/>
      </w:pPr>
      <w:r>
        <w:rPr>
          <w:sz w:val="20"/>
        </w:rPr>
        <w:t xml:space="preserve">политические партии;</w:t>
      </w:r>
    </w:p>
    <w:p>
      <w:pPr>
        <w:pStyle w:val="0"/>
        <w:spacing w:before="200" w:lineRule="auto"/>
        <w:ind w:firstLine="540"/>
        <w:jc w:val="both"/>
      </w:pPr>
      <w:r>
        <w:rPr>
          <w:sz w:val="20"/>
        </w:rPr>
        <w:t xml:space="preserve">саморегулируемые организации;</w:t>
      </w:r>
    </w:p>
    <w:p>
      <w:pPr>
        <w:pStyle w:val="0"/>
        <w:spacing w:before="200" w:lineRule="auto"/>
        <w:ind w:firstLine="540"/>
        <w:jc w:val="both"/>
      </w:pPr>
      <w:r>
        <w:rPr>
          <w:sz w:val="20"/>
        </w:rPr>
        <w:t xml:space="preserve">объединения работодателей;</w:t>
      </w:r>
    </w:p>
    <w:p>
      <w:pPr>
        <w:pStyle w:val="0"/>
        <w:spacing w:before="200" w:lineRule="auto"/>
        <w:ind w:firstLine="540"/>
        <w:jc w:val="both"/>
      </w:pPr>
      <w:r>
        <w:rPr>
          <w:sz w:val="20"/>
        </w:rPr>
        <w:t xml:space="preserve">объединения кооперативов;</w:t>
      </w:r>
    </w:p>
    <w:p>
      <w:pPr>
        <w:pStyle w:val="0"/>
        <w:spacing w:before="200" w:lineRule="auto"/>
        <w:ind w:firstLine="540"/>
        <w:jc w:val="both"/>
      </w:pPr>
      <w:r>
        <w:rPr>
          <w:sz w:val="20"/>
        </w:rPr>
        <w:t xml:space="preserve">товарищества собственников недвижимости, к которым относятся в том числе товарищества собственников жилья;</w:t>
      </w:r>
    </w:p>
    <w:p>
      <w:pPr>
        <w:pStyle w:val="0"/>
        <w:spacing w:before="200" w:lineRule="auto"/>
        <w:ind w:firstLine="540"/>
        <w:jc w:val="both"/>
      </w:pPr>
      <w:r>
        <w:rPr>
          <w:sz w:val="20"/>
        </w:rPr>
        <w:t xml:space="preserve">адвокатские палаты;</w:t>
      </w:r>
    </w:p>
    <w:p>
      <w:pPr>
        <w:pStyle w:val="0"/>
        <w:spacing w:before="200" w:lineRule="auto"/>
        <w:ind w:firstLine="540"/>
        <w:jc w:val="both"/>
      </w:pPr>
      <w:r>
        <w:rPr>
          <w:sz w:val="20"/>
        </w:rPr>
        <w:t xml:space="preserve">адвокатские образования;</w:t>
      </w:r>
    </w:p>
    <w:p>
      <w:pPr>
        <w:pStyle w:val="0"/>
        <w:spacing w:before="200" w:lineRule="auto"/>
        <w:ind w:firstLine="540"/>
        <w:jc w:val="both"/>
      </w:pPr>
      <w:r>
        <w:rPr>
          <w:sz w:val="20"/>
        </w:rPr>
        <w:t xml:space="preserve">нотариальные палаты;</w:t>
      </w:r>
    </w:p>
    <w:p>
      <w:pPr>
        <w:pStyle w:val="0"/>
        <w:spacing w:before="200" w:lineRule="auto"/>
        <w:ind w:firstLine="540"/>
        <w:jc w:val="both"/>
      </w:pPr>
      <w:r>
        <w:rPr>
          <w:sz w:val="20"/>
        </w:rPr>
        <w:t xml:space="preserve">микрофинансовые организации;</w:t>
      </w:r>
    </w:p>
    <w:p>
      <w:pPr>
        <w:pStyle w:val="0"/>
        <w:spacing w:before="200" w:lineRule="auto"/>
        <w:ind w:firstLine="540"/>
        <w:jc w:val="both"/>
      </w:pPr>
      <w:r>
        <w:rPr>
          <w:sz w:val="20"/>
        </w:rPr>
        <w:t xml:space="preserve">коммерческие организации.</w:t>
      </w:r>
    </w:p>
    <w:bookmarkStart w:id="348" w:name="P348"/>
    <w:bookmarkEnd w:id="348"/>
    <w:p>
      <w:pPr>
        <w:pStyle w:val="0"/>
        <w:spacing w:before="200" w:lineRule="auto"/>
        <w:ind w:firstLine="540"/>
        <w:jc w:val="both"/>
      </w:pPr>
      <w:r>
        <w:rPr>
          <w:sz w:val="20"/>
        </w:rPr>
        <w:t xml:space="preserve">3.4. Для участия в конкурсе участник конкурса должен подать </w:t>
      </w:r>
      <w:hyperlink w:history="0" w:anchor="P477" w:tooltip="ЗАЯВКА">
        <w:r>
          <w:rPr>
            <w:sz w:val="20"/>
            <w:color w:val="0000ff"/>
          </w:rPr>
          <w:t xml:space="preserve">заявку</w:t>
        </w:r>
      </w:hyperlink>
      <w:r>
        <w:rPr>
          <w:sz w:val="20"/>
        </w:rPr>
        <w:t xml:space="preserve"> в соответствии с пунктом 3.4.1 на едином портале, содержащую информацию об участнике конкурса, о подаваемой участником конкурса заявке, иной информации об участнике конкурса, подписанную руководителем участника конкурса или лицом, уполномоченным действовать от имени участника конкурса, с подписью и печатью (при наличии) по форме согласно приложению N 1 к настоящему порядку.</w:t>
      </w:r>
    </w:p>
    <w:p>
      <w:pPr>
        <w:pStyle w:val="0"/>
        <w:jc w:val="both"/>
      </w:pPr>
      <w:r>
        <w:rPr>
          <w:sz w:val="20"/>
        </w:rPr>
        <w:t xml:space="preserve">(п. 3.4 в ред. </w:t>
      </w:r>
      <w:hyperlink w:history="0" r:id="rId46" w:tooltip="Постановление Правительства РС(Я) от 19.02.2025 N 55 &quot;О внесении изменений в порядок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утвержденный постановлением Правительства Республики Саха (Якутия) от 28 июня 2024 г. N 282&quot; {КонсультантПлюс}">
        <w:r>
          <w:rPr>
            <w:sz w:val="20"/>
            <w:color w:val="0000ff"/>
          </w:rPr>
          <w:t xml:space="preserve">постановления</w:t>
        </w:r>
      </w:hyperlink>
      <w:r>
        <w:rPr>
          <w:sz w:val="20"/>
        </w:rPr>
        <w:t xml:space="preserve"> Правительства РС(Я) от 19.02.2025 N 55)</w:t>
      </w:r>
    </w:p>
    <w:bookmarkStart w:id="350" w:name="P350"/>
    <w:bookmarkEnd w:id="350"/>
    <w:p>
      <w:pPr>
        <w:pStyle w:val="0"/>
        <w:spacing w:before="200" w:lineRule="auto"/>
        <w:ind w:firstLine="540"/>
        <w:jc w:val="both"/>
      </w:pPr>
      <w:r>
        <w:rPr>
          <w:sz w:val="20"/>
        </w:rPr>
        <w:t xml:space="preserve">3.4.1. В состав заявки включаются следующие документы:</w:t>
      </w:r>
    </w:p>
    <w:p>
      <w:pPr>
        <w:pStyle w:val="0"/>
        <w:spacing w:before="200" w:lineRule="auto"/>
        <w:ind w:firstLine="540"/>
        <w:jc w:val="both"/>
      </w:pPr>
      <w:r>
        <w:rPr>
          <w:sz w:val="20"/>
        </w:rPr>
        <w:t xml:space="preserve">1) копия действующей редакции устава участника конкурса;</w:t>
      </w:r>
    </w:p>
    <w:p>
      <w:pPr>
        <w:pStyle w:val="0"/>
        <w:spacing w:before="200" w:lineRule="auto"/>
        <w:ind w:firstLine="540"/>
        <w:jc w:val="both"/>
      </w:pPr>
      <w:r>
        <w:rPr>
          <w:sz w:val="20"/>
        </w:rPr>
        <w:t xml:space="preserve">2) копия документа, подтверждающего полномочия лица на подачу заявки от имени участника конкурса, в случае, если заявку подает лицо, сведения о котором как о лице, имеющем право без доверенности действовать от имени участника конкурса, не содержатся в едином государственном реестре юридических лиц. В случае подачи заявки иным лицом необходимо приложить копию нотариально заверенной доверенности о назначении лица, имеющего право действовать от имени участника конкурса;</w:t>
      </w:r>
    </w:p>
    <w:p>
      <w:pPr>
        <w:pStyle w:val="0"/>
        <w:spacing w:before="200" w:lineRule="auto"/>
        <w:ind w:firstLine="540"/>
        <w:jc w:val="both"/>
      </w:pPr>
      <w:r>
        <w:rPr>
          <w:sz w:val="20"/>
        </w:rPr>
        <w:t xml:space="preserve">3) выписка из единого государственного реестра юридических лиц;</w:t>
      </w:r>
    </w:p>
    <w:p>
      <w:pPr>
        <w:pStyle w:val="0"/>
        <w:spacing w:before="200" w:lineRule="auto"/>
        <w:ind w:firstLine="540"/>
        <w:jc w:val="both"/>
      </w:pPr>
      <w:r>
        <w:rPr>
          <w:sz w:val="20"/>
        </w:rPr>
        <w:t xml:space="preserve">4) копия ИНН участника конкурса;</w:t>
      </w:r>
    </w:p>
    <w:p>
      <w:pPr>
        <w:pStyle w:val="0"/>
        <w:spacing w:before="200" w:lineRule="auto"/>
        <w:ind w:firstLine="540"/>
        <w:jc w:val="both"/>
      </w:pPr>
      <w:r>
        <w:rPr>
          <w:sz w:val="20"/>
        </w:rPr>
        <w:t xml:space="preserve">5) </w:t>
      </w:r>
      <w:hyperlink w:history="0" w:anchor="P601" w:tooltip="ПРОЕКТ (ПРОГРАММА)">
        <w:r>
          <w:rPr>
            <w:sz w:val="20"/>
            <w:color w:val="0000ff"/>
          </w:rPr>
          <w:t xml:space="preserve">проект</w:t>
        </w:r>
      </w:hyperlink>
      <w:r>
        <w:rPr>
          <w:sz w:val="20"/>
        </w:rPr>
        <w:t xml:space="preserve"> (программа) согласно приложению N 2 к настоящему порядку.</w:t>
      </w:r>
    </w:p>
    <w:bookmarkStart w:id="356" w:name="P356"/>
    <w:bookmarkEnd w:id="356"/>
    <w:p>
      <w:pPr>
        <w:pStyle w:val="0"/>
        <w:spacing w:before="200" w:lineRule="auto"/>
        <w:ind w:firstLine="540"/>
        <w:jc w:val="both"/>
      </w:pPr>
      <w:r>
        <w:rPr>
          <w:sz w:val="20"/>
        </w:rPr>
        <w:t xml:space="preserve">3.4.2. Срок реализации проекта (в части деятельности, на осуществление которой запрашивается субсидия) и использования средств субсидии не должен превышать 12 месяцев с момента подписания соглашения.</w:t>
      </w:r>
    </w:p>
    <w:p>
      <w:pPr>
        <w:pStyle w:val="0"/>
        <w:spacing w:before="200" w:lineRule="auto"/>
        <w:ind w:firstLine="540"/>
        <w:jc w:val="both"/>
      </w:pPr>
      <w:r>
        <w:rPr>
          <w:sz w:val="20"/>
        </w:rPr>
        <w:t xml:space="preserve">При возникновении необходимости продления срока реализации проекта (программы) по обстоятельствам, не зависящим от получателя субсидии, которые возникли после заключения соглашения, уполномоченный орган при поступлении письменного обращения с обоснованием такой необходимости, приложением подтверждающих документов принимает решение и направляет официальный ответ.</w:t>
      </w:r>
    </w:p>
    <w:p>
      <w:pPr>
        <w:pStyle w:val="0"/>
        <w:spacing w:before="200" w:lineRule="auto"/>
        <w:ind w:firstLine="540"/>
        <w:jc w:val="both"/>
      </w:pPr>
      <w:r>
        <w:rPr>
          <w:sz w:val="20"/>
        </w:rPr>
        <w:t xml:space="preserve">При продлении срока реализации проекта устанавливается дополнительный срок, не превышающий шести месяцев с даты окончания срока реализации проекта, указанного в соглашении. Дополнительное соглашение подписывается не позднее истечения срока использования средств субсидии, указанного в соглашении.</w:t>
      </w:r>
    </w:p>
    <w:p>
      <w:pPr>
        <w:pStyle w:val="0"/>
        <w:spacing w:before="200" w:lineRule="auto"/>
        <w:ind w:firstLine="540"/>
        <w:jc w:val="both"/>
      </w:pPr>
      <w:r>
        <w:rPr>
          <w:sz w:val="20"/>
        </w:rPr>
        <w:t xml:space="preserve">Указанные документы представляются в виде электронного документа с электронной подписью до окончания установленного в объявлении срока приема заявок.</w:t>
      </w:r>
    </w:p>
    <w:p>
      <w:pPr>
        <w:pStyle w:val="0"/>
        <w:jc w:val="both"/>
      </w:pPr>
      <w:r>
        <w:rPr>
          <w:sz w:val="20"/>
        </w:rPr>
        <w:t xml:space="preserve">(в ред. постановлений Правительства РС(Я) от 19.02.2025 </w:t>
      </w:r>
      <w:hyperlink w:history="0" r:id="rId47" w:tooltip="Постановление Правительства РС(Я) от 19.02.2025 N 55 &quot;О внесении изменений в порядок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утвержденный постановлением Правительства Республики Саха (Якутия) от 28 июня 2024 г. N 282&quot; {КонсультантПлюс}">
        <w:r>
          <w:rPr>
            <w:sz w:val="20"/>
            <w:color w:val="0000ff"/>
          </w:rPr>
          <w:t xml:space="preserve">N 55</w:t>
        </w:r>
      </w:hyperlink>
      <w:r>
        <w:rPr>
          <w:sz w:val="20"/>
        </w:rPr>
        <w:t xml:space="preserve">, от 01.07.2025 </w:t>
      </w:r>
      <w:hyperlink w:history="0" r:id="rId48" w:tooltip="Постановление Правительства РС(Я) от 01.07.2025 N 272 &quot;О внесении изменений в порядок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утвержденный постановлением Правительства Республики Саха (Якутия) от 28 июня 2024 г. N 282&quot; {КонсультантПлюс}">
        <w:r>
          <w:rPr>
            <w:sz w:val="20"/>
            <w:color w:val="0000ff"/>
          </w:rPr>
          <w:t xml:space="preserve">N 272</w:t>
        </w:r>
      </w:hyperlink>
      <w:r>
        <w:rPr>
          <w:sz w:val="20"/>
        </w:rPr>
        <w:t xml:space="preserve">)</w:t>
      </w:r>
    </w:p>
    <w:p>
      <w:pPr>
        <w:pStyle w:val="0"/>
        <w:spacing w:before="200" w:lineRule="auto"/>
        <w:ind w:firstLine="540"/>
        <w:jc w:val="both"/>
      </w:pPr>
      <w:r>
        <w:rPr>
          <w:sz w:val="20"/>
        </w:rPr>
        <w:t xml:space="preserve">Документы, подтверждающие соответствие требованиям, указанным в </w:t>
      </w:r>
      <w:hyperlink w:history="0" w:anchor="P122" w:tooltip="2) участник конкурс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получателя субсидии (участника отбора) не приостановлена в порядке, предусмотренном законодательством Российской Федерации;">
        <w:r>
          <w:rPr>
            <w:sz w:val="20"/>
            <w:color w:val="0000ff"/>
          </w:rPr>
          <w:t xml:space="preserve">подпунктах 2</w:t>
        </w:r>
      </w:hyperlink>
      <w:r>
        <w:rPr>
          <w:sz w:val="20"/>
        </w:rPr>
        <w:t xml:space="preserve">, </w:t>
      </w:r>
      <w:hyperlink w:history="0" w:anchor="P123" w:tooltip="3) у участника конкурс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w:r>
          <w:rPr>
            <w:sz w:val="20"/>
            <w:color w:val="0000ff"/>
          </w:rPr>
          <w:t xml:space="preserve">3</w:t>
        </w:r>
      </w:hyperlink>
      <w:r>
        <w:rPr>
          <w:sz w:val="20"/>
        </w:rPr>
        <w:t xml:space="preserve">, </w:t>
      </w:r>
      <w:hyperlink w:history="0" w:anchor="P124" w:tooltip="4) участник конкурс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
        <w:r>
          <w:rPr>
            <w:sz w:val="20"/>
            <w:color w:val="0000ff"/>
          </w:rPr>
          <w:t xml:space="preserve">4</w:t>
        </w:r>
      </w:hyperlink>
      <w:r>
        <w:rPr>
          <w:sz w:val="20"/>
        </w:rPr>
        <w:t xml:space="preserve">, </w:t>
      </w:r>
      <w:hyperlink w:history="0" w:anchor="P125" w:tooltip="5) участник конкурс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w:r>
          <w:rPr>
            <w:sz w:val="20"/>
            <w:color w:val="0000ff"/>
          </w:rPr>
          <w:t xml:space="preserve">5</w:t>
        </w:r>
      </w:hyperlink>
      <w:r>
        <w:rPr>
          <w:sz w:val="20"/>
        </w:rPr>
        <w:t xml:space="preserve">, </w:t>
      </w:r>
      <w:hyperlink w:history="0" w:anchor="P126" w:tooltip="6) участник конкурса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w:r>
          <w:rPr>
            <w:sz w:val="20"/>
            <w:color w:val="0000ff"/>
          </w:rPr>
          <w:t xml:space="preserve">6</w:t>
        </w:r>
      </w:hyperlink>
      <w:r>
        <w:rPr>
          <w:sz w:val="20"/>
        </w:rPr>
        <w:t xml:space="preserve">, </w:t>
      </w:r>
      <w:hyperlink w:history="0" w:anchor="P130" w:tooltip="9) участник конкурса не является иностранным агентом в соответствии с Федеральным законом &quot;О контроле за деятельностью лиц, находящихся под иностранным влиянием&quot;.">
        <w:r>
          <w:rPr>
            <w:sz w:val="20"/>
            <w:color w:val="0000ff"/>
          </w:rPr>
          <w:t xml:space="preserve">9 пункта 2.4</w:t>
        </w:r>
      </w:hyperlink>
      <w:r>
        <w:rPr>
          <w:sz w:val="20"/>
        </w:rPr>
        <w:t xml:space="preserve">, в </w:t>
      </w:r>
      <w:hyperlink w:history="0" w:anchor="P335" w:tooltip="3.3. Участниками конкурса не могут быть (не допускаются до участия в конкурсе):">
        <w:r>
          <w:rPr>
            <w:sz w:val="20"/>
            <w:color w:val="0000ff"/>
          </w:rPr>
          <w:t xml:space="preserve">пункте 3.3</w:t>
        </w:r>
      </w:hyperlink>
      <w:r>
        <w:rPr>
          <w:sz w:val="20"/>
        </w:rPr>
        <w:t xml:space="preserve"> настоящего порядка, проверяются уполномоченным органом самостоятельно, а также запрашиваются в порядке межведомственного информационного взаимодействия в соответствии со </w:t>
      </w:r>
      <w:hyperlink w:history="0" r:id="rId49" w:tooltip="Федеральный закон от 27.07.2010 N 210-ФЗ (ред. от 31.07.2025) &quot;Об организации предоставления государственных и муниципальных услуг&quot; {КонсультантПлюс}">
        <w:r>
          <w:rPr>
            <w:sz w:val="20"/>
            <w:color w:val="0000ff"/>
          </w:rPr>
          <w:t xml:space="preserve">статьей 7.2</w:t>
        </w:r>
      </w:hyperlink>
      <w:r>
        <w:rPr>
          <w:sz w:val="20"/>
        </w:rPr>
        <w:t xml:space="preserve"> Федерального закона от 27 июля 2010 г. N 210-ФЗ "Об организации предоставления государственных и муниципальных услуг" не позднее пяти рабочих дней со дня окончания приема заявок.</w:t>
      </w:r>
    </w:p>
    <w:p>
      <w:pPr>
        <w:pStyle w:val="0"/>
        <w:jc w:val="both"/>
      </w:pPr>
      <w:r>
        <w:rPr>
          <w:sz w:val="20"/>
        </w:rPr>
        <w:t xml:space="preserve">(в ред. </w:t>
      </w:r>
      <w:hyperlink w:history="0" r:id="rId50" w:tooltip="Постановление Правительства РС(Я) от 19.02.2025 N 55 &quot;О внесении изменений в порядок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утвержденный постановлением Правительства Республики Саха (Якутия) от 28 июня 2024 г. N 282&quot; {КонсультантПлюс}">
        <w:r>
          <w:rPr>
            <w:sz w:val="20"/>
            <w:color w:val="0000ff"/>
          </w:rPr>
          <w:t xml:space="preserve">постановления</w:t>
        </w:r>
      </w:hyperlink>
      <w:r>
        <w:rPr>
          <w:sz w:val="20"/>
        </w:rPr>
        <w:t xml:space="preserve"> Правительства РС(Я) от 19.02.2025 N 55)</w:t>
      </w:r>
    </w:p>
    <w:p>
      <w:pPr>
        <w:pStyle w:val="0"/>
        <w:spacing w:before="200" w:lineRule="auto"/>
        <w:ind w:firstLine="540"/>
        <w:jc w:val="both"/>
      </w:pPr>
      <w:r>
        <w:rPr>
          <w:sz w:val="20"/>
        </w:rPr>
        <w:t xml:space="preserve">Соответствие условиям, указанным в </w:t>
      </w:r>
      <w:hyperlink w:history="0" w:anchor="P121" w:tooltip="1) у участника конкурса отсутствуют просроченная задолженность по возврату в государственный бюджет Республики Саха (Якутия) иных субсидий, бюджетных инвестиций, а также иная просроченная (неурегулированная) задолженность по денежным обязательствам перед Республикой Саха (Якутия);">
        <w:r>
          <w:rPr>
            <w:sz w:val="20"/>
            <w:color w:val="0000ff"/>
          </w:rPr>
          <w:t xml:space="preserve">подпунктах 1</w:t>
        </w:r>
      </w:hyperlink>
      <w:r>
        <w:rPr>
          <w:sz w:val="20"/>
        </w:rPr>
        <w:t xml:space="preserve">, </w:t>
      </w:r>
      <w:hyperlink w:history="0" w:anchor="P124" w:tooltip="4) участник конкурс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
        <w:r>
          <w:rPr>
            <w:sz w:val="20"/>
            <w:color w:val="0000ff"/>
          </w:rPr>
          <w:t xml:space="preserve">4</w:t>
        </w:r>
      </w:hyperlink>
      <w:r>
        <w:rPr>
          <w:sz w:val="20"/>
        </w:rPr>
        <w:t xml:space="preserve">, </w:t>
      </w:r>
      <w:hyperlink w:history="0" w:anchor="P127" w:tooltip="7) участник конкурса не получает средства из государственного бюджета Республики Саха (Якутия) на основании иных нормативных правовых актов Республики Саха (Якутия) на цели, установленные настоящим порядком;">
        <w:r>
          <w:rPr>
            <w:sz w:val="20"/>
            <w:color w:val="0000ff"/>
          </w:rPr>
          <w:t xml:space="preserve">7</w:t>
        </w:r>
      </w:hyperlink>
      <w:r>
        <w:rPr>
          <w:sz w:val="20"/>
        </w:rPr>
        <w:t xml:space="preserve">, </w:t>
      </w:r>
      <w:hyperlink w:history="0" w:anchor="P129" w:tooltip="8)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и о физическом лице - производителе товаров, работ, услуг, являющихся участниками конкурса;">
        <w:r>
          <w:rPr>
            <w:sz w:val="20"/>
            <w:color w:val="0000ff"/>
          </w:rPr>
          <w:t xml:space="preserve">8 пункта 2.4</w:t>
        </w:r>
      </w:hyperlink>
      <w:r>
        <w:rPr>
          <w:sz w:val="20"/>
        </w:rPr>
        <w:t xml:space="preserve"> настоящего порядка, подтверждаются участником конкурса подписанием заявки, указанной в </w:t>
      </w:r>
      <w:hyperlink w:history="0" w:anchor="P348" w:tooltip="3.4. Для участия в конкурсе участник конкурса должен подать заявку в соответствии с пунктом 3.4.1 на едином портале, содержащую информацию об участнике конкурса, о подаваемой участником конкурса заявке, иной информации об участнике конкурса, подписанную руководителем участника конкурса или лицом, уполномоченным действовать от имени участника конкурса, с подписью и печатью (при наличии) по форме согласно приложению N 1 к настоящему порядку.">
        <w:r>
          <w:rPr>
            <w:sz w:val="20"/>
            <w:color w:val="0000ff"/>
          </w:rPr>
          <w:t xml:space="preserve">пункте 3.4</w:t>
        </w:r>
      </w:hyperlink>
      <w:r>
        <w:rPr>
          <w:sz w:val="20"/>
        </w:rPr>
        <w:t xml:space="preserve"> настоящего порядка.</w:t>
      </w:r>
    </w:p>
    <w:p>
      <w:pPr>
        <w:pStyle w:val="0"/>
        <w:spacing w:before="200" w:lineRule="auto"/>
        <w:ind w:firstLine="540"/>
        <w:jc w:val="both"/>
      </w:pPr>
      <w:r>
        <w:rPr>
          <w:sz w:val="20"/>
        </w:rPr>
        <w:t xml:space="preserve">3.5. Условия предоставления субсидий:</w:t>
      </w:r>
    </w:p>
    <w:p>
      <w:pPr>
        <w:pStyle w:val="0"/>
        <w:spacing w:before="200" w:lineRule="auto"/>
        <w:ind w:firstLine="540"/>
        <w:jc w:val="both"/>
      </w:pPr>
      <w:r>
        <w:rPr>
          <w:sz w:val="20"/>
        </w:rPr>
        <w:t xml:space="preserve">1) соответствие участника конкурса (получателя субсидии) требованиям, установленным в </w:t>
      </w:r>
      <w:hyperlink w:history="0" w:anchor="P119" w:tooltip="2.4. Требования, которым должен соответствовать участник конкурса по состоянию на даты рассмотрения заявки и заключения соглашения:">
        <w:r>
          <w:rPr>
            <w:sz w:val="20"/>
            <w:color w:val="0000ff"/>
          </w:rPr>
          <w:t xml:space="preserve">пунктах 2.4</w:t>
        </w:r>
      </w:hyperlink>
      <w:r>
        <w:rPr>
          <w:sz w:val="20"/>
        </w:rPr>
        <w:t xml:space="preserve">, </w:t>
      </w:r>
      <w:hyperlink w:history="0" w:anchor="P335" w:tooltip="3.3. Участниками конкурса не могут быть (не допускаются до участия в конкурсе):">
        <w:r>
          <w:rPr>
            <w:sz w:val="20"/>
            <w:color w:val="0000ff"/>
          </w:rPr>
          <w:t xml:space="preserve">3.3</w:t>
        </w:r>
      </w:hyperlink>
      <w:r>
        <w:rPr>
          <w:sz w:val="20"/>
        </w:rPr>
        <w:t xml:space="preserve"> настоящего порядка;</w:t>
      </w:r>
    </w:p>
    <w:p>
      <w:pPr>
        <w:pStyle w:val="0"/>
        <w:spacing w:before="200" w:lineRule="auto"/>
        <w:ind w:firstLine="540"/>
        <w:jc w:val="both"/>
      </w:pPr>
      <w:r>
        <w:rPr>
          <w:sz w:val="20"/>
        </w:rPr>
        <w:t xml:space="preserve">2) представление участником конкурса, претендующим на получение субсидии (получателем субсидии), документов, предусмотренных </w:t>
      </w:r>
      <w:hyperlink w:history="0" w:anchor="P348" w:tooltip="3.4. Для участия в конкурсе участник конкурса должен подать заявку в соответствии с пунктом 3.4.1 на едином портале, содержащую информацию об участнике конкурса, о подаваемой участником конкурса заявке, иной информации об участнике конкурса, подписанную руководителем участника конкурса или лицом, уполномоченным действовать от имени участника конкурса, с подписью и печатью (при наличии) по форме согласно приложению N 1 к настоящему порядку.">
        <w:r>
          <w:rPr>
            <w:sz w:val="20"/>
            <w:color w:val="0000ff"/>
          </w:rPr>
          <w:t xml:space="preserve">пунктом 3.4</w:t>
        </w:r>
      </w:hyperlink>
      <w:r>
        <w:rPr>
          <w:sz w:val="20"/>
        </w:rPr>
        <w:t xml:space="preserve"> настоящего порядка;</w:t>
      </w:r>
    </w:p>
    <w:p>
      <w:pPr>
        <w:pStyle w:val="0"/>
        <w:spacing w:before="200" w:lineRule="auto"/>
        <w:ind w:firstLine="540"/>
        <w:jc w:val="both"/>
      </w:pPr>
      <w:r>
        <w:rPr>
          <w:sz w:val="20"/>
        </w:rPr>
        <w:t xml:space="preserve">3) участник конкурса является победителем конкурса;</w:t>
      </w:r>
    </w:p>
    <w:p>
      <w:pPr>
        <w:pStyle w:val="0"/>
        <w:spacing w:before="200" w:lineRule="auto"/>
        <w:ind w:firstLine="540"/>
        <w:jc w:val="both"/>
      </w:pPr>
      <w:r>
        <w:rPr>
          <w:sz w:val="20"/>
        </w:rPr>
        <w:t xml:space="preserve">4) наличие обязательства участника конкурса (получателя субсидии), а также юридических лиц, получающих средства на основании договоров (соглашений), заключенных с участником конкурса (получателям субсидии), соблюдения запрета приобретения за счет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настоящим порядком;</w:t>
      </w:r>
    </w:p>
    <w:p>
      <w:pPr>
        <w:pStyle w:val="0"/>
        <w:spacing w:before="200" w:lineRule="auto"/>
        <w:ind w:firstLine="540"/>
        <w:jc w:val="both"/>
      </w:pPr>
      <w:r>
        <w:rPr>
          <w:sz w:val="20"/>
        </w:rPr>
        <w:t xml:space="preserve">5) наличие согласия участника конкурса (получателя субсидии), лиц, получающих средства субсидии на основании договоров (соглашений), заключенных с участником конкурса (получателем субсидии)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Министерством в отношении них проверки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в соответствии со </w:t>
      </w:r>
      <w:hyperlink w:history="0" r:id="rId51"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52"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 и на включение таких положений в соглашение;</w:t>
      </w:r>
    </w:p>
    <w:p>
      <w:pPr>
        <w:pStyle w:val="0"/>
        <w:spacing w:before="200" w:lineRule="auto"/>
        <w:ind w:firstLine="540"/>
        <w:jc w:val="both"/>
      </w:pPr>
      <w:r>
        <w:rPr>
          <w:sz w:val="20"/>
        </w:rPr>
        <w:t xml:space="preserve">6) наличие обязательства участника конкурса (получателя субсидии) о предоставлении отчета о достижении значений результата предоставления субсидии в порядке, установленном </w:t>
      </w:r>
      <w:hyperlink w:history="0" w:anchor="P415" w:tooltip="4.1. Не позднее последнего календарного дня каждого квартала получатель субсидии представляет в электронной форме в Министерство отчет о достижении значений результата предоставления субсидии и отчет об осуществлении расходов, источником финансового обеспечения которых является субсидия, а также характеристик результата предоставления субсидии по формам, определенным типовой формой соглашений, установленной Министерством финансов Республики Саха (Якутия).">
        <w:r>
          <w:rPr>
            <w:sz w:val="20"/>
            <w:color w:val="0000ff"/>
          </w:rPr>
          <w:t xml:space="preserve">пунктом 4.1</w:t>
        </w:r>
      </w:hyperlink>
      <w:r>
        <w:rPr>
          <w:sz w:val="20"/>
        </w:rPr>
        <w:t xml:space="preserve"> настоящего порядка;</w:t>
      </w:r>
    </w:p>
    <w:p>
      <w:pPr>
        <w:pStyle w:val="0"/>
        <w:spacing w:before="200" w:lineRule="auto"/>
        <w:ind w:firstLine="540"/>
        <w:jc w:val="both"/>
      </w:pPr>
      <w:r>
        <w:rPr>
          <w:sz w:val="20"/>
        </w:rPr>
        <w:t xml:space="preserve">7) наличие согласия на обработку персональных данных руководителя и участников проекта;</w:t>
      </w:r>
    </w:p>
    <w:p>
      <w:pPr>
        <w:pStyle w:val="0"/>
        <w:spacing w:before="200" w:lineRule="auto"/>
        <w:ind w:firstLine="540"/>
        <w:jc w:val="both"/>
      </w:pPr>
      <w:r>
        <w:rPr>
          <w:sz w:val="20"/>
        </w:rPr>
        <w:t xml:space="preserve">8) наличие обязательства участника конкурса (получателя субсидии) о предоставлении отчета о расходах, источником финансового обеспечения которых является субсидия, в порядке, установленном </w:t>
      </w:r>
      <w:hyperlink w:history="0" w:anchor="P415" w:tooltip="4.1. Не позднее последнего календарного дня каждого квартала получатель субсидии представляет в электронной форме в Министерство отчет о достижении значений результата предоставления субсидии и отчет об осуществлении расходов, источником финансового обеспечения которых является субсидия, а также характеристик результата предоставления субсидии по формам, определенным типовой формой соглашений, установленной Министерством финансов Республики Саха (Якутия).">
        <w:r>
          <w:rPr>
            <w:sz w:val="20"/>
            <w:color w:val="0000ff"/>
          </w:rPr>
          <w:t xml:space="preserve">пунктом 4.1</w:t>
        </w:r>
      </w:hyperlink>
      <w:r>
        <w:rPr>
          <w:sz w:val="20"/>
        </w:rPr>
        <w:t xml:space="preserve"> настоящего порядка;</w:t>
      </w:r>
    </w:p>
    <w:p>
      <w:pPr>
        <w:pStyle w:val="0"/>
        <w:spacing w:before="200" w:lineRule="auto"/>
        <w:ind w:firstLine="540"/>
        <w:jc w:val="both"/>
      </w:pPr>
      <w:r>
        <w:rPr>
          <w:sz w:val="20"/>
        </w:rPr>
        <w:t xml:space="preserve">9) запрет приобретения участником конкурса (получателем субсидий) - юридическими лицами, а также иными юридическими лицами, получающими средства на основании договоров (соглашений), заключенных с получателями субсидий, за счет полученных из соответствующего бюджета бюджетной системы Российской Федерации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настоящим порядком.</w:t>
      </w:r>
    </w:p>
    <w:p>
      <w:pPr>
        <w:pStyle w:val="0"/>
        <w:jc w:val="both"/>
      </w:pPr>
      <w:r>
        <w:rPr>
          <w:sz w:val="20"/>
        </w:rPr>
        <w:t xml:space="preserve">(п. 3.5 в ред. </w:t>
      </w:r>
      <w:hyperlink w:history="0" r:id="rId53" w:tooltip="Постановление Правительства РС(Я) от 19.02.2025 N 55 &quot;О внесении изменений в порядок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утвержденный постановлением Правительства Республики Саха (Якутия) от 28 июня 2024 г. N 282&quot; {КонсультантПлюс}">
        <w:r>
          <w:rPr>
            <w:sz w:val="20"/>
            <w:color w:val="0000ff"/>
          </w:rPr>
          <w:t xml:space="preserve">постановления</w:t>
        </w:r>
      </w:hyperlink>
      <w:r>
        <w:rPr>
          <w:sz w:val="20"/>
        </w:rPr>
        <w:t xml:space="preserve"> Правительства РС(Я) от 19.02.2025 N 55)</w:t>
      </w:r>
    </w:p>
    <w:p>
      <w:pPr>
        <w:pStyle w:val="0"/>
        <w:spacing w:before="200" w:lineRule="auto"/>
        <w:ind w:firstLine="540"/>
        <w:jc w:val="both"/>
      </w:pPr>
      <w:r>
        <w:rPr>
          <w:sz w:val="20"/>
        </w:rPr>
        <w:t xml:space="preserve">3.6. Основаниями для отказа получателю субсидии в предоставлении субсидии являются:</w:t>
      </w:r>
    </w:p>
    <w:p>
      <w:pPr>
        <w:pStyle w:val="0"/>
        <w:spacing w:before="200" w:lineRule="auto"/>
        <w:ind w:firstLine="540"/>
        <w:jc w:val="both"/>
      </w:pPr>
      <w:r>
        <w:rPr>
          <w:sz w:val="20"/>
        </w:rPr>
        <w:t xml:space="preserve">1) несоответствие представленных получателем субсидии документов перечню документов, указанному в </w:t>
      </w:r>
      <w:hyperlink w:history="0" w:anchor="P350" w:tooltip="3.4.1. В состав заявки включаются следующие документы:">
        <w:r>
          <w:rPr>
            <w:sz w:val="20"/>
            <w:color w:val="0000ff"/>
          </w:rPr>
          <w:t xml:space="preserve">пункте 3.4.1</w:t>
        </w:r>
      </w:hyperlink>
      <w:r>
        <w:rPr>
          <w:sz w:val="20"/>
        </w:rPr>
        <w:t xml:space="preserve"> настоящего порядка, или непредставление (представление не в полном объеме) указанных документов;</w:t>
      </w:r>
    </w:p>
    <w:p>
      <w:pPr>
        <w:pStyle w:val="0"/>
        <w:spacing w:before="200" w:lineRule="auto"/>
        <w:ind w:firstLine="540"/>
        <w:jc w:val="both"/>
      </w:pPr>
      <w:r>
        <w:rPr>
          <w:sz w:val="20"/>
        </w:rPr>
        <w:t xml:space="preserve">2) установление факта недостоверности представленной получателем субсидии информации.</w:t>
      </w:r>
    </w:p>
    <w:p>
      <w:pPr>
        <w:pStyle w:val="0"/>
        <w:jc w:val="both"/>
      </w:pPr>
      <w:r>
        <w:rPr>
          <w:sz w:val="20"/>
        </w:rPr>
        <w:t xml:space="preserve">(п. 3.6 в ред. </w:t>
      </w:r>
      <w:hyperlink w:history="0" r:id="rId54" w:tooltip="Постановление Правительства РС(Я) от 19.02.2025 N 55 &quot;О внесении изменений в порядок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утвержденный постановлением Правительства Республики Саха (Якутия) от 28 июня 2024 г. N 282&quot; {КонсультантПлюс}">
        <w:r>
          <w:rPr>
            <w:sz w:val="20"/>
            <w:color w:val="0000ff"/>
          </w:rPr>
          <w:t xml:space="preserve">постановления</w:t>
        </w:r>
      </w:hyperlink>
      <w:r>
        <w:rPr>
          <w:sz w:val="20"/>
        </w:rPr>
        <w:t xml:space="preserve"> Правительства РС(Я) от 19.02.2025 N 55)</w:t>
      </w:r>
    </w:p>
    <w:p>
      <w:pPr>
        <w:pStyle w:val="0"/>
        <w:spacing w:before="200" w:lineRule="auto"/>
        <w:ind w:firstLine="540"/>
        <w:jc w:val="both"/>
      </w:pPr>
      <w:r>
        <w:rPr>
          <w:sz w:val="20"/>
        </w:rPr>
        <w:t xml:space="preserve">3.7. Субсидия предоставляется на основании соглашения, заключаемого между Министерством и получателем субсидии.</w:t>
      </w:r>
    </w:p>
    <w:p>
      <w:pPr>
        <w:pStyle w:val="0"/>
        <w:spacing w:before="200" w:lineRule="auto"/>
        <w:ind w:firstLine="540"/>
        <w:jc w:val="both"/>
      </w:pPr>
      <w:r>
        <w:rPr>
          <w:sz w:val="20"/>
        </w:rPr>
        <w:t xml:space="preserve">Соглашение о предоставлении субсидии из государственного бюджета Республики Саха (Якутия) должно содержать условие о том, что в случае, если источником финансового обеспечения расходных обязательств по предоставлению указанных субсидий являются межбюджетные трансферты, имеющие целевое назначение, из федерального бюджета бюджету Республики Саха (Якутия), то соглашение заключается с соблюдением требований о защите государственной тайны в государственной интегрированной информационной системе управления общественными финансами "Электронный бюджет" в соответствии с типовой формой, установленной Министерством финансов Российской Федерации.</w:t>
      </w:r>
    </w:p>
    <w:p>
      <w:pPr>
        <w:pStyle w:val="0"/>
        <w:spacing w:before="200" w:lineRule="auto"/>
        <w:ind w:firstLine="540"/>
        <w:jc w:val="both"/>
      </w:pPr>
      <w:r>
        <w:rPr>
          <w:sz w:val="20"/>
        </w:rPr>
        <w:t xml:space="preserve">По соглашению сторон заключается дополнительное соглашение, в том числе дополнительное соглашение о расторжении (при необходимости) в порядке и на условиях, установленных в типовой форме дополнительного соглашения, утвержденной приказом Министерства финансов Российской Федерации.</w:t>
      </w:r>
    </w:p>
    <w:p>
      <w:pPr>
        <w:pStyle w:val="0"/>
        <w:spacing w:before="200" w:lineRule="auto"/>
        <w:ind w:firstLine="540"/>
        <w:jc w:val="both"/>
      </w:pPr>
      <w:r>
        <w:rPr>
          <w:sz w:val="20"/>
        </w:rPr>
        <w:t xml:space="preserve">Получатель субсидии должен подписать проект соглашения в течение 10 рабочих дней со дня получения проекта соглашения на едином портале.</w:t>
      </w:r>
    </w:p>
    <w:p>
      <w:pPr>
        <w:pStyle w:val="0"/>
        <w:spacing w:before="200" w:lineRule="auto"/>
        <w:ind w:firstLine="540"/>
        <w:jc w:val="both"/>
      </w:pPr>
      <w:r>
        <w:rPr>
          <w:sz w:val="20"/>
        </w:rPr>
        <w:t xml:space="preserve">В случае неподписания получателем субсидии соглашения на едином портале в течение срока, указанного в абзаце первом настоящего пункта, получатель субсидии считается уклонившимся от заключения соглашения.</w:t>
      </w:r>
    </w:p>
    <w:p>
      <w:pPr>
        <w:pStyle w:val="0"/>
        <w:spacing w:before="200" w:lineRule="auto"/>
        <w:ind w:firstLine="540"/>
        <w:jc w:val="both"/>
      </w:pPr>
      <w:r>
        <w:rPr>
          <w:sz w:val="20"/>
        </w:rPr>
        <w:t xml:space="preserve">В соглашение должно быть включено требование о том, что в случае уменьшения Министерству ранее направленных лимитов бюджетных обязательств, указанных в </w:t>
      </w:r>
      <w:hyperlink w:history="0" w:anchor="P61" w:tooltip="1.4. Министерство по делам молодежи и социальным коммуникациям Республики Саха (Якутия) является главным распорядителем средств государственного бюджета Республики Саха (Якутия), которому в соответствии с бюджетным законодательством Российской Федерации как получателю средств государственного бюджета направлены в установленном порядке лимиты бюджетных обязательств на предоставление субсидии на соответствующий финансовый год и плановый период (далее - уполномоченный орган).">
        <w:r>
          <w:rPr>
            <w:sz w:val="20"/>
            <w:color w:val="0000ff"/>
          </w:rPr>
          <w:t xml:space="preserve">пункте 1.4</w:t>
        </w:r>
      </w:hyperlink>
      <w:r>
        <w:rPr>
          <w:sz w:val="20"/>
        </w:rPr>
        <w:t xml:space="preserve"> настоящего порядка, приводящего к невозможности предоставления субсидии в размере, определенном в соглашении, Министерство и получатель субсидии заключают дополнительное соглашение на новых условиях, при недостижении согласия по новым условиям Министерство и получатель субсидии заключают дополнительное соглашение о расторжении соглашения в порядке и на условиях, установленных в типовой форме дополнительного соглашения, утвержденной приказом Министерства финансов Российской Федерации.</w:t>
      </w:r>
    </w:p>
    <w:p>
      <w:pPr>
        <w:pStyle w:val="0"/>
        <w:jc w:val="both"/>
      </w:pPr>
      <w:r>
        <w:rPr>
          <w:sz w:val="20"/>
        </w:rPr>
        <w:t xml:space="preserve">(п. 3.7 в ред. </w:t>
      </w:r>
      <w:hyperlink w:history="0" r:id="rId55" w:tooltip="Постановление Правительства РС(Я) от 19.02.2025 N 55 &quot;О внесении изменений в порядок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утвержденный постановлением Правительства Республики Саха (Якутия) от 28 июня 2024 г. N 282&quot; {КонсультантПлюс}">
        <w:r>
          <w:rPr>
            <w:sz w:val="20"/>
            <w:color w:val="0000ff"/>
          </w:rPr>
          <w:t xml:space="preserve">постановления</w:t>
        </w:r>
      </w:hyperlink>
      <w:r>
        <w:rPr>
          <w:sz w:val="20"/>
        </w:rPr>
        <w:t xml:space="preserve"> Правительства РС(Я) от 19.02.2025 N 55)</w:t>
      </w:r>
    </w:p>
    <w:bookmarkStart w:id="386" w:name="P386"/>
    <w:bookmarkEnd w:id="386"/>
    <w:p>
      <w:pPr>
        <w:pStyle w:val="0"/>
        <w:spacing w:before="200" w:lineRule="auto"/>
        <w:ind w:firstLine="540"/>
        <w:jc w:val="both"/>
      </w:pPr>
      <w:r>
        <w:rPr>
          <w:sz w:val="20"/>
        </w:rPr>
        <w:t xml:space="preserve">3.8. Результатом предоставления субсидий является: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272"/>
        <w:gridCol w:w="1814"/>
        <w:gridCol w:w="1984"/>
      </w:tblGrid>
      <w:tr>
        <w:tc>
          <w:tcPr>
            <w:tcW w:w="5272" w:type="dxa"/>
            <w:vAlign w:val="center"/>
          </w:tcPr>
          <w:p>
            <w:pPr>
              <w:pStyle w:val="0"/>
              <w:jc w:val="center"/>
            </w:pPr>
            <w:r>
              <w:rPr>
                <w:sz w:val="20"/>
              </w:rPr>
              <w:t xml:space="preserve">Результат предоставления субсидии</w:t>
            </w:r>
          </w:p>
        </w:tc>
        <w:tc>
          <w:tcPr>
            <w:tcW w:w="1814" w:type="dxa"/>
            <w:vAlign w:val="center"/>
          </w:tcPr>
          <w:p>
            <w:pPr>
              <w:pStyle w:val="0"/>
              <w:jc w:val="center"/>
            </w:pPr>
            <w:r>
              <w:rPr>
                <w:sz w:val="20"/>
              </w:rPr>
              <w:t xml:space="preserve">Значение результатов</w:t>
            </w:r>
          </w:p>
        </w:tc>
        <w:tc>
          <w:tcPr>
            <w:tcW w:w="1984" w:type="dxa"/>
            <w:vAlign w:val="center"/>
          </w:tcPr>
          <w:p>
            <w:pPr>
              <w:pStyle w:val="0"/>
              <w:jc w:val="center"/>
            </w:pPr>
            <w:r>
              <w:rPr>
                <w:sz w:val="20"/>
              </w:rPr>
              <w:t xml:space="preserve">Дата завершения значения результатов</w:t>
            </w:r>
          </w:p>
        </w:tc>
      </w:tr>
      <w:tr>
        <w:tc>
          <w:tcPr>
            <w:tcW w:w="5272" w:type="dxa"/>
          </w:tcPr>
          <w:p>
            <w:pPr>
              <w:pStyle w:val="0"/>
              <w:jc w:val="both"/>
            </w:pPr>
            <w:r>
              <w:rPr>
                <w:sz w:val="20"/>
              </w:rPr>
              <w:t xml:space="preserve">Количество созданных муниципальных ресурсных и коворкинг-центров развития гражданских инициатив, проектных офисов, в том числе в образовательных учреждениях, библиотеках через механизм социального партнерства с органами местного самоуправления, организаций</w:t>
            </w:r>
          </w:p>
        </w:tc>
        <w:tc>
          <w:tcPr>
            <w:tcW w:w="1814" w:type="dxa"/>
            <w:vAlign w:val="center"/>
          </w:tcPr>
          <w:p>
            <w:pPr>
              <w:pStyle w:val="0"/>
              <w:jc w:val="center"/>
            </w:pPr>
            <w:r>
              <w:rPr>
                <w:sz w:val="20"/>
              </w:rPr>
              <w:t xml:space="preserve">Не менее 36</w:t>
            </w:r>
          </w:p>
        </w:tc>
        <w:tc>
          <w:tcPr>
            <w:tcW w:w="1984" w:type="dxa"/>
            <w:vAlign w:val="center"/>
          </w:tcPr>
          <w:p>
            <w:pPr>
              <w:pStyle w:val="0"/>
              <w:jc w:val="center"/>
            </w:pPr>
            <w:r>
              <w:rPr>
                <w:sz w:val="20"/>
              </w:rPr>
              <w:t xml:space="preserve">Не позднее 12 месяцев со дня подписания соглашения</w:t>
            </w:r>
          </w:p>
        </w:tc>
      </w:tr>
      <w:tr>
        <w:tc>
          <w:tcPr>
            <w:tcW w:w="5272" w:type="dxa"/>
            <w:vAlign w:val="center"/>
          </w:tcPr>
          <w:p>
            <w:pPr>
              <w:pStyle w:val="0"/>
              <w:jc w:val="both"/>
            </w:pPr>
            <w:r>
              <w:rPr>
                <w:sz w:val="20"/>
              </w:rPr>
              <w:t xml:space="preserve">Количество граждан, принявших участие в образовательных мероприятиях по повышению качества социального проектирования и эффективности участия активных граждан, социально ориентированных некоммерческих организаций республики в федеральных, региональных конкурсах, человек</w:t>
            </w:r>
          </w:p>
        </w:tc>
        <w:tc>
          <w:tcPr>
            <w:tcW w:w="1814" w:type="dxa"/>
            <w:vAlign w:val="center"/>
          </w:tcPr>
          <w:p>
            <w:pPr>
              <w:pStyle w:val="0"/>
              <w:jc w:val="center"/>
            </w:pPr>
            <w:r>
              <w:rPr>
                <w:sz w:val="20"/>
              </w:rPr>
              <w:t xml:space="preserve">Не менее 1000</w:t>
            </w:r>
          </w:p>
        </w:tc>
        <w:tc>
          <w:tcPr>
            <w:tcW w:w="1984" w:type="dxa"/>
            <w:vAlign w:val="center"/>
          </w:tcPr>
          <w:p>
            <w:pPr>
              <w:pStyle w:val="0"/>
              <w:jc w:val="center"/>
            </w:pPr>
            <w:r>
              <w:rPr>
                <w:sz w:val="20"/>
              </w:rPr>
              <w:t xml:space="preserve">Не позднее 12 месяцев со дня подписания соглашения</w:t>
            </w:r>
          </w:p>
        </w:tc>
      </w:tr>
      <w:tr>
        <w:tc>
          <w:tcPr>
            <w:tcW w:w="5272" w:type="dxa"/>
            <w:vAlign w:val="center"/>
          </w:tcPr>
          <w:p>
            <w:pPr>
              <w:pStyle w:val="0"/>
              <w:jc w:val="both"/>
            </w:pPr>
            <w:r>
              <w:rPr>
                <w:sz w:val="20"/>
              </w:rPr>
              <w:t xml:space="preserve">Количество граждан, воспользовавшихся услугами в сфере консультационно-методологического сопровождения, курирования получателей грантов, человек</w:t>
            </w:r>
          </w:p>
        </w:tc>
        <w:tc>
          <w:tcPr>
            <w:tcW w:w="1814" w:type="dxa"/>
            <w:vAlign w:val="center"/>
          </w:tcPr>
          <w:p>
            <w:pPr>
              <w:pStyle w:val="0"/>
              <w:jc w:val="center"/>
            </w:pPr>
            <w:r>
              <w:rPr>
                <w:sz w:val="20"/>
              </w:rPr>
              <w:t xml:space="preserve">Не менее 2000</w:t>
            </w:r>
          </w:p>
        </w:tc>
        <w:tc>
          <w:tcPr>
            <w:tcW w:w="1984" w:type="dxa"/>
            <w:vAlign w:val="center"/>
          </w:tcPr>
          <w:p>
            <w:pPr>
              <w:pStyle w:val="0"/>
              <w:jc w:val="center"/>
            </w:pPr>
            <w:r>
              <w:rPr>
                <w:sz w:val="20"/>
              </w:rPr>
              <w:t xml:space="preserve">Не позднее 12 месяцев со дня подписания соглашения</w:t>
            </w:r>
          </w:p>
        </w:tc>
      </w:tr>
      <w:tr>
        <w:tc>
          <w:tcPr>
            <w:tcW w:w="5272" w:type="dxa"/>
            <w:vAlign w:val="center"/>
          </w:tcPr>
          <w:p>
            <w:pPr>
              <w:pStyle w:val="0"/>
              <w:jc w:val="both"/>
            </w:pPr>
            <w:r>
              <w:rPr>
                <w:sz w:val="20"/>
              </w:rPr>
              <w:t xml:space="preserve">Количество поддержанных заявок, поданных на федеральные и региональные конкурсы, направленных на поддержку институтов гражданского общества</w:t>
            </w:r>
          </w:p>
        </w:tc>
        <w:tc>
          <w:tcPr>
            <w:tcW w:w="1814" w:type="dxa"/>
            <w:vAlign w:val="center"/>
          </w:tcPr>
          <w:p>
            <w:pPr>
              <w:pStyle w:val="0"/>
              <w:jc w:val="center"/>
            </w:pPr>
            <w:r>
              <w:rPr>
                <w:sz w:val="20"/>
              </w:rPr>
              <w:t xml:space="preserve">Не менее 50</w:t>
            </w:r>
          </w:p>
        </w:tc>
        <w:tc>
          <w:tcPr>
            <w:tcW w:w="1984" w:type="dxa"/>
            <w:vAlign w:val="center"/>
          </w:tcPr>
          <w:p>
            <w:pPr>
              <w:pStyle w:val="0"/>
              <w:jc w:val="center"/>
            </w:pPr>
            <w:r>
              <w:rPr>
                <w:sz w:val="20"/>
              </w:rPr>
              <w:t xml:space="preserve">Не позднее 12 месяцев со дня подписания соглашения</w:t>
            </w:r>
          </w:p>
        </w:tc>
      </w:tr>
    </w:tbl>
    <w:p>
      <w:pPr>
        <w:pStyle w:val="0"/>
        <w:jc w:val="both"/>
      </w:pPr>
      <w:r>
        <w:rPr>
          <w:sz w:val="20"/>
        </w:rPr>
      </w:r>
    </w:p>
    <w:p>
      <w:pPr>
        <w:pStyle w:val="0"/>
        <w:ind w:firstLine="540"/>
        <w:jc w:val="both"/>
      </w:pPr>
      <w:r>
        <w:rPr>
          <w:sz w:val="20"/>
        </w:rPr>
        <w:t xml:space="preserve">Результаты и значения показателей результатов предоставления субсидий должны быть достигнуты в течение 12 месяцев с момента подписания соглашения. В случае продления срока реализации проекта в соответствии с </w:t>
      </w:r>
      <w:hyperlink w:history="0" w:anchor="P356" w:tooltip="3.4.2. Срок реализации проекта (в части деятельности, на осуществление которой запрашивается субсидия) и использования средств субсидии не должен превышать 12 месяцев с момента подписания соглашения.">
        <w:r>
          <w:rPr>
            <w:sz w:val="20"/>
            <w:color w:val="0000ff"/>
          </w:rPr>
          <w:t xml:space="preserve">подпунктом 3.4.2</w:t>
        </w:r>
      </w:hyperlink>
      <w:r>
        <w:rPr>
          <w:sz w:val="20"/>
        </w:rPr>
        <w:t xml:space="preserve"> настоящего порядка срок достижения значений результатов может быть продлен не более чем на шесть месяцев с даты подписания дополнительного соглашения.</w:t>
      </w:r>
    </w:p>
    <w:p>
      <w:pPr>
        <w:pStyle w:val="0"/>
        <w:jc w:val="both"/>
      </w:pPr>
      <w:r>
        <w:rPr>
          <w:sz w:val="20"/>
        </w:rPr>
        <w:t xml:space="preserve">(в ред. </w:t>
      </w:r>
      <w:hyperlink w:history="0" r:id="rId56" w:tooltip="Постановление Правительства РС(Я) от 19.02.2025 N 55 &quot;О внесении изменений в порядок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утвержденный постановлением Правительства Республики Саха (Якутия) от 28 июня 2024 г. N 282&quot; {КонсультантПлюс}">
        <w:r>
          <w:rPr>
            <w:sz w:val="20"/>
            <w:color w:val="0000ff"/>
          </w:rPr>
          <w:t xml:space="preserve">постановления</w:t>
        </w:r>
      </w:hyperlink>
      <w:r>
        <w:rPr>
          <w:sz w:val="20"/>
        </w:rPr>
        <w:t xml:space="preserve"> Правительства РС(Я) от 19.02.2025 N 55)</w:t>
      </w:r>
    </w:p>
    <w:p>
      <w:pPr>
        <w:pStyle w:val="0"/>
        <w:spacing w:before="200" w:lineRule="auto"/>
        <w:ind w:firstLine="540"/>
        <w:jc w:val="both"/>
      </w:pPr>
      <w:r>
        <w:rPr>
          <w:sz w:val="20"/>
        </w:rPr>
        <w:t xml:space="preserve">Абзац утратил силу. - </w:t>
      </w:r>
      <w:hyperlink w:history="0" r:id="rId57" w:tooltip="Постановление Правительства РС(Я) от 19.02.2025 N 55 &quot;О внесении изменений в порядок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утвержденный постановлением Правительства Республики Саха (Якутия) от 28 июня 2024 г. N 282&quot; {КонсультантПлюс}">
        <w:r>
          <w:rPr>
            <w:sz w:val="20"/>
            <w:color w:val="0000ff"/>
          </w:rPr>
          <w:t xml:space="preserve">Постановление</w:t>
        </w:r>
      </w:hyperlink>
      <w:r>
        <w:rPr>
          <w:sz w:val="20"/>
        </w:rPr>
        <w:t xml:space="preserve"> Правительства РС(Я) от 19.02.2025 N 55.</w:t>
      </w:r>
    </w:p>
    <w:p>
      <w:pPr>
        <w:pStyle w:val="0"/>
        <w:spacing w:before="200" w:lineRule="auto"/>
        <w:ind w:firstLine="540"/>
        <w:jc w:val="both"/>
      </w:pPr>
      <w:r>
        <w:rPr>
          <w:sz w:val="20"/>
        </w:rPr>
        <w:t xml:space="preserve">3.9. Субсидии предоставляются путем безналичного перечисления суммы на расчетный счет, открытый получателям субсидий в учреждениях Центрального банка Российской Федерации или кредитных организациях, в соответствии с утвержденным графиком перечисления субсидий на основании соглашения, заключаемого между уполномоченным органом и получателем субсидии, по типовым формам соглашения, дополнительного соглашения к соглашению, в порядке и на условиях в соответствии с типовыми формами, установленными Министерством финансов Республики Саха (Якутия).</w:t>
      </w:r>
    </w:p>
    <w:p>
      <w:pPr>
        <w:pStyle w:val="0"/>
        <w:spacing w:before="200" w:lineRule="auto"/>
        <w:ind w:firstLine="540"/>
        <w:jc w:val="both"/>
      </w:pPr>
      <w:r>
        <w:rPr>
          <w:sz w:val="20"/>
        </w:rPr>
        <w:t xml:space="preserve">При этом перечисление субсидии производится в срок не позднее 10-го рабочего дня, следующего за днем принятия Министерством по результатам рассмотрения и проверки им документов, указанных в </w:t>
      </w:r>
      <w:hyperlink w:history="0" w:anchor="P350" w:tooltip="3.4.1. В состав заявки включаются следующие документы:">
        <w:r>
          <w:rPr>
            <w:sz w:val="20"/>
            <w:color w:val="0000ff"/>
          </w:rPr>
          <w:t xml:space="preserve">пункте 3.4.1</w:t>
        </w:r>
      </w:hyperlink>
      <w:r>
        <w:rPr>
          <w:sz w:val="20"/>
        </w:rPr>
        <w:t xml:space="preserve"> настоящего порядка, решения о предоставлении субсидии.</w:t>
      </w:r>
    </w:p>
    <w:p>
      <w:pPr>
        <w:pStyle w:val="0"/>
        <w:jc w:val="both"/>
      </w:pPr>
      <w:r>
        <w:rPr>
          <w:sz w:val="20"/>
        </w:rPr>
        <w:t xml:space="preserve">(абзац введен </w:t>
      </w:r>
      <w:hyperlink w:history="0" r:id="rId58" w:tooltip="Постановление Правительства РС(Я) от 19.02.2025 N 55 &quot;О внесении изменений в порядок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утвержденный постановлением Правительства Республики Саха (Якутия) от 28 июня 2024 г. N 282&quot; {КонсультантПлюс}">
        <w:r>
          <w:rPr>
            <w:sz w:val="20"/>
            <w:color w:val="0000ff"/>
          </w:rPr>
          <w:t xml:space="preserve">постановлением</w:t>
        </w:r>
      </w:hyperlink>
      <w:r>
        <w:rPr>
          <w:sz w:val="20"/>
        </w:rPr>
        <w:t xml:space="preserve"> Правительства РС(Я) от 19.02.2025 N 55)</w:t>
      </w:r>
    </w:p>
    <w:p>
      <w:pPr>
        <w:pStyle w:val="0"/>
        <w:jc w:val="both"/>
      </w:pPr>
      <w:r>
        <w:rPr>
          <w:sz w:val="20"/>
        </w:rPr>
      </w:r>
    </w:p>
    <w:p>
      <w:pPr>
        <w:pStyle w:val="2"/>
        <w:outlineLvl w:val="1"/>
        <w:jc w:val="center"/>
      </w:pPr>
      <w:r>
        <w:rPr>
          <w:sz w:val="20"/>
        </w:rPr>
        <w:t xml:space="preserve">4. Требования о представлении отчетности, осуществления</w:t>
      </w:r>
    </w:p>
    <w:p>
      <w:pPr>
        <w:pStyle w:val="2"/>
        <w:jc w:val="center"/>
      </w:pPr>
      <w:r>
        <w:rPr>
          <w:sz w:val="20"/>
        </w:rPr>
        <w:t xml:space="preserve">контроля (мониторинга) за соблюдением условий и порядка</w:t>
      </w:r>
    </w:p>
    <w:p>
      <w:pPr>
        <w:pStyle w:val="2"/>
        <w:jc w:val="center"/>
      </w:pPr>
      <w:r>
        <w:rPr>
          <w:sz w:val="20"/>
        </w:rPr>
        <w:t xml:space="preserve">предоставления субсидий и ответственность за их нарушение</w:t>
      </w:r>
    </w:p>
    <w:p>
      <w:pPr>
        <w:pStyle w:val="0"/>
        <w:jc w:val="both"/>
      </w:pPr>
      <w:r>
        <w:rPr>
          <w:sz w:val="20"/>
        </w:rPr>
      </w:r>
    </w:p>
    <w:bookmarkStart w:id="415" w:name="P415"/>
    <w:bookmarkEnd w:id="415"/>
    <w:p>
      <w:pPr>
        <w:pStyle w:val="0"/>
        <w:ind w:firstLine="540"/>
        <w:jc w:val="both"/>
      </w:pPr>
      <w:r>
        <w:rPr>
          <w:sz w:val="20"/>
        </w:rPr>
        <w:t xml:space="preserve">4.1. Не позднее последнего календарного дня каждого квартала получатель субсидии представляет в электронной форме в Министерство отчет о достижении значений результата предоставления субсидии и отчет об осуществлении расходов, источником финансового обеспечения которых является субсидия, а также характеристик результата предоставления субсидии по формам, определенным типовой формой соглашений, установленной Министерством финансов Республики Саха (Якутия).</w:t>
      </w:r>
    </w:p>
    <w:p>
      <w:pPr>
        <w:pStyle w:val="0"/>
        <w:spacing w:before="200" w:lineRule="auto"/>
        <w:ind w:firstLine="540"/>
        <w:jc w:val="both"/>
      </w:pPr>
      <w:r>
        <w:rPr>
          <w:sz w:val="20"/>
        </w:rPr>
        <w:t xml:space="preserve">Отчет об осуществлении расходов должен содержать следующий перечень документов: копии платежных документов, подтверждающих осуществление затрат, сгруппированные по видам произведенных расходов; копии заключенных договоров с приложением технических заданий на проведение работ (оказание услуг), товарных накладных и актов приема-передачи выполненных работ (оказанных услуг); копии иных документов, подтверждающих произведенные расходы; обоснованность фактических расходов по проекту.</w:t>
      </w:r>
    </w:p>
    <w:p>
      <w:pPr>
        <w:pStyle w:val="0"/>
        <w:spacing w:before="200" w:lineRule="auto"/>
        <w:ind w:firstLine="540"/>
        <w:jc w:val="both"/>
      </w:pPr>
      <w:r>
        <w:rPr>
          <w:sz w:val="20"/>
        </w:rPr>
        <w:t xml:space="preserve">Проверка и принятие отчетности осуществляется в следующем порядке.</w:t>
      </w:r>
    </w:p>
    <w:p>
      <w:pPr>
        <w:pStyle w:val="0"/>
        <w:spacing w:before="200" w:lineRule="auto"/>
        <w:ind w:firstLine="540"/>
        <w:jc w:val="both"/>
      </w:pPr>
      <w:r>
        <w:rPr>
          <w:sz w:val="20"/>
        </w:rPr>
        <w:t xml:space="preserve">Министерство принимает и проверяет отчеты в течение 15 рабочих дней со дня их поступления и принимает решение о принятии/непринятии отчетности.</w:t>
      </w:r>
    </w:p>
    <w:p>
      <w:pPr>
        <w:pStyle w:val="0"/>
        <w:jc w:val="both"/>
      </w:pPr>
      <w:r>
        <w:rPr>
          <w:sz w:val="20"/>
        </w:rPr>
        <w:t xml:space="preserve">(в ред. </w:t>
      </w:r>
      <w:hyperlink w:history="0" r:id="rId59" w:tooltip="Постановление Правительства РС(Я) от 01.07.2025 N 272 &quot;О внесении изменений в порядок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утвержденный постановлением Правительства Республики Саха (Якутия) от 28 июня 2024 г. N 282&quot; {КонсультантПлюс}">
        <w:r>
          <w:rPr>
            <w:sz w:val="20"/>
            <w:color w:val="0000ff"/>
          </w:rPr>
          <w:t xml:space="preserve">постановления</w:t>
        </w:r>
      </w:hyperlink>
      <w:r>
        <w:rPr>
          <w:sz w:val="20"/>
        </w:rPr>
        <w:t xml:space="preserve"> Правительства РС(Я) от 01.07.2025 N 272)</w:t>
      </w:r>
    </w:p>
    <w:p>
      <w:pPr>
        <w:pStyle w:val="0"/>
        <w:spacing w:before="200" w:lineRule="auto"/>
        <w:ind w:firstLine="540"/>
        <w:jc w:val="both"/>
      </w:pPr>
      <w:r>
        <w:rPr>
          <w:sz w:val="20"/>
        </w:rPr>
        <w:t xml:space="preserve">В течение указанного срока Министерство принимает отчетность, представленную получателем субсидии, и издает приказ о выплате причитающейся суммы субсидии.</w:t>
      </w:r>
    </w:p>
    <w:p>
      <w:pPr>
        <w:pStyle w:val="0"/>
        <w:jc w:val="both"/>
      </w:pPr>
      <w:r>
        <w:rPr>
          <w:sz w:val="20"/>
        </w:rPr>
        <w:t xml:space="preserve">(в ред. </w:t>
      </w:r>
      <w:hyperlink w:history="0" r:id="rId60" w:tooltip="Постановление Правительства РС(Я) от 01.07.2025 N 272 &quot;О внесении изменений в порядок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утвержденный постановлением Правительства Республики Саха (Якутия) от 28 июня 2024 г. N 282&quot; {КонсультантПлюс}">
        <w:r>
          <w:rPr>
            <w:sz w:val="20"/>
            <w:color w:val="0000ff"/>
          </w:rPr>
          <w:t xml:space="preserve">постановления</w:t>
        </w:r>
      </w:hyperlink>
      <w:r>
        <w:rPr>
          <w:sz w:val="20"/>
        </w:rPr>
        <w:t xml:space="preserve"> Правительства РС(Я) от 01.07.2025 N 272)</w:t>
      </w:r>
    </w:p>
    <w:p>
      <w:pPr>
        <w:pStyle w:val="0"/>
        <w:spacing w:before="200" w:lineRule="auto"/>
        <w:ind w:firstLine="540"/>
        <w:jc w:val="both"/>
      </w:pPr>
      <w:r>
        <w:rPr>
          <w:sz w:val="20"/>
        </w:rPr>
        <w:t xml:space="preserve">Отчет должен соответствовать следующим требованиям:</w:t>
      </w:r>
    </w:p>
    <w:p>
      <w:pPr>
        <w:pStyle w:val="0"/>
        <w:spacing w:before="200" w:lineRule="auto"/>
        <w:ind w:firstLine="540"/>
        <w:jc w:val="both"/>
      </w:pPr>
      <w:r>
        <w:rPr>
          <w:sz w:val="20"/>
        </w:rPr>
        <w:t xml:space="preserve">подписан руководителем некоммерческой организации или его уполномоченным представителем (с приложением документов, подтверждающих его полномочия в соответствии с законодательством Российской Федерации); отчет, представляемый на бумажном носителе (нарочно), пронумерован, прошнурован и заверен печатью получателя субсидии;</w:t>
      </w:r>
    </w:p>
    <w:p>
      <w:pPr>
        <w:pStyle w:val="0"/>
        <w:spacing w:before="200" w:lineRule="auto"/>
        <w:ind w:firstLine="540"/>
        <w:jc w:val="both"/>
      </w:pPr>
      <w:r>
        <w:rPr>
          <w:sz w:val="20"/>
        </w:rPr>
        <w:t xml:space="preserve">выполнен без исправлений, неустановленных сокращений и формулировок, допускающих двоякое толкование;</w:t>
      </w:r>
    </w:p>
    <w:p>
      <w:pPr>
        <w:pStyle w:val="0"/>
        <w:spacing w:before="200" w:lineRule="auto"/>
        <w:ind w:firstLine="540"/>
        <w:jc w:val="both"/>
      </w:pPr>
      <w:r>
        <w:rPr>
          <w:sz w:val="20"/>
        </w:rPr>
        <w:t xml:space="preserve">копии документов должны быть заверены руководителем некоммерческой организации или его уполномоченным представителем (с приложением документов, подтверждающих его полномочия в соответствии с законодательством Российской Федерации).</w:t>
      </w:r>
    </w:p>
    <w:p>
      <w:pPr>
        <w:pStyle w:val="0"/>
        <w:spacing w:before="200" w:lineRule="auto"/>
        <w:ind w:firstLine="540"/>
        <w:jc w:val="both"/>
      </w:pPr>
      <w:r>
        <w:rPr>
          <w:sz w:val="20"/>
        </w:rPr>
        <w:t xml:space="preserve">Отчеты, поступившие в Министерство после даты окончания приема отчетов, не принимаются.</w:t>
      </w:r>
    </w:p>
    <w:p>
      <w:pPr>
        <w:pStyle w:val="0"/>
        <w:jc w:val="both"/>
      </w:pPr>
      <w:r>
        <w:rPr>
          <w:sz w:val="20"/>
        </w:rPr>
        <w:t xml:space="preserve">(п. 4.1 в ред. </w:t>
      </w:r>
      <w:hyperlink w:history="0" r:id="rId61" w:tooltip="Постановление Правительства РС(Я) от 19.02.2025 N 55 &quot;О внесении изменений в порядок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утвержденный постановлением Правительства Республики Саха (Якутия) от 28 июня 2024 г. N 282&quot; {КонсультантПлюс}">
        <w:r>
          <w:rPr>
            <w:sz w:val="20"/>
            <w:color w:val="0000ff"/>
          </w:rPr>
          <w:t xml:space="preserve">постановления</w:t>
        </w:r>
      </w:hyperlink>
      <w:r>
        <w:rPr>
          <w:sz w:val="20"/>
        </w:rPr>
        <w:t xml:space="preserve"> Правительства РС(Я) от 19.02.2025 N 55)</w:t>
      </w:r>
    </w:p>
    <w:p>
      <w:pPr>
        <w:pStyle w:val="0"/>
        <w:spacing w:before="200" w:lineRule="auto"/>
        <w:ind w:firstLine="540"/>
        <w:jc w:val="both"/>
      </w:pPr>
      <w:r>
        <w:rPr>
          <w:sz w:val="20"/>
        </w:rPr>
        <w:t xml:space="preserve">4.2. Уполномоченный орган, как главный распорядитель бюджетных средств, осуществляет проверки соблюдения организацией порядка и условий предоставления субсидий, в том числе в части достижения результатов предоставления субсидий.</w:t>
      </w:r>
    </w:p>
    <w:p>
      <w:pPr>
        <w:pStyle w:val="0"/>
        <w:spacing w:before="200" w:lineRule="auto"/>
        <w:ind w:firstLine="540"/>
        <w:jc w:val="both"/>
      </w:pPr>
      <w:r>
        <w:rPr>
          <w:sz w:val="20"/>
        </w:rPr>
        <w:t xml:space="preserve">Органы государственного финансового контроля осуществляют проверки в соответствии со </w:t>
      </w:r>
      <w:hyperlink w:history="0" r:id="rId62"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63"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Мониторинг достижения результатов предоставления субсидий проводится уполномоченным органом исходя из достижения значений результатов предоставления субсидий, определенных соглашением, отражающих факт завершения соответствующего мероприятия по получению результата предоставления субсидий, в порядке и по формам, установленным Министерством финансов Российской Федерации.</w:t>
      </w:r>
    </w:p>
    <w:p>
      <w:pPr>
        <w:pStyle w:val="0"/>
        <w:spacing w:before="200" w:lineRule="auto"/>
        <w:ind w:firstLine="540"/>
        <w:jc w:val="both"/>
      </w:pPr>
      <w:r>
        <w:rPr>
          <w:sz w:val="20"/>
        </w:rPr>
        <w:t xml:space="preserve">Ответственность за целевое использование субсидии, полноту и достоверность представляемых в Министерство отчетов и копий документов несет получатель субсидии.</w:t>
      </w:r>
    </w:p>
    <w:p>
      <w:pPr>
        <w:pStyle w:val="0"/>
        <w:jc w:val="both"/>
      </w:pPr>
      <w:r>
        <w:rPr>
          <w:sz w:val="20"/>
        </w:rPr>
        <w:t xml:space="preserve">(абзац введен </w:t>
      </w:r>
      <w:hyperlink w:history="0" r:id="rId64" w:tooltip="Постановление Правительства РС(Я) от 19.02.2025 N 55 &quot;О внесении изменений в порядок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утвержденный постановлением Правительства Республики Саха (Якутия) от 28 июня 2024 г. N 282&quot; {КонсультантПлюс}">
        <w:r>
          <w:rPr>
            <w:sz w:val="20"/>
            <w:color w:val="0000ff"/>
          </w:rPr>
          <w:t xml:space="preserve">постановлением</w:t>
        </w:r>
      </w:hyperlink>
      <w:r>
        <w:rPr>
          <w:sz w:val="20"/>
        </w:rPr>
        <w:t xml:space="preserve"> Правительства РС(Я) от 19.02.2025 N 55)</w:t>
      </w:r>
    </w:p>
    <w:p>
      <w:pPr>
        <w:pStyle w:val="0"/>
        <w:spacing w:before="200" w:lineRule="auto"/>
        <w:ind w:firstLine="540"/>
        <w:jc w:val="both"/>
      </w:pPr>
      <w:r>
        <w:rPr>
          <w:sz w:val="20"/>
        </w:rPr>
        <w:t xml:space="preserve">4.3. Возврат субсидии осуществляется получателем субсидии в случае выявления следующих нарушений:</w:t>
      </w:r>
    </w:p>
    <w:p>
      <w:pPr>
        <w:pStyle w:val="0"/>
        <w:spacing w:before="200" w:lineRule="auto"/>
        <w:ind w:firstLine="540"/>
        <w:jc w:val="both"/>
      </w:pPr>
      <w:r>
        <w:rPr>
          <w:sz w:val="20"/>
        </w:rPr>
        <w:t xml:space="preserve">1) в результате проведения проверок выявление фактов представления получателем субсидии недостоверных отчетов;</w:t>
      </w:r>
    </w:p>
    <w:p>
      <w:pPr>
        <w:pStyle w:val="0"/>
        <w:spacing w:before="200" w:lineRule="auto"/>
        <w:ind w:firstLine="540"/>
        <w:jc w:val="both"/>
      </w:pPr>
      <w:r>
        <w:rPr>
          <w:sz w:val="20"/>
        </w:rPr>
        <w:t xml:space="preserve">2) нарушение получателем субсидии условий ее предоставления, выявленное по фактам проверок, проведенных уполномоченным органом, органом государственного финансового контроля;</w:t>
      </w:r>
    </w:p>
    <w:p>
      <w:pPr>
        <w:pStyle w:val="0"/>
        <w:spacing w:before="200" w:lineRule="auto"/>
        <w:ind w:firstLine="540"/>
        <w:jc w:val="both"/>
      </w:pPr>
      <w:r>
        <w:rPr>
          <w:sz w:val="20"/>
        </w:rPr>
        <w:t xml:space="preserve">3) недостижение получателем субсидии планового значения результата предоставления субсидии - в размере, определенном согласно </w:t>
      </w:r>
      <w:hyperlink w:history="0" w:anchor="P386" w:tooltip="3.8. Результатом предоставления субсидий является:">
        <w:r>
          <w:rPr>
            <w:sz w:val="20"/>
            <w:color w:val="0000ff"/>
          </w:rPr>
          <w:t xml:space="preserve">пункту 3.8</w:t>
        </w:r>
      </w:hyperlink>
      <w:r>
        <w:rPr>
          <w:sz w:val="20"/>
        </w:rPr>
        <w:t xml:space="preserve"> настоящего порядка.</w:t>
      </w:r>
    </w:p>
    <w:p>
      <w:pPr>
        <w:pStyle w:val="0"/>
        <w:spacing w:before="200" w:lineRule="auto"/>
        <w:ind w:firstLine="540"/>
        <w:jc w:val="both"/>
      </w:pPr>
      <w:r>
        <w:rPr>
          <w:sz w:val="20"/>
        </w:rPr>
        <w:t xml:space="preserve">4.4. Уполномоченный орган в течение 10 календарных дней со дня выявления факта нарушения условий, установленных при предоставлении субсидии, и (или) недостижения результата предоставления субсидии направляет в адрес получателя субсидии письмо с предложением о добровольном возврате средств, при этом срок для возврата составляет 30 календарных дней со дня получения уведомления получателем субсидии.</w:t>
      </w:r>
    </w:p>
    <w:p>
      <w:pPr>
        <w:pStyle w:val="0"/>
        <w:spacing w:before="200" w:lineRule="auto"/>
        <w:ind w:firstLine="540"/>
        <w:jc w:val="both"/>
      </w:pPr>
      <w:r>
        <w:rPr>
          <w:sz w:val="20"/>
        </w:rPr>
        <w:t xml:space="preserve">4.4.1. Получатель субсидии производит возврат субсидии в случае обнаружения факта нарушения получателем субсидии условий, установленных при предоставлении субсидии, выявленного в том числе в ходе проверок, проведенных Министерством и органами государственного финансового контроля.</w:t>
      </w:r>
    </w:p>
    <w:p>
      <w:pPr>
        <w:pStyle w:val="0"/>
        <w:jc w:val="both"/>
      </w:pPr>
      <w:r>
        <w:rPr>
          <w:sz w:val="20"/>
        </w:rPr>
        <w:t xml:space="preserve">(п. 4.4.1 введен </w:t>
      </w:r>
      <w:hyperlink w:history="0" r:id="rId65" w:tooltip="Постановление Правительства РС(Я) от 19.02.2025 N 55 &quot;О внесении изменений в порядок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утвержденный постановлением Правительства Республики Саха (Якутия) от 28 июня 2024 г. N 282&quot; {КонсультантПлюс}">
        <w:r>
          <w:rPr>
            <w:sz w:val="20"/>
            <w:color w:val="0000ff"/>
          </w:rPr>
          <w:t xml:space="preserve">постановлением</w:t>
        </w:r>
      </w:hyperlink>
      <w:r>
        <w:rPr>
          <w:sz w:val="20"/>
        </w:rPr>
        <w:t xml:space="preserve"> Правительства РС(Я) от 19.02.2025 N 55)</w:t>
      </w:r>
    </w:p>
    <w:p>
      <w:pPr>
        <w:pStyle w:val="0"/>
        <w:spacing w:before="200" w:lineRule="auto"/>
        <w:ind w:firstLine="540"/>
        <w:jc w:val="both"/>
      </w:pPr>
      <w:r>
        <w:rPr>
          <w:sz w:val="20"/>
        </w:rPr>
        <w:t xml:space="preserve">4.5. Возврат средств получателем субсидии осуществляется путем перечисления платежным поручением на счет уполномоченного органа.</w:t>
      </w:r>
    </w:p>
    <w:p>
      <w:pPr>
        <w:pStyle w:val="0"/>
        <w:spacing w:before="200" w:lineRule="auto"/>
        <w:ind w:firstLine="540"/>
        <w:jc w:val="both"/>
      </w:pPr>
      <w:r>
        <w:rPr>
          <w:sz w:val="20"/>
        </w:rPr>
        <w:t xml:space="preserve">При неосуществлении получателем субсидии добровольного возврата в указанный срок уполномоченный орган принимает меры по взысканию средств с получателя субсидии в судебном порядке.</w:t>
      </w:r>
    </w:p>
    <w:p>
      <w:pPr>
        <w:pStyle w:val="0"/>
        <w:spacing w:before="200" w:lineRule="auto"/>
        <w:ind w:firstLine="540"/>
        <w:jc w:val="both"/>
      </w:pPr>
      <w:r>
        <w:rPr>
          <w:sz w:val="20"/>
        </w:rPr>
        <w:t xml:space="preserve">4.6. В случае, если получателем субсидии по истечении 365 календарных дней со дня подписания соглашения о предоставлении из государственного бюджета Республики Саха (Якутия) на финансовое обеспечение затрат не достигнуто плановое значение результата предоставления субсидии, установленного соглашением, объем бюджетных средств, подлежащих возврату в государственный бюджет Республики Саха (Якутия), рассчитывается по формуле:</w:t>
      </w:r>
    </w:p>
    <w:p>
      <w:pPr>
        <w:pStyle w:val="0"/>
        <w:jc w:val="both"/>
      </w:pPr>
      <w:r>
        <w:rPr>
          <w:sz w:val="20"/>
        </w:rPr>
      </w:r>
    </w:p>
    <w:p>
      <w:pPr>
        <w:pStyle w:val="0"/>
        <w:jc w:val="center"/>
      </w:pPr>
      <w:r>
        <w:rPr>
          <w:position w:val="-23"/>
        </w:rPr>
        <w:drawing>
          <wp:inline distT="0" distB="0" distL="0" distR="0">
            <wp:extent cx="914400" cy="4286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
                      <a:extLst>
                        <a:ext uri="{28A0092B-C50C-407E-A947-70E740481C1C}">
                          <a14:useLocalDpi xmlns:a14="http://schemas.microsoft.com/office/drawing/2010/main" val="0"/>
                        </a:ext>
                      </a:extLst>
                    </a:blip>
                    <a:srcRect/>
                    <a:stretch>
                      <a:fillRect/>
                    </a:stretch>
                  </pic:blipFill>
                  <pic:spPr bwMode="auto">
                    <a:xfrm>
                      <a:off x="0" y="0"/>
                      <a:ext cx="914400" cy="428625"/>
                    </a:xfrm>
                    <a:prstGeom prst="rect">
                      <a:avLst/>
                    </a:prstGeom>
                    <a:noFill/>
                    <a:ln>
                      <a:noFill/>
                    </a:ln>
                  </pic:spPr>
                </pic:pic>
              </a:graphicData>
            </a:graphic>
          </wp:inline>
        </w:drawing>
      </w:r>
      <w:r>
        <w:rPr>
          <w:sz w:val="20"/>
        </w:rPr>
        <w:t xml:space="preserve">,</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a - размер субсидии, подлежащей возврату;</w:t>
      </w:r>
    </w:p>
    <w:p>
      <w:pPr>
        <w:pStyle w:val="0"/>
        <w:spacing w:before="200" w:lineRule="auto"/>
        <w:ind w:firstLine="540"/>
        <w:jc w:val="both"/>
      </w:pPr>
      <w:r>
        <w:rPr>
          <w:sz w:val="20"/>
        </w:rPr>
        <w:t xml:space="preserve">b - размер предоставленной субсидии;</w:t>
      </w:r>
    </w:p>
    <w:p>
      <w:pPr>
        <w:pStyle w:val="0"/>
        <w:spacing w:before="200" w:lineRule="auto"/>
        <w:ind w:firstLine="540"/>
        <w:jc w:val="both"/>
      </w:pPr>
      <w:r>
        <w:rPr>
          <w:sz w:val="20"/>
        </w:rPr>
        <w:t xml:space="preserve">d - фактически достигнутое значение результата предоставления субсидии;</w:t>
      </w:r>
    </w:p>
    <w:p>
      <w:pPr>
        <w:pStyle w:val="0"/>
        <w:spacing w:before="200" w:lineRule="auto"/>
        <w:ind w:firstLine="540"/>
        <w:jc w:val="both"/>
      </w:pPr>
      <w:r>
        <w:rPr>
          <w:sz w:val="20"/>
        </w:rPr>
        <w:t xml:space="preserve">c - плановое значение результата предоставления субсидии, установленное в соглашении.</w:t>
      </w:r>
    </w:p>
    <w:p>
      <w:pPr>
        <w:pStyle w:val="0"/>
        <w:spacing w:before="200" w:lineRule="auto"/>
        <w:ind w:firstLine="540"/>
        <w:jc w:val="both"/>
      </w:pPr>
      <w:r>
        <w:rPr>
          <w:sz w:val="20"/>
        </w:rPr>
        <w:t xml:space="preserve">В случае, если в связи с недостижением результатов предоставления субсидии в сроки и в объемах, установленных настоящим пунктом, сумма субсидии, подлежащая возврату в государственный бюджет Республики Саха (Якутия), не перечислена, указанные средства подлежат взысканию в судебном порядке.</w:t>
      </w:r>
    </w:p>
    <w:p>
      <w:pPr>
        <w:pStyle w:val="0"/>
        <w:spacing w:before="200" w:lineRule="auto"/>
        <w:ind w:firstLine="540"/>
        <w:jc w:val="both"/>
      </w:pPr>
      <w:r>
        <w:rPr>
          <w:sz w:val="20"/>
        </w:rPr>
        <w:t xml:space="preserve">4.7. Основанием для освобождения получателя субсидии от применения мер ответственности за недостижение плановых значений результатов предоставления субсидий является документально подтвержденное наступление обстоятельств непреодолимой силы:</w:t>
      </w:r>
    </w:p>
    <w:p>
      <w:pPr>
        <w:pStyle w:val="0"/>
        <w:spacing w:before="200" w:lineRule="auto"/>
        <w:ind w:firstLine="540"/>
        <w:jc w:val="both"/>
      </w:pPr>
      <w:r>
        <w:rPr>
          <w:sz w:val="20"/>
        </w:rPr>
        <w:t xml:space="preserve">1) пожаров, наводнений и иных стихийных бедствий, чрезвычайных и непредотвратимых обстоятельств;</w:t>
      </w:r>
    </w:p>
    <w:p>
      <w:pPr>
        <w:pStyle w:val="0"/>
        <w:spacing w:before="200" w:lineRule="auto"/>
        <w:ind w:firstLine="540"/>
        <w:jc w:val="both"/>
      </w:pPr>
      <w:r>
        <w:rPr>
          <w:sz w:val="20"/>
        </w:rPr>
        <w:t xml:space="preserve">2)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соглашения обстоятельства препятствующих исполнению обязательств по достижению плановых значений результатов предоставления грантов.</w:t>
      </w:r>
    </w:p>
    <w:p>
      <w:pPr>
        <w:pStyle w:val="0"/>
        <w:spacing w:before="200" w:lineRule="auto"/>
        <w:ind w:firstLine="540"/>
        <w:jc w:val="both"/>
      </w:pPr>
      <w:r>
        <w:rPr>
          <w:sz w:val="20"/>
        </w:rPr>
        <w:t xml:space="preserve">При возникновении в ходе реализации проекта обстоятельств непреодолимой силы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4.8. При возникновении обстоятельств непреодолимой силы получатель субсидии в кратчайшие сроки должны уведомить о возникновении таких обстоятельств уполномоченный орган с приложением подтверждающих документов.</w:t>
      </w:r>
    </w:p>
    <w:p>
      <w:pPr>
        <w:pStyle w:val="0"/>
        <w:spacing w:before="200" w:lineRule="auto"/>
        <w:ind w:firstLine="540"/>
        <w:jc w:val="both"/>
      </w:pPr>
      <w:r>
        <w:rPr>
          <w:sz w:val="20"/>
        </w:rPr>
        <w:t xml:space="preserve">Решение об освобождении получателя субсидии от применения мер ответственности за несоблюдение условий предоставления субсидии и недостижение плановых значений результатов предоставления субсидии за отчетный год принимается уполномоченным органом на основании документов, подтверждающих наступление обстоятельств непреодолимой силы, и документов, представленных получателями субсидий, в сроки, установленные соглашением для представления отчета.</w:t>
      </w:r>
    </w:p>
    <w:p>
      <w:pPr>
        <w:pStyle w:val="0"/>
        <w:spacing w:before="200" w:lineRule="auto"/>
        <w:ind w:firstLine="540"/>
        <w:jc w:val="both"/>
      </w:pPr>
      <w:r>
        <w:rPr>
          <w:sz w:val="20"/>
        </w:rPr>
        <w:t xml:space="preserve">4.9. 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соответствующий бюджет бюджетной системы Российской Федерации.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порядку</w:t>
      </w:r>
    </w:p>
    <w:p>
      <w:pPr>
        <w:pStyle w:val="0"/>
        <w:jc w:val="right"/>
      </w:pPr>
      <w:r>
        <w:rPr>
          <w:sz w:val="20"/>
        </w:rPr>
        <w:t xml:space="preserve">предоставления из государственного</w:t>
      </w:r>
    </w:p>
    <w:p>
      <w:pPr>
        <w:pStyle w:val="0"/>
        <w:jc w:val="right"/>
      </w:pPr>
      <w:r>
        <w:rPr>
          <w:sz w:val="20"/>
        </w:rPr>
        <w:t xml:space="preserve">бюджета Республики Саха (Якутия)</w:t>
      </w:r>
    </w:p>
    <w:p>
      <w:pPr>
        <w:pStyle w:val="0"/>
        <w:jc w:val="right"/>
      </w:pPr>
      <w:r>
        <w:rPr>
          <w:sz w:val="20"/>
        </w:rPr>
        <w:t xml:space="preserve">некоммерческим организациям</w:t>
      </w:r>
    </w:p>
    <w:p>
      <w:pPr>
        <w:pStyle w:val="0"/>
        <w:jc w:val="right"/>
      </w:pPr>
      <w:r>
        <w:rPr>
          <w:sz w:val="20"/>
        </w:rPr>
        <w:t xml:space="preserve">на финансовое обеспечение затрат</w:t>
      </w:r>
    </w:p>
    <w:p>
      <w:pPr>
        <w:pStyle w:val="0"/>
        <w:jc w:val="right"/>
      </w:pPr>
      <w:r>
        <w:rPr>
          <w:sz w:val="20"/>
        </w:rPr>
        <w:t xml:space="preserve">на организацию оказания поддержки</w:t>
      </w:r>
    </w:p>
    <w:p>
      <w:pPr>
        <w:pStyle w:val="0"/>
        <w:jc w:val="right"/>
      </w:pPr>
      <w:r>
        <w:rPr>
          <w:sz w:val="20"/>
        </w:rPr>
        <w:t xml:space="preserve">некоммерческим организациям (включая</w:t>
      </w:r>
    </w:p>
    <w:p>
      <w:pPr>
        <w:pStyle w:val="0"/>
        <w:jc w:val="right"/>
      </w:pPr>
      <w:r>
        <w:rPr>
          <w:sz w:val="20"/>
        </w:rPr>
        <w:t xml:space="preserve">подготовку и проведение конкурсов)</w:t>
      </w:r>
    </w:p>
    <w:p>
      <w:pPr>
        <w:pStyle w:val="0"/>
        <w:jc w:val="both"/>
      </w:pPr>
      <w:r>
        <w:rPr>
          <w:sz w:val="20"/>
        </w:rPr>
      </w:r>
    </w:p>
    <w:p>
      <w:pPr>
        <w:pStyle w:val="0"/>
        <w:jc w:val="right"/>
      </w:pPr>
      <w:r>
        <w:rPr>
          <w:sz w:val="20"/>
        </w:rPr>
        <w:t xml:space="preserve">ФОРМА</w:t>
      </w:r>
    </w:p>
    <w:p>
      <w:pPr>
        <w:pStyle w:val="0"/>
        <w:jc w:val="both"/>
      </w:pPr>
      <w:r>
        <w:rPr>
          <w:sz w:val="20"/>
        </w:rPr>
      </w:r>
    </w:p>
    <w:tbl>
      <w:tblPr>
        <w:tblInd w:w="0" w:type="dxa"/>
        <w:tblLayout w:type="fixed"/>
        <w:tblBorders>
          <w:left w:val="single" w:sz="4"/>
          <w:bottom w:val="single" w:sz="4"/>
          <w:right w:val="single" w:sz="4"/>
          <w:insideV w:val="single" w:sz="4"/>
          <w:insideH w:val="single" w:sz="4"/>
        </w:tblBorders>
        <w:tblCellMar>
          <w:top w:w="102" w:type="dxa"/>
          <w:left w:w="62" w:type="dxa"/>
          <w:bottom w:w="102" w:type="dxa"/>
          <w:right w:w="62" w:type="dxa"/>
        </w:tblCellMar>
      </w:tblPr>
      <w:tblGrid>
        <w:gridCol w:w="7654"/>
        <w:gridCol w:w="1417"/>
      </w:tblGrid>
      <w:tr>
        <w:tblPrEx>
          <w:tblBorders>
            <w:left w:val="nil"/>
            <w:right w:val="nil"/>
          </w:tblBorders>
        </w:tblPrEx>
        <w:tc>
          <w:tcPr>
            <w:gridSpan w:val="2"/>
            <w:tcW w:w="9071" w:type="dxa"/>
            <w:tcBorders>
              <w:top w:val="nil"/>
              <w:left w:val="nil"/>
              <w:right w:val="nil"/>
            </w:tcBorders>
          </w:tcPr>
          <w:bookmarkStart w:id="477" w:name="P477"/>
          <w:bookmarkEnd w:id="477"/>
          <w:p>
            <w:pPr>
              <w:pStyle w:val="0"/>
              <w:jc w:val="center"/>
            </w:pPr>
            <w:r>
              <w:rPr>
                <w:sz w:val="20"/>
              </w:rPr>
              <w:t xml:space="preserve">ЗАЯВКА</w:t>
            </w:r>
          </w:p>
          <w:p>
            <w:pPr>
              <w:pStyle w:val="0"/>
              <w:jc w:val="center"/>
            </w:pPr>
            <w:r>
              <w:rPr>
                <w:sz w:val="20"/>
              </w:rPr>
              <w:t xml:space="preserve">на участие в конкурсе некоммерческих организаций</w:t>
            </w:r>
          </w:p>
          <w:p>
            <w:pPr>
              <w:pStyle w:val="0"/>
              <w:jc w:val="center"/>
            </w:pPr>
            <w:r>
              <w:rPr>
                <w:sz w:val="20"/>
              </w:rPr>
              <w:t xml:space="preserve">на получение субсидии из государственного бюджета Республики</w:t>
            </w:r>
          </w:p>
          <w:p>
            <w:pPr>
              <w:pStyle w:val="0"/>
              <w:jc w:val="center"/>
            </w:pPr>
            <w:r>
              <w:rPr>
                <w:sz w:val="20"/>
              </w:rPr>
              <w:t xml:space="preserve">Саха (Якутия) на финансовое обеспечение затрат</w:t>
            </w:r>
          </w:p>
          <w:p>
            <w:pPr>
              <w:pStyle w:val="0"/>
              <w:jc w:val="center"/>
            </w:pPr>
            <w:r>
              <w:rPr>
                <w:sz w:val="20"/>
              </w:rPr>
              <w:t xml:space="preserve">на организацию оказания поддержки некоммерческим</w:t>
            </w:r>
          </w:p>
          <w:p>
            <w:pPr>
              <w:pStyle w:val="0"/>
              <w:jc w:val="center"/>
            </w:pPr>
            <w:r>
              <w:rPr>
                <w:sz w:val="20"/>
              </w:rPr>
              <w:t xml:space="preserve">организациям (включая подготовку и проведение конкурсов)</w:t>
            </w:r>
          </w:p>
        </w:tc>
      </w:tr>
      <w:tr>
        <w:tc>
          <w:tcPr>
            <w:gridSpan w:val="2"/>
            <w:tcW w:w="9071" w:type="dxa"/>
          </w:tcPr>
          <w:p>
            <w:pPr>
              <w:pStyle w:val="0"/>
            </w:pPr>
            <w:r>
              <w:rPr>
                <w:sz w:val="20"/>
              </w:rPr>
              <w:t xml:space="preserve">Общая информация</w:t>
            </w:r>
          </w:p>
        </w:tc>
      </w:tr>
      <w:tr>
        <w:tc>
          <w:tcPr>
            <w:tcW w:w="7654" w:type="dxa"/>
          </w:tcPr>
          <w:p>
            <w:pPr>
              <w:pStyle w:val="0"/>
            </w:pPr>
            <w:r>
              <w:rPr>
                <w:sz w:val="20"/>
              </w:rPr>
              <w:t xml:space="preserve">Полное наименование некоммерческой организации</w:t>
            </w:r>
          </w:p>
        </w:tc>
        <w:tc>
          <w:tcPr>
            <w:tcW w:w="1417" w:type="dxa"/>
          </w:tcPr>
          <w:p>
            <w:pPr>
              <w:pStyle w:val="0"/>
            </w:pPr>
            <w:r>
              <w:rPr>
                <w:sz w:val="20"/>
              </w:rPr>
            </w:r>
          </w:p>
        </w:tc>
      </w:tr>
      <w:tr>
        <w:tc>
          <w:tcPr>
            <w:tcW w:w="7654" w:type="dxa"/>
          </w:tcPr>
          <w:p>
            <w:pPr>
              <w:pStyle w:val="0"/>
            </w:pPr>
            <w:r>
              <w:rPr>
                <w:sz w:val="20"/>
              </w:rPr>
              <w:t xml:space="preserve">Сокращенное наименование некоммерческой организации</w:t>
            </w:r>
          </w:p>
        </w:tc>
        <w:tc>
          <w:tcPr>
            <w:tcW w:w="1417" w:type="dxa"/>
          </w:tcPr>
          <w:p>
            <w:pPr>
              <w:pStyle w:val="0"/>
            </w:pPr>
            <w:r>
              <w:rPr>
                <w:sz w:val="20"/>
              </w:rPr>
            </w:r>
          </w:p>
        </w:tc>
      </w:tr>
      <w:tr>
        <w:tc>
          <w:tcPr>
            <w:tcW w:w="7654" w:type="dxa"/>
          </w:tcPr>
          <w:p>
            <w:pPr>
              <w:pStyle w:val="0"/>
            </w:pPr>
            <w:r>
              <w:rPr>
                <w:sz w:val="20"/>
              </w:rPr>
              <w:t xml:space="preserve">Организационно-правовая форма</w:t>
            </w:r>
          </w:p>
        </w:tc>
        <w:tc>
          <w:tcPr>
            <w:tcW w:w="1417" w:type="dxa"/>
          </w:tcPr>
          <w:p>
            <w:pPr>
              <w:pStyle w:val="0"/>
            </w:pPr>
            <w:r>
              <w:rPr>
                <w:sz w:val="20"/>
              </w:rPr>
            </w:r>
          </w:p>
        </w:tc>
      </w:tr>
      <w:tr>
        <w:tc>
          <w:tcPr>
            <w:tcW w:w="7654" w:type="dxa"/>
          </w:tcPr>
          <w:p>
            <w:pPr>
              <w:pStyle w:val="0"/>
            </w:pPr>
            <w:r>
              <w:rPr>
                <w:sz w:val="20"/>
              </w:rPr>
              <w:t xml:space="preserve">Дата внесения записи о создании в единый государственный реестр юридических лиц</w:t>
            </w:r>
          </w:p>
        </w:tc>
        <w:tc>
          <w:tcPr>
            <w:tcW w:w="1417" w:type="dxa"/>
          </w:tcPr>
          <w:p>
            <w:pPr>
              <w:pStyle w:val="0"/>
            </w:pPr>
            <w:r>
              <w:rPr>
                <w:sz w:val="20"/>
              </w:rPr>
            </w:r>
          </w:p>
        </w:tc>
      </w:tr>
      <w:tr>
        <w:tc>
          <w:tcPr>
            <w:tcW w:w="7654" w:type="dxa"/>
          </w:tcPr>
          <w:p>
            <w:pPr>
              <w:pStyle w:val="0"/>
            </w:pPr>
            <w:r>
              <w:rPr>
                <w:sz w:val="20"/>
              </w:rPr>
              <w:t xml:space="preserve">Основной государственный регистрационный номер (ОГРН)</w:t>
            </w:r>
          </w:p>
        </w:tc>
        <w:tc>
          <w:tcPr>
            <w:tcW w:w="1417" w:type="dxa"/>
          </w:tcPr>
          <w:p>
            <w:pPr>
              <w:pStyle w:val="0"/>
            </w:pPr>
            <w:r>
              <w:rPr>
                <w:sz w:val="20"/>
              </w:rPr>
            </w:r>
          </w:p>
        </w:tc>
      </w:tr>
      <w:tr>
        <w:tc>
          <w:tcPr>
            <w:tcW w:w="7654" w:type="dxa"/>
          </w:tcPr>
          <w:p>
            <w:pPr>
              <w:pStyle w:val="0"/>
            </w:pPr>
            <w:r>
              <w:rPr>
                <w:sz w:val="20"/>
              </w:rPr>
              <w:t xml:space="preserve">Код по общероссийскому классификатору продукции (ОКПО)</w:t>
            </w:r>
          </w:p>
        </w:tc>
        <w:tc>
          <w:tcPr>
            <w:tcW w:w="1417" w:type="dxa"/>
          </w:tcPr>
          <w:p>
            <w:pPr>
              <w:pStyle w:val="0"/>
            </w:pPr>
            <w:r>
              <w:rPr>
                <w:sz w:val="20"/>
              </w:rPr>
            </w:r>
          </w:p>
        </w:tc>
      </w:tr>
      <w:tr>
        <w:tc>
          <w:tcPr>
            <w:tcW w:w="7654" w:type="dxa"/>
          </w:tcPr>
          <w:p>
            <w:pPr>
              <w:pStyle w:val="0"/>
            </w:pPr>
            <w:r>
              <w:rPr>
                <w:sz w:val="20"/>
              </w:rPr>
              <w:t xml:space="preserve">Код(ы) по общероссийскому классификатору внешнеэкономической деятельности (</w:t>
            </w:r>
            <w:hyperlink w:history="0" r:id="rId67" w:tooltip="&quot;ОК 029-2014 (КДЕС Ред. 2). Общероссийский классификатор видов экономической деятельности&quot; (утв. Приказом Росстандарта от 31.01.2014 N 14-ст) (ред. от 11.09.2025) {КонсультантПлюс}">
              <w:r>
                <w:rPr>
                  <w:sz w:val="20"/>
                  <w:color w:val="0000ff"/>
                </w:rPr>
                <w:t xml:space="preserve">ОКВЭД</w:t>
              </w:r>
            </w:hyperlink>
            <w:r>
              <w:rPr>
                <w:sz w:val="20"/>
              </w:rPr>
              <w:t xml:space="preserve">)</w:t>
            </w:r>
          </w:p>
        </w:tc>
        <w:tc>
          <w:tcPr>
            <w:tcW w:w="1417" w:type="dxa"/>
          </w:tcPr>
          <w:p>
            <w:pPr>
              <w:pStyle w:val="0"/>
            </w:pPr>
            <w:r>
              <w:rPr>
                <w:sz w:val="20"/>
              </w:rPr>
            </w:r>
          </w:p>
        </w:tc>
      </w:tr>
      <w:tr>
        <w:tc>
          <w:tcPr>
            <w:tcW w:w="7654" w:type="dxa"/>
          </w:tcPr>
          <w:p>
            <w:pPr>
              <w:pStyle w:val="0"/>
            </w:pPr>
            <w:r>
              <w:rPr>
                <w:sz w:val="20"/>
              </w:rPr>
              <w:t xml:space="preserve">Реестровый номер и дата признания организации исполнителем общественно полезных услуг (в случае, если организация имеет статус некоммерческой организации - исполнителя общественно полезных услуг)</w:t>
            </w:r>
          </w:p>
        </w:tc>
        <w:tc>
          <w:tcPr>
            <w:tcW w:w="1417" w:type="dxa"/>
          </w:tcPr>
          <w:p>
            <w:pPr>
              <w:pStyle w:val="0"/>
            </w:pPr>
            <w:r>
              <w:rPr>
                <w:sz w:val="20"/>
              </w:rPr>
            </w:r>
          </w:p>
        </w:tc>
      </w:tr>
      <w:tr>
        <w:tc>
          <w:tcPr>
            <w:tcW w:w="7654" w:type="dxa"/>
          </w:tcPr>
          <w:p>
            <w:pPr>
              <w:pStyle w:val="0"/>
            </w:pPr>
            <w:r>
              <w:rPr>
                <w:sz w:val="20"/>
              </w:rPr>
              <w:t xml:space="preserve">Индивидуальный номер налогоплательщика (ИНН)</w:t>
            </w:r>
          </w:p>
        </w:tc>
        <w:tc>
          <w:tcPr>
            <w:tcW w:w="1417" w:type="dxa"/>
          </w:tcPr>
          <w:p>
            <w:pPr>
              <w:pStyle w:val="0"/>
            </w:pPr>
            <w:r>
              <w:rPr>
                <w:sz w:val="20"/>
              </w:rPr>
            </w:r>
          </w:p>
        </w:tc>
      </w:tr>
      <w:tr>
        <w:tc>
          <w:tcPr>
            <w:tcW w:w="7654" w:type="dxa"/>
          </w:tcPr>
          <w:p>
            <w:pPr>
              <w:pStyle w:val="0"/>
            </w:pPr>
            <w:r>
              <w:rPr>
                <w:sz w:val="20"/>
              </w:rPr>
              <w:t xml:space="preserve">Код причины постановки на учет (КПП)</w:t>
            </w:r>
          </w:p>
        </w:tc>
        <w:tc>
          <w:tcPr>
            <w:tcW w:w="1417" w:type="dxa"/>
          </w:tcPr>
          <w:p>
            <w:pPr>
              <w:pStyle w:val="0"/>
            </w:pPr>
            <w:r>
              <w:rPr>
                <w:sz w:val="20"/>
              </w:rPr>
            </w:r>
          </w:p>
        </w:tc>
      </w:tr>
      <w:tr>
        <w:tc>
          <w:tcPr>
            <w:tcW w:w="7654" w:type="dxa"/>
          </w:tcPr>
          <w:p>
            <w:pPr>
              <w:pStyle w:val="0"/>
            </w:pPr>
            <w:r>
              <w:rPr>
                <w:sz w:val="20"/>
              </w:rPr>
              <w:t xml:space="preserve">Номер расчетного счета</w:t>
            </w:r>
          </w:p>
        </w:tc>
        <w:tc>
          <w:tcPr>
            <w:tcW w:w="1417" w:type="dxa"/>
          </w:tcPr>
          <w:p>
            <w:pPr>
              <w:pStyle w:val="0"/>
            </w:pPr>
            <w:r>
              <w:rPr>
                <w:sz w:val="20"/>
              </w:rPr>
            </w:r>
          </w:p>
        </w:tc>
      </w:tr>
      <w:tr>
        <w:tc>
          <w:tcPr>
            <w:tcW w:w="7654" w:type="dxa"/>
          </w:tcPr>
          <w:p>
            <w:pPr>
              <w:pStyle w:val="0"/>
            </w:pPr>
            <w:r>
              <w:rPr>
                <w:sz w:val="20"/>
              </w:rPr>
              <w:t xml:space="preserve">Наименование банка</w:t>
            </w:r>
          </w:p>
        </w:tc>
        <w:tc>
          <w:tcPr>
            <w:tcW w:w="1417" w:type="dxa"/>
          </w:tcPr>
          <w:p>
            <w:pPr>
              <w:pStyle w:val="0"/>
            </w:pPr>
            <w:r>
              <w:rPr>
                <w:sz w:val="20"/>
              </w:rPr>
            </w:r>
          </w:p>
        </w:tc>
      </w:tr>
      <w:tr>
        <w:tc>
          <w:tcPr>
            <w:tcW w:w="7654" w:type="dxa"/>
          </w:tcPr>
          <w:p>
            <w:pPr>
              <w:pStyle w:val="0"/>
            </w:pPr>
            <w:r>
              <w:rPr>
                <w:sz w:val="20"/>
              </w:rPr>
              <w:t xml:space="preserve">Банковский идентификационный код (БИК)</w:t>
            </w:r>
          </w:p>
        </w:tc>
        <w:tc>
          <w:tcPr>
            <w:tcW w:w="1417" w:type="dxa"/>
          </w:tcPr>
          <w:p>
            <w:pPr>
              <w:pStyle w:val="0"/>
            </w:pPr>
            <w:r>
              <w:rPr>
                <w:sz w:val="20"/>
              </w:rPr>
            </w:r>
          </w:p>
        </w:tc>
      </w:tr>
      <w:tr>
        <w:tc>
          <w:tcPr>
            <w:tcW w:w="7654" w:type="dxa"/>
          </w:tcPr>
          <w:p>
            <w:pPr>
              <w:pStyle w:val="0"/>
            </w:pPr>
            <w:r>
              <w:rPr>
                <w:sz w:val="20"/>
              </w:rPr>
              <w:t xml:space="preserve">Номер корреспондентского счета</w:t>
            </w:r>
          </w:p>
        </w:tc>
        <w:tc>
          <w:tcPr>
            <w:tcW w:w="1417" w:type="dxa"/>
          </w:tcPr>
          <w:p>
            <w:pPr>
              <w:pStyle w:val="0"/>
            </w:pPr>
            <w:r>
              <w:rPr>
                <w:sz w:val="20"/>
              </w:rPr>
            </w:r>
          </w:p>
        </w:tc>
      </w:tr>
      <w:tr>
        <w:tc>
          <w:tcPr>
            <w:tcW w:w="7654" w:type="dxa"/>
          </w:tcPr>
          <w:p>
            <w:pPr>
              <w:pStyle w:val="0"/>
            </w:pPr>
            <w:r>
              <w:rPr>
                <w:sz w:val="20"/>
              </w:rPr>
              <w:t xml:space="preserve">Адрес (место нахождения) постоянно действующего органа некоммерческой организации</w:t>
            </w:r>
          </w:p>
        </w:tc>
        <w:tc>
          <w:tcPr>
            <w:tcW w:w="1417" w:type="dxa"/>
          </w:tcPr>
          <w:p>
            <w:pPr>
              <w:pStyle w:val="0"/>
            </w:pPr>
            <w:r>
              <w:rPr>
                <w:sz w:val="20"/>
              </w:rPr>
            </w:r>
          </w:p>
        </w:tc>
      </w:tr>
      <w:tr>
        <w:tc>
          <w:tcPr>
            <w:tcW w:w="7654" w:type="dxa"/>
          </w:tcPr>
          <w:p>
            <w:pPr>
              <w:pStyle w:val="0"/>
            </w:pPr>
            <w:r>
              <w:rPr>
                <w:sz w:val="20"/>
              </w:rPr>
              <w:t xml:space="preserve">Почтовый адрес</w:t>
            </w:r>
          </w:p>
        </w:tc>
        <w:tc>
          <w:tcPr>
            <w:tcW w:w="1417" w:type="dxa"/>
          </w:tcPr>
          <w:p>
            <w:pPr>
              <w:pStyle w:val="0"/>
            </w:pPr>
            <w:r>
              <w:rPr>
                <w:sz w:val="20"/>
              </w:rPr>
            </w:r>
          </w:p>
        </w:tc>
      </w:tr>
      <w:tr>
        <w:tc>
          <w:tcPr>
            <w:tcW w:w="7654" w:type="dxa"/>
          </w:tcPr>
          <w:p>
            <w:pPr>
              <w:pStyle w:val="0"/>
            </w:pPr>
            <w:r>
              <w:rPr>
                <w:sz w:val="20"/>
              </w:rPr>
              <w:t xml:space="preserve">Телефон</w:t>
            </w:r>
          </w:p>
        </w:tc>
        <w:tc>
          <w:tcPr>
            <w:tcW w:w="1417" w:type="dxa"/>
          </w:tcPr>
          <w:p>
            <w:pPr>
              <w:pStyle w:val="0"/>
            </w:pPr>
            <w:r>
              <w:rPr>
                <w:sz w:val="20"/>
              </w:rPr>
            </w:r>
          </w:p>
        </w:tc>
      </w:tr>
      <w:tr>
        <w:tc>
          <w:tcPr>
            <w:tcW w:w="7654" w:type="dxa"/>
          </w:tcPr>
          <w:p>
            <w:pPr>
              <w:pStyle w:val="0"/>
            </w:pPr>
            <w:r>
              <w:rPr>
                <w:sz w:val="20"/>
              </w:rPr>
              <w:t xml:space="preserve">Сайт в сети Интернет</w:t>
            </w:r>
          </w:p>
        </w:tc>
        <w:tc>
          <w:tcPr>
            <w:tcW w:w="1417" w:type="dxa"/>
          </w:tcPr>
          <w:p>
            <w:pPr>
              <w:pStyle w:val="0"/>
            </w:pPr>
            <w:r>
              <w:rPr>
                <w:sz w:val="20"/>
              </w:rPr>
            </w:r>
          </w:p>
        </w:tc>
      </w:tr>
      <w:tr>
        <w:tc>
          <w:tcPr>
            <w:tcW w:w="7654" w:type="dxa"/>
          </w:tcPr>
          <w:p>
            <w:pPr>
              <w:pStyle w:val="0"/>
            </w:pPr>
            <w:r>
              <w:rPr>
                <w:sz w:val="20"/>
              </w:rPr>
              <w:t xml:space="preserve">Адрес электронной почты</w:t>
            </w:r>
          </w:p>
        </w:tc>
        <w:tc>
          <w:tcPr>
            <w:tcW w:w="1417" w:type="dxa"/>
          </w:tcPr>
          <w:p>
            <w:pPr>
              <w:pStyle w:val="0"/>
            </w:pPr>
            <w:r>
              <w:rPr>
                <w:sz w:val="20"/>
              </w:rPr>
            </w:r>
          </w:p>
        </w:tc>
      </w:tr>
      <w:tr>
        <w:tc>
          <w:tcPr>
            <w:tcW w:w="7654" w:type="dxa"/>
          </w:tcPr>
          <w:p>
            <w:pPr>
              <w:pStyle w:val="0"/>
            </w:pPr>
            <w:r>
              <w:rPr>
                <w:sz w:val="20"/>
              </w:rPr>
              <w:t xml:space="preserve">Наименование должности руководителя</w:t>
            </w:r>
          </w:p>
        </w:tc>
        <w:tc>
          <w:tcPr>
            <w:tcW w:w="1417" w:type="dxa"/>
          </w:tcPr>
          <w:p>
            <w:pPr>
              <w:pStyle w:val="0"/>
            </w:pPr>
            <w:r>
              <w:rPr>
                <w:sz w:val="20"/>
              </w:rPr>
            </w:r>
          </w:p>
        </w:tc>
      </w:tr>
      <w:tr>
        <w:tc>
          <w:tcPr>
            <w:tcW w:w="7654" w:type="dxa"/>
          </w:tcPr>
          <w:p>
            <w:pPr>
              <w:pStyle w:val="0"/>
            </w:pPr>
            <w:r>
              <w:rPr>
                <w:sz w:val="20"/>
              </w:rPr>
              <w:t xml:space="preserve">Фамилия, имя, отчество руководителя</w:t>
            </w:r>
          </w:p>
        </w:tc>
        <w:tc>
          <w:tcPr>
            <w:tcW w:w="1417" w:type="dxa"/>
          </w:tcPr>
          <w:p>
            <w:pPr>
              <w:pStyle w:val="0"/>
            </w:pPr>
            <w:r>
              <w:rPr>
                <w:sz w:val="20"/>
              </w:rPr>
            </w:r>
          </w:p>
        </w:tc>
      </w:tr>
      <w:tr>
        <w:tc>
          <w:tcPr>
            <w:tcW w:w="7654" w:type="dxa"/>
          </w:tcPr>
          <w:p>
            <w:pPr>
              <w:pStyle w:val="0"/>
            </w:pPr>
            <w:r>
              <w:rPr>
                <w:sz w:val="20"/>
              </w:rPr>
              <w:t xml:space="preserve">Численность привлекаемых к реализации проекта сотрудников</w:t>
            </w:r>
          </w:p>
        </w:tc>
        <w:tc>
          <w:tcPr>
            <w:tcW w:w="1417" w:type="dxa"/>
          </w:tcPr>
          <w:p>
            <w:pPr>
              <w:pStyle w:val="0"/>
            </w:pPr>
            <w:r>
              <w:rPr>
                <w:sz w:val="20"/>
              </w:rPr>
            </w:r>
          </w:p>
        </w:tc>
      </w:tr>
      <w:tr>
        <w:tc>
          <w:tcPr>
            <w:tcW w:w="7654" w:type="dxa"/>
          </w:tcPr>
          <w:p>
            <w:pPr>
              <w:pStyle w:val="0"/>
            </w:pPr>
            <w:r>
              <w:rPr>
                <w:sz w:val="20"/>
              </w:rPr>
              <w:t xml:space="preserve">Общая сумма денежных средств, полученных некоммерческой организацией в предыдущем году (в руб.), из них:</w:t>
            </w:r>
          </w:p>
        </w:tc>
        <w:tc>
          <w:tcPr>
            <w:tcW w:w="1417" w:type="dxa"/>
          </w:tcPr>
          <w:p>
            <w:pPr>
              <w:pStyle w:val="0"/>
            </w:pPr>
            <w:r>
              <w:rPr>
                <w:sz w:val="20"/>
              </w:rPr>
            </w:r>
          </w:p>
        </w:tc>
      </w:tr>
      <w:tr>
        <w:tc>
          <w:tcPr>
            <w:tcW w:w="7654" w:type="dxa"/>
          </w:tcPr>
          <w:p>
            <w:pPr>
              <w:pStyle w:val="0"/>
            </w:pPr>
            <w:r>
              <w:rPr>
                <w:sz w:val="20"/>
              </w:rPr>
              <w:t xml:space="preserve">взносы учредителей (участников, членов) (в руб.)</w:t>
            </w:r>
          </w:p>
        </w:tc>
        <w:tc>
          <w:tcPr>
            <w:tcW w:w="1417" w:type="dxa"/>
          </w:tcPr>
          <w:p>
            <w:pPr>
              <w:pStyle w:val="0"/>
            </w:pPr>
            <w:r>
              <w:rPr>
                <w:sz w:val="20"/>
              </w:rPr>
            </w:r>
          </w:p>
        </w:tc>
      </w:tr>
      <w:tr>
        <w:tc>
          <w:tcPr>
            <w:tcW w:w="7654" w:type="dxa"/>
          </w:tcPr>
          <w:p>
            <w:pPr>
              <w:pStyle w:val="0"/>
            </w:pPr>
            <w:r>
              <w:rPr>
                <w:sz w:val="20"/>
              </w:rPr>
              <w:t xml:space="preserve">гранты и пожертвования юридических лиц (в руб.)</w:t>
            </w:r>
          </w:p>
        </w:tc>
        <w:tc>
          <w:tcPr>
            <w:tcW w:w="1417" w:type="dxa"/>
          </w:tcPr>
          <w:p>
            <w:pPr>
              <w:pStyle w:val="0"/>
            </w:pPr>
            <w:r>
              <w:rPr>
                <w:sz w:val="20"/>
              </w:rPr>
            </w:r>
          </w:p>
        </w:tc>
      </w:tr>
      <w:tr>
        <w:tc>
          <w:tcPr>
            <w:tcW w:w="7654" w:type="dxa"/>
          </w:tcPr>
          <w:p>
            <w:pPr>
              <w:pStyle w:val="0"/>
            </w:pPr>
            <w:r>
              <w:rPr>
                <w:sz w:val="20"/>
              </w:rPr>
              <w:t xml:space="preserve">пожертвования физических лиц (в руб.)</w:t>
            </w:r>
          </w:p>
        </w:tc>
        <w:tc>
          <w:tcPr>
            <w:tcW w:w="1417" w:type="dxa"/>
          </w:tcPr>
          <w:p>
            <w:pPr>
              <w:pStyle w:val="0"/>
            </w:pPr>
            <w:r>
              <w:rPr>
                <w:sz w:val="20"/>
              </w:rPr>
            </w:r>
          </w:p>
        </w:tc>
      </w:tr>
      <w:tr>
        <w:tc>
          <w:tcPr>
            <w:tcW w:w="7654" w:type="dxa"/>
          </w:tcPr>
          <w:p>
            <w:pPr>
              <w:pStyle w:val="0"/>
            </w:pPr>
            <w:r>
              <w:rPr>
                <w:sz w:val="20"/>
              </w:rPr>
              <w:t xml:space="preserve">средства, предоставленные из федерального бюджета, государственного бюджета Республики Саха (Якутия), местных бюджетов (в руб.)</w:t>
            </w:r>
          </w:p>
        </w:tc>
        <w:tc>
          <w:tcPr>
            <w:tcW w:w="1417" w:type="dxa"/>
          </w:tcPr>
          <w:p>
            <w:pPr>
              <w:pStyle w:val="0"/>
            </w:pPr>
            <w:r>
              <w:rPr>
                <w:sz w:val="20"/>
              </w:rPr>
            </w:r>
          </w:p>
        </w:tc>
      </w:tr>
      <w:tr>
        <w:tc>
          <w:tcPr>
            <w:tcW w:w="7654" w:type="dxa"/>
          </w:tcPr>
          <w:p>
            <w:pPr>
              <w:pStyle w:val="0"/>
            </w:pPr>
            <w:r>
              <w:rPr>
                <w:sz w:val="20"/>
              </w:rPr>
              <w:t xml:space="preserve">доход от целевого капитала (в руб.)</w:t>
            </w:r>
          </w:p>
        </w:tc>
        <w:tc>
          <w:tcPr>
            <w:tcW w:w="1417" w:type="dxa"/>
          </w:tcPr>
          <w:p>
            <w:pPr>
              <w:pStyle w:val="0"/>
            </w:pPr>
            <w:r>
              <w:rPr>
                <w:sz w:val="20"/>
              </w:rPr>
            </w:r>
          </w:p>
        </w:tc>
      </w:tr>
      <w:tr>
        <w:tc>
          <w:tcPr>
            <w:tcW w:w="7654" w:type="dxa"/>
          </w:tcPr>
          <w:p>
            <w:pPr>
              <w:pStyle w:val="0"/>
            </w:pPr>
            <w:r>
              <w:rPr>
                <w:sz w:val="20"/>
              </w:rPr>
              <w:t xml:space="preserve">Информация о видах деятельности, осуществляемых некоммерческой организацией (не более 1 стр. А4, шрифт 14)</w:t>
            </w:r>
          </w:p>
        </w:tc>
        <w:tc>
          <w:tcPr>
            <w:tcW w:w="1417" w:type="dxa"/>
          </w:tcPr>
          <w:p>
            <w:pPr>
              <w:pStyle w:val="0"/>
            </w:pPr>
            <w:r>
              <w:rPr>
                <w:sz w:val="20"/>
              </w:rPr>
            </w:r>
          </w:p>
        </w:tc>
      </w:tr>
      <w:tr>
        <w:tc>
          <w:tcPr>
            <w:gridSpan w:val="2"/>
            <w:tcW w:w="9071" w:type="dxa"/>
          </w:tcPr>
          <w:p>
            <w:pPr>
              <w:pStyle w:val="0"/>
            </w:pPr>
            <w:r>
              <w:rPr>
                <w:sz w:val="20"/>
              </w:rPr>
              <w:t xml:space="preserve">Информация о проекте (программе), представленной в составе заявки на участие в конкурсе</w:t>
            </w:r>
          </w:p>
        </w:tc>
      </w:tr>
      <w:tr>
        <w:tc>
          <w:tcPr>
            <w:tcW w:w="7654" w:type="dxa"/>
          </w:tcPr>
          <w:p>
            <w:pPr>
              <w:pStyle w:val="0"/>
            </w:pPr>
            <w:r>
              <w:rPr>
                <w:sz w:val="20"/>
              </w:rPr>
              <w:t xml:space="preserve">Название проекта (программы)</w:t>
            </w:r>
          </w:p>
        </w:tc>
        <w:tc>
          <w:tcPr>
            <w:tcW w:w="1417" w:type="dxa"/>
          </w:tcPr>
          <w:p>
            <w:pPr>
              <w:pStyle w:val="0"/>
            </w:pPr>
            <w:r>
              <w:rPr>
                <w:sz w:val="20"/>
              </w:rPr>
            </w:r>
          </w:p>
        </w:tc>
      </w:tr>
      <w:tr>
        <w:tc>
          <w:tcPr>
            <w:tcW w:w="7654" w:type="dxa"/>
          </w:tcPr>
          <w:p>
            <w:pPr>
              <w:pStyle w:val="0"/>
            </w:pPr>
            <w:r>
              <w:rPr>
                <w:sz w:val="20"/>
              </w:rPr>
              <w:t xml:space="preserve">Сроки реализации проекта (программы)</w:t>
            </w:r>
          </w:p>
        </w:tc>
        <w:tc>
          <w:tcPr>
            <w:tcW w:w="1417" w:type="dxa"/>
          </w:tcPr>
          <w:p>
            <w:pPr>
              <w:pStyle w:val="0"/>
            </w:pPr>
            <w:r>
              <w:rPr>
                <w:sz w:val="20"/>
              </w:rPr>
            </w:r>
          </w:p>
        </w:tc>
      </w:tr>
      <w:tr>
        <w:tc>
          <w:tcPr>
            <w:tcW w:w="7654" w:type="dxa"/>
          </w:tcPr>
          <w:p>
            <w:pPr>
              <w:pStyle w:val="0"/>
            </w:pPr>
            <w:r>
              <w:rPr>
                <w:sz w:val="20"/>
              </w:rPr>
              <w:t xml:space="preserve">Запрашиваемая сумма на реализацию проекта (программы) (в руб.)</w:t>
            </w:r>
          </w:p>
          <w:p>
            <w:pPr>
              <w:pStyle w:val="0"/>
            </w:pPr>
            <w:r>
              <w:rPr>
                <w:sz w:val="20"/>
              </w:rPr>
              <w:t xml:space="preserve">из них:</w:t>
            </w:r>
          </w:p>
        </w:tc>
        <w:tc>
          <w:tcPr>
            <w:tcW w:w="1417" w:type="dxa"/>
          </w:tcPr>
          <w:p>
            <w:pPr>
              <w:pStyle w:val="0"/>
            </w:pPr>
            <w:r>
              <w:rPr>
                <w:sz w:val="20"/>
              </w:rPr>
            </w:r>
          </w:p>
        </w:tc>
      </w:tr>
      <w:tr>
        <w:tc>
          <w:tcPr>
            <w:tcW w:w="7654" w:type="dxa"/>
          </w:tcPr>
          <w:p>
            <w:pPr>
              <w:pStyle w:val="0"/>
            </w:pPr>
            <w:r>
              <w:rPr>
                <w:sz w:val="20"/>
              </w:rPr>
              <w:t xml:space="preserve">за счет субсидии (в руб.)</w:t>
            </w:r>
          </w:p>
        </w:tc>
        <w:tc>
          <w:tcPr>
            <w:tcW w:w="1417" w:type="dxa"/>
          </w:tcPr>
          <w:p>
            <w:pPr>
              <w:pStyle w:val="0"/>
            </w:pPr>
            <w:r>
              <w:rPr>
                <w:sz w:val="20"/>
              </w:rPr>
            </w:r>
          </w:p>
        </w:tc>
      </w:tr>
      <w:tr>
        <w:tc>
          <w:tcPr>
            <w:tcW w:w="7654" w:type="dxa"/>
          </w:tcPr>
          <w:p>
            <w:pPr>
              <w:pStyle w:val="0"/>
            </w:pPr>
            <w:r>
              <w:rPr>
                <w:sz w:val="20"/>
              </w:rPr>
              <w:t xml:space="preserve">за счет собственных средств (в руб.)</w:t>
            </w:r>
          </w:p>
        </w:tc>
        <w:tc>
          <w:tcPr>
            <w:tcW w:w="1417" w:type="dxa"/>
          </w:tcPr>
          <w:p>
            <w:pPr>
              <w:pStyle w:val="0"/>
            </w:pPr>
            <w:r>
              <w:rPr>
                <w:sz w:val="20"/>
              </w:rPr>
            </w:r>
          </w:p>
        </w:tc>
      </w:tr>
    </w:tbl>
    <w:p>
      <w:pPr>
        <w:pStyle w:val="0"/>
        <w:jc w:val="both"/>
      </w:pPr>
      <w:r>
        <w:rPr>
          <w:sz w:val="20"/>
        </w:rPr>
      </w:r>
    </w:p>
    <w:p>
      <w:pPr>
        <w:pStyle w:val="0"/>
        <w:ind w:firstLine="540"/>
        <w:jc w:val="both"/>
      </w:pPr>
      <w:r>
        <w:rPr>
          <w:sz w:val="20"/>
        </w:rPr>
        <w:t xml:space="preserve">Подписанием настоящей заявки подтверждаю о соответствии на момент подачи заявки следующим требованиям:</w:t>
      </w:r>
    </w:p>
    <w:p>
      <w:pPr>
        <w:pStyle w:val="0"/>
        <w:spacing w:before="200" w:lineRule="auto"/>
        <w:ind w:firstLine="540"/>
        <w:jc w:val="both"/>
      </w:pPr>
      <w:r>
        <w:rPr>
          <w:sz w:val="20"/>
        </w:rPr>
        <w:t xml:space="preserve">участник конкурса (получатель субсидии)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00" w:lineRule="auto"/>
        <w:ind w:firstLine="540"/>
        <w:jc w:val="both"/>
      </w:pPr>
      <w:r>
        <w:rPr>
          <w:sz w:val="20"/>
        </w:rPr>
        <w:t xml:space="preserve">участник конкурса (получатель субсидии)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участник конкурса (получатель субсидии) не находится в составляемых в рамках реализации полномочий, предусмотренных </w:t>
      </w:r>
      <w:hyperlink w:history="0" r:id="rId68"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участник конкурса (получатель субсидии) не получает средства из государственного бюджета Республики Саха (Якутия) в соответствии с правовым актом, на основании иных нормативных правовых актов Республики Саха (Якутия) на цели, установленные порядком проведения субсидии;</w:t>
      </w:r>
    </w:p>
    <w:p>
      <w:pPr>
        <w:pStyle w:val="0"/>
        <w:spacing w:before="200" w:lineRule="auto"/>
        <w:ind w:firstLine="540"/>
        <w:jc w:val="both"/>
      </w:pPr>
      <w:r>
        <w:rPr>
          <w:sz w:val="20"/>
        </w:rPr>
        <w:t xml:space="preserve">у участника конкурса (получателя субсидии) на едином налоговом счете отсутствует или не превышает размер, определенный </w:t>
      </w:r>
      <w:hyperlink w:history="0" r:id="rId69" w:tooltip="&quot;Налоговый кодекс Российской Федерации (часть первая)&quot; от 31.07.1998 N 146-ФЗ (ред. от 28.11.2025) ------------ Недействующая редакция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spacing w:before="200" w:lineRule="auto"/>
        <w:ind w:firstLine="540"/>
        <w:jc w:val="both"/>
      </w:pPr>
      <w:r>
        <w:rPr>
          <w:sz w:val="20"/>
        </w:rPr>
        <w:t xml:space="preserve">у участника конкурса (получателя субсидии) отсутствуют просроченная задолженность по возврату в государственный бюджет Республики Саха (Якутия)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Республикой Саха (Якутия);</w:t>
      </w:r>
    </w:p>
    <w:p>
      <w:pPr>
        <w:pStyle w:val="0"/>
        <w:spacing w:before="200" w:lineRule="auto"/>
        <w:ind w:firstLine="540"/>
        <w:jc w:val="both"/>
      </w:pPr>
      <w:r>
        <w:rPr>
          <w:sz w:val="20"/>
        </w:rPr>
        <w:t xml:space="preserve">участник конкурса (получатель субсидии),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участником конкурса (получателем субсидии), другого юридического лица), ликвидации, в отношении его не введена процедура банкротства, деятельность участника конкурса (получателя субсидии) не приостановлена в порядке, предусмотренном законодательством Российской Федерации, а участник конкурса (получатель субсидии), являющийся индивидуальным предпринимателем, не прекратил деятельность в качестве индивидуального предпринимателя;</w:t>
      </w:r>
    </w:p>
    <w:p>
      <w:pPr>
        <w:pStyle w:val="0"/>
        <w:spacing w:before="200" w:lineRule="auto"/>
        <w:ind w:firstLine="540"/>
        <w:jc w:val="both"/>
      </w:pPr>
      <w:r>
        <w:rPr>
          <w:sz w:val="20"/>
        </w:rPr>
        <w:t xml:space="preserve">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конкурса (получателя субсидии), являющегося юридическим лицом, об индивидуальном предпринимателе и о физическом лице - производителе товаров, работ, услуг, являющихся участниками конкурса (получателями субсидий).</w:t>
      </w:r>
    </w:p>
    <w:p>
      <w:pPr>
        <w:pStyle w:val="0"/>
        <w:spacing w:before="200" w:lineRule="auto"/>
        <w:ind w:firstLine="540"/>
        <w:jc w:val="both"/>
      </w:pPr>
      <w:r>
        <w:rPr>
          <w:sz w:val="20"/>
        </w:rPr>
        <w:t xml:space="preserve">Подписанием настоящей заявки даю согласие и обязательства на:</w:t>
      </w:r>
    </w:p>
    <w:p>
      <w:pPr>
        <w:pStyle w:val="0"/>
        <w:spacing w:before="200" w:lineRule="auto"/>
        <w:ind w:firstLine="540"/>
        <w:jc w:val="both"/>
      </w:pPr>
      <w:r>
        <w:rPr>
          <w:sz w:val="20"/>
        </w:rPr>
        <w:t xml:space="preserve">1) соблюдение запрета приобретения за счет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настоящим порядком;</w:t>
      </w:r>
    </w:p>
    <w:p>
      <w:pPr>
        <w:pStyle w:val="0"/>
        <w:spacing w:before="200" w:lineRule="auto"/>
        <w:ind w:firstLine="540"/>
        <w:jc w:val="both"/>
      </w:pPr>
      <w:r>
        <w:rPr>
          <w:sz w:val="20"/>
        </w:rPr>
        <w:t xml:space="preserve">2) на осуществление Министерством в отношении них проверки соблюдения порядка и условий предоставления субсидий, в том числе в части достижения результатов предоставления субсидий, а также проверки органом государственного финансового контроля соблюдения порядка и условий предоставления субсидий в соответствии со </w:t>
      </w:r>
      <w:hyperlink w:history="0" r:id="rId70"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71"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 и на включение таких положений в соглашение;</w:t>
      </w:r>
    </w:p>
    <w:p>
      <w:pPr>
        <w:pStyle w:val="0"/>
        <w:spacing w:before="200" w:lineRule="auto"/>
        <w:ind w:firstLine="540"/>
        <w:jc w:val="both"/>
      </w:pPr>
      <w:r>
        <w:rPr>
          <w:sz w:val="20"/>
        </w:rPr>
        <w:t xml:space="preserve">3) достижение значений результатов, установленных в соответствии с пунктом 1.8 порядка предоставления субсидии;</w:t>
      </w:r>
    </w:p>
    <w:p>
      <w:pPr>
        <w:pStyle w:val="0"/>
        <w:spacing w:before="200" w:lineRule="auto"/>
        <w:ind w:firstLine="540"/>
        <w:jc w:val="both"/>
      </w:pPr>
      <w:r>
        <w:rPr>
          <w:sz w:val="20"/>
        </w:rPr>
        <w:t xml:space="preserve">4) обработку персональных данных руководителя и участников проекта;</w:t>
      </w:r>
    </w:p>
    <w:p>
      <w:pPr>
        <w:pStyle w:val="0"/>
        <w:spacing w:before="200" w:lineRule="auto"/>
        <w:ind w:firstLine="540"/>
        <w:jc w:val="both"/>
      </w:pPr>
      <w:r>
        <w:rPr>
          <w:sz w:val="20"/>
        </w:rPr>
        <w:t xml:space="preserve">5) публикацию (размещение) в информационно-телекоммуникационной сети Интернет информации об участнике конкурса, о подаваемой заявке, иной информации об участнике конкурса, связанной с соответствующим конкурсом, подписанной руководителем или лицом, уполномоченным действовать от имени участника конкурса.</w:t>
      </w:r>
    </w:p>
    <w:p>
      <w:pPr>
        <w:pStyle w:val="0"/>
        <w:spacing w:before="200" w:lineRule="auto"/>
        <w:ind w:firstLine="540"/>
        <w:jc w:val="both"/>
      </w:pPr>
      <w:r>
        <w:rPr>
          <w:sz w:val="20"/>
        </w:rPr>
        <w:t xml:space="preserve">Достоверность информации (в том числе документов), представленной в составе заявки на участие в конкурсе на получение субсидии из государственного бюджета Республики Саха (Якутия) для некоммерческих организаций, созданных под учредительством государственных органов, осуществляющих деятельность по развитию институтов гражданского общества в Республике Саха (Якутия), подтверждаю.</w:t>
      </w:r>
    </w:p>
    <w:p>
      <w:pPr>
        <w:pStyle w:val="0"/>
        <w:spacing w:before="200" w:lineRule="auto"/>
        <w:ind w:firstLine="540"/>
        <w:jc w:val="both"/>
      </w:pPr>
      <w:r>
        <w:rPr>
          <w:sz w:val="20"/>
        </w:rPr>
        <w:t xml:space="preserve">С условиями конкурса и предоставления субсидии ознакомлен и согласен.</w:t>
      </w:r>
    </w:p>
    <w:p>
      <w:pPr>
        <w:pStyle w:val="0"/>
        <w:spacing w:before="200" w:lineRule="auto"/>
        <w:ind w:firstLine="540"/>
        <w:jc w:val="both"/>
      </w:pPr>
      <w:r>
        <w:rPr>
          <w:sz w:val="20"/>
        </w:rPr>
        <w:t xml:space="preserve">К заявке прилагаю следующие документы:</w:t>
      </w:r>
    </w:p>
    <w:p>
      <w:pPr>
        <w:pStyle w:val="0"/>
        <w:spacing w:before="200" w:lineRule="auto"/>
        <w:ind w:firstLine="540"/>
        <w:jc w:val="both"/>
      </w:pPr>
      <w:r>
        <w:rPr>
          <w:sz w:val="20"/>
        </w:rPr>
        <w:t xml:space="preserve">1) социально значимый проект (программу) по развитию институтов гражданского общества в Республике Саха (Якутия);</w:t>
      </w:r>
    </w:p>
    <w:p>
      <w:pPr>
        <w:pStyle w:val="0"/>
        <w:spacing w:before="200" w:lineRule="auto"/>
        <w:ind w:firstLine="540"/>
        <w:jc w:val="both"/>
      </w:pPr>
      <w:r>
        <w:rPr>
          <w:sz w:val="20"/>
        </w:rPr>
        <w:t xml:space="preserve">2) копию действующей редакции устава участника конкурса;</w:t>
      </w:r>
    </w:p>
    <w:p>
      <w:pPr>
        <w:pStyle w:val="0"/>
        <w:spacing w:before="200" w:lineRule="auto"/>
        <w:ind w:firstLine="540"/>
        <w:jc w:val="both"/>
      </w:pPr>
      <w:r>
        <w:rPr>
          <w:sz w:val="20"/>
        </w:rPr>
        <w:t xml:space="preserve">3) копию документа, подтверждающего полномочия лица на подачу заявки от имени участника конкурса, в случае если заявку подает лицо, сведения о котором как о лице, имеющем право без доверенности действовать от имени участника конкурса, не содержатся в едином государственном реестре юридических лиц. В случае подачи заявки иным лицом необходимо приложить копию нотариально заверенной доверенности о назначении лица, имеющего право действовать от имени участника конкурса (при необходимости).</w:t>
      </w:r>
    </w:p>
    <w:p>
      <w:pPr>
        <w:pStyle w:val="0"/>
        <w:jc w:val="both"/>
      </w:pPr>
      <w:r>
        <w:rPr>
          <w:sz w:val="20"/>
        </w:rPr>
      </w:r>
    </w:p>
    <w:tbl>
      <w:tblPr>
        <w:tblInd w:w="0" w:type="dxa"/>
        <w:tblLayout w:type="fixed"/>
        <w:tblCellMar>
          <w:top w:w="102" w:type="dxa"/>
          <w:left w:w="62" w:type="dxa"/>
          <w:bottom w:w="102" w:type="dxa"/>
          <w:right w:w="62" w:type="dxa"/>
        </w:tblCellMar>
      </w:tblPr>
      <w:tblGrid>
        <w:gridCol w:w="3402"/>
        <w:gridCol w:w="2551"/>
        <w:gridCol w:w="3118"/>
      </w:tblGrid>
      <w:tr>
        <w:tc>
          <w:tcPr>
            <w:tcW w:w="3402" w:type="dxa"/>
            <w:tcBorders>
              <w:top w:val="nil"/>
              <w:left w:val="nil"/>
              <w:bottom w:val="nil"/>
              <w:right w:val="nil"/>
            </w:tcBorders>
          </w:tcPr>
          <w:p>
            <w:pPr>
              <w:pStyle w:val="0"/>
            </w:pPr>
            <w:r>
              <w:rPr>
                <w:sz w:val="20"/>
              </w:rPr>
              <w:t xml:space="preserve">Руководитель организации</w:t>
            </w:r>
          </w:p>
        </w:tc>
        <w:tc>
          <w:tcPr>
            <w:tcW w:w="2551" w:type="dxa"/>
            <w:tcBorders>
              <w:top w:val="nil"/>
              <w:left w:val="nil"/>
              <w:bottom w:val="nil"/>
              <w:right w:val="nil"/>
            </w:tcBorders>
          </w:tcPr>
          <w:p>
            <w:pPr>
              <w:pStyle w:val="0"/>
              <w:jc w:val="center"/>
            </w:pPr>
            <w:r>
              <w:rPr>
                <w:sz w:val="20"/>
              </w:rPr>
              <w:t xml:space="preserve">__________________</w:t>
            </w:r>
          </w:p>
          <w:p>
            <w:pPr>
              <w:pStyle w:val="0"/>
              <w:jc w:val="center"/>
            </w:pPr>
            <w:r>
              <w:rPr>
                <w:sz w:val="20"/>
              </w:rPr>
              <w:t xml:space="preserve">(подпись)</w:t>
            </w:r>
          </w:p>
        </w:tc>
        <w:tc>
          <w:tcPr>
            <w:tcW w:w="3118" w:type="dxa"/>
            <w:tcBorders>
              <w:top w:val="nil"/>
              <w:left w:val="nil"/>
              <w:bottom w:val="nil"/>
              <w:right w:val="nil"/>
            </w:tcBorders>
          </w:tcPr>
          <w:p>
            <w:pPr>
              <w:pStyle w:val="0"/>
              <w:jc w:val="center"/>
            </w:pPr>
            <w:r>
              <w:rPr>
                <w:sz w:val="20"/>
              </w:rPr>
              <w:t xml:space="preserve">/______________________</w:t>
            </w:r>
          </w:p>
          <w:p>
            <w:pPr>
              <w:pStyle w:val="0"/>
              <w:jc w:val="center"/>
            </w:pPr>
            <w:r>
              <w:rPr>
                <w:sz w:val="20"/>
              </w:rPr>
              <w:t xml:space="preserve">(Ф.И.О. полностью)</w:t>
            </w:r>
          </w:p>
        </w:tc>
      </w:tr>
      <w:tr>
        <w:tc>
          <w:tcPr>
            <w:gridSpan w:val="3"/>
            <w:tcW w:w="9071" w:type="dxa"/>
            <w:tcBorders>
              <w:top w:val="nil"/>
              <w:left w:val="nil"/>
              <w:bottom w:val="nil"/>
              <w:right w:val="nil"/>
            </w:tcBorders>
          </w:tcPr>
          <w:p>
            <w:pPr>
              <w:pStyle w:val="0"/>
              <w:jc w:val="both"/>
            </w:pPr>
            <w:r>
              <w:rPr>
                <w:sz w:val="20"/>
              </w:rPr>
              <w:t xml:space="preserve">"____" _____________ 20__ г.</w:t>
            </w:r>
          </w:p>
        </w:tc>
      </w:tr>
      <w:tr>
        <w:tc>
          <w:tcPr>
            <w:gridSpan w:val="3"/>
            <w:tcW w:w="9071" w:type="dxa"/>
            <w:tcBorders>
              <w:top w:val="nil"/>
              <w:left w:val="nil"/>
              <w:bottom w:val="nil"/>
              <w:right w:val="nil"/>
            </w:tcBorders>
          </w:tcPr>
          <w:p>
            <w:pPr>
              <w:pStyle w:val="0"/>
            </w:pPr>
            <w:r>
              <w:rPr>
                <w:sz w:val="20"/>
              </w:rPr>
              <w:t xml:space="preserve">М/П</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порядку</w:t>
      </w:r>
    </w:p>
    <w:p>
      <w:pPr>
        <w:pStyle w:val="0"/>
        <w:jc w:val="right"/>
      </w:pPr>
      <w:r>
        <w:rPr>
          <w:sz w:val="20"/>
        </w:rPr>
        <w:t xml:space="preserve">предоставления из государственного</w:t>
      </w:r>
    </w:p>
    <w:p>
      <w:pPr>
        <w:pStyle w:val="0"/>
        <w:jc w:val="right"/>
      </w:pPr>
      <w:r>
        <w:rPr>
          <w:sz w:val="20"/>
        </w:rPr>
        <w:t xml:space="preserve">бюджета Республики Саха (Якутия)</w:t>
      </w:r>
    </w:p>
    <w:p>
      <w:pPr>
        <w:pStyle w:val="0"/>
        <w:jc w:val="right"/>
      </w:pPr>
      <w:r>
        <w:rPr>
          <w:sz w:val="20"/>
        </w:rPr>
        <w:t xml:space="preserve">некоммерческим организациям</w:t>
      </w:r>
    </w:p>
    <w:p>
      <w:pPr>
        <w:pStyle w:val="0"/>
        <w:jc w:val="right"/>
      </w:pPr>
      <w:r>
        <w:rPr>
          <w:sz w:val="20"/>
        </w:rPr>
        <w:t xml:space="preserve">на финансовое обеспечение затрат</w:t>
      </w:r>
    </w:p>
    <w:p>
      <w:pPr>
        <w:pStyle w:val="0"/>
        <w:jc w:val="right"/>
      </w:pPr>
      <w:r>
        <w:rPr>
          <w:sz w:val="20"/>
        </w:rPr>
        <w:t xml:space="preserve">на организацию оказания поддержки</w:t>
      </w:r>
    </w:p>
    <w:p>
      <w:pPr>
        <w:pStyle w:val="0"/>
        <w:jc w:val="right"/>
      </w:pPr>
      <w:r>
        <w:rPr>
          <w:sz w:val="20"/>
        </w:rPr>
        <w:t xml:space="preserve">некоммерческим организациям (включая</w:t>
      </w:r>
    </w:p>
    <w:p>
      <w:pPr>
        <w:pStyle w:val="0"/>
        <w:jc w:val="right"/>
      </w:pPr>
      <w:r>
        <w:rPr>
          <w:sz w:val="20"/>
        </w:rPr>
        <w:t xml:space="preserve">подготовку и проведение конкурсов)</w:t>
      </w:r>
    </w:p>
    <w:p>
      <w:pPr>
        <w:pStyle w:val="0"/>
        <w:jc w:val="both"/>
      </w:pPr>
      <w:r>
        <w:rPr>
          <w:sz w:val="20"/>
        </w:rPr>
      </w:r>
    </w:p>
    <w:p>
      <w:pPr>
        <w:pStyle w:val="0"/>
        <w:jc w:val="right"/>
      </w:pPr>
      <w:r>
        <w:rPr>
          <w:sz w:val="20"/>
        </w:rPr>
        <w:t xml:space="preserve">ФОРМА</w:t>
      </w:r>
    </w:p>
    <w:p>
      <w:pPr>
        <w:pStyle w:val="0"/>
        <w:jc w:val="both"/>
      </w:pPr>
      <w:r>
        <w:rPr>
          <w:sz w:val="20"/>
        </w:rPr>
      </w:r>
    </w:p>
    <w:tbl>
      <w:tblPr>
        <w:tblInd w:w="0" w:type="dxa"/>
        <w:tblLayout w:type="fixed"/>
        <w:tblBorders>
          <w:left w:val="single" w:sz="4"/>
          <w:bottom w:val="single" w:sz="4"/>
          <w:right w:val="single" w:sz="4"/>
          <w:insideV w:val="single" w:sz="4"/>
          <w:insideH w:val="single" w:sz="4"/>
        </w:tblBorders>
        <w:tblCellMar>
          <w:top w:w="102" w:type="dxa"/>
          <w:left w:w="62" w:type="dxa"/>
          <w:bottom w:w="102" w:type="dxa"/>
          <w:right w:w="62" w:type="dxa"/>
        </w:tblCellMar>
      </w:tblPr>
      <w:tblGrid>
        <w:gridCol w:w="5669"/>
        <w:gridCol w:w="3402"/>
      </w:tblGrid>
      <w:tr>
        <w:tblPrEx>
          <w:tblBorders>
            <w:left w:val="nil"/>
            <w:right w:val="nil"/>
          </w:tblBorders>
        </w:tblPrEx>
        <w:tc>
          <w:tcPr>
            <w:gridSpan w:val="2"/>
            <w:tcW w:w="9071" w:type="dxa"/>
            <w:tcBorders>
              <w:top w:val="nil"/>
              <w:left w:val="nil"/>
              <w:right w:val="nil"/>
            </w:tcBorders>
          </w:tcPr>
          <w:bookmarkStart w:id="601" w:name="P601"/>
          <w:bookmarkEnd w:id="601"/>
          <w:p>
            <w:pPr>
              <w:pStyle w:val="0"/>
              <w:jc w:val="center"/>
            </w:pPr>
            <w:r>
              <w:rPr>
                <w:sz w:val="20"/>
              </w:rPr>
              <w:t xml:space="preserve">ПРОЕКТ (ПРОГРАММА)</w:t>
            </w:r>
          </w:p>
          <w:p>
            <w:pPr>
              <w:pStyle w:val="0"/>
              <w:jc w:val="center"/>
            </w:pPr>
            <w:r>
              <w:rPr>
                <w:sz w:val="20"/>
              </w:rPr>
              <w:t xml:space="preserve">по развитию институтов гражданского общества</w:t>
            </w:r>
          </w:p>
          <w:p>
            <w:pPr>
              <w:pStyle w:val="0"/>
              <w:jc w:val="center"/>
            </w:pPr>
            <w:r>
              <w:rPr>
                <w:sz w:val="20"/>
              </w:rPr>
              <w:t xml:space="preserve">в Республике Саха (Якутия)</w:t>
            </w:r>
          </w:p>
        </w:tc>
      </w:tr>
      <w:tr>
        <w:tc>
          <w:tcPr>
            <w:tcW w:w="5669" w:type="dxa"/>
            <w:vAlign w:val="center"/>
          </w:tcPr>
          <w:p>
            <w:pPr>
              <w:pStyle w:val="0"/>
            </w:pPr>
            <w:r>
              <w:rPr>
                <w:sz w:val="20"/>
              </w:rPr>
              <w:t xml:space="preserve">Название проекта, на реализацию которого запрашивается субсидия</w:t>
            </w:r>
          </w:p>
        </w:tc>
        <w:tc>
          <w:tcPr>
            <w:tcW w:w="3402" w:type="dxa"/>
          </w:tcPr>
          <w:p>
            <w:pPr>
              <w:pStyle w:val="0"/>
            </w:pPr>
            <w:r>
              <w:rPr>
                <w:sz w:val="20"/>
              </w:rPr>
            </w:r>
          </w:p>
        </w:tc>
      </w:tr>
      <w:tr>
        <w:tc>
          <w:tcPr>
            <w:tcW w:w="5669" w:type="dxa"/>
            <w:vAlign w:val="center"/>
          </w:tcPr>
          <w:p>
            <w:pPr>
              <w:pStyle w:val="0"/>
            </w:pPr>
            <w:r>
              <w:rPr>
                <w:sz w:val="20"/>
              </w:rPr>
              <w:t xml:space="preserve">Краткое описание проекта</w:t>
            </w:r>
          </w:p>
        </w:tc>
        <w:tc>
          <w:tcPr>
            <w:tcW w:w="3402" w:type="dxa"/>
          </w:tcPr>
          <w:p>
            <w:pPr>
              <w:pStyle w:val="0"/>
            </w:pPr>
            <w:r>
              <w:rPr>
                <w:sz w:val="20"/>
              </w:rPr>
            </w:r>
          </w:p>
        </w:tc>
      </w:tr>
      <w:tr>
        <w:tc>
          <w:tcPr>
            <w:tcW w:w="5669" w:type="dxa"/>
            <w:vAlign w:val="center"/>
          </w:tcPr>
          <w:p>
            <w:pPr>
              <w:pStyle w:val="0"/>
            </w:pPr>
            <w:r>
              <w:rPr>
                <w:sz w:val="20"/>
              </w:rPr>
              <w:t xml:space="preserve">География проекта</w:t>
            </w:r>
          </w:p>
        </w:tc>
        <w:tc>
          <w:tcPr>
            <w:tcW w:w="3402" w:type="dxa"/>
          </w:tcPr>
          <w:p>
            <w:pPr>
              <w:pStyle w:val="0"/>
            </w:pPr>
            <w:r>
              <w:rPr>
                <w:sz w:val="20"/>
              </w:rPr>
            </w:r>
          </w:p>
        </w:tc>
      </w:tr>
      <w:tr>
        <w:tc>
          <w:tcPr>
            <w:tcW w:w="5669" w:type="dxa"/>
            <w:vAlign w:val="center"/>
          </w:tcPr>
          <w:p>
            <w:pPr>
              <w:pStyle w:val="0"/>
            </w:pPr>
            <w:r>
              <w:rPr>
                <w:sz w:val="20"/>
              </w:rPr>
              <w:t xml:space="preserve">Срок реализации проекта</w:t>
            </w:r>
          </w:p>
        </w:tc>
        <w:tc>
          <w:tcPr>
            <w:tcW w:w="3402" w:type="dxa"/>
          </w:tcPr>
          <w:p>
            <w:pPr>
              <w:pStyle w:val="0"/>
            </w:pPr>
            <w:r>
              <w:rPr>
                <w:sz w:val="20"/>
              </w:rPr>
            </w:r>
          </w:p>
        </w:tc>
      </w:tr>
      <w:tr>
        <w:tc>
          <w:tcPr>
            <w:tcW w:w="5669" w:type="dxa"/>
            <w:vAlign w:val="center"/>
          </w:tcPr>
          <w:p>
            <w:pPr>
              <w:pStyle w:val="0"/>
            </w:pPr>
            <w:r>
              <w:rPr>
                <w:sz w:val="20"/>
              </w:rPr>
              <w:t xml:space="preserve">Обоснование социальной значимости проекта</w:t>
            </w:r>
          </w:p>
        </w:tc>
        <w:tc>
          <w:tcPr>
            <w:tcW w:w="3402" w:type="dxa"/>
          </w:tcPr>
          <w:p>
            <w:pPr>
              <w:pStyle w:val="0"/>
            </w:pPr>
            <w:r>
              <w:rPr>
                <w:sz w:val="20"/>
              </w:rPr>
            </w:r>
          </w:p>
        </w:tc>
      </w:tr>
      <w:tr>
        <w:tc>
          <w:tcPr>
            <w:tcW w:w="5669" w:type="dxa"/>
            <w:vAlign w:val="center"/>
          </w:tcPr>
          <w:p>
            <w:pPr>
              <w:pStyle w:val="0"/>
            </w:pPr>
            <w:r>
              <w:rPr>
                <w:sz w:val="20"/>
              </w:rPr>
              <w:t xml:space="preserve">Целевые группы проекта</w:t>
            </w:r>
          </w:p>
        </w:tc>
        <w:tc>
          <w:tcPr>
            <w:tcW w:w="3402" w:type="dxa"/>
          </w:tcPr>
          <w:p>
            <w:pPr>
              <w:pStyle w:val="0"/>
            </w:pPr>
            <w:r>
              <w:rPr>
                <w:sz w:val="20"/>
              </w:rPr>
            </w:r>
          </w:p>
        </w:tc>
      </w:tr>
      <w:tr>
        <w:tc>
          <w:tcPr>
            <w:tcW w:w="5669" w:type="dxa"/>
            <w:vAlign w:val="center"/>
          </w:tcPr>
          <w:p>
            <w:pPr>
              <w:pStyle w:val="0"/>
            </w:pPr>
            <w:r>
              <w:rPr>
                <w:sz w:val="20"/>
              </w:rPr>
              <w:t xml:space="preserve">Цель (цели) и задачи проекта</w:t>
            </w:r>
          </w:p>
        </w:tc>
        <w:tc>
          <w:tcPr>
            <w:tcW w:w="3402" w:type="dxa"/>
          </w:tcPr>
          <w:p>
            <w:pPr>
              <w:pStyle w:val="0"/>
            </w:pPr>
            <w:r>
              <w:rPr>
                <w:sz w:val="20"/>
              </w:rPr>
            </w:r>
          </w:p>
        </w:tc>
      </w:tr>
      <w:tr>
        <w:tc>
          <w:tcPr>
            <w:tcW w:w="5669" w:type="dxa"/>
            <w:vAlign w:val="center"/>
          </w:tcPr>
          <w:p>
            <w:pPr>
              <w:pStyle w:val="0"/>
            </w:pPr>
            <w:r>
              <w:rPr>
                <w:sz w:val="20"/>
              </w:rPr>
              <w:t xml:space="preserve">Ожидаемые количественные и качественные результаты проекта</w:t>
            </w:r>
          </w:p>
        </w:tc>
        <w:tc>
          <w:tcPr>
            <w:tcW w:w="3402" w:type="dxa"/>
          </w:tcPr>
          <w:p>
            <w:pPr>
              <w:pStyle w:val="0"/>
            </w:pPr>
            <w:r>
              <w:rPr>
                <w:sz w:val="20"/>
              </w:rPr>
            </w:r>
          </w:p>
        </w:tc>
      </w:tr>
      <w:tr>
        <w:tc>
          <w:tcPr>
            <w:tcW w:w="5669" w:type="dxa"/>
            <w:vAlign w:val="center"/>
          </w:tcPr>
          <w:p>
            <w:pPr>
              <w:pStyle w:val="0"/>
            </w:pPr>
            <w:r>
              <w:rPr>
                <w:sz w:val="20"/>
              </w:rPr>
              <w:t xml:space="preserve">Общая сумма расходов на реализацию проекта</w:t>
            </w:r>
          </w:p>
        </w:tc>
        <w:tc>
          <w:tcPr>
            <w:tcW w:w="3402" w:type="dxa"/>
          </w:tcPr>
          <w:p>
            <w:pPr>
              <w:pStyle w:val="0"/>
            </w:pPr>
            <w:r>
              <w:rPr>
                <w:sz w:val="20"/>
              </w:rPr>
            </w:r>
          </w:p>
        </w:tc>
      </w:tr>
      <w:tr>
        <w:tc>
          <w:tcPr>
            <w:tcW w:w="5669" w:type="dxa"/>
            <w:vAlign w:val="center"/>
          </w:tcPr>
          <w:p>
            <w:pPr>
              <w:pStyle w:val="0"/>
            </w:pPr>
            <w:r>
              <w:rPr>
                <w:sz w:val="20"/>
              </w:rPr>
              <w:t xml:space="preserve">Запрашиваемая сумма субсидии</w:t>
            </w:r>
          </w:p>
        </w:tc>
        <w:tc>
          <w:tcPr>
            <w:tcW w:w="3402" w:type="dxa"/>
          </w:tcPr>
          <w:p>
            <w:pPr>
              <w:pStyle w:val="0"/>
            </w:pPr>
            <w:r>
              <w:rPr>
                <w:sz w:val="20"/>
              </w:rPr>
            </w:r>
          </w:p>
        </w:tc>
      </w:tr>
      <w:tr>
        <w:tc>
          <w:tcPr>
            <w:tcW w:w="5669" w:type="dxa"/>
            <w:vAlign w:val="center"/>
          </w:tcPr>
          <w:p>
            <w:pPr>
              <w:pStyle w:val="0"/>
            </w:pPr>
            <w:r>
              <w:rPr>
                <w:sz w:val="20"/>
              </w:rPr>
              <w:t xml:space="preserve">Календарный план проекта</w:t>
            </w:r>
          </w:p>
        </w:tc>
        <w:tc>
          <w:tcPr>
            <w:tcW w:w="3402" w:type="dxa"/>
          </w:tcPr>
          <w:p>
            <w:pPr>
              <w:pStyle w:val="0"/>
            </w:pPr>
            <w:r>
              <w:rPr>
                <w:sz w:val="20"/>
              </w:rPr>
            </w:r>
          </w:p>
        </w:tc>
      </w:tr>
      <w:tr>
        <w:tc>
          <w:tcPr>
            <w:tcW w:w="5669" w:type="dxa"/>
            <w:vAlign w:val="center"/>
          </w:tcPr>
          <w:p>
            <w:pPr>
              <w:pStyle w:val="0"/>
            </w:pPr>
            <w:r>
              <w:rPr>
                <w:sz w:val="20"/>
              </w:rPr>
              <w:t xml:space="preserve">Бюджет проекта</w:t>
            </w:r>
          </w:p>
        </w:tc>
        <w:tc>
          <w:tcPr>
            <w:tcW w:w="3402" w:type="dxa"/>
          </w:tcPr>
          <w:p>
            <w:pPr>
              <w:pStyle w:val="0"/>
            </w:pPr>
            <w:r>
              <w:rPr>
                <w:sz w:val="20"/>
              </w:rPr>
            </w:r>
          </w:p>
        </w:tc>
      </w:tr>
      <w:tr>
        <w:tc>
          <w:tcPr>
            <w:tcW w:w="5669" w:type="dxa"/>
            <w:vAlign w:val="center"/>
          </w:tcPr>
          <w:p>
            <w:pPr>
              <w:pStyle w:val="0"/>
            </w:pPr>
            <w:r>
              <w:rPr>
                <w:sz w:val="20"/>
              </w:rPr>
              <w:t xml:space="preserve">Информация о руководителе проекта</w:t>
            </w:r>
          </w:p>
        </w:tc>
        <w:tc>
          <w:tcPr>
            <w:tcW w:w="3402" w:type="dxa"/>
          </w:tcPr>
          <w:p>
            <w:pPr>
              <w:pStyle w:val="0"/>
            </w:pPr>
            <w:r>
              <w:rPr>
                <w:sz w:val="20"/>
              </w:rPr>
            </w:r>
          </w:p>
        </w:tc>
      </w:tr>
      <w:tr>
        <w:tc>
          <w:tcPr>
            <w:tcW w:w="5669" w:type="dxa"/>
            <w:vAlign w:val="center"/>
          </w:tcPr>
          <w:p>
            <w:pPr>
              <w:pStyle w:val="0"/>
            </w:pPr>
            <w:r>
              <w:rPr>
                <w:sz w:val="20"/>
              </w:rPr>
              <w:t xml:space="preserve">Информация о команде проекта</w:t>
            </w:r>
          </w:p>
        </w:tc>
        <w:tc>
          <w:tcPr>
            <w:tcW w:w="3402" w:type="dxa"/>
          </w:tcPr>
          <w:p>
            <w:pPr>
              <w:pStyle w:val="0"/>
            </w:pPr>
            <w:r>
              <w:rPr>
                <w:sz w:val="20"/>
              </w:rPr>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w:t>
      </w:r>
    </w:p>
    <w:p>
      <w:pPr>
        <w:pStyle w:val="0"/>
        <w:jc w:val="right"/>
      </w:pPr>
      <w:r>
        <w:rPr>
          <w:sz w:val="20"/>
        </w:rPr>
        <w:t xml:space="preserve">к порядку</w:t>
      </w:r>
    </w:p>
    <w:p>
      <w:pPr>
        <w:pStyle w:val="0"/>
        <w:jc w:val="right"/>
      </w:pPr>
      <w:r>
        <w:rPr>
          <w:sz w:val="20"/>
        </w:rPr>
        <w:t xml:space="preserve">предоставления из государственного</w:t>
      </w:r>
    </w:p>
    <w:p>
      <w:pPr>
        <w:pStyle w:val="0"/>
        <w:jc w:val="right"/>
      </w:pPr>
      <w:r>
        <w:rPr>
          <w:sz w:val="20"/>
        </w:rPr>
        <w:t xml:space="preserve">бюджета Республики Саха (Якутия)</w:t>
      </w:r>
    </w:p>
    <w:p>
      <w:pPr>
        <w:pStyle w:val="0"/>
        <w:jc w:val="right"/>
      </w:pPr>
      <w:r>
        <w:rPr>
          <w:sz w:val="20"/>
        </w:rPr>
        <w:t xml:space="preserve">некоммерческим организациям</w:t>
      </w:r>
    </w:p>
    <w:p>
      <w:pPr>
        <w:pStyle w:val="0"/>
        <w:jc w:val="right"/>
      </w:pPr>
      <w:r>
        <w:rPr>
          <w:sz w:val="20"/>
        </w:rPr>
        <w:t xml:space="preserve">на финансовое обеспечение затрат</w:t>
      </w:r>
    </w:p>
    <w:p>
      <w:pPr>
        <w:pStyle w:val="0"/>
        <w:jc w:val="right"/>
      </w:pPr>
      <w:r>
        <w:rPr>
          <w:sz w:val="20"/>
        </w:rPr>
        <w:t xml:space="preserve">на организацию оказания поддержки</w:t>
      </w:r>
    </w:p>
    <w:p>
      <w:pPr>
        <w:pStyle w:val="0"/>
        <w:jc w:val="right"/>
      </w:pPr>
      <w:r>
        <w:rPr>
          <w:sz w:val="20"/>
        </w:rPr>
        <w:t xml:space="preserve">некоммерческим организациям (включая</w:t>
      </w:r>
    </w:p>
    <w:p>
      <w:pPr>
        <w:pStyle w:val="0"/>
        <w:jc w:val="right"/>
      </w:pPr>
      <w:r>
        <w:rPr>
          <w:sz w:val="20"/>
        </w:rPr>
        <w:t xml:space="preserve">подготовку и проведение конкурсов)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72" w:tooltip="Постановление Правительства РС(Я) от 19.02.2025 N 55 &quot;О внесении изменений в порядок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 утвержденный постановлением Правительства Республики Саха (Якутия) от 28 июня 2024 г. N 282&quot; {КонсультантПлюс}">
              <w:r>
                <w:rPr>
                  <w:sz w:val="20"/>
                  <w:color w:val="0000ff"/>
                </w:rPr>
                <w:t xml:space="preserve">постановления</w:t>
              </w:r>
            </w:hyperlink>
            <w:r>
              <w:rPr>
                <w:sz w:val="20"/>
                <w:color w:val="392c69"/>
              </w:rPr>
              <w:t xml:space="preserve"> Правительства РС(Я) от 19.02.2025 N 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jc w:val="right"/>
      </w:pPr>
      <w:r>
        <w:rPr>
          <w:sz w:val="20"/>
        </w:rPr>
        <w:t xml:space="preserve">ФОРМА</w:t>
      </w:r>
    </w:p>
    <w:p>
      <w:pPr>
        <w:pStyle w:val="0"/>
        <w:jc w:val="both"/>
      </w:pPr>
      <w:r>
        <w:rPr>
          <w:sz w:val="20"/>
        </w:rPr>
      </w:r>
    </w:p>
    <w:tbl>
      <w:tblPr>
        <w:tblInd w:w="0" w:type="dxa"/>
        <w:tblLayout w:type="fixed"/>
        <w:tblBorders>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6520"/>
        <w:gridCol w:w="1986"/>
      </w:tblGrid>
      <w:tr>
        <w:tblPrEx>
          <w:tblBorders>
            <w:left w:val="nil"/>
            <w:right w:val="nil"/>
          </w:tblBorders>
        </w:tblPrEx>
        <w:tc>
          <w:tcPr>
            <w:gridSpan w:val="3"/>
            <w:tcW w:w="9072" w:type="dxa"/>
            <w:tcBorders>
              <w:top w:val="nil"/>
              <w:left w:val="nil"/>
              <w:right w:val="nil"/>
            </w:tcBorders>
          </w:tcPr>
          <w:bookmarkStart w:id="651" w:name="P651"/>
          <w:bookmarkEnd w:id="651"/>
          <w:p>
            <w:pPr>
              <w:pStyle w:val="0"/>
              <w:jc w:val="center"/>
            </w:pPr>
            <w:r>
              <w:rPr>
                <w:sz w:val="20"/>
              </w:rPr>
              <w:t xml:space="preserve">ОЦЕНОЧНАЯ ВЕДОМОСТЬ</w:t>
            </w:r>
          </w:p>
          <w:p>
            <w:pPr>
              <w:pStyle w:val="0"/>
              <w:jc w:val="center"/>
            </w:pPr>
            <w:r>
              <w:rPr>
                <w:sz w:val="20"/>
              </w:rPr>
              <w:t xml:space="preserve">____________________________</w:t>
            </w:r>
          </w:p>
          <w:p>
            <w:pPr>
              <w:pStyle w:val="0"/>
              <w:jc w:val="center"/>
            </w:pPr>
            <w:r>
              <w:rPr>
                <w:sz w:val="20"/>
              </w:rPr>
              <w:t xml:space="preserve">(наименование организации)</w:t>
            </w:r>
          </w:p>
        </w:tc>
      </w:tr>
      <w:tr>
        <w:tc>
          <w:tcPr>
            <w:tcW w:w="566" w:type="dxa"/>
            <w:vAlign w:val="center"/>
          </w:tcPr>
          <w:p>
            <w:pPr>
              <w:pStyle w:val="0"/>
              <w:jc w:val="center"/>
            </w:pPr>
            <w:r>
              <w:rPr>
                <w:sz w:val="20"/>
              </w:rPr>
              <w:t xml:space="preserve">N п/п</w:t>
            </w:r>
          </w:p>
        </w:tc>
        <w:tc>
          <w:tcPr>
            <w:tcW w:w="6520" w:type="dxa"/>
            <w:vAlign w:val="center"/>
          </w:tcPr>
          <w:p>
            <w:pPr>
              <w:pStyle w:val="0"/>
              <w:jc w:val="center"/>
            </w:pPr>
            <w:r>
              <w:rPr>
                <w:sz w:val="20"/>
              </w:rPr>
              <w:t xml:space="preserve">Критерии оценки заявок на участие в конкурсе</w:t>
            </w:r>
          </w:p>
        </w:tc>
        <w:tc>
          <w:tcPr>
            <w:tcW w:w="1986" w:type="dxa"/>
            <w:vAlign w:val="center"/>
          </w:tcPr>
          <w:p>
            <w:pPr>
              <w:pStyle w:val="0"/>
              <w:jc w:val="center"/>
            </w:pPr>
            <w:r>
              <w:rPr>
                <w:sz w:val="20"/>
              </w:rPr>
              <w:t xml:space="preserve">Оценка в баллах</w:t>
            </w:r>
          </w:p>
        </w:tc>
      </w:tr>
      <w:tr>
        <w:tc>
          <w:tcPr>
            <w:tcW w:w="566" w:type="dxa"/>
            <w:vAlign w:val="center"/>
          </w:tcPr>
          <w:p>
            <w:pPr>
              <w:pStyle w:val="0"/>
              <w:jc w:val="center"/>
            </w:pPr>
            <w:r>
              <w:rPr>
                <w:sz w:val="20"/>
              </w:rPr>
              <w:t xml:space="preserve">1</w:t>
            </w:r>
          </w:p>
        </w:tc>
        <w:tc>
          <w:tcPr>
            <w:tcW w:w="6520" w:type="dxa"/>
            <w:vAlign w:val="center"/>
          </w:tcPr>
          <w:p>
            <w:pPr>
              <w:pStyle w:val="0"/>
              <w:jc w:val="both"/>
            </w:pPr>
            <w:r>
              <w:rPr>
                <w:sz w:val="20"/>
              </w:rPr>
              <w:t xml:space="preserve">Логическая связность и реализуемость проекта, соответствие мероприятий проекта его целям, задачам и ожидаемым результатам</w:t>
            </w:r>
          </w:p>
        </w:tc>
        <w:tc>
          <w:tcPr>
            <w:tcW w:w="1986" w:type="dxa"/>
          </w:tcPr>
          <w:p>
            <w:pPr>
              <w:pStyle w:val="0"/>
            </w:pPr>
            <w:r>
              <w:rPr>
                <w:sz w:val="20"/>
              </w:rPr>
            </w:r>
          </w:p>
        </w:tc>
      </w:tr>
      <w:tr>
        <w:tc>
          <w:tcPr>
            <w:tcW w:w="566" w:type="dxa"/>
            <w:vAlign w:val="center"/>
          </w:tcPr>
          <w:p>
            <w:pPr>
              <w:pStyle w:val="0"/>
              <w:jc w:val="center"/>
            </w:pPr>
            <w:r>
              <w:rPr>
                <w:sz w:val="20"/>
              </w:rPr>
              <w:t xml:space="preserve">2</w:t>
            </w:r>
          </w:p>
        </w:tc>
        <w:tc>
          <w:tcPr>
            <w:tcW w:w="6520" w:type="dxa"/>
            <w:vAlign w:val="center"/>
          </w:tcPr>
          <w:p>
            <w:pPr>
              <w:pStyle w:val="0"/>
              <w:jc w:val="both"/>
            </w:pPr>
            <w:r>
              <w:rPr>
                <w:sz w:val="20"/>
              </w:rPr>
              <w:t xml:space="preserve">Соотношение планируемых расходов на реализацию проекта и его ожидаемых результатов, адекватность, измеримость и достижимость таких результатов</w:t>
            </w:r>
          </w:p>
        </w:tc>
        <w:tc>
          <w:tcPr>
            <w:tcW w:w="1986" w:type="dxa"/>
          </w:tcPr>
          <w:p>
            <w:pPr>
              <w:pStyle w:val="0"/>
            </w:pPr>
            <w:r>
              <w:rPr>
                <w:sz w:val="20"/>
              </w:rPr>
            </w:r>
          </w:p>
        </w:tc>
      </w:tr>
      <w:tr>
        <w:tc>
          <w:tcPr>
            <w:tcW w:w="566" w:type="dxa"/>
            <w:vAlign w:val="center"/>
          </w:tcPr>
          <w:p>
            <w:pPr>
              <w:pStyle w:val="0"/>
              <w:jc w:val="center"/>
            </w:pPr>
            <w:r>
              <w:rPr>
                <w:sz w:val="20"/>
              </w:rPr>
              <w:t xml:space="preserve">3</w:t>
            </w:r>
          </w:p>
        </w:tc>
        <w:tc>
          <w:tcPr>
            <w:tcW w:w="6520" w:type="dxa"/>
            <w:vAlign w:val="center"/>
          </w:tcPr>
          <w:p>
            <w:pPr>
              <w:pStyle w:val="0"/>
              <w:jc w:val="both"/>
            </w:pPr>
            <w:r>
              <w:rPr>
                <w:sz w:val="20"/>
              </w:rPr>
              <w:t xml:space="preserve">Реалистичность бюджета проекта и обоснованность планируемых расходов на реализацию проекта</w:t>
            </w:r>
          </w:p>
        </w:tc>
        <w:tc>
          <w:tcPr>
            <w:tcW w:w="1986" w:type="dxa"/>
          </w:tcPr>
          <w:p>
            <w:pPr>
              <w:pStyle w:val="0"/>
            </w:pPr>
            <w:r>
              <w:rPr>
                <w:sz w:val="20"/>
              </w:rPr>
            </w:r>
          </w:p>
        </w:tc>
      </w:tr>
      <w:tr>
        <w:tc>
          <w:tcPr>
            <w:tcW w:w="566" w:type="dxa"/>
            <w:vAlign w:val="center"/>
          </w:tcPr>
          <w:p>
            <w:pPr>
              <w:pStyle w:val="0"/>
              <w:jc w:val="center"/>
            </w:pPr>
            <w:r>
              <w:rPr>
                <w:sz w:val="20"/>
              </w:rPr>
              <w:t xml:space="preserve">4</w:t>
            </w:r>
          </w:p>
        </w:tc>
        <w:tc>
          <w:tcPr>
            <w:tcW w:w="6520" w:type="dxa"/>
            <w:vAlign w:val="center"/>
          </w:tcPr>
          <w:p>
            <w:pPr>
              <w:pStyle w:val="0"/>
              <w:jc w:val="both"/>
            </w:pPr>
            <w:r>
              <w:rPr>
                <w:sz w:val="20"/>
              </w:rPr>
              <w:t xml:space="preserve">Опыт организации по успешной реализации программ, проектов по соответствующему направлению деятельности</w:t>
            </w:r>
          </w:p>
        </w:tc>
        <w:tc>
          <w:tcPr>
            <w:tcW w:w="1986" w:type="dxa"/>
          </w:tcPr>
          <w:p>
            <w:pPr>
              <w:pStyle w:val="0"/>
            </w:pPr>
            <w:r>
              <w:rPr>
                <w:sz w:val="20"/>
              </w:rPr>
            </w:r>
          </w:p>
        </w:tc>
      </w:tr>
      <w:tr>
        <w:tc>
          <w:tcPr>
            <w:tcW w:w="566" w:type="dxa"/>
            <w:vAlign w:val="center"/>
          </w:tcPr>
          <w:p>
            <w:pPr>
              <w:pStyle w:val="0"/>
              <w:jc w:val="center"/>
            </w:pPr>
            <w:r>
              <w:rPr>
                <w:sz w:val="20"/>
              </w:rPr>
              <w:t xml:space="preserve">5</w:t>
            </w:r>
          </w:p>
        </w:tc>
        <w:tc>
          <w:tcPr>
            <w:tcW w:w="6520" w:type="dxa"/>
            <w:vAlign w:val="center"/>
          </w:tcPr>
          <w:p>
            <w:pPr>
              <w:pStyle w:val="0"/>
              <w:jc w:val="both"/>
            </w:pPr>
            <w:r>
              <w:rPr>
                <w:sz w:val="20"/>
              </w:rPr>
              <w:t xml:space="preserve">Соответствие опыта и компетенций команды проекта планируемой деятельности</w:t>
            </w:r>
          </w:p>
        </w:tc>
        <w:tc>
          <w:tcPr>
            <w:tcW w:w="1986"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3402"/>
        <w:gridCol w:w="2551"/>
        <w:gridCol w:w="3118"/>
      </w:tblGrid>
      <w:tr>
        <w:tc>
          <w:tcPr>
            <w:tcW w:w="3402" w:type="dxa"/>
            <w:tcBorders>
              <w:top w:val="nil"/>
              <w:left w:val="nil"/>
              <w:bottom w:val="nil"/>
              <w:right w:val="nil"/>
            </w:tcBorders>
          </w:tcPr>
          <w:p>
            <w:pPr>
              <w:pStyle w:val="0"/>
            </w:pPr>
            <w:r>
              <w:rPr>
                <w:sz w:val="20"/>
              </w:rPr>
              <w:t xml:space="preserve">Член экспертной комиссии</w:t>
            </w:r>
          </w:p>
        </w:tc>
        <w:tc>
          <w:tcPr>
            <w:tcW w:w="2551" w:type="dxa"/>
            <w:tcBorders>
              <w:top w:val="nil"/>
              <w:left w:val="nil"/>
              <w:bottom w:val="nil"/>
              <w:right w:val="nil"/>
            </w:tcBorders>
          </w:tcPr>
          <w:p>
            <w:pPr>
              <w:pStyle w:val="0"/>
              <w:jc w:val="center"/>
            </w:pPr>
            <w:r>
              <w:rPr>
                <w:sz w:val="20"/>
              </w:rPr>
              <w:t xml:space="preserve">__________________</w:t>
            </w:r>
          </w:p>
          <w:p>
            <w:pPr>
              <w:pStyle w:val="0"/>
              <w:jc w:val="center"/>
            </w:pPr>
            <w:r>
              <w:rPr>
                <w:sz w:val="20"/>
              </w:rPr>
              <w:t xml:space="preserve">(подпись)</w:t>
            </w:r>
          </w:p>
        </w:tc>
        <w:tc>
          <w:tcPr>
            <w:tcW w:w="3118" w:type="dxa"/>
            <w:tcBorders>
              <w:top w:val="nil"/>
              <w:left w:val="nil"/>
              <w:bottom w:val="nil"/>
              <w:right w:val="nil"/>
            </w:tcBorders>
          </w:tcPr>
          <w:p>
            <w:pPr>
              <w:pStyle w:val="0"/>
              <w:jc w:val="center"/>
            </w:pPr>
            <w:r>
              <w:rPr>
                <w:sz w:val="20"/>
              </w:rPr>
              <w:t xml:space="preserve">/______________________</w:t>
            </w:r>
          </w:p>
          <w:p>
            <w:pPr>
              <w:pStyle w:val="0"/>
              <w:jc w:val="center"/>
            </w:pPr>
            <w:r>
              <w:rPr>
                <w:sz w:val="20"/>
              </w:rPr>
              <w:t xml:space="preserve">(расшифровка подписи)</w:t>
            </w:r>
          </w:p>
        </w:tc>
      </w:tr>
    </w:tbl>
    <w:p>
      <w:pPr>
        <w:pStyle w:val="0"/>
        <w:jc w:val="both"/>
      </w:pPr>
      <w:r>
        <w:rPr>
          <w:sz w:val="20"/>
        </w:rPr>
      </w:r>
    </w:p>
    <w:p>
      <w:pPr>
        <w:pStyle w:val="0"/>
        <w:ind w:firstLine="540"/>
        <w:jc w:val="both"/>
      </w:pPr>
      <w:r>
        <w:rPr>
          <w:sz w:val="20"/>
        </w:rPr>
        <w:t xml:space="preserve">Примечание: для оценки проекта (программы) по каждому показателю применяется от 0 - 20 баллов.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w:t>
      </w:r>
    </w:p>
    <w:p>
      <w:pPr>
        <w:pStyle w:val="0"/>
        <w:jc w:val="right"/>
      </w:pPr>
      <w:r>
        <w:rPr>
          <w:sz w:val="20"/>
        </w:rPr>
        <w:t xml:space="preserve">к порядку</w:t>
      </w:r>
    </w:p>
    <w:p>
      <w:pPr>
        <w:pStyle w:val="0"/>
        <w:jc w:val="right"/>
      </w:pPr>
      <w:r>
        <w:rPr>
          <w:sz w:val="20"/>
        </w:rPr>
        <w:t xml:space="preserve">предоставления из государственного</w:t>
      </w:r>
    </w:p>
    <w:p>
      <w:pPr>
        <w:pStyle w:val="0"/>
        <w:jc w:val="right"/>
      </w:pPr>
      <w:r>
        <w:rPr>
          <w:sz w:val="20"/>
        </w:rPr>
        <w:t xml:space="preserve">бюджета Республики Саха (Якутия)</w:t>
      </w:r>
    </w:p>
    <w:p>
      <w:pPr>
        <w:pStyle w:val="0"/>
        <w:jc w:val="right"/>
      </w:pPr>
      <w:r>
        <w:rPr>
          <w:sz w:val="20"/>
        </w:rPr>
        <w:t xml:space="preserve">некоммерческим организациям</w:t>
      </w:r>
    </w:p>
    <w:p>
      <w:pPr>
        <w:pStyle w:val="0"/>
        <w:jc w:val="right"/>
      </w:pPr>
      <w:r>
        <w:rPr>
          <w:sz w:val="20"/>
        </w:rPr>
        <w:t xml:space="preserve">на финансовое обеспечение затрат</w:t>
      </w:r>
    </w:p>
    <w:p>
      <w:pPr>
        <w:pStyle w:val="0"/>
        <w:jc w:val="right"/>
      </w:pPr>
      <w:r>
        <w:rPr>
          <w:sz w:val="20"/>
        </w:rPr>
        <w:t xml:space="preserve">на организацию оказания поддержки</w:t>
      </w:r>
    </w:p>
    <w:p>
      <w:pPr>
        <w:pStyle w:val="0"/>
        <w:jc w:val="right"/>
      </w:pPr>
      <w:r>
        <w:rPr>
          <w:sz w:val="20"/>
        </w:rPr>
        <w:t xml:space="preserve">некоммерческим организациям (включая</w:t>
      </w:r>
    </w:p>
    <w:p>
      <w:pPr>
        <w:pStyle w:val="0"/>
        <w:jc w:val="right"/>
      </w:pPr>
      <w:r>
        <w:rPr>
          <w:sz w:val="20"/>
        </w:rPr>
        <w:t xml:space="preserve">подготовку и проведение конкурсов)</w:t>
      </w:r>
    </w:p>
    <w:p>
      <w:pPr>
        <w:pStyle w:val="0"/>
        <w:jc w:val="both"/>
      </w:pPr>
      <w:r>
        <w:rPr>
          <w:sz w:val="20"/>
        </w:rPr>
      </w:r>
    </w:p>
    <w:p>
      <w:pPr>
        <w:pStyle w:val="0"/>
        <w:jc w:val="right"/>
      </w:pPr>
      <w:r>
        <w:rPr>
          <w:sz w:val="20"/>
        </w:rPr>
        <w:t xml:space="preserve">ФОРМА</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left w:val="single" w:sz="4"/>
          <w:bottom w:val="single" w:sz="4"/>
          <w:right w:val="single" w:sz="4"/>
          <w:insideV w:val="single" w:sz="4"/>
          <w:insideH w:val="single" w:sz="4"/>
        </w:tblBorders>
        <w:tblCellMar>
          <w:top w:w="102" w:type="dxa"/>
          <w:left w:w="62" w:type="dxa"/>
          <w:bottom w:w="102" w:type="dxa"/>
          <w:right w:w="62" w:type="dxa"/>
        </w:tblCellMar>
      </w:tblPr>
      <w:tblGrid>
        <w:gridCol w:w="594"/>
        <w:gridCol w:w="3969"/>
        <w:gridCol w:w="578"/>
        <w:gridCol w:w="566"/>
        <w:gridCol w:w="566"/>
        <w:gridCol w:w="566"/>
        <w:gridCol w:w="566"/>
        <w:gridCol w:w="566"/>
        <w:gridCol w:w="566"/>
        <w:gridCol w:w="1757"/>
      </w:tblGrid>
      <w:tr>
        <w:tblPrEx>
          <w:tblBorders>
            <w:left w:val="nil"/>
            <w:right w:val="nil"/>
          </w:tblBorders>
        </w:tblPrEx>
        <w:tc>
          <w:tcPr>
            <w:gridSpan w:val="10"/>
            <w:tcW w:w="10294" w:type="dxa"/>
            <w:tcBorders>
              <w:top w:val="nil"/>
              <w:left w:val="nil"/>
              <w:right w:val="nil"/>
            </w:tcBorders>
          </w:tcPr>
          <w:p>
            <w:pPr>
              <w:pStyle w:val="0"/>
              <w:jc w:val="center"/>
            </w:pPr>
            <w:r>
              <w:rPr>
                <w:sz w:val="20"/>
              </w:rPr>
              <w:t xml:space="preserve">ИТОГОВАЯ ВЕДОМОСТЬ</w:t>
            </w:r>
          </w:p>
          <w:p>
            <w:pPr>
              <w:pStyle w:val="0"/>
              <w:jc w:val="center"/>
            </w:pPr>
            <w:r>
              <w:rPr>
                <w:sz w:val="20"/>
              </w:rPr>
              <w:t xml:space="preserve">__________________________________________________________</w:t>
            </w:r>
          </w:p>
          <w:p>
            <w:pPr>
              <w:pStyle w:val="0"/>
              <w:jc w:val="center"/>
            </w:pPr>
            <w:r>
              <w:rPr>
                <w:sz w:val="20"/>
              </w:rPr>
              <w:t xml:space="preserve">(наименование некоммерческой организации)</w:t>
            </w:r>
          </w:p>
          <w:p>
            <w:pPr>
              <w:pStyle w:val="0"/>
            </w:pPr>
            <w:r>
              <w:rPr>
                <w:sz w:val="20"/>
              </w:rPr>
            </w:r>
          </w:p>
          <w:p>
            <w:pPr>
              <w:pStyle w:val="0"/>
              <w:jc w:val="center"/>
            </w:pPr>
            <w:r>
              <w:rPr>
                <w:sz w:val="20"/>
              </w:rPr>
              <w:t xml:space="preserve">Заседание экспертной комиссии от ____________ N _____</w:t>
            </w:r>
          </w:p>
        </w:tc>
      </w:tr>
      <w:tr>
        <w:tc>
          <w:tcPr>
            <w:tcW w:w="594" w:type="dxa"/>
            <w:vAlign w:val="center"/>
          </w:tcPr>
          <w:p>
            <w:pPr>
              <w:pStyle w:val="0"/>
              <w:jc w:val="center"/>
            </w:pPr>
            <w:r>
              <w:rPr>
                <w:sz w:val="20"/>
              </w:rPr>
              <w:t xml:space="preserve">N п/п</w:t>
            </w:r>
          </w:p>
        </w:tc>
        <w:tc>
          <w:tcPr>
            <w:tcW w:w="3969" w:type="dxa"/>
            <w:vAlign w:val="center"/>
          </w:tcPr>
          <w:p>
            <w:pPr>
              <w:pStyle w:val="0"/>
              <w:jc w:val="center"/>
            </w:pPr>
            <w:r>
              <w:rPr>
                <w:sz w:val="20"/>
              </w:rPr>
              <w:t xml:space="preserve">Наименование критерия</w:t>
            </w:r>
          </w:p>
        </w:tc>
        <w:tc>
          <w:tcPr>
            <w:gridSpan w:val="7"/>
            <w:tcW w:w="3974" w:type="dxa"/>
            <w:vAlign w:val="center"/>
          </w:tcPr>
          <w:p>
            <w:pPr>
              <w:pStyle w:val="0"/>
              <w:jc w:val="center"/>
            </w:pPr>
            <w:r>
              <w:rPr>
                <w:sz w:val="20"/>
              </w:rPr>
              <w:t xml:space="preserve">Оценки членов экспертной комиссии в баллах</w:t>
            </w:r>
          </w:p>
        </w:tc>
        <w:tc>
          <w:tcPr>
            <w:tcW w:w="1757" w:type="dxa"/>
            <w:vAlign w:val="center"/>
          </w:tcPr>
          <w:p>
            <w:pPr>
              <w:pStyle w:val="0"/>
              <w:jc w:val="center"/>
            </w:pPr>
            <w:r>
              <w:rPr>
                <w:sz w:val="20"/>
              </w:rPr>
              <w:t xml:space="preserve">Итоговый балл по критерию</w:t>
            </w:r>
          </w:p>
        </w:tc>
      </w:tr>
      <w:tr>
        <w:tc>
          <w:tcPr>
            <w:tcW w:w="594" w:type="dxa"/>
          </w:tcPr>
          <w:p>
            <w:pPr>
              <w:pStyle w:val="0"/>
              <w:jc w:val="center"/>
            </w:pPr>
            <w:r>
              <w:rPr>
                <w:sz w:val="20"/>
              </w:rPr>
              <w:t xml:space="preserve">1.</w:t>
            </w:r>
          </w:p>
        </w:tc>
        <w:tc>
          <w:tcPr>
            <w:tcW w:w="3969" w:type="dxa"/>
          </w:tcPr>
          <w:p>
            <w:pPr>
              <w:pStyle w:val="0"/>
              <w:jc w:val="both"/>
            </w:pPr>
            <w:r>
              <w:rPr>
                <w:sz w:val="20"/>
              </w:rPr>
              <w:t xml:space="preserve">Логическая связность и реализуемость проекта, соответствие мероприятий проекта его целям, задачам и ожидаемым результатам</w:t>
            </w:r>
          </w:p>
        </w:tc>
        <w:tc>
          <w:tcPr>
            <w:tcW w:w="578" w:type="dxa"/>
          </w:tcPr>
          <w:p>
            <w:pPr>
              <w:pStyle w:val="0"/>
            </w:pPr>
            <w:r>
              <w:rPr>
                <w:sz w:val="20"/>
              </w:rPr>
            </w:r>
          </w:p>
        </w:tc>
        <w:tc>
          <w:tcPr>
            <w:tcW w:w="566" w:type="dxa"/>
          </w:tcPr>
          <w:p>
            <w:pPr>
              <w:pStyle w:val="0"/>
            </w:pPr>
            <w:r>
              <w:rPr>
                <w:sz w:val="20"/>
              </w:rPr>
            </w:r>
          </w:p>
        </w:tc>
        <w:tc>
          <w:tcPr>
            <w:tcW w:w="566" w:type="dxa"/>
          </w:tcPr>
          <w:p>
            <w:pPr>
              <w:pStyle w:val="0"/>
            </w:pPr>
            <w:r>
              <w:rPr>
                <w:sz w:val="20"/>
              </w:rPr>
            </w:r>
          </w:p>
        </w:tc>
        <w:tc>
          <w:tcPr>
            <w:tcW w:w="566" w:type="dxa"/>
          </w:tcPr>
          <w:p>
            <w:pPr>
              <w:pStyle w:val="0"/>
            </w:pPr>
            <w:r>
              <w:rPr>
                <w:sz w:val="20"/>
              </w:rPr>
            </w:r>
          </w:p>
        </w:tc>
        <w:tc>
          <w:tcPr>
            <w:tcW w:w="566" w:type="dxa"/>
          </w:tcPr>
          <w:p>
            <w:pPr>
              <w:pStyle w:val="0"/>
            </w:pPr>
            <w:r>
              <w:rPr>
                <w:sz w:val="20"/>
              </w:rPr>
            </w:r>
          </w:p>
        </w:tc>
        <w:tc>
          <w:tcPr>
            <w:tcW w:w="566" w:type="dxa"/>
          </w:tcPr>
          <w:p>
            <w:pPr>
              <w:pStyle w:val="0"/>
            </w:pPr>
            <w:r>
              <w:rPr>
                <w:sz w:val="20"/>
              </w:rPr>
            </w:r>
          </w:p>
        </w:tc>
        <w:tc>
          <w:tcPr>
            <w:tcW w:w="566" w:type="dxa"/>
          </w:tcPr>
          <w:p>
            <w:pPr>
              <w:pStyle w:val="0"/>
            </w:pPr>
            <w:r>
              <w:rPr>
                <w:sz w:val="20"/>
              </w:rPr>
            </w:r>
          </w:p>
        </w:tc>
        <w:tc>
          <w:tcPr>
            <w:tcW w:w="1757" w:type="dxa"/>
          </w:tcPr>
          <w:p>
            <w:pPr>
              <w:pStyle w:val="0"/>
            </w:pPr>
            <w:r>
              <w:rPr>
                <w:sz w:val="20"/>
              </w:rPr>
            </w:r>
          </w:p>
        </w:tc>
      </w:tr>
      <w:tr>
        <w:tc>
          <w:tcPr>
            <w:tcW w:w="594" w:type="dxa"/>
          </w:tcPr>
          <w:p>
            <w:pPr>
              <w:pStyle w:val="0"/>
              <w:jc w:val="center"/>
            </w:pPr>
            <w:r>
              <w:rPr>
                <w:sz w:val="20"/>
              </w:rPr>
              <w:t xml:space="preserve">2.</w:t>
            </w:r>
          </w:p>
        </w:tc>
        <w:tc>
          <w:tcPr>
            <w:tcW w:w="3969" w:type="dxa"/>
          </w:tcPr>
          <w:p>
            <w:pPr>
              <w:pStyle w:val="0"/>
              <w:jc w:val="both"/>
            </w:pPr>
            <w:r>
              <w:rPr>
                <w:sz w:val="20"/>
              </w:rPr>
              <w:t xml:space="preserve">Соотношение планируемых расходов на реализацию проекта и его ожидаемых результатов, адекватность, измеримость и достижимость таких результатов</w:t>
            </w:r>
          </w:p>
        </w:tc>
        <w:tc>
          <w:tcPr>
            <w:tcW w:w="578" w:type="dxa"/>
          </w:tcPr>
          <w:p>
            <w:pPr>
              <w:pStyle w:val="0"/>
            </w:pPr>
            <w:r>
              <w:rPr>
                <w:sz w:val="20"/>
              </w:rPr>
            </w:r>
          </w:p>
        </w:tc>
        <w:tc>
          <w:tcPr>
            <w:tcW w:w="566" w:type="dxa"/>
          </w:tcPr>
          <w:p>
            <w:pPr>
              <w:pStyle w:val="0"/>
            </w:pPr>
            <w:r>
              <w:rPr>
                <w:sz w:val="20"/>
              </w:rPr>
            </w:r>
          </w:p>
        </w:tc>
        <w:tc>
          <w:tcPr>
            <w:tcW w:w="566" w:type="dxa"/>
          </w:tcPr>
          <w:p>
            <w:pPr>
              <w:pStyle w:val="0"/>
            </w:pPr>
            <w:r>
              <w:rPr>
                <w:sz w:val="20"/>
              </w:rPr>
            </w:r>
          </w:p>
        </w:tc>
        <w:tc>
          <w:tcPr>
            <w:tcW w:w="566" w:type="dxa"/>
          </w:tcPr>
          <w:p>
            <w:pPr>
              <w:pStyle w:val="0"/>
            </w:pPr>
            <w:r>
              <w:rPr>
                <w:sz w:val="20"/>
              </w:rPr>
            </w:r>
          </w:p>
        </w:tc>
        <w:tc>
          <w:tcPr>
            <w:tcW w:w="566" w:type="dxa"/>
          </w:tcPr>
          <w:p>
            <w:pPr>
              <w:pStyle w:val="0"/>
            </w:pPr>
            <w:r>
              <w:rPr>
                <w:sz w:val="20"/>
              </w:rPr>
            </w:r>
          </w:p>
        </w:tc>
        <w:tc>
          <w:tcPr>
            <w:tcW w:w="566" w:type="dxa"/>
          </w:tcPr>
          <w:p>
            <w:pPr>
              <w:pStyle w:val="0"/>
            </w:pPr>
            <w:r>
              <w:rPr>
                <w:sz w:val="20"/>
              </w:rPr>
            </w:r>
          </w:p>
        </w:tc>
        <w:tc>
          <w:tcPr>
            <w:tcW w:w="566" w:type="dxa"/>
          </w:tcPr>
          <w:p>
            <w:pPr>
              <w:pStyle w:val="0"/>
            </w:pPr>
            <w:r>
              <w:rPr>
                <w:sz w:val="20"/>
              </w:rPr>
            </w:r>
          </w:p>
        </w:tc>
        <w:tc>
          <w:tcPr>
            <w:tcW w:w="1757" w:type="dxa"/>
          </w:tcPr>
          <w:p>
            <w:pPr>
              <w:pStyle w:val="0"/>
            </w:pPr>
            <w:r>
              <w:rPr>
                <w:sz w:val="20"/>
              </w:rPr>
            </w:r>
          </w:p>
        </w:tc>
      </w:tr>
      <w:tr>
        <w:tc>
          <w:tcPr>
            <w:tcW w:w="594" w:type="dxa"/>
          </w:tcPr>
          <w:p>
            <w:pPr>
              <w:pStyle w:val="0"/>
              <w:jc w:val="center"/>
            </w:pPr>
            <w:r>
              <w:rPr>
                <w:sz w:val="20"/>
              </w:rPr>
              <w:t xml:space="preserve">3.</w:t>
            </w:r>
          </w:p>
        </w:tc>
        <w:tc>
          <w:tcPr>
            <w:tcW w:w="3969" w:type="dxa"/>
          </w:tcPr>
          <w:p>
            <w:pPr>
              <w:pStyle w:val="0"/>
              <w:jc w:val="both"/>
            </w:pPr>
            <w:r>
              <w:rPr>
                <w:sz w:val="20"/>
              </w:rPr>
              <w:t xml:space="preserve">Реалистичность бюджета проекта и обоснованность планируемых расходов на реализацию проекта</w:t>
            </w:r>
          </w:p>
        </w:tc>
        <w:tc>
          <w:tcPr>
            <w:tcW w:w="578" w:type="dxa"/>
          </w:tcPr>
          <w:p>
            <w:pPr>
              <w:pStyle w:val="0"/>
            </w:pPr>
            <w:r>
              <w:rPr>
                <w:sz w:val="20"/>
              </w:rPr>
            </w:r>
          </w:p>
        </w:tc>
        <w:tc>
          <w:tcPr>
            <w:tcW w:w="566" w:type="dxa"/>
          </w:tcPr>
          <w:p>
            <w:pPr>
              <w:pStyle w:val="0"/>
            </w:pPr>
            <w:r>
              <w:rPr>
                <w:sz w:val="20"/>
              </w:rPr>
            </w:r>
          </w:p>
        </w:tc>
        <w:tc>
          <w:tcPr>
            <w:tcW w:w="566" w:type="dxa"/>
          </w:tcPr>
          <w:p>
            <w:pPr>
              <w:pStyle w:val="0"/>
            </w:pPr>
            <w:r>
              <w:rPr>
                <w:sz w:val="20"/>
              </w:rPr>
            </w:r>
          </w:p>
        </w:tc>
        <w:tc>
          <w:tcPr>
            <w:tcW w:w="566" w:type="dxa"/>
          </w:tcPr>
          <w:p>
            <w:pPr>
              <w:pStyle w:val="0"/>
            </w:pPr>
            <w:r>
              <w:rPr>
                <w:sz w:val="20"/>
              </w:rPr>
            </w:r>
          </w:p>
        </w:tc>
        <w:tc>
          <w:tcPr>
            <w:tcW w:w="566" w:type="dxa"/>
          </w:tcPr>
          <w:p>
            <w:pPr>
              <w:pStyle w:val="0"/>
            </w:pPr>
            <w:r>
              <w:rPr>
                <w:sz w:val="20"/>
              </w:rPr>
            </w:r>
          </w:p>
        </w:tc>
        <w:tc>
          <w:tcPr>
            <w:tcW w:w="566" w:type="dxa"/>
          </w:tcPr>
          <w:p>
            <w:pPr>
              <w:pStyle w:val="0"/>
            </w:pPr>
            <w:r>
              <w:rPr>
                <w:sz w:val="20"/>
              </w:rPr>
            </w:r>
          </w:p>
        </w:tc>
        <w:tc>
          <w:tcPr>
            <w:tcW w:w="566" w:type="dxa"/>
          </w:tcPr>
          <w:p>
            <w:pPr>
              <w:pStyle w:val="0"/>
            </w:pPr>
            <w:r>
              <w:rPr>
                <w:sz w:val="20"/>
              </w:rPr>
            </w:r>
          </w:p>
        </w:tc>
        <w:tc>
          <w:tcPr>
            <w:tcW w:w="1757" w:type="dxa"/>
          </w:tcPr>
          <w:p>
            <w:pPr>
              <w:pStyle w:val="0"/>
            </w:pPr>
            <w:r>
              <w:rPr>
                <w:sz w:val="20"/>
              </w:rPr>
            </w:r>
          </w:p>
        </w:tc>
      </w:tr>
      <w:tr>
        <w:tc>
          <w:tcPr>
            <w:tcW w:w="594" w:type="dxa"/>
          </w:tcPr>
          <w:p>
            <w:pPr>
              <w:pStyle w:val="0"/>
              <w:jc w:val="center"/>
            </w:pPr>
            <w:r>
              <w:rPr>
                <w:sz w:val="20"/>
              </w:rPr>
              <w:t xml:space="preserve">4.</w:t>
            </w:r>
          </w:p>
        </w:tc>
        <w:tc>
          <w:tcPr>
            <w:tcW w:w="3969" w:type="dxa"/>
          </w:tcPr>
          <w:p>
            <w:pPr>
              <w:pStyle w:val="0"/>
              <w:jc w:val="both"/>
            </w:pPr>
            <w:r>
              <w:rPr>
                <w:sz w:val="20"/>
              </w:rPr>
              <w:t xml:space="preserve">Опыт организации по успешной реализации программ, проектов по соответствующему направлению деятельности</w:t>
            </w:r>
          </w:p>
        </w:tc>
        <w:tc>
          <w:tcPr>
            <w:tcW w:w="578" w:type="dxa"/>
          </w:tcPr>
          <w:p>
            <w:pPr>
              <w:pStyle w:val="0"/>
            </w:pPr>
            <w:r>
              <w:rPr>
                <w:sz w:val="20"/>
              </w:rPr>
            </w:r>
          </w:p>
        </w:tc>
        <w:tc>
          <w:tcPr>
            <w:tcW w:w="566" w:type="dxa"/>
          </w:tcPr>
          <w:p>
            <w:pPr>
              <w:pStyle w:val="0"/>
            </w:pPr>
            <w:r>
              <w:rPr>
                <w:sz w:val="20"/>
              </w:rPr>
            </w:r>
          </w:p>
        </w:tc>
        <w:tc>
          <w:tcPr>
            <w:tcW w:w="566" w:type="dxa"/>
          </w:tcPr>
          <w:p>
            <w:pPr>
              <w:pStyle w:val="0"/>
            </w:pPr>
            <w:r>
              <w:rPr>
                <w:sz w:val="20"/>
              </w:rPr>
            </w:r>
          </w:p>
        </w:tc>
        <w:tc>
          <w:tcPr>
            <w:tcW w:w="566" w:type="dxa"/>
          </w:tcPr>
          <w:p>
            <w:pPr>
              <w:pStyle w:val="0"/>
            </w:pPr>
            <w:r>
              <w:rPr>
                <w:sz w:val="20"/>
              </w:rPr>
            </w:r>
          </w:p>
        </w:tc>
        <w:tc>
          <w:tcPr>
            <w:tcW w:w="566" w:type="dxa"/>
          </w:tcPr>
          <w:p>
            <w:pPr>
              <w:pStyle w:val="0"/>
            </w:pPr>
            <w:r>
              <w:rPr>
                <w:sz w:val="20"/>
              </w:rPr>
            </w:r>
          </w:p>
        </w:tc>
        <w:tc>
          <w:tcPr>
            <w:tcW w:w="566" w:type="dxa"/>
          </w:tcPr>
          <w:p>
            <w:pPr>
              <w:pStyle w:val="0"/>
            </w:pPr>
            <w:r>
              <w:rPr>
                <w:sz w:val="20"/>
              </w:rPr>
            </w:r>
          </w:p>
        </w:tc>
        <w:tc>
          <w:tcPr>
            <w:tcW w:w="566" w:type="dxa"/>
          </w:tcPr>
          <w:p>
            <w:pPr>
              <w:pStyle w:val="0"/>
            </w:pPr>
            <w:r>
              <w:rPr>
                <w:sz w:val="20"/>
              </w:rPr>
            </w:r>
          </w:p>
        </w:tc>
        <w:tc>
          <w:tcPr>
            <w:tcW w:w="1757" w:type="dxa"/>
          </w:tcPr>
          <w:p>
            <w:pPr>
              <w:pStyle w:val="0"/>
            </w:pPr>
            <w:r>
              <w:rPr>
                <w:sz w:val="20"/>
              </w:rPr>
            </w:r>
          </w:p>
        </w:tc>
      </w:tr>
      <w:tr>
        <w:tc>
          <w:tcPr>
            <w:tcW w:w="594" w:type="dxa"/>
          </w:tcPr>
          <w:p>
            <w:pPr>
              <w:pStyle w:val="0"/>
              <w:jc w:val="center"/>
            </w:pPr>
            <w:r>
              <w:rPr>
                <w:sz w:val="20"/>
              </w:rPr>
              <w:t xml:space="preserve">5.</w:t>
            </w:r>
          </w:p>
        </w:tc>
        <w:tc>
          <w:tcPr>
            <w:tcW w:w="3969" w:type="dxa"/>
          </w:tcPr>
          <w:p>
            <w:pPr>
              <w:pStyle w:val="0"/>
              <w:jc w:val="both"/>
            </w:pPr>
            <w:r>
              <w:rPr>
                <w:sz w:val="20"/>
              </w:rPr>
              <w:t xml:space="preserve">Соответствие опыта и компетенций команды проекта планируемой деятельности</w:t>
            </w:r>
          </w:p>
        </w:tc>
        <w:tc>
          <w:tcPr>
            <w:tcW w:w="578" w:type="dxa"/>
          </w:tcPr>
          <w:p>
            <w:pPr>
              <w:pStyle w:val="0"/>
            </w:pPr>
            <w:r>
              <w:rPr>
                <w:sz w:val="20"/>
              </w:rPr>
            </w:r>
          </w:p>
        </w:tc>
        <w:tc>
          <w:tcPr>
            <w:tcW w:w="566" w:type="dxa"/>
          </w:tcPr>
          <w:p>
            <w:pPr>
              <w:pStyle w:val="0"/>
            </w:pPr>
            <w:r>
              <w:rPr>
                <w:sz w:val="20"/>
              </w:rPr>
            </w:r>
          </w:p>
        </w:tc>
        <w:tc>
          <w:tcPr>
            <w:tcW w:w="566" w:type="dxa"/>
          </w:tcPr>
          <w:p>
            <w:pPr>
              <w:pStyle w:val="0"/>
            </w:pPr>
            <w:r>
              <w:rPr>
                <w:sz w:val="20"/>
              </w:rPr>
            </w:r>
          </w:p>
        </w:tc>
        <w:tc>
          <w:tcPr>
            <w:tcW w:w="566" w:type="dxa"/>
          </w:tcPr>
          <w:p>
            <w:pPr>
              <w:pStyle w:val="0"/>
            </w:pPr>
            <w:r>
              <w:rPr>
                <w:sz w:val="20"/>
              </w:rPr>
            </w:r>
          </w:p>
        </w:tc>
        <w:tc>
          <w:tcPr>
            <w:tcW w:w="566" w:type="dxa"/>
          </w:tcPr>
          <w:p>
            <w:pPr>
              <w:pStyle w:val="0"/>
            </w:pPr>
            <w:r>
              <w:rPr>
                <w:sz w:val="20"/>
              </w:rPr>
            </w:r>
          </w:p>
        </w:tc>
        <w:tc>
          <w:tcPr>
            <w:tcW w:w="566" w:type="dxa"/>
          </w:tcPr>
          <w:p>
            <w:pPr>
              <w:pStyle w:val="0"/>
            </w:pPr>
            <w:r>
              <w:rPr>
                <w:sz w:val="20"/>
              </w:rPr>
            </w:r>
          </w:p>
        </w:tc>
        <w:tc>
          <w:tcPr>
            <w:tcW w:w="566" w:type="dxa"/>
          </w:tcPr>
          <w:p>
            <w:pPr>
              <w:pStyle w:val="0"/>
            </w:pPr>
            <w:r>
              <w:rPr>
                <w:sz w:val="20"/>
              </w:rPr>
            </w:r>
          </w:p>
        </w:tc>
        <w:tc>
          <w:tcPr>
            <w:tcW w:w="1757" w:type="dxa"/>
          </w:tcPr>
          <w:p>
            <w:pPr>
              <w:pStyle w:val="0"/>
            </w:pPr>
            <w:r>
              <w:rPr>
                <w:sz w:val="20"/>
              </w:rPr>
            </w:r>
          </w:p>
        </w:tc>
      </w:tr>
      <w:tr>
        <w:tc>
          <w:tcPr>
            <w:gridSpan w:val="2"/>
            <w:tcW w:w="4563" w:type="dxa"/>
          </w:tcPr>
          <w:p>
            <w:pPr>
              <w:pStyle w:val="0"/>
              <w:jc w:val="both"/>
            </w:pPr>
            <w:r>
              <w:rPr>
                <w:sz w:val="20"/>
              </w:rPr>
              <w:t xml:space="preserve">Итоговый балл</w:t>
            </w:r>
          </w:p>
        </w:tc>
        <w:tc>
          <w:tcPr>
            <w:tcW w:w="578" w:type="dxa"/>
          </w:tcPr>
          <w:p>
            <w:pPr>
              <w:pStyle w:val="0"/>
            </w:pPr>
            <w:r>
              <w:rPr>
                <w:sz w:val="20"/>
              </w:rPr>
            </w:r>
          </w:p>
        </w:tc>
        <w:tc>
          <w:tcPr>
            <w:tcW w:w="566" w:type="dxa"/>
          </w:tcPr>
          <w:p>
            <w:pPr>
              <w:pStyle w:val="0"/>
            </w:pPr>
            <w:r>
              <w:rPr>
                <w:sz w:val="20"/>
              </w:rPr>
            </w:r>
          </w:p>
        </w:tc>
        <w:tc>
          <w:tcPr>
            <w:tcW w:w="566" w:type="dxa"/>
          </w:tcPr>
          <w:p>
            <w:pPr>
              <w:pStyle w:val="0"/>
            </w:pPr>
            <w:r>
              <w:rPr>
                <w:sz w:val="20"/>
              </w:rPr>
            </w:r>
          </w:p>
        </w:tc>
        <w:tc>
          <w:tcPr>
            <w:tcW w:w="566" w:type="dxa"/>
          </w:tcPr>
          <w:p>
            <w:pPr>
              <w:pStyle w:val="0"/>
            </w:pPr>
            <w:r>
              <w:rPr>
                <w:sz w:val="20"/>
              </w:rPr>
            </w:r>
          </w:p>
        </w:tc>
        <w:tc>
          <w:tcPr>
            <w:tcW w:w="566" w:type="dxa"/>
          </w:tcPr>
          <w:p>
            <w:pPr>
              <w:pStyle w:val="0"/>
            </w:pPr>
            <w:r>
              <w:rPr>
                <w:sz w:val="20"/>
              </w:rPr>
            </w:r>
          </w:p>
        </w:tc>
        <w:tc>
          <w:tcPr>
            <w:tcW w:w="566" w:type="dxa"/>
          </w:tcPr>
          <w:p>
            <w:pPr>
              <w:pStyle w:val="0"/>
            </w:pPr>
            <w:r>
              <w:rPr>
                <w:sz w:val="20"/>
              </w:rPr>
            </w:r>
          </w:p>
        </w:tc>
        <w:tc>
          <w:tcPr>
            <w:tcW w:w="566" w:type="dxa"/>
          </w:tcPr>
          <w:p>
            <w:pPr>
              <w:pStyle w:val="0"/>
            </w:pPr>
            <w:r>
              <w:rPr>
                <w:sz w:val="20"/>
              </w:rPr>
            </w:r>
          </w:p>
        </w:tc>
        <w:tc>
          <w:tcPr>
            <w:tcW w:w="1757" w:type="dxa"/>
          </w:tcPr>
          <w:p>
            <w:pPr>
              <w:pStyle w:val="0"/>
            </w:pPr>
            <w:r>
              <w:rPr>
                <w:sz w:val="20"/>
              </w:rPr>
            </w:r>
          </w:p>
        </w:tc>
      </w:tr>
    </w:tbl>
    <w:p>
      <w:pPr>
        <w:sectPr>
          <w:headerReference w:type="default" r:id="rId73"/>
          <w:headerReference w:type="first" r:id="rId73"/>
          <w:footerReference w:type="default" r:id="rId74"/>
          <w:footerReference w:type="first" r:id="rId74"/>
          <w:pgSz w:w="16838" w:h="11906" w:orient="landscape"/>
          <w:pgMar w:top="1133" w:right="1440" w:bottom="566" w:left="1440" w:header="0" w:footer="0" w:gutter="0"/>
          <w:titlePg/>
        </w:sectPr>
      </w:pPr>
    </w:p>
    <w:p>
      <w:pPr>
        <w:pStyle w:val="0"/>
        <w:jc w:val="both"/>
      </w:pPr>
      <w:r>
        <w:rPr>
          <w:sz w:val="20"/>
        </w:rPr>
      </w:r>
    </w:p>
    <w:tbl>
      <w:tblPr>
        <w:tblInd w:w="0" w:type="dxa"/>
        <w:tblLayout w:type="fixed"/>
        <w:tblCellMar>
          <w:top w:w="102" w:type="dxa"/>
          <w:left w:w="62" w:type="dxa"/>
          <w:bottom w:w="102" w:type="dxa"/>
          <w:right w:w="62" w:type="dxa"/>
        </w:tblCellMar>
      </w:tblPr>
      <w:tblGrid>
        <w:gridCol w:w="3742"/>
        <w:gridCol w:w="2211"/>
        <w:gridCol w:w="3118"/>
      </w:tblGrid>
      <w:tr>
        <w:tc>
          <w:tcPr>
            <w:tcW w:w="3742" w:type="dxa"/>
            <w:tcBorders>
              <w:top w:val="nil"/>
              <w:left w:val="nil"/>
              <w:bottom w:val="nil"/>
              <w:right w:val="nil"/>
            </w:tcBorders>
          </w:tcPr>
          <w:p>
            <w:pPr>
              <w:pStyle w:val="0"/>
            </w:pPr>
            <w:r>
              <w:rPr>
                <w:sz w:val="20"/>
              </w:rPr>
              <w:t xml:space="preserve">Секретарь экспертной комиссии</w:t>
            </w:r>
          </w:p>
        </w:tc>
        <w:tc>
          <w:tcPr>
            <w:tcW w:w="2211" w:type="dxa"/>
            <w:tcBorders>
              <w:top w:val="nil"/>
              <w:left w:val="nil"/>
              <w:bottom w:val="nil"/>
              <w:right w:val="nil"/>
            </w:tcBorders>
          </w:tcPr>
          <w:p>
            <w:pPr>
              <w:pStyle w:val="0"/>
              <w:jc w:val="center"/>
            </w:pPr>
            <w:r>
              <w:rPr>
                <w:sz w:val="20"/>
              </w:rPr>
              <w:t xml:space="preserve">______________</w:t>
            </w:r>
          </w:p>
          <w:p>
            <w:pPr>
              <w:pStyle w:val="0"/>
              <w:jc w:val="center"/>
            </w:pPr>
            <w:r>
              <w:rPr>
                <w:sz w:val="20"/>
              </w:rPr>
              <w:t xml:space="preserve">(подпись)</w:t>
            </w:r>
          </w:p>
        </w:tc>
        <w:tc>
          <w:tcPr>
            <w:tcW w:w="3118" w:type="dxa"/>
            <w:tcBorders>
              <w:top w:val="nil"/>
              <w:left w:val="nil"/>
              <w:bottom w:val="nil"/>
              <w:right w:val="nil"/>
            </w:tcBorders>
          </w:tcPr>
          <w:p>
            <w:pPr>
              <w:pStyle w:val="0"/>
              <w:jc w:val="center"/>
            </w:pPr>
            <w:r>
              <w:rPr>
                <w:sz w:val="20"/>
              </w:rPr>
              <w:t xml:space="preserve">/______________________</w:t>
            </w:r>
          </w:p>
          <w:p>
            <w:pPr>
              <w:pStyle w:val="0"/>
              <w:jc w:val="center"/>
            </w:pPr>
            <w:r>
              <w:rPr>
                <w:sz w:val="20"/>
              </w:rPr>
              <w:t xml:space="preserve">(расшифровка подписи)</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w:t>
      </w:r>
    </w:p>
    <w:p>
      <w:pPr>
        <w:pStyle w:val="0"/>
        <w:jc w:val="right"/>
      </w:pPr>
      <w:r>
        <w:rPr>
          <w:sz w:val="20"/>
        </w:rPr>
        <w:t xml:space="preserve">к порядку</w:t>
      </w:r>
    </w:p>
    <w:p>
      <w:pPr>
        <w:pStyle w:val="0"/>
        <w:jc w:val="right"/>
      </w:pPr>
      <w:r>
        <w:rPr>
          <w:sz w:val="20"/>
        </w:rPr>
        <w:t xml:space="preserve">предоставления из государственного</w:t>
      </w:r>
    </w:p>
    <w:p>
      <w:pPr>
        <w:pStyle w:val="0"/>
        <w:jc w:val="right"/>
      </w:pPr>
      <w:r>
        <w:rPr>
          <w:sz w:val="20"/>
        </w:rPr>
        <w:t xml:space="preserve">бюджета Республики Саха (Якутия)</w:t>
      </w:r>
    </w:p>
    <w:p>
      <w:pPr>
        <w:pStyle w:val="0"/>
        <w:jc w:val="right"/>
      </w:pPr>
      <w:r>
        <w:rPr>
          <w:sz w:val="20"/>
        </w:rPr>
        <w:t xml:space="preserve">некоммерческим организациям</w:t>
      </w:r>
    </w:p>
    <w:p>
      <w:pPr>
        <w:pStyle w:val="0"/>
        <w:jc w:val="right"/>
      </w:pPr>
      <w:r>
        <w:rPr>
          <w:sz w:val="20"/>
        </w:rPr>
        <w:t xml:space="preserve">на финансовое обеспечение затрат</w:t>
      </w:r>
    </w:p>
    <w:p>
      <w:pPr>
        <w:pStyle w:val="0"/>
        <w:jc w:val="right"/>
      </w:pPr>
      <w:r>
        <w:rPr>
          <w:sz w:val="20"/>
        </w:rPr>
        <w:t xml:space="preserve">на организацию оказания поддержки</w:t>
      </w:r>
    </w:p>
    <w:p>
      <w:pPr>
        <w:pStyle w:val="0"/>
        <w:jc w:val="right"/>
      </w:pPr>
      <w:r>
        <w:rPr>
          <w:sz w:val="20"/>
        </w:rPr>
        <w:t xml:space="preserve">некоммерческим организациям (включая</w:t>
      </w:r>
    </w:p>
    <w:p>
      <w:pPr>
        <w:pStyle w:val="0"/>
        <w:jc w:val="right"/>
      </w:pPr>
      <w:r>
        <w:rPr>
          <w:sz w:val="20"/>
        </w:rPr>
        <w:t xml:space="preserve">подготовку и проведение конкурсов)</w:t>
      </w:r>
    </w:p>
    <w:p>
      <w:pPr>
        <w:pStyle w:val="0"/>
        <w:jc w:val="both"/>
      </w:pPr>
      <w:r>
        <w:rPr>
          <w:sz w:val="20"/>
        </w:rPr>
      </w:r>
    </w:p>
    <w:p>
      <w:pPr>
        <w:pStyle w:val="0"/>
        <w:jc w:val="right"/>
      </w:pPr>
      <w:r>
        <w:rPr>
          <w:sz w:val="20"/>
        </w:rPr>
        <w:t xml:space="preserve">ФОРМА</w:t>
      </w:r>
    </w:p>
    <w:p>
      <w:pPr>
        <w:pStyle w:val="0"/>
        <w:jc w:val="both"/>
      </w:pPr>
      <w:r>
        <w:rPr>
          <w:sz w:val="20"/>
        </w:rPr>
      </w:r>
    </w:p>
    <w:tbl>
      <w:tblPr>
        <w:tblInd w:w="0" w:type="dxa"/>
        <w:tblLayout w:type="fixed"/>
        <w:tblBorders>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6236"/>
        <w:gridCol w:w="2268"/>
      </w:tblGrid>
      <w:tr>
        <w:tblPrEx>
          <w:tblBorders>
            <w:left w:val="nil"/>
            <w:right w:val="nil"/>
            <w:insideH w:val="nil"/>
          </w:tblBorders>
        </w:tblPrEx>
        <w:tc>
          <w:tcPr>
            <w:gridSpan w:val="3"/>
            <w:tcW w:w="9071" w:type="dxa"/>
            <w:tcBorders>
              <w:top w:val="nil"/>
              <w:left w:val="nil"/>
              <w:bottom w:val="nil"/>
              <w:right w:val="nil"/>
            </w:tcBorders>
          </w:tcPr>
          <w:p>
            <w:pPr>
              <w:pStyle w:val="0"/>
              <w:jc w:val="center"/>
            </w:pPr>
            <w:r>
              <w:rPr>
                <w:sz w:val="20"/>
              </w:rPr>
              <w:t xml:space="preserve">СВОДНАЯ ВЕДОМОСТЬ</w:t>
            </w:r>
          </w:p>
          <w:p>
            <w:pPr>
              <w:pStyle w:val="0"/>
              <w:jc w:val="center"/>
            </w:pPr>
            <w:r>
              <w:rPr>
                <w:sz w:val="20"/>
              </w:rPr>
              <w:t xml:space="preserve">конкурса получателей субсидий из государственного бюджета</w:t>
            </w:r>
          </w:p>
          <w:p>
            <w:pPr>
              <w:pStyle w:val="0"/>
              <w:jc w:val="center"/>
            </w:pPr>
            <w:r>
              <w:rPr>
                <w:sz w:val="20"/>
              </w:rPr>
              <w:t xml:space="preserve">Республики Саха (Якутия) для некоммерческих организаций,</w:t>
            </w:r>
          </w:p>
          <w:p>
            <w:pPr>
              <w:pStyle w:val="0"/>
              <w:jc w:val="center"/>
            </w:pPr>
            <w:r>
              <w:rPr>
                <w:sz w:val="20"/>
              </w:rPr>
              <w:t xml:space="preserve">созданных под учредительством государственных органов,</w:t>
            </w:r>
          </w:p>
          <w:p>
            <w:pPr>
              <w:pStyle w:val="0"/>
              <w:jc w:val="center"/>
            </w:pPr>
            <w:r>
              <w:rPr>
                <w:sz w:val="20"/>
              </w:rPr>
              <w:t xml:space="preserve">осуществляющих деятельность по развитию институтов</w:t>
            </w:r>
          </w:p>
          <w:p>
            <w:pPr>
              <w:pStyle w:val="0"/>
              <w:jc w:val="center"/>
            </w:pPr>
            <w:r>
              <w:rPr>
                <w:sz w:val="20"/>
              </w:rPr>
              <w:t xml:space="preserve">гражданского общества в Республике Саха (Якутия)</w:t>
            </w:r>
          </w:p>
        </w:tc>
      </w:tr>
      <w:tr>
        <w:tblPrEx>
          <w:tblBorders>
            <w:left w:val="nil"/>
            <w:right w:val="nil"/>
            <w:insideH w:val="nil"/>
          </w:tblBorders>
        </w:tblPrEx>
        <w:tc>
          <w:tcPr>
            <w:gridSpan w:val="3"/>
            <w:tcW w:w="9071" w:type="dxa"/>
            <w:tcBorders>
              <w:top w:val="nil"/>
              <w:left w:val="nil"/>
              <w:right w:val="nil"/>
            </w:tcBorders>
          </w:tcPr>
          <w:p>
            <w:pPr>
              <w:pStyle w:val="0"/>
              <w:jc w:val="center"/>
            </w:pPr>
            <w:r>
              <w:rPr>
                <w:sz w:val="20"/>
              </w:rPr>
              <w:t xml:space="preserve">Заседание экспертной комиссии от ____________ N _____</w:t>
            </w:r>
          </w:p>
        </w:tc>
      </w:tr>
      <w:tr>
        <w:tc>
          <w:tcPr>
            <w:tcW w:w="567" w:type="dxa"/>
            <w:vAlign w:val="center"/>
          </w:tcPr>
          <w:p>
            <w:pPr>
              <w:pStyle w:val="0"/>
              <w:jc w:val="center"/>
            </w:pPr>
            <w:r>
              <w:rPr>
                <w:sz w:val="20"/>
              </w:rPr>
              <w:t xml:space="preserve">N п/п</w:t>
            </w:r>
          </w:p>
        </w:tc>
        <w:tc>
          <w:tcPr>
            <w:tcW w:w="6236" w:type="dxa"/>
            <w:vAlign w:val="center"/>
          </w:tcPr>
          <w:p>
            <w:pPr>
              <w:pStyle w:val="0"/>
              <w:jc w:val="center"/>
            </w:pPr>
            <w:r>
              <w:rPr>
                <w:sz w:val="20"/>
              </w:rPr>
              <w:t xml:space="preserve">Наименование участника конкурса</w:t>
            </w:r>
          </w:p>
        </w:tc>
        <w:tc>
          <w:tcPr>
            <w:tcW w:w="2268" w:type="dxa"/>
            <w:vAlign w:val="center"/>
          </w:tcPr>
          <w:p>
            <w:pPr>
              <w:pStyle w:val="0"/>
              <w:jc w:val="center"/>
            </w:pPr>
            <w:r>
              <w:rPr>
                <w:sz w:val="20"/>
              </w:rPr>
              <w:t xml:space="preserve">Итоговый средний балл</w:t>
            </w:r>
          </w:p>
        </w:tc>
      </w:tr>
      <w:tr>
        <w:tc>
          <w:tcPr>
            <w:tcW w:w="567" w:type="dxa"/>
          </w:tcPr>
          <w:p>
            <w:pPr>
              <w:pStyle w:val="0"/>
            </w:pPr>
            <w:r>
              <w:rPr>
                <w:sz w:val="20"/>
              </w:rPr>
            </w:r>
          </w:p>
        </w:tc>
        <w:tc>
          <w:tcPr>
            <w:tcW w:w="6236" w:type="dxa"/>
          </w:tcPr>
          <w:p>
            <w:pPr>
              <w:pStyle w:val="0"/>
            </w:pPr>
            <w:r>
              <w:rPr>
                <w:sz w:val="20"/>
              </w:rPr>
            </w:r>
          </w:p>
        </w:tc>
        <w:tc>
          <w:tcPr>
            <w:tcW w:w="2268" w:type="dxa"/>
          </w:tcPr>
          <w:p>
            <w:pPr>
              <w:pStyle w:val="0"/>
            </w:pPr>
            <w:r>
              <w:rPr>
                <w:sz w:val="20"/>
              </w:rPr>
            </w:r>
          </w:p>
        </w:tc>
      </w:tr>
      <w:tr>
        <w:tc>
          <w:tcPr>
            <w:tcW w:w="567" w:type="dxa"/>
          </w:tcPr>
          <w:p>
            <w:pPr>
              <w:pStyle w:val="0"/>
            </w:pPr>
            <w:r>
              <w:rPr>
                <w:sz w:val="20"/>
              </w:rPr>
            </w:r>
          </w:p>
        </w:tc>
        <w:tc>
          <w:tcPr>
            <w:tcW w:w="6236" w:type="dxa"/>
          </w:tcPr>
          <w:p>
            <w:pPr>
              <w:pStyle w:val="0"/>
            </w:pPr>
            <w:r>
              <w:rPr>
                <w:sz w:val="20"/>
              </w:rPr>
            </w:r>
          </w:p>
        </w:tc>
        <w:tc>
          <w:tcPr>
            <w:tcW w:w="2268" w:type="dxa"/>
          </w:tcPr>
          <w:p>
            <w:pPr>
              <w:pStyle w:val="0"/>
            </w:pPr>
            <w:r>
              <w:rPr>
                <w:sz w:val="20"/>
              </w:rPr>
            </w:r>
          </w:p>
        </w:tc>
      </w:tr>
      <w:tr>
        <w:tc>
          <w:tcPr>
            <w:tcW w:w="567" w:type="dxa"/>
          </w:tcPr>
          <w:p>
            <w:pPr>
              <w:pStyle w:val="0"/>
            </w:pPr>
            <w:r>
              <w:rPr>
                <w:sz w:val="20"/>
              </w:rPr>
            </w:r>
          </w:p>
        </w:tc>
        <w:tc>
          <w:tcPr>
            <w:tcW w:w="6236" w:type="dxa"/>
          </w:tcPr>
          <w:p>
            <w:pPr>
              <w:pStyle w:val="0"/>
            </w:pPr>
            <w:r>
              <w:rPr>
                <w:sz w:val="20"/>
              </w:rPr>
            </w:r>
          </w:p>
        </w:tc>
        <w:tc>
          <w:tcPr>
            <w:tcW w:w="2268"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3402"/>
        <w:gridCol w:w="2211"/>
        <w:gridCol w:w="3458"/>
      </w:tblGrid>
      <w:tr>
        <w:tc>
          <w:tcPr>
            <w:tcW w:w="3402" w:type="dxa"/>
            <w:tcBorders>
              <w:top w:val="nil"/>
              <w:left w:val="nil"/>
              <w:bottom w:val="nil"/>
              <w:right w:val="nil"/>
            </w:tcBorders>
          </w:tcPr>
          <w:p>
            <w:pPr>
              <w:pStyle w:val="0"/>
            </w:pPr>
            <w:r>
              <w:rPr>
                <w:sz w:val="20"/>
              </w:rPr>
              <w:t xml:space="preserve">Председатель комиссии:</w:t>
            </w:r>
          </w:p>
        </w:tc>
        <w:tc>
          <w:tcPr>
            <w:tcW w:w="2211" w:type="dxa"/>
            <w:tcBorders>
              <w:top w:val="nil"/>
              <w:left w:val="nil"/>
              <w:bottom w:val="nil"/>
              <w:right w:val="nil"/>
            </w:tcBorders>
          </w:tcPr>
          <w:p>
            <w:pPr>
              <w:pStyle w:val="0"/>
              <w:jc w:val="center"/>
            </w:pPr>
            <w:r>
              <w:rPr>
                <w:sz w:val="20"/>
              </w:rPr>
              <w:t xml:space="preserve">______________</w:t>
            </w:r>
          </w:p>
        </w:tc>
        <w:tc>
          <w:tcPr>
            <w:tcW w:w="3458" w:type="dxa"/>
            <w:tcBorders>
              <w:top w:val="nil"/>
              <w:left w:val="nil"/>
              <w:bottom w:val="nil"/>
              <w:right w:val="nil"/>
            </w:tcBorders>
          </w:tcPr>
          <w:p>
            <w:pPr>
              <w:pStyle w:val="0"/>
              <w:jc w:val="center"/>
            </w:pPr>
            <w:r>
              <w:rPr>
                <w:sz w:val="20"/>
              </w:rPr>
              <w:t xml:space="preserve">______________________</w:t>
            </w:r>
          </w:p>
        </w:tc>
      </w:tr>
      <w:tr>
        <w:tc>
          <w:tcPr>
            <w:tcW w:w="3402" w:type="dxa"/>
            <w:tcBorders>
              <w:top w:val="nil"/>
              <w:left w:val="nil"/>
              <w:bottom w:val="nil"/>
              <w:right w:val="nil"/>
            </w:tcBorders>
          </w:tcPr>
          <w:p>
            <w:pPr>
              <w:pStyle w:val="0"/>
            </w:pPr>
            <w:r>
              <w:rPr>
                <w:sz w:val="20"/>
              </w:rPr>
              <w:t xml:space="preserve">Секретарь комиссии:</w:t>
            </w:r>
          </w:p>
        </w:tc>
        <w:tc>
          <w:tcPr>
            <w:tcW w:w="2211" w:type="dxa"/>
            <w:tcBorders>
              <w:top w:val="nil"/>
              <w:left w:val="nil"/>
              <w:bottom w:val="nil"/>
              <w:right w:val="nil"/>
            </w:tcBorders>
          </w:tcPr>
          <w:p>
            <w:pPr>
              <w:pStyle w:val="0"/>
              <w:jc w:val="center"/>
            </w:pPr>
            <w:r>
              <w:rPr>
                <w:sz w:val="20"/>
              </w:rPr>
              <w:t xml:space="preserve">______________</w:t>
            </w:r>
          </w:p>
        </w:tc>
        <w:tc>
          <w:tcPr>
            <w:tcW w:w="3458" w:type="dxa"/>
            <w:tcBorders>
              <w:top w:val="nil"/>
              <w:left w:val="nil"/>
              <w:bottom w:val="nil"/>
              <w:right w:val="nil"/>
            </w:tcBorders>
          </w:tcPr>
          <w:p>
            <w:pPr>
              <w:pStyle w:val="0"/>
              <w:jc w:val="center"/>
            </w:pPr>
            <w:r>
              <w:rPr>
                <w:sz w:val="20"/>
              </w:rPr>
              <w:t xml:space="preserve">______________________</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2</w:t>
      </w:r>
    </w:p>
    <w:p>
      <w:pPr>
        <w:pStyle w:val="0"/>
        <w:jc w:val="right"/>
      </w:pPr>
      <w:r>
        <w:rPr>
          <w:sz w:val="20"/>
        </w:rPr>
        <w:t xml:space="preserve">к постановлению Правительства</w:t>
      </w:r>
    </w:p>
    <w:p>
      <w:pPr>
        <w:pStyle w:val="0"/>
        <w:jc w:val="right"/>
      </w:pPr>
      <w:r>
        <w:rPr>
          <w:sz w:val="20"/>
        </w:rPr>
        <w:t xml:space="preserve">Республики Саха (Якутия)</w:t>
      </w:r>
    </w:p>
    <w:p>
      <w:pPr>
        <w:pStyle w:val="0"/>
        <w:jc w:val="right"/>
      </w:pPr>
      <w:r>
        <w:rPr>
          <w:sz w:val="20"/>
        </w:rPr>
        <w:t xml:space="preserve">от 28 июня 2024 г. N 282</w:t>
      </w:r>
    </w:p>
    <w:p>
      <w:pPr>
        <w:pStyle w:val="0"/>
        <w:jc w:val="both"/>
      </w:pPr>
      <w:r>
        <w:rPr>
          <w:sz w:val="20"/>
        </w:rPr>
      </w:r>
    </w:p>
    <w:bookmarkStart w:id="824" w:name="P824"/>
    <w:bookmarkEnd w:id="824"/>
    <w:p>
      <w:pPr>
        <w:pStyle w:val="2"/>
        <w:jc w:val="center"/>
      </w:pPr>
      <w:r>
        <w:rPr>
          <w:sz w:val="20"/>
        </w:rPr>
        <w:t xml:space="preserve">СОСТАВ</w:t>
      </w:r>
    </w:p>
    <w:p>
      <w:pPr>
        <w:pStyle w:val="2"/>
        <w:jc w:val="center"/>
      </w:pPr>
      <w:r>
        <w:rPr>
          <w:sz w:val="20"/>
        </w:rPr>
        <w:t xml:space="preserve">ЭКСПЕРТНОЙ КОМИССИИ ПО ПРОВЕДЕНИЮ КОНКУРСОВ</w:t>
      </w:r>
    </w:p>
    <w:p>
      <w:pPr>
        <w:pStyle w:val="2"/>
        <w:jc w:val="center"/>
      </w:pPr>
      <w:r>
        <w:rPr>
          <w:sz w:val="20"/>
        </w:rPr>
        <w:t xml:space="preserve">НА ПРЕДОСТАВЛЕНИЕ СУБСИДИЙ ИЗ ГОСУДАРСТВЕННОГО БЮДЖЕТА</w:t>
      </w:r>
    </w:p>
    <w:p>
      <w:pPr>
        <w:pStyle w:val="2"/>
        <w:jc w:val="center"/>
      </w:pPr>
      <w:r>
        <w:rPr>
          <w:sz w:val="20"/>
        </w:rPr>
        <w:t xml:space="preserve">РЕСПУБЛИКИ САХА (ЯКУТИЯ) НЕКОММЕРЧЕСКИМ ОРГАНИЗАЦИЯМ</w:t>
      </w:r>
    </w:p>
    <w:p>
      <w:pPr>
        <w:pStyle w:val="2"/>
        <w:jc w:val="center"/>
      </w:pPr>
      <w:r>
        <w:rPr>
          <w:sz w:val="20"/>
        </w:rPr>
        <w:t xml:space="preserve">НА ФИНАНСОВОЕ ОБЕСПЕЧЕНИЕ ЗАТРАТ НА ОРГАНИЗАЦИЮ ОКАЗАНИЯ</w:t>
      </w:r>
    </w:p>
    <w:p>
      <w:pPr>
        <w:pStyle w:val="2"/>
        <w:jc w:val="center"/>
      </w:pPr>
      <w:r>
        <w:rPr>
          <w:sz w:val="20"/>
        </w:rPr>
        <w:t xml:space="preserve">ПОДДЕРЖКИ НЕКОММЕРЧЕСКИМ ОРГАНИЗАЦИЯМ (ВКЛЮЧАЯ</w:t>
      </w:r>
    </w:p>
    <w:p>
      <w:pPr>
        <w:pStyle w:val="2"/>
        <w:jc w:val="center"/>
      </w:pPr>
      <w:r>
        <w:rPr>
          <w:sz w:val="20"/>
        </w:rPr>
        <w:t xml:space="preserve">ПОДГОТОВКУ И ПРОВЕДЕНИЕ КОНКУРСОВ)</w:t>
      </w:r>
    </w:p>
    <w:p>
      <w:pPr>
        <w:pStyle w:val="0"/>
        <w:jc w:val="both"/>
      </w:pPr>
      <w:r>
        <w:rPr>
          <w:sz w:val="20"/>
        </w:rPr>
      </w:r>
    </w:p>
    <w:p>
      <w:pPr>
        <w:pStyle w:val="0"/>
        <w:ind w:firstLine="540"/>
        <w:jc w:val="both"/>
      </w:pPr>
      <w:r>
        <w:rPr>
          <w:sz w:val="20"/>
        </w:rPr>
        <w:t xml:space="preserve">Министр по делам молодежи и социальным коммуникациям Республики Саха (Якутия), председатель;</w:t>
      </w:r>
    </w:p>
    <w:p>
      <w:pPr>
        <w:pStyle w:val="0"/>
        <w:spacing w:before="200" w:lineRule="auto"/>
        <w:ind w:firstLine="540"/>
        <w:jc w:val="both"/>
      </w:pPr>
      <w:r>
        <w:rPr>
          <w:sz w:val="20"/>
        </w:rPr>
        <w:t xml:space="preserve">председатель Общественной палаты Республики Саха (Якутия), заместитель председателя;</w:t>
      </w:r>
    </w:p>
    <w:p>
      <w:pPr>
        <w:pStyle w:val="0"/>
        <w:spacing w:before="200" w:lineRule="auto"/>
        <w:ind w:firstLine="540"/>
        <w:jc w:val="both"/>
      </w:pPr>
      <w:r>
        <w:rPr>
          <w:sz w:val="20"/>
        </w:rPr>
        <w:t xml:space="preserve">руководитель отдела по взаимодействию с институтами гражданского общества Министерства по делам молодежи и социальным коммуникациям Республики Саха (Якутия), секретарь;</w:t>
      </w:r>
    </w:p>
    <w:p>
      <w:pPr>
        <w:pStyle w:val="0"/>
        <w:spacing w:before="200" w:lineRule="auto"/>
        <w:ind w:firstLine="540"/>
        <w:jc w:val="both"/>
      </w:pPr>
      <w:r>
        <w:rPr>
          <w:sz w:val="20"/>
        </w:rPr>
        <w:t xml:space="preserve">руководитель Департамента по делам народов Министерства по внешним связям и делам народов Республики Саха (Якутия);</w:t>
      </w:r>
    </w:p>
    <w:p>
      <w:pPr>
        <w:pStyle w:val="0"/>
        <w:spacing w:before="200" w:lineRule="auto"/>
        <w:ind w:firstLine="540"/>
        <w:jc w:val="both"/>
      </w:pPr>
      <w:r>
        <w:rPr>
          <w:sz w:val="20"/>
        </w:rPr>
        <w:t xml:space="preserve">исполнительный директор Совета муниципальных образований Республики Саха (Якутия) - ассоциации межмуниципального сотрудничества (по согласованию);</w:t>
      </w:r>
    </w:p>
    <w:p>
      <w:pPr>
        <w:pStyle w:val="0"/>
        <w:spacing w:before="200" w:lineRule="auto"/>
        <w:ind w:firstLine="540"/>
        <w:jc w:val="both"/>
      </w:pPr>
      <w:r>
        <w:rPr>
          <w:sz w:val="20"/>
        </w:rPr>
        <w:t xml:space="preserve">руководитель Департамента по вопросам местного самоуправления Администрации Главы Республики Саха (Якутия) и Правительства Республики Саха (Якутия);</w:t>
      </w:r>
    </w:p>
    <w:p>
      <w:pPr>
        <w:pStyle w:val="0"/>
        <w:spacing w:before="200" w:lineRule="auto"/>
        <w:ind w:firstLine="540"/>
        <w:jc w:val="both"/>
      </w:pPr>
      <w:r>
        <w:rPr>
          <w:sz w:val="20"/>
        </w:rPr>
        <w:t xml:space="preserve">руководитель Департамента внутренней политики Администрации Главы Республики Саха (Якутия) и Правительства Республики Саха (Якутия).</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РС(Я) от 28.06.2024 N 282</w:t>
            <w:br/>
            <w:t>(ред. от 01.07.2025)</w:t>
            <w:br/>
            <w:t>"Об утверждении порядка предоставления субсид...</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04.01.2026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РС(Я) от 28.06.2024 N 282</w:t>
            <w:br/>
            <w:t>(ред. от 01.07.2025)</w:t>
            <w:br/>
            <w:t>"Об утверждении порядка предоставления субсид...</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04.01.2026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249&amp;n=104380&amp;dst=100005" TargetMode = "External"/><Relationship Id="rId9" Type="http://schemas.openxmlformats.org/officeDocument/2006/relationships/hyperlink" Target="https://login.consultant.ru/link/?req=doc&amp;base=RLAW249&amp;n=106012&amp;dst=100005" TargetMode = "External"/><Relationship Id="rId10" Type="http://schemas.openxmlformats.org/officeDocument/2006/relationships/hyperlink" Target="https://login.consultant.ru/link/?req=doc&amp;base=LAW&amp;n=522972&amp;dst=100019" TargetMode = "External"/><Relationship Id="rId11" Type="http://schemas.openxmlformats.org/officeDocument/2006/relationships/hyperlink" Target="https://login.consultant.ru/link/?req=doc&amp;base=RLAW249&amp;n=104380&amp;dst=100005" TargetMode = "External"/><Relationship Id="rId12" Type="http://schemas.openxmlformats.org/officeDocument/2006/relationships/hyperlink" Target="https://login.consultant.ru/link/?req=doc&amp;base=RLAW249&amp;n=106012&amp;dst=100005" TargetMode = "External"/><Relationship Id="rId13" Type="http://schemas.openxmlformats.org/officeDocument/2006/relationships/hyperlink" Target="https://login.consultant.ru/link/?req=doc&amp;base=LAW&amp;n=520154&amp;dst=7460" TargetMode = "External"/><Relationship Id="rId14" Type="http://schemas.openxmlformats.org/officeDocument/2006/relationships/hyperlink" Target="https://login.consultant.ru/link/?req=doc&amp;base=LAW&amp;n=522972&amp;dst=100019" TargetMode = "External"/><Relationship Id="rId15" Type="http://schemas.openxmlformats.org/officeDocument/2006/relationships/hyperlink" Target="https://login.consultant.ru/link/?req=doc&amp;base=RLAW249&amp;n=106748" TargetMode = "External"/><Relationship Id="rId16" Type="http://schemas.openxmlformats.org/officeDocument/2006/relationships/hyperlink" Target="https://login.consultant.ru/link/?req=doc&amp;base=RLAW249&amp;n=104112&amp;dst=100014" TargetMode = "External"/><Relationship Id="rId17" Type="http://schemas.openxmlformats.org/officeDocument/2006/relationships/hyperlink" Target="https://login.consultant.ru/link/?req=doc&amp;base=RLAW249&amp;n=104380&amp;dst=100006" TargetMode = "External"/><Relationship Id="rId18" Type="http://schemas.openxmlformats.org/officeDocument/2006/relationships/hyperlink" Target="https://login.consultant.ru/link/?req=doc&amp;base=RLAW249&amp;n=106012&amp;dst=100007" TargetMode = "External"/><Relationship Id="rId19" Type="http://schemas.openxmlformats.org/officeDocument/2006/relationships/hyperlink" Target="https://login.consultant.ru/link/?req=doc&amp;base=RLAW249&amp;n=106012&amp;dst=100009" TargetMode = "External"/><Relationship Id="rId20" Type="http://schemas.openxmlformats.org/officeDocument/2006/relationships/hyperlink" Target="https://login.consultant.ru/link/?req=doc&amp;base=RLAW249&amp;n=104380&amp;dst=100008" TargetMode = "External"/><Relationship Id="rId21" Type="http://schemas.openxmlformats.org/officeDocument/2006/relationships/hyperlink" Target="https://login.consultant.ru/link/?req=doc&amp;base=RLAW249&amp;n=104380&amp;dst=100010" TargetMode = "External"/><Relationship Id="rId22" Type="http://schemas.openxmlformats.org/officeDocument/2006/relationships/hyperlink" Target="https://login.consultant.ru/link/?req=doc&amp;base=RLAW249&amp;n=104380&amp;dst=100017" TargetMode = "External"/><Relationship Id="rId23" Type="http://schemas.openxmlformats.org/officeDocument/2006/relationships/hyperlink" Target="https://login.consultant.ru/link/?req=doc&amp;base=LAW&amp;n=520119&amp;dst=5769" TargetMode = "External"/><Relationship Id="rId24" Type="http://schemas.openxmlformats.org/officeDocument/2006/relationships/hyperlink" Target="https://login.consultant.ru/link/?req=doc&amp;base=LAW&amp;n=121087&amp;dst=100142" TargetMode = "External"/><Relationship Id="rId25" Type="http://schemas.openxmlformats.org/officeDocument/2006/relationships/hyperlink" Target="https://login.consultant.ru/link/?req=doc&amp;base=RLAW249&amp;n=104380&amp;dst=100019" TargetMode = "External"/><Relationship Id="rId26" Type="http://schemas.openxmlformats.org/officeDocument/2006/relationships/hyperlink" Target="https://login.consultant.ru/link/?req=doc&amp;base=LAW&amp;n=503698" TargetMode = "External"/><Relationship Id="rId27" Type="http://schemas.openxmlformats.org/officeDocument/2006/relationships/hyperlink" Target="https://login.consultant.ru/link/?req=doc&amp;base=RLAW249&amp;n=104380&amp;dst=100020" TargetMode = "External"/><Relationship Id="rId28" Type="http://schemas.openxmlformats.org/officeDocument/2006/relationships/hyperlink" Target="https://login.consultant.ru/link/?req=doc&amp;base=RLAW249&amp;n=104380&amp;dst=100028" TargetMode = "External"/><Relationship Id="rId29" Type="http://schemas.openxmlformats.org/officeDocument/2006/relationships/hyperlink" Target="https://login.consultant.ru/link/?req=doc&amp;base=RLAW249&amp;n=104380&amp;dst=100033" TargetMode = "External"/><Relationship Id="rId30" Type="http://schemas.openxmlformats.org/officeDocument/2006/relationships/hyperlink" Target="https://login.consultant.ru/link/?req=doc&amp;base=RLAW249&amp;n=106012&amp;dst=100011" TargetMode = "External"/><Relationship Id="rId31" Type="http://schemas.openxmlformats.org/officeDocument/2006/relationships/hyperlink" Target="https://login.consultant.ru/link/?req=doc&amp;base=RLAW249&amp;n=104380&amp;dst=100042" TargetMode = "External"/><Relationship Id="rId32" Type="http://schemas.openxmlformats.org/officeDocument/2006/relationships/hyperlink" Target="https://login.consultant.ru/link/?req=doc&amp;base=RLAW249&amp;n=104380&amp;dst=100052" TargetMode = "External"/><Relationship Id="rId33" Type="http://schemas.openxmlformats.org/officeDocument/2006/relationships/hyperlink" Target="https://login.consultant.ru/link/?req=doc&amp;base=RLAW249&amp;n=104380&amp;dst=100062" TargetMode = "External"/><Relationship Id="rId34" Type="http://schemas.openxmlformats.org/officeDocument/2006/relationships/hyperlink" Target="https://login.consultant.ru/link/?req=doc&amp;base=RLAW249&amp;n=106012&amp;dst=100013" TargetMode = "External"/><Relationship Id="rId35" Type="http://schemas.openxmlformats.org/officeDocument/2006/relationships/hyperlink" Target="https://login.consultant.ru/link/?req=doc&amp;base=LAW&amp;n=2875" TargetMode = "External"/><Relationship Id="rId36" Type="http://schemas.openxmlformats.org/officeDocument/2006/relationships/hyperlink" Target="https://login.consultant.ru/link/?req=doc&amp;base=RLAW249&amp;n=107719" TargetMode = "External"/><Relationship Id="rId37" Type="http://schemas.openxmlformats.org/officeDocument/2006/relationships/hyperlink" Target="https://login.consultant.ru/link/?req=doc&amp;base=RLAW249&amp;n=104380&amp;dst=100064" TargetMode = "External"/><Relationship Id="rId38" Type="http://schemas.openxmlformats.org/officeDocument/2006/relationships/hyperlink" Target="https://login.consultant.ru/link/?req=doc&amp;base=RLAW249&amp;n=104380&amp;dst=100076" TargetMode = "External"/><Relationship Id="rId39" Type="http://schemas.openxmlformats.org/officeDocument/2006/relationships/image" Target="media/image2.wmf"/><Relationship Id="rId40" Type="http://schemas.openxmlformats.org/officeDocument/2006/relationships/image" Target="media/image3.wmf"/><Relationship Id="rId41" Type="http://schemas.openxmlformats.org/officeDocument/2006/relationships/image" Target="media/image4.wmf"/><Relationship Id="rId42" Type="http://schemas.openxmlformats.org/officeDocument/2006/relationships/hyperlink" Target="https://login.consultant.ru/link/?req=doc&amp;base=RLAW249&amp;n=104380&amp;dst=100166" TargetMode = "External"/><Relationship Id="rId43" Type="http://schemas.openxmlformats.org/officeDocument/2006/relationships/hyperlink" Target="https://login.consultant.ru/link/?req=doc&amp;base=RLAW249&amp;n=104380&amp;dst=100168" TargetMode = "External"/><Relationship Id="rId44" Type="http://schemas.openxmlformats.org/officeDocument/2006/relationships/hyperlink" Target="https://login.consultant.ru/link/?req=doc&amp;base=RLAW249&amp;n=104380&amp;dst=100170" TargetMode = "External"/><Relationship Id="rId45" Type="http://schemas.openxmlformats.org/officeDocument/2006/relationships/hyperlink" Target="https://login.consultant.ru/link/?req=doc&amp;base=RLAW249&amp;n=104380&amp;dst=100179" TargetMode = "External"/><Relationship Id="rId46" Type="http://schemas.openxmlformats.org/officeDocument/2006/relationships/hyperlink" Target="https://login.consultant.ru/link/?req=doc&amp;base=RLAW249&amp;n=104380&amp;dst=100181" TargetMode = "External"/><Relationship Id="rId47" Type="http://schemas.openxmlformats.org/officeDocument/2006/relationships/hyperlink" Target="https://login.consultant.ru/link/?req=doc&amp;base=RLAW249&amp;n=104380&amp;dst=100183" TargetMode = "External"/><Relationship Id="rId48" Type="http://schemas.openxmlformats.org/officeDocument/2006/relationships/hyperlink" Target="https://login.consultant.ru/link/?req=doc&amp;base=RLAW249&amp;n=106012&amp;dst=100015" TargetMode = "External"/><Relationship Id="rId49" Type="http://schemas.openxmlformats.org/officeDocument/2006/relationships/hyperlink" Target="https://login.consultant.ru/link/?req=doc&amp;base=LAW&amp;n=511331&amp;dst=86" TargetMode = "External"/><Relationship Id="rId50" Type="http://schemas.openxmlformats.org/officeDocument/2006/relationships/hyperlink" Target="https://login.consultant.ru/link/?req=doc&amp;base=RLAW249&amp;n=104380&amp;dst=100185" TargetMode = "External"/><Relationship Id="rId51" Type="http://schemas.openxmlformats.org/officeDocument/2006/relationships/hyperlink" Target="https://login.consultant.ru/link/?req=doc&amp;base=LAW&amp;n=520154&amp;dst=3704" TargetMode = "External"/><Relationship Id="rId52" Type="http://schemas.openxmlformats.org/officeDocument/2006/relationships/hyperlink" Target="https://login.consultant.ru/link/?req=doc&amp;base=LAW&amp;n=520154&amp;dst=3722" TargetMode = "External"/><Relationship Id="rId53" Type="http://schemas.openxmlformats.org/officeDocument/2006/relationships/hyperlink" Target="https://login.consultant.ru/link/?req=doc&amp;base=RLAW249&amp;n=104380&amp;dst=100186" TargetMode = "External"/><Relationship Id="rId54" Type="http://schemas.openxmlformats.org/officeDocument/2006/relationships/hyperlink" Target="https://login.consultant.ru/link/?req=doc&amp;base=RLAW249&amp;n=104380&amp;dst=100197" TargetMode = "External"/><Relationship Id="rId55" Type="http://schemas.openxmlformats.org/officeDocument/2006/relationships/hyperlink" Target="https://login.consultant.ru/link/?req=doc&amp;base=RLAW249&amp;n=104380&amp;dst=100201" TargetMode = "External"/><Relationship Id="rId56" Type="http://schemas.openxmlformats.org/officeDocument/2006/relationships/hyperlink" Target="https://login.consultant.ru/link/?req=doc&amp;base=RLAW249&amp;n=104380&amp;dst=100209" TargetMode = "External"/><Relationship Id="rId57" Type="http://schemas.openxmlformats.org/officeDocument/2006/relationships/hyperlink" Target="https://login.consultant.ru/link/?req=doc&amp;base=RLAW249&amp;n=104380&amp;dst=100211" TargetMode = "External"/><Relationship Id="rId58" Type="http://schemas.openxmlformats.org/officeDocument/2006/relationships/hyperlink" Target="https://login.consultant.ru/link/?req=doc&amp;base=RLAW249&amp;n=104380&amp;dst=100212" TargetMode = "External"/><Relationship Id="rId59" Type="http://schemas.openxmlformats.org/officeDocument/2006/relationships/hyperlink" Target="https://login.consultant.ru/link/?req=doc&amp;base=RLAW249&amp;n=106012&amp;dst=100016" TargetMode = "External"/><Relationship Id="rId60" Type="http://schemas.openxmlformats.org/officeDocument/2006/relationships/hyperlink" Target="https://login.consultant.ru/link/?req=doc&amp;base=RLAW249&amp;n=106012&amp;dst=100018" TargetMode = "External"/><Relationship Id="rId61" Type="http://schemas.openxmlformats.org/officeDocument/2006/relationships/hyperlink" Target="https://login.consultant.ru/link/?req=doc&amp;base=RLAW249&amp;n=104380&amp;dst=100214" TargetMode = "External"/><Relationship Id="rId62" Type="http://schemas.openxmlformats.org/officeDocument/2006/relationships/hyperlink" Target="https://login.consultant.ru/link/?req=doc&amp;base=LAW&amp;n=520154&amp;dst=3704" TargetMode = "External"/><Relationship Id="rId63" Type="http://schemas.openxmlformats.org/officeDocument/2006/relationships/hyperlink" Target="https://login.consultant.ru/link/?req=doc&amp;base=LAW&amp;n=520154&amp;dst=3722" TargetMode = "External"/><Relationship Id="rId64" Type="http://schemas.openxmlformats.org/officeDocument/2006/relationships/hyperlink" Target="https://login.consultant.ru/link/?req=doc&amp;base=RLAW249&amp;n=104380&amp;dst=100224" TargetMode = "External"/><Relationship Id="rId65" Type="http://schemas.openxmlformats.org/officeDocument/2006/relationships/hyperlink" Target="https://login.consultant.ru/link/?req=doc&amp;base=RLAW249&amp;n=104380&amp;dst=100226" TargetMode = "External"/><Relationship Id="rId66" Type="http://schemas.openxmlformats.org/officeDocument/2006/relationships/image" Target="media/image5.wmf"/><Relationship Id="rId67" Type="http://schemas.openxmlformats.org/officeDocument/2006/relationships/hyperlink" Target="https://login.consultant.ru/link/?req=doc&amp;base=LAW&amp;n=518477" TargetMode = "External"/><Relationship Id="rId68" Type="http://schemas.openxmlformats.org/officeDocument/2006/relationships/hyperlink" Target="https://login.consultant.ru/link/?req=doc&amp;base=LAW&amp;n=121087&amp;dst=100142" TargetMode = "External"/><Relationship Id="rId69" Type="http://schemas.openxmlformats.org/officeDocument/2006/relationships/hyperlink" Target="https://login.consultant.ru/link/?req=doc&amp;base=LAW&amp;n=520119&amp;dst=5769" TargetMode = "External"/><Relationship Id="rId70" Type="http://schemas.openxmlformats.org/officeDocument/2006/relationships/hyperlink" Target="https://login.consultant.ru/link/?req=doc&amp;base=LAW&amp;n=520154&amp;dst=3704" TargetMode = "External"/><Relationship Id="rId71" Type="http://schemas.openxmlformats.org/officeDocument/2006/relationships/hyperlink" Target="https://login.consultant.ru/link/?req=doc&amp;base=LAW&amp;n=520154&amp;dst=3722" TargetMode = "External"/><Relationship Id="rId72" Type="http://schemas.openxmlformats.org/officeDocument/2006/relationships/hyperlink" Target="https://login.consultant.ru/link/?req=doc&amp;base=RLAW249&amp;n=104380&amp;dst=100228" TargetMode = "External"/><Relationship Id="rId73" Type="http://schemas.openxmlformats.org/officeDocument/2006/relationships/header" Target="header2.xml"/><Relationship Id="rId74" Type="http://schemas.openxmlformats.org/officeDocument/2006/relationships/footer" Target="footer2.xm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РС(Я) от 28.06.2024 N 282
(ред. от 01.07.2025)
"Об утверждении порядка предоставления субсидий из государственного бюджета Республики Саха (Якутия) некоммерческим организациям на финансовое обеспечение затрат на организацию оказания поддержки некоммерческим организациям (включая подготовку и проведение конкурсов)"</dc:title>
  <dcterms:created xsi:type="dcterms:W3CDTF">2026-01-04T09:56:25Z</dcterms:created>
</cp:coreProperties>
</file>