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Постановление Правительства РС(Я) от 30.11.2021 N 500</w:t>
              <w:br/>
              <w:t xml:space="preserve">(ред. от 06.11.2025)</w:t>
              <w:br/>
              <w:t xml:space="preserve">"О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w:t>
              <w:br/>
              <w:t xml:space="preserve">(вместе с "Правилами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РЕСПУБЛИКИ САХА (ЯКУТИЯ)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30 ноября 2021 г. N 500</w:t>
      </w:r>
    </w:p>
    <w:p>
      <w:pPr>
        <w:pStyle w:val="2"/>
        <w:jc w:val="both"/>
      </w:pPr>
      <w:r>
        <w:rPr>
          <w:sz w:val="20"/>
        </w:rPr>
      </w:r>
    </w:p>
    <w:p>
      <w:pPr>
        <w:pStyle w:val="2"/>
        <w:jc w:val="center"/>
      </w:pPr>
      <w:r>
        <w:rPr>
          <w:sz w:val="20"/>
        </w:rPr>
        <w:t xml:space="preserve">О ПОРЯДКЕ ФОРМИРОВАНИЯ ГОСУДАРСТВЕННЫХ СОЦИАЛЬНЫХ ЗАКАЗОВ</w:t>
      </w:r>
    </w:p>
    <w:p>
      <w:pPr>
        <w:pStyle w:val="2"/>
        <w:jc w:val="center"/>
      </w:pPr>
      <w:r>
        <w:rPr>
          <w:sz w:val="20"/>
        </w:rPr>
        <w:t xml:space="preserve">НА ОКАЗАНИЕ ГОСУДАРСТВЕННЫХ УСЛУГ В СОЦИАЛЬНОЙ СФЕРЕ,</w:t>
      </w:r>
    </w:p>
    <w:p>
      <w:pPr>
        <w:pStyle w:val="2"/>
        <w:jc w:val="center"/>
      </w:pPr>
      <w:r>
        <w:rPr>
          <w:sz w:val="20"/>
        </w:rPr>
        <w:t xml:space="preserve">ОТНЕСЕННЫХ К ПОЛНОМОЧИЯМ ИСПОЛНИТЕЛЬНЫХ ОРГАНОВ</w:t>
      </w:r>
    </w:p>
    <w:p>
      <w:pPr>
        <w:pStyle w:val="2"/>
        <w:jc w:val="center"/>
      </w:pPr>
      <w:r>
        <w:rPr>
          <w:sz w:val="20"/>
        </w:rPr>
        <w:t xml:space="preserve">ГОСУДАРСТВЕННОЙ ВЛАСТИ РЕСПУБЛИКИ САХА (ЯКУТИЯ), О ФОРМЕ</w:t>
      </w:r>
    </w:p>
    <w:p>
      <w:pPr>
        <w:pStyle w:val="2"/>
        <w:jc w:val="center"/>
      </w:pPr>
      <w:r>
        <w:rPr>
          <w:sz w:val="20"/>
        </w:rPr>
        <w:t xml:space="preserve">И СРОКАХ ФОРМИРОВАНИЯ ОТЧЕТА ОБ ИХ ИСПОЛНЕНИИ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 от 15.07.2025 </w:t>
            </w:r>
            <w:hyperlink w:history="0" r:id="rId8"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N 287</w:t>
              </w:r>
            </w:hyperlink>
            <w:r>
              <w:rPr>
                <w:sz w:val="20"/>
                <w:color w:val="392c69"/>
              </w:rPr>
              <w:t xml:space="preserve">,</w:t>
            </w:r>
          </w:p>
          <w:p>
            <w:pPr>
              <w:pStyle w:val="0"/>
              <w:jc w:val="center"/>
            </w:pPr>
            <w:r>
              <w:rPr>
                <w:sz w:val="20"/>
                <w:color w:val="392c69"/>
              </w:rPr>
              <w:t xml:space="preserve">от 06.11.2025 </w:t>
            </w:r>
            <w:hyperlink w:history="0" r:id="rId9"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N 461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3 статьи 6</w:t>
        </w:r>
      </w:hyperlink>
      <w:r>
        <w:rPr>
          <w:sz w:val="20"/>
        </w:rPr>
        <w:t xml:space="preserve"> и </w:t>
      </w:r>
      <w:hyperlink w:history="0" r:id="rId1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5 статьи 7</w:t>
        </w:r>
      </w:hyperlink>
      <w:r>
        <w:rPr>
          <w:sz w:val="20"/>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Правительство Республики Саха (Якутия) постановляет:</w:t>
      </w:r>
    </w:p>
    <w:p>
      <w:pPr>
        <w:pStyle w:val="0"/>
        <w:spacing w:before="200" w:lineRule="auto"/>
        <w:ind w:firstLine="540"/>
        <w:jc w:val="both"/>
      </w:pPr>
      <w:r>
        <w:rPr>
          <w:sz w:val="20"/>
        </w:rPr>
        <w:t xml:space="preserve">1. Утвердить </w:t>
      </w:r>
      <w:hyperlink w:history="0" w:anchor="P37" w:tooltip="ПРАВИЛА">
        <w:r>
          <w:rPr>
            <w:sz w:val="20"/>
            <w:color w:val="0000ff"/>
          </w:rPr>
          <w:t xml:space="preserve">Правила</w:t>
        </w:r>
      </w:hyperlink>
      <w:r>
        <w:rPr>
          <w:sz w:val="20"/>
        </w:rPr>
        <w:t xml:space="preserve">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(далее - Правила) согласно приложению N 1 к настоящему постановлению.</w:t>
      </w:r>
    </w:p>
    <w:p>
      <w:pPr>
        <w:pStyle w:val="0"/>
        <w:spacing w:before="200" w:lineRule="auto"/>
        <w:ind w:firstLine="540"/>
        <w:jc w:val="both"/>
      </w:pPr>
      <w:r>
        <w:rPr>
          <w:sz w:val="20"/>
        </w:rPr>
        <w:t xml:space="preserve">2. Установить </w:t>
      </w:r>
      <w:hyperlink w:history="0" w:anchor="P2515" w:tooltip="ОТЧЕТ">
        <w:r>
          <w:rPr>
            <w:sz w:val="20"/>
            <w:color w:val="0000ff"/>
          </w:rPr>
          <w:t xml:space="preserve">форму</w:t>
        </w:r>
      </w:hyperlink>
      <w:r>
        <w:rPr>
          <w:sz w:val="20"/>
        </w:rPr>
        <w:t xml:space="preserve"> отчета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 (далее - государственный социальный заказ), согласно приложению N 2 к настоящему постановлению.</w:t>
      </w:r>
    </w:p>
    <w:p>
      <w:pPr>
        <w:pStyle w:val="0"/>
        <w:spacing w:before="200" w:lineRule="auto"/>
        <w:ind w:firstLine="540"/>
        <w:jc w:val="both"/>
      </w:pPr>
      <w:r>
        <w:rPr>
          <w:sz w:val="20"/>
        </w:rPr>
        <w:t xml:space="preserve">3. Положения </w:t>
      </w:r>
      <w:hyperlink w:history="0" w:anchor="P62" w:tooltip="3. Социальные заказы Республики Саха (Якутия) на 2022 год формируются в виде документа на бумажном носителе. С 2023 года при наличии технической возможности социальные заказы Республики Саха (Якутия) будут формироваться в виде электронного документа в государственной информационной системе, определяемой Правительством Республики Саха (Якутия).">
        <w:r>
          <w:rPr>
            <w:sz w:val="20"/>
            <w:color w:val="0000ff"/>
          </w:rPr>
          <w:t xml:space="preserve">пункта 3</w:t>
        </w:r>
      </w:hyperlink>
      <w:r>
        <w:rPr>
          <w:sz w:val="20"/>
        </w:rPr>
        <w:t xml:space="preserve"> Правил в части формирования государственного социального заказа с использованием государственной информационной системы Республики Саха (Якутия), определенной Правительством Республики Саха (Якутия), вступают в силу с 1 января 2023 года.</w:t>
      </w:r>
    </w:p>
    <w:p>
      <w:pPr>
        <w:pStyle w:val="0"/>
        <w:spacing w:before="200" w:lineRule="auto"/>
        <w:ind w:firstLine="540"/>
        <w:jc w:val="both"/>
      </w:pPr>
      <w:r>
        <w:rPr>
          <w:sz w:val="20"/>
        </w:rPr>
        <w:t xml:space="preserve">4. Положения </w:t>
      </w:r>
      <w:hyperlink w:history="0" w:anchor="P81" w:tooltip="8. Показатели, характеризующие объем оказания государственной услуги в социальной сфере, определяются соответствующими уполномоченными органами, указанными в пункте 2 настоящих Правил, на основании:">
        <w:r>
          <w:rPr>
            <w:sz w:val="20"/>
            <w:color w:val="0000ff"/>
          </w:rPr>
          <w:t xml:space="preserve">пункта 8</w:t>
        </w:r>
      </w:hyperlink>
      <w:r>
        <w:rPr>
          <w:sz w:val="20"/>
        </w:rPr>
        <w:t xml:space="preserve"> Правил в части определения показателя, характеризующего объем оказания государственной услуги в социальной сфере, на основании </w:t>
      </w:r>
      <w:hyperlink w:history="0" w:anchor="P2515" w:tooltip="ОТЧЕТ">
        <w:r>
          <w:rPr>
            <w:sz w:val="20"/>
            <w:color w:val="0000ff"/>
          </w:rPr>
          <w:t xml:space="preserve">отчета</w:t>
        </w:r>
      </w:hyperlink>
      <w:r>
        <w:rPr>
          <w:sz w:val="20"/>
        </w:rPr>
        <w:t xml:space="preserve"> об исполнении государственного социального заказа, формируемого соответствующим уполномоченным органом в отчетном финансовом году, применяются при формировании государственного социального заказа на оказание государственных услуг в социальной сфере, начиная с 1 января 2022 года.</w:t>
      </w:r>
    </w:p>
    <w:p>
      <w:pPr>
        <w:pStyle w:val="0"/>
        <w:spacing w:before="200" w:lineRule="auto"/>
        <w:ind w:firstLine="540"/>
        <w:jc w:val="both"/>
      </w:pPr>
      <w:r>
        <w:rPr>
          <w:sz w:val="20"/>
        </w:rPr>
        <w:t xml:space="preserve">5. Опубликовать настоящее постановление в официальных средствах массовой информации.</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Республики Саха (Якутия)</w:t>
      </w:r>
    </w:p>
    <w:p>
      <w:pPr>
        <w:pStyle w:val="0"/>
        <w:jc w:val="right"/>
      </w:pPr>
      <w:r>
        <w:rPr>
          <w:sz w:val="20"/>
        </w:rPr>
        <w:t xml:space="preserve">А.ТАРАСЕНКО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Республики Саха (Якутия)</w:t>
      </w:r>
    </w:p>
    <w:p>
      <w:pPr>
        <w:pStyle w:val="0"/>
        <w:jc w:val="right"/>
      </w:pPr>
      <w:r>
        <w:rPr>
          <w:sz w:val="20"/>
        </w:rPr>
        <w:t xml:space="preserve">от 30 ноября 2021 г. N 500</w:t>
      </w:r>
    </w:p>
    <w:p>
      <w:pPr>
        <w:pStyle w:val="0"/>
        <w:jc w:val="both"/>
      </w:pPr>
      <w:r>
        <w:rPr>
          <w:sz w:val="20"/>
        </w:rPr>
      </w:r>
    </w:p>
    <w:bookmarkStart w:id="37" w:name="P37"/>
    <w:bookmarkEnd w:id="37"/>
    <w:p>
      <w:pPr>
        <w:pStyle w:val="2"/>
        <w:jc w:val="center"/>
      </w:pPr>
      <w:r>
        <w:rPr>
          <w:sz w:val="20"/>
        </w:rPr>
        <w:t xml:space="preserve">ПРАВИЛА</w:t>
      </w:r>
    </w:p>
    <w:p>
      <w:pPr>
        <w:pStyle w:val="2"/>
        <w:jc w:val="center"/>
      </w:pPr>
      <w:r>
        <w:rPr>
          <w:sz w:val="20"/>
        </w:rPr>
        <w:t xml:space="preserve">ФОРМИРОВАНИЯ ГОСУДАРСТВЕННЫХ СОЦИАЛЬНЫХ ЗАКАЗОВ НА ОКАЗАНИЕ</w:t>
      </w:r>
    </w:p>
    <w:p>
      <w:pPr>
        <w:pStyle w:val="2"/>
        <w:jc w:val="center"/>
      </w:pPr>
      <w:r>
        <w:rPr>
          <w:sz w:val="20"/>
        </w:rPr>
        <w:t xml:space="preserve">ГОСУДАРСТВЕННЫХ УСЛУГ В СОЦИАЛЬНОЙ СФЕРЕ, ОТНЕСЕННЫХ</w:t>
      </w:r>
    </w:p>
    <w:p>
      <w:pPr>
        <w:pStyle w:val="2"/>
        <w:jc w:val="center"/>
      </w:pPr>
      <w:r>
        <w:rPr>
          <w:sz w:val="20"/>
        </w:rPr>
        <w:t xml:space="preserve">К ПОЛНОМОЧИЯМ ИСПОЛНИТЕЛЬНЫХ ОРГАНОВ ГОСУДАРСТВЕННОЙ</w:t>
      </w:r>
    </w:p>
    <w:p>
      <w:pPr>
        <w:pStyle w:val="2"/>
        <w:jc w:val="center"/>
      </w:pPr>
      <w:r>
        <w:rPr>
          <w:sz w:val="20"/>
        </w:rPr>
        <w:t xml:space="preserve">ВЛАСТИ РЕСПУБЛИКИ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РС(Я) от 15.07.2025 </w:t>
            </w:r>
            <w:hyperlink w:history="0" r:id="rId12"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N 287</w:t>
              </w:r>
            </w:hyperlink>
            <w:r>
              <w:rPr>
                <w:sz w:val="20"/>
                <w:color w:val="392c69"/>
              </w:rPr>
              <w:t xml:space="preserve">,</w:t>
            </w:r>
          </w:p>
          <w:p>
            <w:pPr>
              <w:pStyle w:val="0"/>
              <w:jc w:val="center"/>
            </w:pPr>
            <w:r>
              <w:rPr>
                <w:sz w:val="20"/>
                <w:color w:val="392c69"/>
              </w:rPr>
              <w:t xml:space="preserve">от 06.11.2025 </w:t>
            </w:r>
            <w:hyperlink w:history="0" r:id="rId13"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N 461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Настоящие Правила определяют:</w:t>
      </w:r>
    </w:p>
    <w:p>
      <w:pPr>
        <w:pStyle w:val="0"/>
        <w:spacing w:before="200" w:lineRule="auto"/>
        <w:ind w:firstLine="540"/>
        <w:jc w:val="both"/>
      </w:pPr>
      <w:r>
        <w:rPr>
          <w:sz w:val="20"/>
        </w:rPr>
        <w:t xml:space="preserve">порядок формирования и утверждения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(далее - социальный заказ Республики Саха (Якутия));</w:t>
      </w:r>
    </w:p>
    <w:p>
      <w:pPr>
        <w:pStyle w:val="0"/>
        <w:spacing w:before="200" w:lineRule="auto"/>
        <w:ind w:firstLine="540"/>
        <w:jc w:val="both"/>
      </w:pPr>
      <w:r>
        <w:rPr>
          <w:sz w:val="20"/>
        </w:rPr>
        <w:t xml:space="preserve">право уполномоченных органов передать полномочия по отбору исполнителей услуг и заключению соглашений в целях исполнения социальных заказов или полномочие по заключению соглашений в целях исполнения социальных заказов органам власти, уполномоченным на формирование государственных социальных заказов;</w:t>
      </w:r>
    </w:p>
    <w:p>
      <w:pPr>
        <w:pStyle w:val="0"/>
        <w:jc w:val="both"/>
      </w:pPr>
      <w:r>
        <w:rPr>
          <w:sz w:val="20"/>
        </w:rPr>
        <w:t xml:space="preserve">(абзац введен </w:t>
      </w:r>
      <w:hyperlink w:history="0" r:id="rId14"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РС(Я) от 15.07.2025 N 287)</w:t>
      </w:r>
    </w:p>
    <w:p>
      <w:pPr>
        <w:pStyle w:val="0"/>
        <w:spacing w:before="200" w:lineRule="auto"/>
        <w:ind w:firstLine="540"/>
        <w:jc w:val="both"/>
      </w:pPr>
      <w:r>
        <w:rPr>
          <w:sz w:val="20"/>
        </w:rPr>
        <w:t xml:space="preserve">исполнительные органы государственной власти Республики Саха (Якутия), уполномоченные на формирование социальных заказов Республики Саха (Якутия) (далее - уполномоченные органы);</w:t>
      </w:r>
    </w:p>
    <w:p>
      <w:pPr>
        <w:pStyle w:val="0"/>
        <w:spacing w:before="200" w:lineRule="auto"/>
        <w:ind w:firstLine="540"/>
        <w:jc w:val="both"/>
      </w:pPr>
      <w:r>
        <w:rPr>
          <w:sz w:val="20"/>
        </w:rPr>
        <w:t xml:space="preserve">правила взаимодействия уполномоченных органов и органов власти, уполномоченных на формирование государственных социальных заказов;</w:t>
      </w:r>
    </w:p>
    <w:p>
      <w:pPr>
        <w:pStyle w:val="0"/>
        <w:jc w:val="both"/>
      </w:pPr>
      <w:r>
        <w:rPr>
          <w:sz w:val="20"/>
        </w:rPr>
        <w:t xml:space="preserve">(абзац введен </w:t>
      </w:r>
      <w:hyperlink w:history="0" r:id="rId15"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РС(Я) от 15.07.2025 N 287)</w:t>
      </w:r>
    </w:p>
    <w:p>
      <w:pPr>
        <w:pStyle w:val="0"/>
        <w:spacing w:before="200" w:lineRule="auto"/>
        <w:ind w:firstLine="540"/>
        <w:jc w:val="both"/>
      </w:pPr>
      <w:r>
        <w:rPr>
          <w:sz w:val="20"/>
        </w:rPr>
        <w:t xml:space="preserve">форму и структуру социального заказа Республики Саха (Якутия);</w:t>
      </w:r>
    </w:p>
    <w:p>
      <w:pPr>
        <w:pStyle w:val="0"/>
        <w:spacing w:before="200" w:lineRule="auto"/>
        <w:ind w:firstLine="540"/>
        <w:jc w:val="both"/>
      </w:pPr>
      <w:r>
        <w:rPr>
          <w:sz w:val="20"/>
        </w:rPr>
        <w:t xml:space="preserve">правила выбора способа (способов) определения исполнителя государственных услуг в социальной сфере (далее - исполнитель услуг) из числа способов, установленных </w:t>
      </w:r>
      <w:hyperlink w:history="0" r:id="rId1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3 статьи 7</w:t>
        </w:r>
      </w:hyperlink>
      <w:r>
        <w:rPr>
          <w:sz w:val="20"/>
        </w:rPr>
        <w:t xml:space="preserve">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w:t>
      </w:r>
    </w:p>
    <w:p>
      <w:pPr>
        <w:pStyle w:val="0"/>
        <w:spacing w:before="200" w:lineRule="auto"/>
        <w:ind w:firstLine="540"/>
        <w:jc w:val="both"/>
      </w:pPr>
      <w:r>
        <w:rPr>
          <w:sz w:val="20"/>
        </w:rPr>
        <w:t xml:space="preserve">правила внесения изменений в социальные заказы Республики Саха (Якутия);</w:t>
      </w:r>
    </w:p>
    <w:p>
      <w:pPr>
        <w:pStyle w:val="0"/>
        <w:spacing w:before="200" w:lineRule="auto"/>
        <w:ind w:firstLine="540"/>
        <w:jc w:val="both"/>
      </w:pPr>
      <w:r>
        <w:rPr>
          <w:sz w:val="20"/>
        </w:rPr>
        <w:t xml:space="preserve">правила осуществления контроля уполномоченными органами оказания государственных услуг в социальной сфере, отнесенных к полномочиям уполномоченных органов (далее - государственная услуга в социальной сфере);</w:t>
      </w:r>
    </w:p>
    <w:p>
      <w:pPr>
        <w:pStyle w:val="0"/>
        <w:spacing w:before="200" w:lineRule="auto"/>
        <w:ind w:firstLine="540"/>
        <w:jc w:val="both"/>
      </w:pPr>
      <w:r>
        <w:rPr>
          <w:sz w:val="20"/>
        </w:rPr>
        <w:t xml:space="preserve">показатели эффективности организации оказания государственных (муниципальных) услуг в социальной сфере, при организации оказания которых планируется определять исполнителей услуг по результатам отбора исполнителей услуг, значения таких показателей и план достижения таких показателей с учетом особенностей, установленных </w:t>
      </w:r>
      <w:hyperlink w:history="0" r:id="rId1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8 статьи 6</w:t>
        </w:r>
      </w:hyperlink>
      <w:r>
        <w:rPr>
          <w:sz w:val="20"/>
        </w:rPr>
        <w:t xml:space="preserve"> Федерального закона.</w:t>
      </w:r>
    </w:p>
    <w:p>
      <w:pPr>
        <w:pStyle w:val="0"/>
        <w:jc w:val="both"/>
      </w:pPr>
      <w:r>
        <w:rPr>
          <w:sz w:val="20"/>
        </w:rPr>
        <w:t xml:space="preserve">(абзац введен </w:t>
      </w:r>
      <w:hyperlink w:history="0" r:id="rId18"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РС(Я) от 15.07.2025 N 287)</w:t>
      </w:r>
    </w:p>
    <w:p>
      <w:pPr>
        <w:pStyle w:val="0"/>
        <w:spacing w:before="200" w:lineRule="auto"/>
        <w:ind w:firstLine="540"/>
        <w:jc w:val="both"/>
      </w:pPr>
      <w:r>
        <w:rPr>
          <w:sz w:val="20"/>
        </w:rPr>
        <w:t xml:space="preserve">Понятия, применяемые в настоящих Правилах, используются в значениях, определенных в Федеральном </w:t>
      </w:r>
      <w:hyperlink w:history="0" r:id="rId1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законе</w:t>
        </w:r>
      </w:hyperlink>
      <w:r>
        <w:rPr>
          <w:sz w:val="20"/>
        </w:rPr>
        <w:t xml:space="preserve">.</w:t>
      </w:r>
    </w:p>
    <w:bookmarkStart w:id="60" w:name="P60"/>
    <w:bookmarkEnd w:id="60"/>
    <w:p>
      <w:pPr>
        <w:pStyle w:val="0"/>
        <w:spacing w:before="200" w:lineRule="auto"/>
        <w:ind w:firstLine="540"/>
        <w:jc w:val="both"/>
      </w:pPr>
      <w:r>
        <w:rPr>
          <w:sz w:val="20"/>
        </w:rPr>
        <w:t xml:space="preserve">2. Социальные заказы Республики Саха (Якутия) формируются в соответствии с настоящими Правилами в отраслях социальной сферы, определенных </w:t>
      </w:r>
      <w:hyperlink w:history="0" r:id="rId2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1 статьи 1</w:t>
        </w:r>
      </w:hyperlink>
      <w:r>
        <w:rPr>
          <w:sz w:val="20"/>
        </w:rPr>
        <w:t xml:space="preserve"> Федерального закона, соответствующими уполномоченными органами.</w:t>
      </w:r>
    </w:p>
    <w:p>
      <w:pPr>
        <w:pStyle w:val="0"/>
        <w:jc w:val="both"/>
      </w:pPr>
      <w:r>
        <w:rPr>
          <w:sz w:val="20"/>
        </w:rPr>
        <w:t xml:space="preserve">(в ред. </w:t>
      </w:r>
      <w:hyperlink w:history="0" r:id="rId21"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РС(Я) от 15.07.2025 N 287)</w:t>
      </w:r>
    </w:p>
    <w:bookmarkStart w:id="62" w:name="P62"/>
    <w:bookmarkEnd w:id="62"/>
    <w:p>
      <w:pPr>
        <w:pStyle w:val="0"/>
        <w:spacing w:before="200" w:lineRule="auto"/>
        <w:ind w:firstLine="540"/>
        <w:jc w:val="both"/>
      </w:pPr>
      <w:r>
        <w:rPr>
          <w:sz w:val="20"/>
        </w:rPr>
        <w:t xml:space="preserve">3. Социальные заказы Республики Саха (Якутия) на 2022 год формируются в виде документа на бумажном носителе. С 2023 года при наличии технической возможности социальные заказы Республики Саха (Якутия) будут формироваться в виде электронного документа в государственной информационной системе, определяемой Правительством Республики Саха (Якутия).</w:t>
      </w:r>
    </w:p>
    <w:p>
      <w:pPr>
        <w:pStyle w:val="0"/>
        <w:spacing w:before="200" w:lineRule="auto"/>
        <w:ind w:firstLine="540"/>
        <w:jc w:val="both"/>
      </w:pPr>
      <w:r>
        <w:rPr>
          <w:sz w:val="20"/>
        </w:rPr>
        <w:t xml:space="preserve">Информация об утвержденных социальных заказах Республики Саха (Якутия)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pPr>
        <w:pStyle w:val="0"/>
        <w:spacing w:before="200" w:lineRule="auto"/>
        <w:ind w:firstLine="540"/>
        <w:jc w:val="both"/>
      </w:pPr>
      <w:r>
        <w:rPr>
          <w:sz w:val="20"/>
        </w:rPr>
        <w:t xml:space="preserve">4. Информация об объеме оказания государственных услуг в социальной сфере включается в социальные заказы Республики Саха (Якутия) на основании данных об объеме оказываемых государственных услуг в социальной сфере, включенных в обоснования бюджетных ассигнований, формируемые главными распорядителями средств государственного бюджета Республики Саха (Якутия) (уполномоченными органами) в соответствии с </w:t>
      </w:r>
      <w:hyperlink w:history="0" r:id="rId22" w:tooltip="Приказ Минфина РС(Я) от 07.02.2020 N 01-04/0150-Н (ред. от 11.12.2025) &quot;Об утверждении Порядка формирования и представления главными распорядителями средств государственного бюджета Республики Саха (Якутия) обоснований бюджетных ассигнований&quot; (Зарегистрировано в Администрации Главы РС(Я) и Правительства РС(Я) 25.02.2020 N RU140142020160) {КонсультантПлюс}">
        <w:r>
          <w:rPr>
            <w:sz w:val="20"/>
            <w:color w:val="0000ff"/>
          </w:rPr>
          <w:t xml:space="preserve">Порядком</w:t>
        </w:r>
      </w:hyperlink>
      <w:r>
        <w:rPr>
          <w:sz w:val="20"/>
        </w:rPr>
        <w:t xml:space="preserve"> формирования и представления главными распорядителями средств государственного бюджета Республики Саха (Якутия) обоснований бюджетных ассигнований, утверждаемым приказом Министерства финансов Республики Саха (Якутия) в соответствии с бюджетным законодательством Российской Федерации.</w:t>
      </w:r>
    </w:p>
    <w:p>
      <w:pPr>
        <w:pStyle w:val="0"/>
        <w:spacing w:before="200" w:lineRule="auto"/>
        <w:ind w:firstLine="540"/>
        <w:jc w:val="both"/>
      </w:pPr>
      <w:r>
        <w:rPr>
          <w:sz w:val="20"/>
        </w:rPr>
        <w:t xml:space="preserve">5. Социальный заказ Республики Саха (Якутия) может быть сформирован в отношении укрупненной государственной услуги в социальной сфере (далее - укрупненная государственная услуга), под которой для целей настоящих Правил понимается несколько государственных услуг в социальной сфере, соответствующих одному и тому же виду кода Общероссийского классификатора продукции по видам экономической деятельности </w:t>
      </w:r>
      <w:hyperlink w:history="0" r:id="rId23"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ОК 034-2014 (КПЕС 2008)</w:t>
        </w:r>
      </w:hyperlink>
      <w:r>
        <w:rPr>
          <w:sz w:val="20"/>
        </w:rPr>
        <w:t xml:space="preserve">, утвержденного приказом Федерального агентства по техническому регулированию и метрологии от 31 января 2014 г. N 14-ст, и объединенных по решению соответствующего уполномоченного органа в соответствии с содержанием государственной услуги в социальной сфере и (или) условиями (формами) оказания государственной услуги в социальной сфере, в случае принятия соответствующим уполномоченным органом решения о формировании социального заказа Республики Саха (Якутия) в отношении укрупненных государственных услуг.</w:t>
      </w:r>
    </w:p>
    <w:p>
      <w:pPr>
        <w:pStyle w:val="0"/>
        <w:spacing w:before="200" w:lineRule="auto"/>
        <w:ind w:firstLine="540"/>
        <w:jc w:val="both"/>
      </w:pPr>
      <w:r>
        <w:rPr>
          <w:sz w:val="20"/>
        </w:rPr>
        <w:t xml:space="preserve">6. Социальный заказ Республики Саха (Якутия) формируется по </w:t>
      </w:r>
      <w:hyperlink w:history="0" w:anchor="P169" w:tooltip="ГОСУДАРСТВЕННЫЙ СОЦИАЛЬНЫЙ ЗАКАЗ">
        <w:r>
          <w:rPr>
            <w:sz w:val="20"/>
            <w:color w:val="0000ff"/>
          </w:rPr>
          <w:t xml:space="preserve">форме</w:t>
        </w:r>
      </w:hyperlink>
      <w:r>
        <w:rPr>
          <w:sz w:val="20"/>
        </w:rPr>
        <w:t xml:space="preserve"> согласно приложению к настоящим Правилам в процессе формирования государственного бюджета Республики Саха (Якутия) на очередной финансовый год и плановый период на срок, соответствующий установленному в соответствии с законодательством Российской Федерации сроку (предельному сроку) оказания государственной услуги в социальной сфере, в соответствии со следующей структурой:</w:t>
      </w:r>
    </w:p>
    <w:p>
      <w:pPr>
        <w:pStyle w:val="0"/>
        <w:spacing w:before="200" w:lineRule="auto"/>
        <w:ind w:firstLine="540"/>
        <w:jc w:val="both"/>
      </w:pPr>
      <w:r>
        <w:rPr>
          <w:sz w:val="20"/>
        </w:rPr>
        <w:t xml:space="preserve">1) общие сведения о социальном заказе Республики Саха (Якутия) в очередном финансовом году и плановом периоде, а также за пределами планового периода, приведенные в </w:t>
      </w:r>
      <w:hyperlink w:history="0" w:anchor="P202" w:tooltip="I. Общие сведения о государственном социальном заказе">
        <w:r>
          <w:rPr>
            <w:sz w:val="20"/>
            <w:color w:val="0000ff"/>
          </w:rPr>
          <w:t xml:space="preserve">разделе I</w:t>
        </w:r>
      </w:hyperlink>
      <w:r>
        <w:rPr>
          <w:sz w:val="20"/>
        </w:rPr>
        <w:t xml:space="preserve"> приложения к настоящим Правилам, который содержит следующие подразделы:</w:t>
      </w:r>
    </w:p>
    <w:p>
      <w:pPr>
        <w:pStyle w:val="0"/>
        <w:spacing w:before="200" w:lineRule="auto"/>
        <w:ind w:firstLine="540"/>
        <w:jc w:val="both"/>
      </w:pPr>
      <w:r>
        <w:rPr>
          <w:sz w:val="20"/>
        </w:rPr>
        <w:t xml:space="preserve">общие сведения о социальном заказе Республики Саха (Якутия) на очередной финансовый год, приведенные в </w:t>
      </w:r>
      <w:hyperlink w:history="0" w:anchor="P209" w:tooltip="1. Общие сведения о государственном социальном заказе">
        <w:r>
          <w:rPr>
            <w:sz w:val="20"/>
            <w:color w:val="0000ff"/>
          </w:rPr>
          <w:t xml:space="preserve">подразделе 1 раздела I</w:t>
        </w:r>
      </w:hyperlink>
      <w:r>
        <w:rPr>
          <w:sz w:val="20"/>
        </w:rPr>
        <w:t xml:space="preserve"> приложения к настоящим Правилам;</w:t>
      </w:r>
    </w:p>
    <w:p>
      <w:pPr>
        <w:pStyle w:val="0"/>
        <w:spacing w:before="200" w:lineRule="auto"/>
        <w:ind w:firstLine="540"/>
        <w:jc w:val="both"/>
      </w:pPr>
      <w:r>
        <w:rPr>
          <w:sz w:val="20"/>
        </w:rPr>
        <w:t xml:space="preserve">общие сведения о социальном заказе Республики Саха (Якутия) на первый год планового периода, приведенные в </w:t>
      </w:r>
      <w:hyperlink w:history="0" w:anchor="P312" w:tooltip="2. Общие сведения о государственном социальном заказе">
        <w:r>
          <w:rPr>
            <w:sz w:val="20"/>
            <w:color w:val="0000ff"/>
          </w:rPr>
          <w:t xml:space="preserve">подразделе 2 раздела I</w:t>
        </w:r>
      </w:hyperlink>
      <w:r>
        <w:rPr>
          <w:sz w:val="20"/>
        </w:rPr>
        <w:t xml:space="preserve"> приложения к настоящим Правилам;</w:t>
      </w:r>
    </w:p>
    <w:p>
      <w:pPr>
        <w:pStyle w:val="0"/>
        <w:spacing w:before="200" w:lineRule="auto"/>
        <w:ind w:firstLine="540"/>
        <w:jc w:val="both"/>
      </w:pPr>
      <w:r>
        <w:rPr>
          <w:sz w:val="20"/>
        </w:rPr>
        <w:t xml:space="preserve">общие сведения о социальном заказе Республики Саха (Якутия) на второй год планового периода, приведенные в </w:t>
      </w:r>
      <w:hyperlink w:history="0" w:anchor="P417" w:tooltip="3. Общие сведения о государственном социальном заказе">
        <w:r>
          <w:rPr>
            <w:sz w:val="20"/>
            <w:color w:val="0000ff"/>
          </w:rPr>
          <w:t xml:space="preserve">подразделе 3 раздела I</w:t>
        </w:r>
      </w:hyperlink>
      <w:r>
        <w:rPr>
          <w:sz w:val="20"/>
        </w:rPr>
        <w:t xml:space="preserve"> приложения к настоящим Правилам;</w:t>
      </w:r>
    </w:p>
    <w:p>
      <w:pPr>
        <w:pStyle w:val="0"/>
        <w:spacing w:before="200" w:lineRule="auto"/>
        <w:ind w:firstLine="540"/>
        <w:jc w:val="both"/>
      </w:pPr>
      <w:r>
        <w:rPr>
          <w:sz w:val="20"/>
        </w:rPr>
        <w:t xml:space="preserve">общие сведения о социальном заказе Республики Саха (Якутия) на срок оказания государственных услуг в социальной сфере за пределами планового периода, приведенные в </w:t>
      </w:r>
      <w:hyperlink w:history="0" w:anchor="P522" w:tooltip="4. Общие сведения о государственном социальном заказе">
        <w:r>
          <w:rPr>
            <w:sz w:val="20"/>
            <w:color w:val="0000ff"/>
          </w:rPr>
          <w:t xml:space="preserve">подразделе 4 раздела I</w:t>
        </w:r>
      </w:hyperlink>
      <w:r>
        <w:rPr>
          <w:sz w:val="20"/>
        </w:rPr>
        <w:t xml:space="preserve"> приложения к настоящим Правилам;</w:t>
      </w:r>
    </w:p>
    <w:p>
      <w:pPr>
        <w:pStyle w:val="0"/>
        <w:spacing w:before="200" w:lineRule="auto"/>
        <w:ind w:firstLine="540"/>
        <w:jc w:val="both"/>
      </w:pPr>
      <w:r>
        <w:rPr>
          <w:sz w:val="20"/>
        </w:rPr>
        <w:t xml:space="preserve">2) сведения об объеме оказания государственной услуги в социальной сфере (укрупненной государственной услуги) в очередном финансовом году и плановом периоде, а также за пределами планового периода, приведенные в </w:t>
      </w:r>
      <w:hyperlink w:history="0" w:anchor="P628" w:tooltip="II. Сведения об объеме оказания государственной услуги">
        <w:r>
          <w:rPr>
            <w:sz w:val="20"/>
            <w:color w:val="0000ff"/>
          </w:rPr>
          <w:t xml:space="preserve">разделе II</w:t>
        </w:r>
      </w:hyperlink>
      <w:r>
        <w:rPr>
          <w:sz w:val="20"/>
        </w:rPr>
        <w:t xml:space="preserve"> приложения к настоящим Правилам, который содержит следующие подразделы:</w:t>
      </w:r>
    </w:p>
    <w:p>
      <w:pPr>
        <w:pStyle w:val="0"/>
        <w:spacing w:before="200" w:lineRule="auto"/>
        <w:ind w:firstLine="540"/>
        <w:jc w:val="both"/>
      </w:pPr>
      <w:r>
        <w:rPr>
          <w:sz w:val="20"/>
        </w:rPr>
        <w:t xml:space="preserve">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очередной финансовый год, приведенные в </w:t>
      </w:r>
      <w:hyperlink w:history="0" w:anchor="P635" w:tooltip="1. Сведения об объеме оказания государственной услуги">
        <w:r>
          <w:rPr>
            <w:sz w:val="20"/>
            <w:color w:val="0000ff"/>
          </w:rPr>
          <w:t xml:space="preserve">подразделе 1 раздела II</w:t>
        </w:r>
      </w:hyperlink>
      <w:r>
        <w:rPr>
          <w:sz w:val="20"/>
        </w:rPr>
        <w:t xml:space="preserve"> приложения к настоящим Правилам;</w:t>
      </w:r>
    </w:p>
    <w:p>
      <w:pPr>
        <w:pStyle w:val="0"/>
        <w:spacing w:before="200" w:lineRule="auto"/>
        <w:ind w:firstLine="540"/>
        <w:jc w:val="both"/>
      </w:pPr>
      <w:r>
        <w:rPr>
          <w:sz w:val="20"/>
        </w:rPr>
        <w:t xml:space="preserve">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первый год планового периода, приведенные в </w:t>
      </w:r>
      <w:hyperlink w:history="0" w:anchor="P765" w:tooltip="2. Сведения об объеме оказания государственной услуги">
        <w:r>
          <w:rPr>
            <w:sz w:val="20"/>
            <w:color w:val="0000ff"/>
          </w:rPr>
          <w:t xml:space="preserve">подразделе 2 раздела II</w:t>
        </w:r>
      </w:hyperlink>
      <w:r>
        <w:rPr>
          <w:sz w:val="20"/>
        </w:rPr>
        <w:t xml:space="preserve"> приложения к настоящим Правилам;</w:t>
      </w:r>
    </w:p>
    <w:p>
      <w:pPr>
        <w:pStyle w:val="0"/>
        <w:spacing w:before="200" w:lineRule="auto"/>
        <w:ind w:firstLine="540"/>
        <w:jc w:val="both"/>
      </w:pPr>
      <w:r>
        <w:rPr>
          <w:sz w:val="20"/>
        </w:rPr>
        <w:t xml:space="preserve">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второй год планового периода, приведенные в </w:t>
      </w:r>
      <w:hyperlink w:history="0" w:anchor="P894" w:tooltip="3. Сведения об объеме оказания государственной услуги">
        <w:r>
          <w:rPr>
            <w:sz w:val="20"/>
            <w:color w:val="0000ff"/>
          </w:rPr>
          <w:t xml:space="preserve">подразделе 3 раздела II</w:t>
        </w:r>
      </w:hyperlink>
      <w:r>
        <w:rPr>
          <w:sz w:val="20"/>
        </w:rPr>
        <w:t xml:space="preserve"> приложения к настоящим Правилам;</w:t>
      </w:r>
    </w:p>
    <w:p>
      <w:pPr>
        <w:pStyle w:val="0"/>
        <w:spacing w:before="200" w:lineRule="auto"/>
        <w:ind w:firstLine="540"/>
        <w:jc w:val="both"/>
      </w:pPr>
      <w:r>
        <w:rPr>
          <w:sz w:val="20"/>
        </w:rPr>
        <w:t xml:space="preserve">сведения об объеме оказания государственной услуги в социальной сфере (государственных услуг в социальной сфере, составляющих укрупненную государственную услугу) на срок оказания государственной услуги за пределами планового периода, приведенные в </w:t>
      </w:r>
      <w:hyperlink w:history="0" w:anchor="P1023" w:tooltip="4. Сведения об объеме оказания государственной услуги">
        <w:r>
          <w:rPr>
            <w:sz w:val="20"/>
            <w:color w:val="0000ff"/>
          </w:rPr>
          <w:t xml:space="preserve">подразделе 4 раздела II</w:t>
        </w:r>
      </w:hyperlink>
      <w:r>
        <w:rPr>
          <w:sz w:val="20"/>
        </w:rPr>
        <w:t xml:space="preserve"> приложения к настоящим Правилам;</w:t>
      </w:r>
    </w:p>
    <w:p>
      <w:pPr>
        <w:pStyle w:val="0"/>
        <w:spacing w:before="200" w:lineRule="auto"/>
        <w:ind w:firstLine="540"/>
        <w:jc w:val="both"/>
      </w:pPr>
      <w:r>
        <w:rPr>
          <w:sz w:val="20"/>
        </w:rPr>
        <w:t xml:space="preserve">3) сведения о показателях, характеризующих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в очередном финансовом году и плановом периоде, а также за пределами планового периода, приведенные в </w:t>
      </w:r>
      <w:hyperlink w:history="0" w:anchor="P1153" w:tooltip="III. Сведения о показателях, характеризующих качество">
        <w:r>
          <w:rPr>
            <w:sz w:val="20"/>
            <w:color w:val="0000ff"/>
          </w:rPr>
          <w:t xml:space="preserve">разделе III</w:t>
        </w:r>
      </w:hyperlink>
      <w:r>
        <w:rPr>
          <w:sz w:val="20"/>
        </w:rPr>
        <w:t xml:space="preserve"> приложения к настоящим Правилам.</w:t>
      </w:r>
    </w:p>
    <w:p>
      <w:pPr>
        <w:pStyle w:val="0"/>
        <w:spacing w:before="200" w:lineRule="auto"/>
        <w:ind w:firstLine="540"/>
        <w:jc w:val="both"/>
      </w:pPr>
      <w:r>
        <w:rPr>
          <w:sz w:val="20"/>
        </w:rPr>
        <w:t xml:space="preserve">7. Социальный заказ Республики Саха (Якутия) утверждается соответствующим уполномоченным органом до начала очередного финансового года, но не позднее 15 рабочих дней со дня принятия закона Республики Саха (Якутия) о государственном бюджете Республики Саха (Якутия) на очередной финансовый год и плановый период путем его подписания:</w:t>
      </w:r>
    </w:p>
    <w:p>
      <w:pPr>
        <w:pStyle w:val="0"/>
        <w:spacing w:before="200" w:lineRule="auto"/>
        <w:ind w:firstLine="540"/>
        <w:jc w:val="both"/>
      </w:pPr>
      <w:r>
        <w:rPr>
          <w:sz w:val="20"/>
        </w:rPr>
        <w:t xml:space="preserve">в бумажном виде - в период до 1 января 2023 года;</w:t>
      </w:r>
    </w:p>
    <w:p>
      <w:pPr>
        <w:pStyle w:val="0"/>
        <w:spacing w:before="200" w:lineRule="auto"/>
        <w:ind w:firstLine="540"/>
        <w:jc w:val="both"/>
      </w:pPr>
      <w:r>
        <w:rPr>
          <w:sz w:val="20"/>
        </w:rPr>
        <w:t xml:space="preserve">усиленной квалифицированной электронной подписью лица, имеющего право действовать от имени соответствующего уполномоченного органа, - с 1 января 2023 года.</w:t>
      </w:r>
    </w:p>
    <w:bookmarkStart w:id="81" w:name="P81"/>
    <w:bookmarkEnd w:id="81"/>
    <w:p>
      <w:pPr>
        <w:pStyle w:val="0"/>
        <w:spacing w:before="200" w:lineRule="auto"/>
        <w:ind w:firstLine="540"/>
        <w:jc w:val="both"/>
      </w:pPr>
      <w:r>
        <w:rPr>
          <w:sz w:val="20"/>
        </w:rPr>
        <w:t xml:space="preserve">8. Показатели, характеризующие объем оказания государственной услуги в социальной сфере, определяются соответствующими уполномоченными органами, указанными в </w:t>
      </w:r>
      <w:hyperlink w:history="0" w:anchor="P60" w:tooltip="2. Социальные заказы Республики Саха (Якутия) формируются в соответствии с настоящими Правилами в отраслях социальной сферы, определенных частью 1 статьи 1 Федерального закона, соответствующими уполномоченными органами.">
        <w:r>
          <w:rPr>
            <w:sz w:val="20"/>
            <w:color w:val="0000ff"/>
          </w:rPr>
          <w:t xml:space="preserve">пункте 2</w:t>
        </w:r>
      </w:hyperlink>
      <w:r>
        <w:rPr>
          <w:sz w:val="20"/>
        </w:rPr>
        <w:t xml:space="preserve"> настоящих Правил, на основании:</w:t>
      </w:r>
    </w:p>
    <w:p>
      <w:pPr>
        <w:pStyle w:val="0"/>
        <w:spacing w:before="200" w:lineRule="auto"/>
        <w:ind w:firstLine="540"/>
        <w:jc w:val="both"/>
      </w:pPr>
      <w:r>
        <w:rPr>
          <w:sz w:val="20"/>
        </w:rPr>
        <w:t xml:space="preserve">1) прогнозируемой динамики количества потребителей услуг;</w:t>
      </w:r>
    </w:p>
    <w:p>
      <w:pPr>
        <w:pStyle w:val="0"/>
        <w:spacing w:before="200" w:lineRule="auto"/>
        <w:ind w:firstLine="540"/>
        <w:jc w:val="both"/>
      </w:pPr>
      <w:r>
        <w:rPr>
          <w:sz w:val="20"/>
        </w:rPr>
        <w:t xml:space="preserve">2) уровня удовлетворенности существующим объемом оказания государственных услуг в социальной сфере;</w:t>
      </w:r>
    </w:p>
    <w:p>
      <w:pPr>
        <w:pStyle w:val="0"/>
        <w:spacing w:before="200" w:lineRule="auto"/>
        <w:ind w:firstLine="540"/>
        <w:jc w:val="both"/>
      </w:pPr>
      <w:r>
        <w:rPr>
          <w:sz w:val="20"/>
        </w:rPr>
        <w:t xml:space="preserve">3) отчета об исполнении социального заказа Республики Саха (Якутия), формируемого соответствующим уполномоченным органом в соответствии с </w:t>
      </w:r>
      <w:hyperlink w:history="0" r:id="rId24"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5 статьи 7</w:t>
        </w:r>
      </w:hyperlink>
      <w:r>
        <w:rPr>
          <w:sz w:val="20"/>
        </w:rPr>
        <w:t xml:space="preserve"> Федерального закона в отчетном финансовом году.</w:t>
      </w:r>
    </w:p>
    <w:p>
      <w:pPr>
        <w:pStyle w:val="0"/>
        <w:spacing w:before="200" w:lineRule="auto"/>
        <w:ind w:firstLine="540"/>
        <w:jc w:val="both"/>
      </w:pPr>
      <w:r>
        <w:rPr>
          <w:sz w:val="20"/>
        </w:rPr>
        <w:t xml:space="preserve">9. Внесение изменений в утвержденные социальные заказы Республики Саха (Якутия) осуществляется в случае:</w:t>
      </w:r>
    </w:p>
    <w:p>
      <w:pPr>
        <w:pStyle w:val="0"/>
        <w:spacing w:before="200" w:lineRule="auto"/>
        <w:ind w:firstLine="540"/>
        <w:jc w:val="both"/>
      </w:pPr>
      <w:r>
        <w:rPr>
          <w:sz w:val="20"/>
        </w:rPr>
        <w:t xml:space="preserve">изменения значений показателей, характеризующих объем оказания государственной услуги в социальной сфере (после внесения изменений в закон о государственном бюджете Республики Саха (Якутия) Республики Саха (Якутия));</w:t>
      </w:r>
    </w:p>
    <w:p>
      <w:pPr>
        <w:pStyle w:val="0"/>
        <w:spacing w:before="200" w:lineRule="auto"/>
        <w:ind w:firstLine="540"/>
        <w:jc w:val="both"/>
      </w:pPr>
      <w:r>
        <w:rPr>
          <w:sz w:val="20"/>
        </w:rPr>
        <w:t xml:space="preserve">изменения способа исполнения социального заказа Республики Саха (Якутия) и перераспределения объема оказания государственной услуги в социальной сфере по результатам отбора исполнителей услуг в соответствии со </w:t>
      </w:r>
      <w:hyperlink w:history="0" r:id="rId2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статьей 9</w:t>
        </w:r>
      </w:hyperlink>
      <w:r>
        <w:rPr>
          <w:sz w:val="20"/>
        </w:rPr>
        <w:t xml:space="preserve"> Федерального закона;</w:t>
      </w:r>
    </w:p>
    <w:p>
      <w:pPr>
        <w:pStyle w:val="0"/>
        <w:spacing w:before="200" w:lineRule="auto"/>
        <w:ind w:firstLine="540"/>
        <w:jc w:val="both"/>
      </w:pPr>
      <w:r>
        <w:rPr>
          <w:sz w:val="20"/>
        </w:rPr>
        <w:t xml:space="preserve">изменения сведений, включенных в форму социального заказа Республики Саха (Якутия), приведенную в </w:t>
      </w:r>
      <w:hyperlink w:history="0" w:anchor="P169" w:tooltip="ГОСУДАРСТВЕННЫЙ СОЦИАЛЬНЫЙ ЗАКАЗ">
        <w:r>
          <w:rPr>
            <w:sz w:val="20"/>
            <w:color w:val="0000ff"/>
          </w:rPr>
          <w:t xml:space="preserve">приложении</w:t>
        </w:r>
      </w:hyperlink>
      <w:r>
        <w:rPr>
          <w:sz w:val="20"/>
        </w:rPr>
        <w:t xml:space="preserve"> к настоящим Правилам.</w:t>
      </w:r>
    </w:p>
    <w:p>
      <w:pPr>
        <w:pStyle w:val="0"/>
        <w:spacing w:before="200" w:lineRule="auto"/>
        <w:ind w:firstLine="540"/>
        <w:jc w:val="both"/>
      </w:pPr>
      <w:r>
        <w:rPr>
          <w:sz w:val="20"/>
        </w:rPr>
        <w:t xml:space="preserve">В случае внесения изменений в утвержденные социальные заказы Республики Саха (Якутия) формируются новые социальные заказы Республики Саха (Якутия) (с учетом внесенных изменений) в соответствии с настоящими Правилами.</w:t>
      </w:r>
    </w:p>
    <w:bookmarkStart w:id="90" w:name="P90"/>
    <w:bookmarkEnd w:id="90"/>
    <w:p>
      <w:pPr>
        <w:pStyle w:val="0"/>
        <w:spacing w:before="200" w:lineRule="auto"/>
        <w:ind w:firstLine="540"/>
        <w:jc w:val="both"/>
      </w:pPr>
      <w:r>
        <w:rPr>
          <w:sz w:val="20"/>
        </w:rPr>
        <w:t xml:space="preserve">10. Соответствующим уполномоченным органом осуществляется выбор способа определения исполнителей услуг из числа способов, установленных </w:t>
      </w:r>
      <w:hyperlink w:history="0" r:id="rId2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3 статьи 7</w:t>
        </w:r>
      </w:hyperlink>
      <w:r>
        <w:rPr>
          <w:sz w:val="20"/>
        </w:rPr>
        <w:t xml:space="preserve"> Федерального закона, если такой способ не определен федеральными законами, решениями Президента Российской Федерации, Правительства Российской Федерации, законами Республики Саха (Якутия), решениями высшего исполнительного органа государственной власти Республики Саха (Якутия), исходя из оценки значений следующих показателей, проводимой в порядке, установленном приказом соответствующего уполномоченного органа (с учетом критериев оценки, содержащихся в указанном порядке):</w:t>
      </w:r>
    </w:p>
    <w:bookmarkStart w:id="91" w:name="P91"/>
    <w:bookmarkEnd w:id="91"/>
    <w:p>
      <w:pPr>
        <w:pStyle w:val="0"/>
        <w:spacing w:before="200" w:lineRule="auto"/>
        <w:ind w:firstLine="540"/>
        <w:jc w:val="both"/>
      </w:pPr>
      <w:r>
        <w:rPr>
          <w:sz w:val="20"/>
        </w:rPr>
        <w:t xml:space="preserve">1) доступность государственных услуг в социальной сфере, оказываемых государственными учреждениями, для потребителей услуг;</w:t>
      </w:r>
    </w:p>
    <w:bookmarkStart w:id="92" w:name="P92"/>
    <w:bookmarkEnd w:id="92"/>
    <w:p>
      <w:pPr>
        <w:pStyle w:val="0"/>
        <w:spacing w:before="200" w:lineRule="auto"/>
        <w:ind w:firstLine="540"/>
        <w:jc w:val="both"/>
      </w:pPr>
      <w:r>
        <w:rPr>
          <w:sz w:val="20"/>
        </w:rPr>
        <w:t xml:space="preserve">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w:t>
      </w:r>
      <w:hyperlink w:history="0" r:id="rId27"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ОК 034-2014 (КПЕС 2008)</w:t>
        </w:r>
      </w:hyperlink>
      <w:r>
        <w:rPr>
          <w:sz w:val="20"/>
        </w:rPr>
        <w:t xml:space="preserve">,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едином государственном реестре индивидуальных предпринимателей, что и планируемая к оказанию государственная услуга в социальной сфере.</w:t>
      </w:r>
    </w:p>
    <w:p>
      <w:pPr>
        <w:pStyle w:val="0"/>
        <w:spacing w:before="200" w:lineRule="auto"/>
        <w:ind w:firstLine="540"/>
        <w:jc w:val="both"/>
      </w:pPr>
      <w:r>
        <w:rPr>
          <w:sz w:val="20"/>
        </w:rPr>
        <w:t xml:space="preserve">11. По результатам оценки соответствующим уполномоченным органом значений показателей, указанных в </w:t>
      </w:r>
      <w:hyperlink w:history="0" w:anchor="P90" w:tooltip="10. Соответствующим уполномоченным органом осуществляется выбор способа определения исполнителей услуг из числа способов, установленных частью 3 статьи 7 Федерального закона, если такой способ не определен федеральными законами, решениями Президента Российской Федерации, Правительства Российской Федерации, законами Республики Саха (Якутия), решениями высшего исполнительного органа государственной власти Республики Саха (Якутия), исходя из оценки значений следующих показателей, проводимой в порядке, устан...">
        <w:r>
          <w:rPr>
            <w:sz w:val="20"/>
            <w:color w:val="0000ff"/>
          </w:rPr>
          <w:t xml:space="preserve">пункте 10</w:t>
        </w:r>
      </w:hyperlink>
      <w:r>
        <w:rPr>
          <w:sz w:val="20"/>
        </w:rPr>
        <w:t xml:space="preserve"> настоящих Правил:</w:t>
      </w:r>
    </w:p>
    <w:p>
      <w:pPr>
        <w:pStyle w:val="0"/>
        <w:spacing w:before="200" w:lineRule="auto"/>
        <w:ind w:firstLine="540"/>
        <w:jc w:val="both"/>
      </w:pPr>
      <w:r>
        <w:rPr>
          <w:sz w:val="20"/>
        </w:rPr>
        <w:t xml:space="preserve">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"низкая" либо к категории "высокая";</w:t>
      </w:r>
    </w:p>
    <w:p>
      <w:pPr>
        <w:pStyle w:val="0"/>
        <w:spacing w:before="200" w:lineRule="auto"/>
        <w:ind w:firstLine="540"/>
        <w:jc w:val="both"/>
      </w:pPr>
      <w:r>
        <w:rPr>
          <w:sz w:val="20"/>
        </w:rPr>
        <w:t xml:space="preserve">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"значительное" либо к категории "незначительное".</w:t>
      </w:r>
    </w:p>
    <w:p>
      <w:pPr>
        <w:pStyle w:val="0"/>
        <w:spacing w:before="200" w:lineRule="auto"/>
        <w:ind w:firstLine="540"/>
        <w:jc w:val="both"/>
      </w:pPr>
      <w:r>
        <w:rPr>
          <w:sz w:val="20"/>
        </w:rPr>
        <w:t xml:space="preserve">Значения показателей, предусмотренные настоящим пунктом, подлежат общественному обсуждению на заседаниях общественных советов, создаваемых при соответствующих уполномоченных органах в соответствии с </w:t>
      </w:r>
      <w:hyperlink w:history="0" r:id="rId28" w:tooltip="Закон Республики Саха (Якутия) от 30.04.2014 1305-З N 167-V (ред. от 10.12.2025) &quot;Об общественном контроле в Республике Саха (Якутия)&quot; (принят постановлением ГС (Ил Тумэн) РС(Я) от 30.04.2014 З N 168-V) {КонсультантПлюс}">
        <w:r>
          <w:rPr>
            <w:sz w:val="20"/>
            <w:color w:val="0000ff"/>
          </w:rPr>
          <w:t xml:space="preserve">Законом</w:t>
        </w:r>
      </w:hyperlink>
      <w:r>
        <w:rPr>
          <w:sz w:val="20"/>
        </w:rPr>
        <w:t xml:space="preserve"> Республики Саха (Якутия) от 30 апреля 2014 г. 1305-З N 167-V "Об общественном контроле в Республике Саха (Якутия)" (далее - общественные советы).</w:t>
      </w:r>
    </w:p>
    <w:p>
      <w:pPr>
        <w:pStyle w:val="0"/>
        <w:spacing w:before="200" w:lineRule="auto"/>
        <w:ind w:firstLine="540"/>
        <w:jc w:val="both"/>
      </w:pPr>
      <w:r>
        <w:rPr>
          <w:sz w:val="20"/>
        </w:rPr>
        <w:t xml:space="preserve">12. В случае если 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"низкая", а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"незначительное", соответствующий уполномоченный орган принимает решение о формировании государственного задания на оказание государственных услуг (выполнение работ) (далее - государственное задание) в целях исполнения социальных заказов Республики Саха (Якутия).</w:t>
      </w:r>
    </w:p>
    <w:p>
      <w:pPr>
        <w:pStyle w:val="0"/>
        <w:spacing w:before="200" w:lineRule="auto"/>
        <w:ind w:firstLine="540"/>
        <w:jc w:val="both"/>
      </w:pPr>
      <w:r>
        <w:rPr>
          <w:sz w:val="20"/>
        </w:rPr>
        <w:t xml:space="preserve">В случае если на протяжении 2 лет подряд, предшествующих дате формирования социального заказа Республики Саха (Якутия), 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"низкая", а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"незначительное", соответствующий уполномоченный орган выносит на заседание общественного совета вопрос об одобрении продолжения формирования государственного задания в целях исполнения социального заказа Республики Саха (Якутия).</w:t>
      </w:r>
    </w:p>
    <w:p>
      <w:pPr>
        <w:pStyle w:val="0"/>
        <w:spacing w:before="200" w:lineRule="auto"/>
        <w:ind w:firstLine="540"/>
        <w:jc w:val="both"/>
      </w:pPr>
      <w:r>
        <w:rPr>
          <w:sz w:val="20"/>
        </w:rPr>
        <w:t xml:space="preserve">В случае если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"значительное", соответствующий уполномоченный орган принимает решение об осуществлении отбора исполнителей услуг в целях исполнения социального заказа Республики Саха (Якутия) вне зависимости от значения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w:t>
      </w:r>
    </w:p>
    <w:p>
      <w:pPr>
        <w:pStyle w:val="0"/>
        <w:spacing w:before="200" w:lineRule="auto"/>
        <w:ind w:firstLine="540"/>
        <w:jc w:val="both"/>
      </w:pPr>
      <w:r>
        <w:rPr>
          <w:sz w:val="20"/>
        </w:rPr>
        <w:t xml:space="preserve">В случае если 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"высокая", а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"незначительное" и в отношении государственных услуг в социальной сфере в соответствии с законодательством Российской Федерации проводится независимая оценка качества условий оказания государственных услуг в социальной сфере организациями в установленных сферах, соответствующий уполномоченный орган принимает одно из следующих решений о способе исполнения социального заказа Республики Саха (Якутия) на основании определенных по результатам такой оценки за последние 3 года показателей удовлетворенности условиями оказания государственных услуг в социальной сфере:</w:t>
      </w:r>
    </w:p>
    <w:p>
      <w:pPr>
        <w:pStyle w:val="0"/>
        <w:spacing w:before="200" w:lineRule="auto"/>
        <w:ind w:firstLine="540"/>
        <w:jc w:val="both"/>
      </w:pPr>
      <w:r>
        <w:rPr>
          <w:sz w:val="20"/>
        </w:rPr>
        <w:t xml:space="preserve">если указанные показатели составляют от 0 процентов до 51 процента (включительно), - решение о проведении отбора исполнителей услуг;</w:t>
      </w:r>
    </w:p>
    <w:p>
      <w:pPr>
        <w:pStyle w:val="0"/>
        <w:spacing w:before="200" w:lineRule="auto"/>
        <w:ind w:firstLine="540"/>
        <w:jc w:val="both"/>
      </w:pPr>
      <w:r>
        <w:rPr>
          <w:sz w:val="20"/>
        </w:rPr>
        <w:t xml:space="preserve">если указанные показатели составляют от 51 процента до 100 процентов, - решение о формировании государственного задания в целях исполнения социального заказа Республики Саха (Якутия).</w:t>
      </w:r>
    </w:p>
    <w:bookmarkStart w:id="103" w:name="P103"/>
    <w:bookmarkEnd w:id="103"/>
    <w:p>
      <w:pPr>
        <w:pStyle w:val="0"/>
        <w:spacing w:before="200" w:lineRule="auto"/>
        <w:ind w:firstLine="540"/>
        <w:jc w:val="both"/>
      </w:pPr>
      <w:r>
        <w:rPr>
          <w:sz w:val="20"/>
        </w:rPr>
        <w:t xml:space="preserve">В случае если 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"высокая", а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"незначительное" и в отношении государственных услуг в социальной сфере в соответствии с законодательством Российской Федерации независимая оценка качества условий оказания государственных услуг в социальной сфере не проводится, соответствующий уполномоченный орган принимает решение о формировании государственного задания в целях исполнения социального заказа Республики Саха (Якутия).</w:t>
      </w:r>
    </w:p>
    <w:p>
      <w:pPr>
        <w:pStyle w:val="0"/>
        <w:spacing w:before="200" w:lineRule="auto"/>
        <w:ind w:firstLine="540"/>
        <w:jc w:val="both"/>
      </w:pPr>
      <w:r>
        <w:rPr>
          <w:sz w:val="20"/>
        </w:rPr>
        <w:t xml:space="preserve">В случае если на протяжении 2 лет подряд, предшествующих дате формирования социального заказа Республики Саха (Якутия), с учетом решения, принятого соответствующим уполномоченным органом в соответствии с </w:t>
      </w:r>
      <w:hyperlink w:history="0" w:anchor="P103" w:tooltip="В случае если значение показателя, указанного в подпункте 1 пункта 10 настоящих Правил, относится к категории &quot;высокая&quot;, а значение показателя, указанного в подпункте 2 пункта 10 настоящих Правил, относится к категории &quot;незначительное&quot; и в отношении государственных услуг в социальной сфере в соответствии с законодательством Российской Федерации независимая оценка качества условий оказания государственных услуг в социальной сфере не проводится, соответствующий уполномоченный орган принимает решение о форм...">
        <w:r>
          <w:rPr>
            <w:sz w:val="20"/>
            <w:color w:val="0000ff"/>
          </w:rPr>
          <w:t xml:space="preserve">абзацем седьмым</w:t>
        </w:r>
      </w:hyperlink>
      <w:r>
        <w:rPr>
          <w:sz w:val="20"/>
        </w:rPr>
        <w:t xml:space="preserve"> настоящего пункта, значение показателя, указанного в </w:t>
      </w:r>
      <w:hyperlink w:history="0" w:anchor="P91" w:tooltip="1) доступность государственных услуг в социальной сфере, оказываемых государственными учреждениями, для потребителей услуг;">
        <w:r>
          <w:rPr>
            <w:sz w:val="20"/>
            <w:color w:val="0000ff"/>
          </w:rPr>
          <w:t xml:space="preserve">подпункте 1 пункта 10</w:t>
        </w:r>
      </w:hyperlink>
      <w:r>
        <w:rPr>
          <w:sz w:val="20"/>
        </w:rPr>
        <w:t xml:space="preserve"> настоящих Правил, относится к категории "высокая", а значение показателя, указанного в </w:t>
      </w:r>
      <w:hyperlink w:history="0" w:anchor="P92" w:tooltip="2) количество юридических лиц, не являющихся государственными учреждениями, индивидуальных предпринимателей, оказывающих услуги, соответствующие тем же видам деятельности в соответствии со сведениями о кодах по Общероссийскому классификатору продукции по видам экономической деятельности ОК 034-2014 (КПЕС 2008), утвержденному приказом Федерального агентства по техническому регулированию и метрологии от 31 января 2014 г. N 14-ст, содержащимся соответственно в едином государственном реестре юридических лиц,...">
        <w:r>
          <w:rPr>
            <w:sz w:val="20"/>
            <w:color w:val="0000ff"/>
          </w:rPr>
          <w:t xml:space="preserve">подпункте 2 пункта 10</w:t>
        </w:r>
      </w:hyperlink>
      <w:r>
        <w:rPr>
          <w:sz w:val="20"/>
        </w:rPr>
        <w:t xml:space="preserve"> настоящих Правил, относится к категории "незначительное", соответствующий уполномоченный орган рассматривает на заседании общественного совета вопрос о необходимости (об отсутствии необходимости) изменения способа определения исполнителей услуг в целях исполнения социального заказа Республики Саха (Якутия).</w:t>
      </w:r>
    </w:p>
    <w:p>
      <w:pPr>
        <w:pStyle w:val="0"/>
        <w:spacing w:before="200" w:lineRule="auto"/>
        <w:ind w:firstLine="540"/>
        <w:jc w:val="both"/>
      </w:pPr>
      <w:r>
        <w:rPr>
          <w:sz w:val="20"/>
        </w:rPr>
        <w:t xml:space="preserve">13. Информация об утвержденных государственных социальных заказах, изменениях в них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pPr>
        <w:pStyle w:val="0"/>
        <w:jc w:val="both"/>
      </w:pPr>
      <w:r>
        <w:rPr>
          <w:sz w:val="20"/>
        </w:rPr>
        <w:t xml:space="preserve">(п. 13 в ред. </w:t>
      </w:r>
      <w:hyperlink w:history="0" r:id="rId29"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РС(Я) от 15.07.2025 N 287)</w:t>
      </w:r>
    </w:p>
    <w:p>
      <w:pPr>
        <w:pStyle w:val="0"/>
        <w:spacing w:before="200" w:lineRule="auto"/>
        <w:ind w:firstLine="540"/>
        <w:jc w:val="both"/>
      </w:pPr>
      <w:r>
        <w:rPr>
          <w:sz w:val="20"/>
        </w:rPr>
        <w:t xml:space="preserve">14. Отчеты об исполнении социальных заказов Республики Саха (Якутия) в отчетном финансовом году формируются на основании отчетов исполнителей услуг не позднее 1 апреля финансового года, следующего за отчетным годом, и подлежат размещению на едином портале бюджетной системы Российской Федерации не позднее 10 рабочих дней со дня формирования таких отчетов.</w:t>
      </w:r>
    </w:p>
    <w:p>
      <w:pPr>
        <w:pStyle w:val="0"/>
        <w:jc w:val="both"/>
      </w:pPr>
      <w:r>
        <w:rPr>
          <w:sz w:val="20"/>
        </w:rPr>
        <w:t xml:space="preserve">(п. 14 в ред. </w:t>
      </w:r>
      <w:hyperlink w:history="0" r:id="rId30"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постановления</w:t>
        </w:r>
      </w:hyperlink>
      <w:r>
        <w:rPr>
          <w:sz w:val="20"/>
        </w:rPr>
        <w:t xml:space="preserve"> Правительства РС(Я) от 15.07.2025 N 287)</w:t>
      </w:r>
    </w:p>
    <w:p>
      <w:pPr>
        <w:pStyle w:val="0"/>
        <w:spacing w:before="200" w:lineRule="auto"/>
        <w:ind w:firstLine="540"/>
        <w:jc w:val="both"/>
      </w:pPr>
      <w:r>
        <w:rPr>
          <w:sz w:val="20"/>
        </w:rPr>
        <w:t xml:space="preserve">15. Отчеты об исполнении социальных заказов Республики Саха (Якутия) в отчетном финансовом году формируются не позднее 1 апреля финансового года, следующего за отчетным годом, и подлежат размещению на официальном сайте Республики Саха (Якутия) не позднее 10 рабочих дней со дня формирования таких отчетов.</w:t>
      </w:r>
    </w:p>
    <w:p>
      <w:pPr>
        <w:pStyle w:val="0"/>
        <w:spacing w:before="200" w:lineRule="auto"/>
        <w:ind w:firstLine="540"/>
        <w:jc w:val="both"/>
      </w:pPr>
      <w:r>
        <w:rPr>
          <w:sz w:val="20"/>
        </w:rPr>
        <w:t xml:space="preserve">16. Контроль за оказанием государственных услуг в социальной сфере осуществляет соответствующий уполномоченный орган посредством проведения плановых и внеплановых проверок (далее - проверки).</w:t>
      </w:r>
    </w:p>
    <w:p>
      <w:pPr>
        <w:pStyle w:val="0"/>
        <w:spacing w:before="200" w:lineRule="auto"/>
        <w:ind w:firstLine="540"/>
        <w:jc w:val="both"/>
      </w:pPr>
      <w:r>
        <w:rPr>
          <w:sz w:val="20"/>
        </w:rPr>
        <w:t xml:space="preserve">В случае если утвержденным социальным заказом Республики Саха (Якутия) установлен объем оказания государственных услуг в социальной сфере на основании государственного задания, правила осуществления контроля за оказанием государственных услуг в социальной сфере государственными учреждениями Республики Саха (Якутия), оказывающими услуги в социальной сфере в соответствии с социальным заказом Республики Саха (Якутия), определяются </w:t>
      </w:r>
      <w:hyperlink w:history="0" r:id="rId31" w:tooltip="Постановление Правительства РС(Я) от 13.10.2015 N 370 (ред. от 08.08.2024) &quot;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Саха (Якутия) и финансового обеспечения выполнения государственного задания&quot; {КонсультантПлюс}">
        <w:r>
          <w:rPr>
            <w:sz w:val="20"/>
            <w:color w:val="0000ff"/>
          </w:rPr>
          <w:t xml:space="preserve">пунктом 45</w:t>
        </w:r>
      </w:hyperlink>
      <w:r>
        <w:rPr>
          <w:sz w:val="20"/>
        </w:rPr>
        <w:t xml:space="preserve"> Порядка формирования государственного задания на оказание государственных услуг (выполнение работ) в отношении государственных учреждений Республики Саха (Якутия) и финансового обеспечения выполнения государственного задания, утвержденного постановлением Правительства Республики Саха (Якутия) от 13 октября 2015 г. N 370.</w:t>
      </w:r>
    </w:p>
    <w:p>
      <w:pPr>
        <w:pStyle w:val="0"/>
        <w:spacing w:before="200" w:lineRule="auto"/>
        <w:ind w:firstLine="540"/>
        <w:jc w:val="both"/>
      </w:pPr>
      <w:r>
        <w:rPr>
          <w:sz w:val="20"/>
        </w:rPr>
        <w:t xml:space="preserve">В случаях, предусмотренных </w:t>
      </w:r>
      <w:hyperlink w:history="0" w:anchor="P116" w:tooltip="20. Внеплановые проверки проводятся на основании приказа соответствующего уполномоченного органа в следующих случаях:">
        <w:r>
          <w:rPr>
            <w:sz w:val="20"/>
            <w:color w:val="0000ff"/>
          </w:rPr>
          <w:t xml:space="preserve">пунктом 20</w:t>
        </w:r>
      </w:hyperlink>
      <w:r>
        <w:rPr>
          <w:sz w:val="20"/>
        </w:rPr>
        <w:t xml:space="preserve"> настоящих Правил, внеплановая проверка оказания государственных услуг в социальной сфере на основании государственного задания государственным учреждением, в отношении которого уполномоченный орган, утвердивший социальный заказ Республики Саха (Якутия), не осуществляет функции и полномочия учредителя, может быть инициирована этим уполномоченным органом.</w:t>
      </w:r>
    </w:p>
    <w:p>
      <w:pPr>
        <w:pStyle w:val="0"/>
        <w:spacing w:before="200" w:lineRule="auto"/>
        <w:ind w:firstLine="540"/>
        <w:jc w:val="both"/>
      </w:pPr>
      <w:r>
        <w:rPr>
          <w:sz w:val="20"/>
        </w:rPr>
        <w:t xml:space="preserve">17. Предметом контроля за оказанием государственных услуг в социальной сфере исполнителями услуг, не являющимися государственными учреждениями Республики Саха (Якутия), является достижение показателей, характеризующих качество и (или) объем оказания государственной услуги в социальной сфере, включенной в социальный заказ Республики Саха (Якутия), а также соблюдение положений нормативного правового акта, устанавливающего стандарт (порядок) оказания государственной (муниципальной)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приказом соответствующего уполномоченного органа.</w:t>
      </w:r>
    </w:p>
    <w:p>
      <w:pPr>
        <w:pStyle w:val="0"/>
        <w:spacing w:before="200" w:lineRule="auto"/>
        <w:ind w:firstLine="540"/>
        <w:jc w:val="both"/>
      </w:pPr>
      <w:r>
        <w:rPr>
          <w:sz w:val="20"/>
        </w:rPr>
        <w:t xml:space="preserve">18. Целями осуществления контроля за оказанием государственных услуг в социальной сфере исполнителями услуг, не являющимися государственными учреждениями Республики Саха (Якутия), является обеспечение достижения исполнителями услуг показателей, характеризующих качество и (или) объем оказания государственной услуги в социальной сфере, включенных в соглашение, а также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приказом соответствующего уполномоченного органа.</w:t>
      </w:r>
    </w:p>
    <w:p>
      <w:pPr>
        <w:pStyle w:val="0"/>
        <w:spacing w:before="200" w:lineRule="auto"/>
        <w:ind w:firstLine="540"/>
        <w:jc w:val="both"/>
      </w:pPr>
      <w:r>
        <w:rPr>
          <w:sz w:val="20"/>
        </w:rPr>
        <w:t xml:space="preserve">19. Соответствующим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 но не чаще одного раза в 2 года в отношении одного исполнителя услуг, а также в течение срока исполнения соглашения - мониторинг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в соответствии с утвержденным соответствующим уполномоченным органом планом проведения такого мониторинга, используемый в целях формирования плана проведения плановых проверок на соответствующий финансовый год.</w:t>
      </w:r>
    </w:p>
    <w:bookmarkStart w:id="116" w:name="P116"/>
    <w:bookmarkEnd w:id="116"/>
    <w:p>
      <w:pPr>
        <w:pStyle w:val="0"/>
        <w:spacing w:before="200" w:lineRule="auto"/>
        <w:ind w:firstLine="540"/>
        <w:jc w:val="both"/>
      </w:pPr>
      <w:r>
        <w:rPr>
          <w:sz w:val="20"/>
        </w:rPr>
        <w:t xml:space="preserve">20. Внеплановые проверки проводятся на основании приказа соответствующего уполномоченного органа в следующих случаях:</w:t>
      </w:r>
    </w:p>
    <w:p>
      <w:pPr>
        <w:pStyle w:val="0"/>
        <w:spacing w:before="200" w:lineRule="auto"/>
        <w:ind w:firstLine="540"/>
        <w:jc w:val="both"/>
      </w:pPr>
      <w:r>
        <w:rPr>
          <w:sz w:val="20"/>
        </w:rPr>
        <w:t xml:space="preserve">1) в связи с обращениями и требованиями контрольно-надзорных и правоохранительных органов Российской Федерации;</w:t>
      </w:r>
    </w:p>
    <w:p>
      <w:pPr>
        <w:pStyle w:val="0"/>
        <w:spacing w:before="200" w:lineRule="auto"/>
        <w:ind w:firstLine="540"/>
        <w:jc w:val="both"/>
      </w:pPr>
      <w:r>
        <w:rPr>
          <w:sz w:val="20"/>
        </w:rPr>
        <w:t xml:space="preserve">2) в связи с поступлением в соответствующий уполномоченный орган заявления потребителя услуг о неоказании или ненадлежащем оказании государственных услуг в социальной сфере исполнителем услуг.</w:t>
      </w:r>
    </w:p>
    <w:p>
      <w:pPr>
        <w:pStyle w:val="0"/>
        <w:spacing w:before="200" w:lineRule="auto"/>
        <w:ind w:firstLine="540"/>
        <w:jc w:val="both"/>
      </w:pPr>
      <w:r>
        <w:rPr>
          <w:sz w:val="20"/>
        </w:rPr>
        <w:t xml:space="preserve">21. Проверки подразделяются:</w:t>
      </w:r>
    </w:p>
    <w:p>
      <w:pPr>
        <w:pStyle w:val="0"/>
        <w:spacing w:before="200" w:lineRule="auto"/>
        <w:ind w:firstLine="540"/>
        <w:jc w:val="both"/>
      </w:pPr>
      <w:r>
        <w:rPr>
          <w:sz w:val="20"/>
        </w:rPr>
        <w:t xml:space="preserve">1) на камеральные проверки, под которыми в целях настоящих Правил понимаются проверки, проводимые по месту нахождения соответствующего уполномоченного органа на основании отчетов об исполнении соглашений, представленных исполнителями услуг, а также иных документов, представленных по запросу соответствующего уполномоченного органа;</w:t>
      </w:r>
    </w:p>
    <w:p>
      <w:pPr>
        <w:pStyle w:val="0"/>
        <w:spacing w:before="200" w:lineRule="auto"/>
        <w:ind w:firstLine="540"/>
        <w:jc w:val="both"/>
      </w:pPr>
      <w:r>
        <w:rPr>
          <w:sz w:val="20"/>
        </w:rPr>
        <w:t xml:space="preserve">2) на выездные проверки, под которыми в целях настоящих Правил понимаются проверки, проводимые по месту нахождения исполнителя услуг.</w:t>
      </w:r>
    </w:p>
    <w:p>
      <w:pPr>
        <w:pStyle w:val="0"/>
        <w:spacing w:before="200" w:lineRule="auto"/>
        <w:ind w:firstLine="540"/>
        <w:jc w:val="both"/>
      </w:pPr>
      <w:r>
        <w:rPr>
          <w:sz w:val="20"/>
        </w:rPr>
        <w:t xml:space="preserve">22. Срок проведения проверки определяется приказом соответствующего уполномоченного органа и должен составлять не более 15 рабочих дней со дня начала проверки и по решению руководителя (заместителя руководителя) соответствующего уполномоченного органа может быть продлен не более чем на 10 рабочих дней.</w:t>
      </w:r>
    </w:p>
    <w:p>
      <w:pPr>
        <w:pStyle w:val="0"/>
        <w:spacing w:before="200" w:lineRule="auto"/>
        <w:ind w:firstLine="540"/>
        <w:jc w:val="both"/>
      </w:pPr>
      <w:r>
        <w:rPr>
          <w:sz w:val="20"/>
        </w:rPr>
        <w:t xml:space="preserve">23. Соответствующий уполномоченный орган ежегодно, до 31 декабря года, предшествующего году проведения плановых проверок, утверждает план проведения плановых проверок на соответствующий финансовый год и до 31 января года, в котором планируется проводить плановые проверки, размещает указанный план на официальном сайте соответствующего уполномоченного органа в информационно-телекоммуникационной сети Интернет.</w:t>
      </w:r>
    </w:p>
    <w:p>
      <w:pPr>
        <w:pStyle w:val="0"/>
        <w:spacing w:before="200" w:lineRule="auto"/>
        <w:ind w:firstLine="540"/>
        <w:jc w:val="both"/>
      </w:pPr>
      <w:r>
        <w:rPr>
          <w:sz w:val="20"/>
        </w:rPr>
        <w:t xml:space="preserve">Соответствующий 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(или) посредством направления электронного документа, подписанного усиленной квалифицированной электронной подписью лица, имеющего право действовать от имени соответствующего уполномоченного органа, по адресу электронной почты исполнителя услуг или иным доступным способом.</w:t>
      </w:r>
    </w:p>
    <w:p>
      <w:pPr>
        <w:pStyle w:val="0"/>
        <w:spacing w:before="200" w:lineRule="auto"/>
        <w:ind w:firstLine="540"/>
        <w:jc w:val="both"/>
      </w:pPr>
      <w:r>
        <w:rPr>
          <w:sz w:val="20"/>
        </w:rPr>
        <w:t xml:space="preserve">Соответствующий уполномоченный орган уведомляет исполнителя услуг о проведении внеплановой проверки в день подписания приказа соответствующего уполномоченного органа о проведении внеплановой проверки посредством направления копии приказа соответствующего уполномоченного органа исполнителю услуг заказным почтовым отправлением с уведомлением о вручении и (или) посредством направления электронного документа, подписанного усиленной квалифицированной электронной подписью лица, имеющего право действовать от имени соответствующего уполномоченного органа, по адресу электронной почты исполнителя услуг или иным доступным способом.</w:t>
      </w:r>
    </w:p>
    <w:p>
      <w:pPr>
        <w:pStyle w:val="0"/>
        <w:spacing w:before="200" w:lineRule="auto"/>
        <w:ind w:firstLine="540"/>
        <w:jc w:val="both"/>
      </w:pPr>
      <w:r>
        <w:rPr>
          <w:sz w:val="20"/>
        </w:rPr>
        <w:t xml:space="preserve">24. Результаты проведения проверки отражаются в акте проверки, составляемом в двух экземплярах, один из которых вручается исполнителю, в течение трех рабочих дней после проведения проверки, и подтверждаются документами (копиями документов на бумажных носителях и (или) в электронном виде), объяснениями (пояснениями) должностных (уполномоченных) лиц исполнителя услуг, а также другими материалами.</w:t>
      </w:r>
    </w:p>
    <w:p>
      <w:pPr>
        <w:pStyle w:val="0"/>
        <w:spacing w:before="200" w:lineRule="auto"/>
        <w:ind w:firstLine="540"/>
        <w:jc w:val="both"/>
      </w:pPr>
      <w:r>
        <w:rPr>
          <w:sz w:val="20"/>
        </w:rPr>
        <w:t xml:space="preserve">Указанные документы (копии) и материалы прилагаются к акту проверки.</w:t>
      </w:r>
    </w:p>
    <w:p>
      <w:pPr>
        <w:pStyle w:val="0"/>
        <w:spacing w:before="200" w:lineRule="auto"/>
        <w:ind w:firstLine="540"/>
        <w:jc w:val="both"/>
      </w:pPr>
      <w:r>
        <w:rPr>
          <w:sz w:val="20"/>
        </w:rPr>
        <w:t xml:space="preserve">В зависимости от формы проведения проверки в акте проверки указывается место проведения проверки.</w:t>
      </w:r>
    </w:p>
    <w:p>
      <w:pPr>
        <w:pStyle w:val="0"/>
        <w:spacing w:before="200" w:lineRule="auto"/>
        <w:ind w:firstLine="540"/>
        <w:jc w:val="both"/>
      </w:pPr>
      <w:r>
        <w:rPr>
          <w:sz w:val="20"/>
        </w:rPr>
        <w:t xml:space="preserve">25. В описании каждого нарушения, выявленного в ходе проведения проверки, указываются в том числе:</w:t>
      </w:r>
    </w:p>
    <w:p>
      <w:pPr>
        <w:pStyle w:val="0"/>
        <w:spacing w:before="200" w:lineRule="auto"/>
        <w:ind w:firstLine="540"/>
        <w:jc w:val="both"/>
      </w:pPr>
      <w:r>
        <w:rPr>
          <w:sz w:val="20"/>
        </w:rPr>
        <w:t xml:space="preserve">1) положения нормативных правовых актов, которые были нарушены;</w:t>
      </w:r>
    </w:p>
    <w:p>
      <w:pPr>
        <w:pStyle w:val="0"/>
        <w:spacing w:before="200" w:lineRule="auto"/>
        <w:ind w:firstLine="540"/>
        <w:jc w:val="both"/>
      </w:pPr>
      <w:r>
        <w:rPr>
          <w:sz w:val="20"/>
        </w:rPr>
        <w:t xml:space="preserve">2) период, к которому относится выявленное нарушение.</w:t>
      </w:r>
    </w:p>
    <w:p>
      <w:pPr>
        <w:pStyle w:val="0"/>
        <w:spacing w:before="200" w:lineRule="auto"/>
        <w:ind w:firstLine="540"/>
        <w:jc w:val="both"/>
      </w:pPr>
      <w:r>
        <w:rPr>
          <w:sz w:val="20"/>
        </w:rPr>
        <w:t xml:space="preserve">26. Результатами осуществления контроля за оказанием государственных услуг в социальной сфере исполнителями услуг, не являющимися государственными учреждениями Республики Саха (Якутия), являются:</w:t>
      </w:r>
    </w:p>
    <w:p>
      <w:pPr>
        <w:pStyle w:val="0"/>
        <w:spacing w:before="200" w:lineRule="auto"/>
        <w:ind w:firstLine="540"/>
        <w:jc w:val="both"/>
      </w:pPr>
      <w:r>
        <w:rPr>
          <w:sz w:val="20"/>
        </w:rPr>
        <w:t xml:space="preserve">1) определение соответствия фактических значений, характеризующих качество и (или) объем оказания государственной услуги в социальной сфере, плановым значениям, включенным в соглашение;</w:t>
      </w:r>
    </w:p>
    <w:p>
      <w:pPr>
        <w:pStyle w:val="0"/>
        <w:spacing w:before="200" w:lineRule="auto"/>
        <w:ind w:firstLine="540"/>
        <w:jc w:val="both"/>
      </w:pPr>
      <w:r>
        <w:rPr>
          <w:sz w:val="20"/>
        </w:rPr>
        <w:t xml:space="preserve">2) анализ причин отклонения фактических значений, характеризующих качество и (или) объем оказания государственной услуги в социальной сфере, от плановых значений, включенных в соглашение;</w:t>
      </w:r>
    </w:p>
    <w:p>
      <w:pPr>
        <w:pStyle w:val="0"/>
        <w:spacing w:before="200" w:lineRule="auto"/>
        <w:ind w:firstLine="540"/>
        <w:jc w:val="both"/>
      </w:pPr>
      <w:r>
        <w:rPr>
          <w:sz w:val="20"/>
        </w:rPr>
        <w:t xml:space="preserve">3) определение 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приказом соответствующего уполномоченного органа;</w:t>
      </w:r>
    </w:p>
    <w:p>
      <w:pPr>
        <w:pStyle w:val="0"/>
        <w:spacing w:before="200" w:lineRule="auto"/>
        <w:ind w:firstLine="540"/>
        <w:jc w:val="both"/>
      </w:pPr>
      <w:r>
        <w:rPr>
          <w:sz w:val="20"/>
        </w:rPr>
        <w:t xml:space="preserve">4) анализ причин несоблюдения исполнителем услуг положений нормативного правового акта, устанавливающего стандарт (порядок) оказания государственной услуги в социальной сфере, а при отсутствии такого нормативного правового акта - требований к условиям и порядку оказания государственной услуги в социальной сфере, установленных приказом соответствующего уполномоченного органа.</w:t>
      </w:r>
    </w:p>
    <w:p>
      <w:pPr>
        <w:pStyle w:val="0"/>
        <w:spacing w:before="200" w:lineRule="auto"/>
        <w:ind w:firstLine="540"/>
        <w:jc w:val="both"/>
      </w:pPr>
      <w:r>
        <w:rPr>
          <w:sz w:val="20"/>
        </w:rPr>
        <w:t xml:space="preserve">Акт проверки направляется почтовым отправлением или по адресу электронной почты в течение трех рабочих дней со дня составления акта проверки уполномоченным органом.</w:t>
      </w:r>
    </w:p>
    <w:p>
      <w:pPr>
        <w:pStyle w:val="0"/>
        <w:spacing w:before="200" w:lineRule="auto"/>
        <w:ind w:firstLine="540"/>
        <w:jc w:val="both"/>
      </w:pPr>
      <w:r>
        <w:rPr>
          <w:sz w:val="20"/>
        </w:rPr>
        <w:t xml:space="preserve">27. Устранение нарушений, выявленных в ходе проверки, осуществляется в соответствии с планом мероприятий по устранению выявленных нарушений и их предупреждению в дальнейшей деятельности, который составляется исполнителем услуг, утверждается его руководителем и должен содержать перечень выявленных нарушений, меры, принимаемые для их устранения и предупреждения в дальнейшей деятельности, сроки выполнения указанных мер и ответственных исполнителей.</w:t>
      </w:r>
    </w:p>
    <w:p>
      <w:pPr>
        <w:pStyle w:val="0"/>
        <w:spacing w:before="200" w:lineRule="auto"/>
        <w:ind w:firstLine="540"/>
        <w:jc w:val="both"/>
      </w:pPr>
      <w:r>
        <w:rPr>
          <w:sz w:val="20"/>
        </w:rPr>
        <w:t xml:space="preserve">В случае нецелевого использования субсидии и (или) полного либо частичного недостижения показателей, характеризующих объем и (или) качество государственных услуг в социальной сфере, включенных в соглашение, соответствующий уполномоченный орган принимает решение о возврате средств субсидии в государственный бюджет Республики Саха (Якутия) в соответствии с бюджетным законодательством Российской Федерации, в объеме, равном объему их нецелевого использования, и (или) объеме, определяемом в соответствии с методикой определения объема подлежащих возврату в государственный бюджет Республики Саха (Якутия) средств субсидий исполнителям услуг на финансовое обеспечение выполнения ими социального заказа Республики Саха (Якутия), утверждаемой Правительством Республики Саха (Якутия).</w:t>
      </w:r>
    </w:p>
    <w:p>
      <w:pPr>
        <w:pStyle w:val="0"/>
        <w:spacing w:before="200" w:lineRule="auto"/>
        <w:ind w:firstLine="540"/>
        <w:jc w:val="both"/>
      </w:pPr>
      <w:r>
        <w:rPr>
          <w:sz w:val="20"/>
        </w:rPr>
        <w:t xml:space="preserve">В случае нецелевого использования субсидии соответствующий уполномоченный орган принимает решение о расторжении соглашения.</w:t>
      </w:r>
    </w:p>
    <w:p>
      <w:pPr>
        <w:pStyle w:val="0"/>
        <w:spacing w:before="200" w:lineRule="auto"/>
        <w:ind w:firstLine="540"/>
        <w:jc w:val="both"/>
      </w:pPr>
      <w:r>
        <w:rPr>
          <w:sz w:val="20"/>
        </w:rPr>
        <w:t xml:space="preserve">В случае если по результатам проверки был установлен факт неоказания государственной услуги в социальной сфере или ненадлежащего ее оказания, которое заключается в недостижении исполнителем услуг объема оказания такой услуги потребителю услуг и (или) нарушении стандарта (порядка) оказания государственной (муниципальной) услуги в социальной сфере или требований к условиям и порядку оказания такой услуги, повлекших причинение вреда жизни и здоровью потребителя, соответствующий уполномоченный орган принимает в устанавливаемом Правительством Российской Федерации порядке решение о возмещении вреда, причиненного жизни и (или) здоровью потребителя услуг, за счет не использованного исполнителем услуг остатка субсидии, подлежащего выплате исполнителю услуг.</w:t>
      </w:r>
    </w:p>
    <w:p>
      <w:pPr>
        <w:pStyle w:val="0"/>
        <w:spacing w:before="200" w:lineRule="auto"/>
        <w:ind w:firstLine="540"/>
        <w:jc w:val="both"/>
      </w:pPr>
      <w:r>
        <w:rPr>
          <w:sz w:val="20"/>
        </w:rPr>
        <w:t xml:space="preserve">28. Материалы по результатам проверки, а также иные документы и информация, полученные (разработанные) в ходе ее осуществления, хранятся соответствующим уполномоченным органом не менее 5 лет.</w:t>
      </w:r>
    </w:p>
    <w:p>
      <w:pPr>
        <w:pStyle w:val="0"/>
        <w:spacing w:before="200" w:lineRule="auto"/>
        <w:ind w:firstLine="540"/>
        <w:jc w:val="both"/>
      </w:pPr>
      <w:r>
        <w:rPr>
          <w:sz w:val="20"/>
        </w:rPr>
        <w:t xml:space="preserve">29. На основании акта проверки уполномоченный орган, в случае выявления более 3 фактов превышения исполнителем услуг отклонений от показателей, характеризующих качество и (или) объем оказания государственной услуги в социальной сфере, установленных соглашением, принимает решение о расторжении соглашения.</w:t>
      </w:r>
    </w:p>
    <w:p>
      <w:pPr>
        <w:pStyle w:val="0"/>
        <w:spacing w:before="200" w:lineRule="auto"/>
        <w:ind w:firstLine="540"/>
        <w:jc w:val="both"/>
      </w:pPr>
      <w:r>
        <w:rPr>
          <w:sz w:val="20"/>
        </w:rPr>
        <w:t xml:space="preserve">30. В случаях, предусмотренных </w:t>
      </w:r>
      <w:hyperlink w:history="0" r:id="rId3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7 статьи 9</w:t>
        </w:r>
      </w:hyperlink>
      <w:r>
        <w:rPr>
          <w:sz w:val="20"/>
        </w:rPr>
        <w:t xml:space="preserve"> Федерального закона, в целях заключения соглашений, предусмотренных </w:t>
      </w:r>
      <w:hyperlink w:history="0" r:id="rId33"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7 статьи 6</w:t>
        </w:r>
      </w:hyperlink>
      <w:r>
        <w:rPr>
          <w:sz w:val="20"/>
        </w:rPr>
        <w:t xml:space="preserve"> Федерального закона, уполномоченный орган передает полномочие по заключению таких соглашений с исполнителями услуг органам, уполномоченным на формирование социальных заказов.</w:t>
      </w:r>
    </w:p>
    <w:p>
      <w:pPr>
        <w:pStyle w:val="0"/>
        <w:jc w:val="both"/>
      </w:pPr>
      <w:r>
        <w:rPr>
          <w:sz w:val="20"/>
        </w:rPr>
        <w:t xml:space="preserve">(п. 30 введен </w:t>
      </w:r>
      <w:hyperlink w:history="0" r:id="rId34"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постановлением</w:t>
        </w:r>
      </w:hyperlink>
      <w:r>
        <w:rPr>
          <w:sz w:val="20"/>
        </w:rPr>
        <w:t xml:space="preserve"> Правительства РС(Я) от 15.07.2025 N 287)</w:t>
      </w:r>
    </w:p>
    <w:p>
      <w:pPr>
        <w:pStyle w:val="0"/>
        <w:spacing w:before="200" w:lineRule="auto"/>
        <w:ind w:firstLine="540"/>
        <w:jc w:val="both"/>
      </w:pPr>
      <w:r>
        <w:rPr>
          <w:sz w:val="20"/>
        </w:rPr>
        <w:t xml:space="preserve">31. План достижения показателей эффективности организации оказания государственных услуг в социальной сфере в Республике Саха (Якутия) приведен в приложении N 2 к настоящим Правилам.</w:t>
      </w:r>
    </w:p>
    <w:p>
      <w:pPr>
        <w:pStyle w:val="0"/>
        <w:jc w:val="both"/>
      </w:pPr>
      <w:r>
        <w:rPr>
          <w:sz w:val="20"/>
        </w:rPr>
        <w:t xml:space="preserve">(п. 31 в ред. </w:t>
      </w:r>
      <w:hyperlink w:history="0" r:id="rId35"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постановления</w:t>
        </w:r>
      </w:hyperlink>
      <w:r>
        <w:rPr>
          <w:sz w:val="20"/>
        </w:rPr>
        <w:t xml:space="preserve"> Правительства РС(Я) от 06.11.2025 N 461)</w:t>
      </w:r>
    </w:p>
    <w:p>
      <w:pPr>
        <w:pStyle w:val="0"/>
        <w:spacing w:before="200" w:lineRule="auto"/>
        <w:ind w:firstLine="540"/>
        <w:jc w:val="both"/>
      </w:pPr>
      <w:r>
        <w:rPr>
          <w:sz w:val="20"/>
        </w:rPr>
        <w:t xml:space="preserve">32. Показатели эффективности организации оказания государственных услуг по предоставлению социальных услуг в форме социального обслуживания на дому, показатели эффективности организации оказания государственных услуг по предоставлению социальных услуг в полустационарной форме социального обслуживания, показатели эффективности организации оказания государственных услуг по предоставлению социальных услуг в форме организации профессионального обучения и дополнительного профессионального образования безработных граждан, включая обучение в другой местности, приведены в приложении N 3 к настоящим Правилам.</w:t>
      </w:r>
    </w:p>
    <w:p>
      <w:pPr>
        <w:pStyle w:val="0"/>
        <w:jc w:val="both"/>
      </w:pPr>
      <w:r>
        <w:rPr>
          <w:sz w:val="20"/>
        </w:rPr>
        <w:t xml:space="preserve">(п. 32 введен </w:t>
      </w:r>
      <w:hyperlink w:history="0" r:id="rId36"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постановлением</w:t>
        </w:r>
      </w:hyperlink>
      <w:r>
        <w:rPr>
          <w:sz w:val="20"/>
        </w:rPr>
        <w:t xml:space="preserve"> Правительства РС(Я) от 06.11.2025 N 461)</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Правилам формирования</w:t>
      </w:r>
    </w:p>
    <w:p>
      <w:pPr>
        <w:pStyle w:val="0"/>
        <w:jc w:val="right"/>
      </w:pPr>
      <w:r>
        <w:rPr>
          <w:sz w:val="20"/>
        </w:rPr>
        <w:t xml:space="preserve">государственных социальных</w:t>
      </w:r>
    </w:p>
    <w:p>
      <w:pPr>
        <w:pStyle w:val="0"/>
        <w:jc w:val="right"/>
      </w:pPr>
      <w:r>
        <w:rPr>
          <w:sz w:val="20"/>
        </w:rPr>
        <w:t xml:space="preserve">заказов на оказание</w:t>
      </w:r>
    </w:p>
    <w:p>
      <w:pPr>
        <w:pStyle w:val="0"/>
        <w:jc w:val="right"/>
      </w:pPr>
      <w:r>
        <w:rPr>
          <w:sz w:val="20"/>
        </w:rPr>
        <w:t xml:space="preserve">государственных услуг</w:t>
      </w:r>
    </w:p>
    <w:p>
      <w:pPr>
        <w:pStyle w:val="0"/>
        <w:jc w:val="right"/>
      </w:pPr>
      <w:r>
        <w:rPr>
          <w:sz w:val="20"/>
        </w:rPr>
        <w:t xml:space="preserve">в социальной сфере, отнесенных</w:t>
      </w:r>
    </w:p>
    <w:p>
      <w:pPr>
        <w:pStyle w:val="0"/>
        <w:jc w:val="right"/>
      </w:pPr>
      <w:r>
        <w:rPr>
          <w:sz w:val="20"/>
        </w:rPr>
        <w:t xml:space="preserve">к полномочиям исполнительных</w:t>
      </w:r>
    </w:p>
    <w:p>
      <w:pPr>
        <w:pStyle w:val="0"/>
        <w:jc w:val="right"/>
      </w:pPr>
      <w:r>
        <w:rPr>
          <w:sz w:val="20"/>
        </w:rPr>
        <w:t xml:space="preserve">органов государственной власти</w:t>
      </w:r>
    </w:p>
    <w:p>
      <w:pPr>
        <w:pStyle w:val="0"/>
        <w:jc w:val="right"/>
      </w:pPr>
      <w:r>
        <w:rPr>
          <w:sz w:val="20"/>
        </w:rPr>
        <w:t xml:space="preserve">Республики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7"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постановления</w:t>
              </w:r>
            </w:hyperlink>
            <w:r>
              <w:rPr>
                <w:sz w:val="20"/>
                <w:color w:val="392c69"/>
              </w:rPr>
              <w:t xml:space="preserve"> Правительства РС(Я) от 15.07.2025 N 287)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bookmarkStart w:id="169" w:name="P169"/>
    <w:bookmarkEnd w:id="169"/>
    <w:p>
      <w:pPr>
        <w:pStyle w:val="0"/>
        <w:jc w:val="center"/>
      </w:pPr>
      <w:r>
        <w:rPr>
          <w:sz w:val="20"/>
        </w:rPr>
        <w:t xml:space="preserve">ГОСУДАРСТВЕННЫЙ СОЦИАЛЬНЫЙ ЗАКАЗ</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исполнительных органов</w:t>
      </w:r>
    </w:p>
    <w:p>
      <w:pPr>
        <w:pStyle w:val="0"/>
        <w:jc w:val="center"/>
      </w:pPr>
      <w:r>
        <w:rPr>
          <w:sz w:val="20"/>
        </w:rPr>
        <w:t xml:space="preserve">государственной власти Республики Саха (Якутия),</w:t>
      </w:r>
    </w:p>
    <w:p>
      <w:pPr>
        <w:pStyle w:val="0"/>
        <w:jc w:val="center"/>
      </w:pPr>
      <w:r>
        <w:rPr>
          <w:sz w:val="20"/>
        </w:rPr>
        <w:t xml:space="preserve">на 20_____ год и на плановый период 20____ - 20____ годов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right w:val="single" w:sz="4"/>
        </w:tblBorders>
        <w:tblCellMar>
          <w:top w:w="102" w:type="dxa"/>
          <w:left w:w="62" w:type="dxa"/>
          <w:bottom w:w="102" w:type="dxa"/>
          <w:right w:w="62" w:type="dxa"/>
        </w:tblCellMar>
      </w:tblPr>
      <w:tblGrid>
        <w:gridCol w:w="3231"/>
        <w:gridCol w:w="6123"/>
        <w:gridCol w:w="1361"/>
        <w:gridCol w:w="1020"/>
      </w:tblGrid>
      <w:tr>
        <w:tc>
          <w:tcPr>
            <w:tcW w:w="3231"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jc w:val="center"/>
            </w:pPr>
            <w:r>
              <w:rPr>
                <w:sz w:val="20"/>
              </w:rPr>
              <w:t xml:space="preserve">на "____" ___________ 20______ г.</w:t>
            </w:r>
          </w:p>
        </w:tc>
        <w:tc>
          <w:tcPr>
            <w:tcW w:w="1361"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jc w:val="both"/>
            </w:pPr>
            <w:r>
              <w:rPr>
                <w:sz w:val="20"/>
              </w:rPr>
              <w:t xml:space="preserve">КОДЫ</w:t>
            </w:r>
          </w:p>
        </w:tc>
      </w:tr>
      <w:tr>
        <w:tc>
          <w:tcPr>
            <w:tcW w:w="3231"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c>
          <w:tcPr>
            <w:tcW w:w="1361" w:type="dxa"/>
            <w:tcBorders>
              <w:top w:val="nil"/>
              <w:left w:val="nil"/>
              <w:bottom w:val="nil"/>
              <w:right w:val="single" w:sz="4"/>
            </w:tcBorders>
          </w:tcPr>
          <w:p>
            <w:pPr>
              <w:pStyle w:val="0"/>
              <w:jc w:val="right"/>
            </w:pPr>
            <w:r>
              <w:rPr>
                <w:sz w:val="20"/>
              </w:rPr>
              <w:t xml:space="preserve">Дата</w:t>
            </w:r>
          </w:p>
        </w:tc>
        <w:tc>
          <w:tcPr>
            <w:tcW w:w="1020" w:type="dxa"/>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6123" w:type="dxa"/>
            <w:tcBorders>
              <w:top w:val="nil"/>
              <w:left w:val="nil"/>
              <w:bottom w:val="nil"/>
              <w:right w:val="nil"/>
            </w:tcBorders>
          </w:tcPr>
          <w:p>
            <w:pPr>
              <w:pStyle w:val="0"/>
            </w:pPr>
            <w:r>
              <w:rPr>
                <w:sz w:val="20"/>
              </w:rPr>
            </w:r>
          </w:p>
        </w:tc>
        <w:tc>
          <w:tcPr>
            <w:tcW w:w="1361" w:type="dxa"/>
            <w:tcBorders>
              <w:top w:val="nil"/>
              <w:left w:val="nil"/>
              <w:bottom w:val="nil"/>
              <w:right w:val="single" w:sz="4"/>
            </w:tcBorders>
          </w:tcPr>
          <w:p>
            <w:pPr>
              <w:pStyle w:val="0"/>
              <w:jc w:val="right"/>
            </w:pPr>
            <w:r>
              <w:rPr>
                <w:sz w:val="20"/>
              </w:rPr>
              <w:t xml:space="preserve">по ОКПО</w:t>
            </w:r>
          </w:p>
        </w:tc>
        <w:tc>
          <w:tcPr>
            <w:tcW w:w="1020" w:type="dxa"/>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Уполномоченный орган</w:t>
            </w:r>
          </w:p>
        </w:tc>
        <w:tc>
          <w:tcPr>
            <w:tcW w:w="6123" w:type="dxa"/>
            <w:vAlign w:val="bottom"/>
            <w:tcBorders>
              <w:top w:val="nil"/>
              <w:left w:val="nil"/>
              <w:bottom w:val="nil"/>
              <w:right w:val="nil"/>
            </w:tcBorders>
          </w:tcPr>
          <w:p>
            <w:pPr>
              <w:pStyle w:val="0"/>
              <w:jc w:val="center"/>
            </w:pPr>
            <w:r>
              <w:rPr>
                <w:sz w:val="20"/>
              </w:rPr>
              <w:t xml:space="preserve">___________________________________________</w:t>
            </w:r>
          </w:p>
          <w:p>
            <w:pPr>
              <w:pStyle w:val="0"/>
              <w:jc w:val="center"/>
            </w:pPr>
            <w:r>
              <w:rPr>
                <w:sz w:val="20"/>
              </w:rPr>
              <w:t xml:space="preserve">(наименование уполномоченного органа)</w:t>
            </w:r>
          </w:p>
        </w:tc>
        <w:tc>
          <w:tcPr>
            <w:tcW w:w="1361" w:type="dxa"/>
            <w:tcBorders>
              <w:top w:val="nil"/>
              <w:left w:val="nil"/>
              <w:bottom w:val="nil"/>
              <w:right w:val="single" w:sz="4"/>
            </w:tcBorders>
          </w:tcPr>
          <w:p>
            <w:pPr>
              <w:pStyle w:val="0"/>
              <w:jc w:val="right"/>
            </w:pPr>
            <w:r>
              <w:rPr>
                <w:sz w:val="20"/>
              </w:rPr>
              <w:t xml:space="preserve">Глава БК</w:t>
            </w:r>
          </w:p>
        </w:tc>
        <w:tc>
          <w:tcPr>
            <w:tcW w:w="1020" w:type="dxa"/>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Наименование бюджета </w:t>
            </w:r>
            <w:hyperlink w:history="0" w:anchor="P1215" w:tooltip="&lt;1&gt; - указывается государственный бюджет Республики Саха (Якутия);">
              <w:r>
                <w:rPr>
                  <w:sz w:val="20"/>
                  <w:color w:val="0000ff"/>
                </w:rPr>
                <w:t xml:space="preserve">&lt;1&gt;</w:t>
              </w:r>
            </w:hyperlink>
          </w:p>
        </w:tc>
        <w:tc>
          <w:tcPr>
            <w:tcW w:w="6123" w:type="dxa"/>
            <w:vAlign w:val="bottom"/>
            <w:tcBorders>
              <w:top w:val="nil"/>
              <w:left w:val="nil"/>
              <w:bottom w:val="nil"/>
              <w:right w:val="nil"/>
            </w:tcBorders>
          </w:tcPr>
          <w:p>
            <w:pPr>
              <w:pStyle w:val="0"/>
              <w:jc w:val="center"/>
            </w:pPr>
            <w:r>
              <w:rPr>
                <w:sz w:val="20"/>
              </w:rPr>
              <w:t xml:space="preserve">___________________________________________</w:t>
            </w:r>
          </w:p>
        </w:tc>
        <w:tc>
          <w:tcPr>
            <w:tcW w:w="1361" w:type="dxa"/>
            <w:tcBorders>
              <w:top w:val="nil"/>
              <w:left w:val="nil"/>
              <w:bottom w:val="nil"/>
              <w:right w:val="single" w:sz="4"/>
            </w:tcBorders>
          </w:tcPr>
          <w:p>
            <w:pPr>
              <w:pStyle w:val="0"/>
              <w:jc w:val="right"/>
            </w:pPr>
            <w:r>
              <w:rPr>
                <w:sz w:val="20"/>
              </w:rPr>
              <w:t xml:space="preserve">по </w:t>
            </w:r>
            <w:hyperlink w:history="0" r:id="rId4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20" w:type="dxa"/>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Статус </w:t>
            </w:r>
            <w:hyperlink w:history="0" w:anchor="P1216" w:tooltip="&lt;2&gt; - ставится цифра 1 в случае, если государственный социальный заказ на оказание государственных услуг в социальной сфере, отнесенных к полномочиям органов государственной власти Республики Саха (Якутия) (далее - социальный заказ Республики Саха (Якутия), формируется впервые, ставится цифра 2 - в случае внесения изменений в утвержденный социальный заказ Республики Саха (Якутия) и формирования нового социального заказа Республики Саха (Якутия);">
              <w:r>
                <w:rPr>
                  <w:sz w:val="20"/>
                  <w:color w:val="0000ff"/>
                </w:rPr>
                <w:t xml:space="preserve">&lt;2&gt;</w:t>
              </w:r>
            </w:hyperlink>
          </w:p>
          <w:p>
            <w:pPr>
              <w:pStyle w:val="0"/>
            </w:pPr>
            <w:r>
              <w:rPr>
                <w:sz w:val="20"/>
              </w:rPr>
              <w:t xml:space="preserve">Отрасль социальной сферы </w:t>
            </w:r>
            <w:hyperlink w:history="0" w:anchor="P1217" w:tooltip="&lt;3&gt; - указывается отрасль социальной сферы, определенная частью 1 статьи 1 Федерального закона &quot;О государственном (муниципальном) социальном заказе на оказание государственных (муниципальных) услуг в социальной сфере&quot;;">
              <w:r>
                <w:rPr>
                  <w:sz w:val="20"/>
                  <w:color w:val="0000ff"/>
                </w:rPr>
                <w:t xml:space="preserve">&lt;3&gt;</w:t>
              </w:r>
            </w:hyperlink>
          </w:p>
        </w:tc>
        <w:tc>
          <w:tcPr>
            <w:tcW w:w="6123" w:type="dxa"/>
            <w:vAlign w:val="bottom"/>
            <w:tcBorders>
              <w:top w:val="nil"/>
              <w:left w:val="nil"/>
              <w:bottom w:val="nil"/>
              <w:right w:val="nil"/>
            </w:tcBorders>
          </w:tcPr>
          <w:p>
            <w:pPr>
              <w:pStyle w:val="0"/>
              <w:jc w:val="center"/>
            </w:pPr>
            <w:r>
              <w:rPr>
                <w:sz w:val="20"/>
              </w:rPr>
              <w:t xml:space="preserve">___________________________________________</w:t>
            </w:r>
          </w:p>
        </w:tc>
        <w:tc>
          <w:tcPr>
            <w:tcW w:w="1361" w:type="dxa"/>
            <w:tcBorders>
              <w:top w:val="nil"/>
              <w:left w:val="nil"/>
              <w:bottom w:val="nil"/>
              <w:right w:val="single" w:sz="4"/>
            </w:tcBorders>
          </w:tcPr>
          <w:p>
            <w:pPr>
              <w:pStyle w:val="0"/>
            </w:pPr>
            <w:r>
              <w:rPr>
                <w:sz w:val="20"/>
              </w:rPr>
            </w:r>
          </w:p>
        </w:tc>
        <w:tc>
          <w:tcPr>
            <w:tcW w:w="1020" w:type="dxa"/>
            <w:tcBorders>
              <w:top w:val="single" w:sz="4"/>
              <w:left w:val="single" w:sz="4"/>
              <w:bottom w:val="single" w:sz="4"/>
              <w:right w:val="single" w:sz="4"/>
            </w:tcBorders>
          </w:tcPr>
          <w:p>
            <w:pPr>
              <w:pStyle w:val="0"/>
            </w:pPr>
            <w:r>
              <w:rPr>
                <w:sz w:val="20"/>
              </w:rPr>
            </w:r>
          </w:p>
        </w:tc>
      </w:tr>
    </w:tbl>
    <w:p>
      <w:pPr>
        <w:pStyle w:val="0"/>
        <w:jc w:val="both"/>
      </w:pPr>
      <w:r>
        <w:rPr>
          <w:sz w:val="20"/>
        </w:rPr>
      </w:r>
    </w:p>
    <w:bookmarkStart w:id="202" w:name="P202"/>
    <w:bookmarkEnd w:id="202"/>
    <w:p>
      <w:pPr>
        <w:pStyle w:val="0"/>
        <w:outlineLvl w:val="2"/>
        <w:jc w:val="center"/>
      </w:pPr>
      <w:r>
        <w:rPr>
          <w:sz w:val="20"/>
        </w:rPr>
        <w:t xml:space="preserve">I. Общие сведения о государственном социальном заказе</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исполнительных органов</w:t>
      </w:r>
    </w:p>
    <w:p>
      <w:pPr>
        <w:pStyle w:val="0"/>
        <w:jc w:val="center"/>
      </w:pPr>
      <w:r>
        <w:rPr>
          <w:sz w:val="20"/>
        </w:rPr>
        <w:t xml:space="preserve">государственной власти Республики Саха (Якутия), в очередном</w:t>
      </w:r>
    </w:p>
    <w:p>
      <w:pPr>
        <w:pStyle w:val="0"/>
        <w:jc w:val="center"/>
      </w:pPr>
      <w:r>
        <w:rPr>
          <w:sz w:val="20"/>
        </w:rPr>
        <w:t xml:space="preserve">финансовом году и плановом периоде, а также</w:t>
      </w:r>
    </w:p>
    <w:p>
      <w:pPr>
        <w:pStyle w:val="0"/>
        <w:jc w:val="center"/>
      </w:pPr>
      <w:r>
        <w:rPr>
          <w:sz w:val="20"/>
        </w:rPr>
        <w:t xml:space="preserve">за пределами планового периода</w:t>
      </w:r>
    </w:p>
    <w:p>
      <w:pPr>
        <w:pStyle w:val="0"/>
        <w:jc w:val="both"/>
      </w:pPr>
      <w:r>
        <w:rPr>
          <w:sz w:val="20"/>
        </w:rPr>
      </w:r>
    </w:p>
    <w:bookmarkStart w:id="209" w:name="P209"/>
    <w:bookmarkEnd w:id="209"/>
    <w:p>
      <w:pPr>
        <w:pStyle w:val="0"/>
        <w:outlineLvl w:val="3"/>
        <w:jc w:val="center"/>
      </w:pPr>
      <w:r>
        <w:rPr>
          <w:sz w:val="20"/>
        </w:rPr>
        <w:t xml:space="preserve">1. Общие сведения о государственном социальном заказе</w:t>
      </w:r>
    </w:p>
    <w:p>
      <w:pPr>
        <w:pStyle w:val="0"/>
        <w:jc w:val="center"/>
      </w:pPr>
      <w:r>
        <w:rPr>
          <w:sz w:val="20"/>
        </w:rPr>
        <w:t xml:space="preserve">Республики Саха (Якутия) на 20_____ год</w:t>
      </w:r>
    </w:p>
    <w:p>
      <w:pPr>
        <w:pStyle w:val="0"/>
        <w:jc w:val="center"/>
      </w:pPr>
      <w:r>
        <w:rPr>
          <w:sz w:val="20"/>
        </w:rPr>
        <w:t xml:space="preserve">(на очередной финансовый год)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077"/>
        <w:gridCol w:w="1247"/>
        <w:gridCol w:w="794"/>
        <w:gridCol w:w="964"/>
        <w:gridCol w:w="851"/>
        <w:gridCol w:w="794"/>
        <w:gridCol w:w="1757"/>
        <w:gridCol w:w="1757"/>
        <w:gridCol w:w="1191"/>
        <w:gridCol w:w="1191"/>
      </w:tblGrid>
      <w:tr>
        <w:tc>
          <w:tcPr>
            <w:tcW w:w="1247"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tcW w:w="1077"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tcW w:w="1247"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gridSpan w:val="3"/>
            <w:tcW w:w="2609"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90"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gridSpan w:val="2"/>
            <w:tcW w:w="1815" w:type="dxa"/>
          </w:tcPr>
          <w:p>
            <w:pPr>
              <w:pStyle w:val="0"/>
              <w:jc w:val="center"/>
            </w:pPr>
            <w:r>
              <w:rPr>
                <w:sz w:val="20"/>
              </w:rPr>
              <w:t xml:space="preserve">единица измерения</w:t>
            </w:r>
          </w:p>
        </w:tc>
        <w:tc>
          <w:tcPr>
            <w:tcW w:w="794" w:type="dxa"/>
            <w:vMerge w:val="restart"/>
          </w:tcPr>
          <w:p>
            <w:pPr>
              <w:pStyle w:val="0"/>
              <w:jc w:val="center"/>
            </w:pPr>
            <w:r>
              <w:rPr>
                <w:sz w:val="20"/>
              </w:rPr>
              <w:t xml:space="preserve">всего </w:t>
            </w:r>
            <w:hyperlink w:history="0" w:anchor="P1219" w:tooltip="&lt;5&gt; - рассчитывается как сумма граф 8, 9, 10, 11;">
              <w:r>
                <w:rPr>
                  <w:sz w:val="20"/>
                  <w:color w:val="0000ff"/>
                </w:rPr>
                <w:t xml:space="preserve">&lt;5&gt;</w:t>
              </w:r>
            </w:hyperlink>
          </w:p>
        </w:tc>
        <w:tc>
          <w:tcPr>
            <w:gridSpan w:val="4"/>
            <w:tcW w:w="5896"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tcW w:w="851" w:type="dxa"/>
          </w:tcPr>
          <w:p>
            <w:pPr>
              <w:pStyle w:val="0"/>
              <w:jc w:val="center"/>
            </w:pPr>
            <w:r>
              <w:rPr>
                <w:sz w:val="20"/>
              </w:rPr>
              <w:t xml:space="preserve">код по </w:t>
            </w:r>
            <w:hyperlink w:history="0" r:id="rId4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18" w:tooltip="&lt;4&gt; - формируется в соответствии с информацией, включенной в подраздел 1 раздела II настоящего документа;">
              <w:r>
                <w:rPr>
                  <w:sz w:val="20"/>
                  <w:color w:val="0000ff"/>
                </w:rPr>
                <w:t xml:space="preserve">&lt;4&gt;</w:t>
              </w:r>
            </w:hyperlink>
          </w:p>
        </w:tc>
        <w:tc>
          <w:tcPr>
            <w:vMerge w:val="continue"/>
          </w:tcPr>
          <w:p/>
        </w:tc>
        <w:tc>
          <w:tcPr>
            <w:tcW w:w="1757"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20" w:tooltip="&lt;6&gt; -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документа;">
              <w:r>
                <w:rPr>
                  <w:sz w:val="20"/>
                  <w:color w:val="0000ff"/>
                </w:rPr>
                <w:t xml:space="preserve">&lt;6&gt;</w:t>
              </w:r>
            </w:hyperlink>
          </w:p>
        </w:tc>
        <w:tc>
          <w:tcPr>
            <w:tcW w:w="1757"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20" w:tooltip="&lt;6&gt; -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документа;">
              <w:r>
                <w:rPr>
                  <w:sz w:val="20"/>
                  <w:color w:val="0000ff"/>
                </w:rPr>
                <w:t xml:space="preserve">&lt;6&gt;</w:t>
              </w:r>
            </w:hyperlink>
          </w:p>
        </w:tc>
        <w:tc>
          <w:tcPr>
            <w:tcW w:w="1191" w:type="dxa"/>
          </w:tcPr>
          <w:p>
            <w:pPr>
              <w:pStyle w:val="0"/>
              <w:jc w:val="center"/>
            </w:pPr>
            <w:r>
              <w:rPr>
                <w:sz w:val="20"/>
              </w:rPr>
              <w:t xml:space="preserve">в соответствии с конкурсом </w:t>
            </w:r>
            <w:hyperlink w:history="0" w:anchor="P1220" w:tooltip="&lt;6&gt; -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документа;">
              <w:r>
                <w:rPr>
                  <w:sz w:val="20"/>
                  <w:color w:val="0000ff"/>
                </w:rPr>
                <w:t xml:space="preserve">&lt;6&gt;</w:t>
              </w:r>
            </w:hyperlink>
          </w:p>
        </w:tc>
        <w:tc>
          <w:tcPr>
            <w:tcW w:w="1191" w:type="dxa"/>
          </w:tcPr>
          <w:p>
            <w:pPr>
              <w:pStyle w:val="0"/>
              <w:jc w:val="center"/>
            </w:pPr>
            <w:r>
              <w:rPr>
                <w:sz w:val="20"/>
              </w:rPr>
              <w:t xml:space="preserve">в соответствии с социальными сертификатами </w:t>
            </w:r>
            <w:hyperlink w:history="0" w:anchor="P1220" w:tooltip="&lt;6&gt; - формируется в соответствии с показателями, характеризующими объем оказания государственной услуги в социальной сфере, включенными в подраздел 1 раздела II настоящего документа;">
              <w:r>
                <w:rPr>
                  <w:sz w:val="20"/>
                  <w:color w:val="0000ff"/>
                </w:rPr>
                <w:t xml:space="preserve">&lt;6&gt;</w:t>
              </w:r>
            </w:hyperlink>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964" w:type="dxa"/>
          </w:tcPr>
          <w:p>
            <w:pPr>
              <w:pStyle w:val="0"/>
              <w:jc w:val="center"/>
            </w:pPr>
            <w:r>
              <w:rPr>
                <w:sz w:val="20"/>
              </w:rPr>
              <w:t xml:space="preserve">5</w:t>
            </w:r>
          </w:p>
        </w:tc>
        <w:tc>
          <w:tcPr>
            <w:tcW w:w="851" w:type="dxa"/>
          </w:tcPr>
          <w:p>
            <w:pPr>
              <w:pStyle w:val="0"/>
              <w:jc w:val="center"/>
            </w:pPr>
            <w:r>
              <w:rPr>
                <w:sz w:val="20"/>
              </w:rPr>
              <w:t xml:space="preserve">6</w:t>
            </w:r>
          </w:p>
        </w:tc>
        <w:tc>
          <w:tcPr>
            <w:tcW w:w="794" w:type="dxa"/>
          </w:tcPr>
          <w:p>
            <w:pPr>
              <w:pStyle w:val="0"/>
              <w:jc w:val="center"/>
            </w:pPr>
            <w:r>
              <w:rPr>
                <w:sz w:val="20"/>
              </w:rPr>
              <w:t xml:space="preserve">7</w:t>
            </w:r>
          </w:p>
        </w:tc>
        <w:tc>
          <w:tcPr>
            <w:tcW w:w="1757" w:type="dxa"/>
          </w:tcPr>
          <w:bookmarkStart w:id="235" w:name="P235"/>
          <w:bookmarkEnd w:id="235"/>
          <w:p>
            <w:pPr>
              <w:pStyle w:val="0"/>
              <w:jc w:val="center"/>
            </w:pPr>
            <w:r>
              <w:rPr>
                <w:sz w:val="20"/>
              </w:rPr>
              <w:t xml:space="preserve">8</w:t>
            </w:r>
          </w:p>
        </w:tc>
        <w:tc>
          <w:tcPr>
            <w:tcW w:w="1757" w:type="dxa"/>
          </w:tcPr>
          <w:bookmarkStart w:id="236" w:name="P236"/>
          <w:bookmarkEnd w:id="236"/>
          <w:p>
            <w:pPr>
              <w:pStyle w:val="0"/>
              <w:jc w:val="center"/>
            </w:pPr>
            <w:r>
              <w:rPr>
                <w:sz w:val="20"/>
              </w:rPr>
              <w:t xml:space="preserve">9</w:t>
            </w:r>
          </w:p>
        </w:tc>
        <w:tc>
          <w:tcPr>
            <w:tcW w:w="1191" w:type="dxa"/>
          </w:tcPr>
          <w:bookmarkStart w:id="237" w:name="P237"/>
          <w:bookmarkEnd w:id="237"/>
          <w:p>
            <w:pPr>
              <w:pStyle w:val="0"/>
              <w:jc w:val="center"/>
            </w:pPr>
            <w:r>
              <w:rPr>
                <w:sz w:val="20"/>
              </w:rPr>
              <w:t xml:space="preserve">10</w:t>
            </w:r>
          </w:p>
        </w:tc>
        <w:tc>
          <w:tcPr>
            <w:tcW w:w="1191" w:type="dxa"/>
          </w:tcPr>
          <w:bookmarkStart w:id="238" w:name="P238"/>
          <w:bookmarkEnd w:id="238"/>
          <w:p>
            <w:pPr>
              <w:pStyle w:val="0"/>
              <w:jc w:val="center"/>
            </w:pPr>
            <w:r>
              <w:rPr>
                <w:sz w:val="20"/>
              </w:rPr>
              <w:t xml:space="preserve">11</w:t>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bl>
    <w:p>
      <w:pPr>
        <w:pStyle w:val="0"/>
        <w:jc w:val="both"/>
      </w:pPr>
      <w:r>
        <w:rPr>
          <w:sz w:val="20"/>
        </w:rPr>
      </w:r>
    </w:p>
    <w:bookmarkStart w:id="312" w:name="P312"/>
    <w:bookmarkEnd w:id="312"/>
    <w:p>
      <w:pPr>
        <w:pStyle w:val="0"/>
        <w:outlineLvl w:val="3"/>
        <w:jc w:val="center"/>
      </w:pPr>
      <w:r>
        <w:rPr>
          <w:sz w:val="20"/>
        </w:rPr>
        <w:t xml:space="preserve">2. Общие сведения о государственном социальном заказе</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органов государственной власти</w:t>
      </w:r>
    </w:p>
    <w:p>
      <w:pPr>
        <w:pStyle w:val="0"/>
        <w:jc w:val="center"/>
      </w:pPr>
      <w:r>
        <w:rPr>
          <w:sz w:val="20"/>
        </w:rPr>
        <w:t xml:space="preserve">Республики Саха (Якутия), на 20____ год</w:t>
      </w:r>
    </w:p>
    <w:p>
      <w:pPr>
        <w:pStyle w:val="0"/>
        <w:jc w:val="center"/>
      </w:pPr>
      <w:r>
        <w:rPr>
          <w:sz w:val="20"/>
        </w:rPr>
        <w:t xml:space="preserve">(на первый год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077"/>
        <w:gridCol w:w="1247"/>
        <w:gridCol w:w="794"/>
        <w:gridCol w:w="964"/>
        <w:gridCol w:w="851"/>
        <w:gridCol w:w="794"/>
        <w:gridCol w:w="1757"/>
        <w:gridCol w:w="1757"/>
        <w:gridCol w:w="1191"/>
        <w:gridCol w:w="1191"/>
      </w:tblGrid>
      <w:tr>
        <w:tc>
          <w:tcPr>
            <w:tcW w:w="1247"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tcW w:w="1077"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tcW w:w="1247"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gridSpan w:val="3"/>
            <w:tcW w:w="2609"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90"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gridSpan w:val="2"/>
            <w:tcW w:w="1815" w:type="dxa"/>
          </w:tcPr>
          <w:p>
            <w:pPr>
              <w:pStyle w:val="0"/>
              <w:jc w:val="center"/>
            </w:pPr>
            <w:r>
              <w:rPr>
                <w:sz w:val="20"/>
              </w:rPr>
              <w:t xml:space="preserve">единица измерения</w:t>
            </w:r>
          </w:p>
        </w:tc>
        <w:tc>
          <w:tcPr>
            <w:tcW w:w="794" w:type="dxa"/>
            <w:vMerge w:val="restart"/>
          </w:tcPr>
          <w:p>
            <w:pPr>
              <w:pStyle w:val="0"/>
              <w:jc w:val="center"/>
            </w:pPr>
            <w:r>
              <w:rPr>
                <w:sz w:val="20"/>
              </w:rPr>
              <w:t xml:space="preserve">всего </w:t>
            </w:r>
            <w:hyperlink w:history="0" w:anchor="P1219" w:tooltip="&lt;5&gt; - рассчитывается как сумма граф 8, 9, 10, 11;">
              <w:r>
                <w:rPr>
                  <w:sz w:val="20"/>
                  <w:color w:val="0000ff"/>
                </w:rPr>
                <w:t xml:space="preserve">&lt;5&gt;</w:t>
              </w:r>
            </w:hyperlink>
          </w:p>
        </w:tc>
        <w:tc>
          <w:tcPr>
            <w:gridSpan w:val="4"/>
            <w:tcW w:w="5896"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tcW w:w="851" w:type="dxa"/>
          </w:tcPr>
          <w:p>
            <w:pPr>
              <w:pStyle w:val="0"/>
              <w:jc w:val="center"/>
            </w:pPr>
            <w:r>
              <w:rPr>
                <w:sz w:val="20"/>
              </w:rPr>
              <w:t xml:space="preserve">код по </w:t>
            </w:r>
            <w:hyperlink w:history="0" r:id="rId4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21" w:tooltip="&lt;7&gt; - формируется в соответствии с информацией, включенной в подраздел 2 раздела II настоящего документа;">
              <w:r>
                <w:rPr>
                  <w:sz w:val="20"/>
                  <w:color w:val="0000ff"/>
                </w:rPr>
                <w:t xml:space="preserve">&lt;7&gt;</w:t>
              </w:r>
            </w:hyperlink>
          </w:p>
        </w:tc>
        <w:tc>
          <w:tcPr>
            <w:vMerge w:val="continue"/>
          </w:tcPr>
          <w:p/>
        </w:tc>
        <w:tc>
          <w:tcPr>
            <w:tcW w:w="1757"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22" w:tooltip="&lt;8&gt; -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документа;">
              <w:r>
                <w:rPr>
                  <w:sz w:val="20"/>
                  <w:color w:val="0000ff"/>
                </w:rPr>
                <w:t xml:space="preserve">&lt;8&gt;</w:t>
              </w:r>
            </w:hyperlink>
          </w:p>
        </w:tc>
        <w:tc>
          <w:tcPr>
            <w:tcW w:w="1757"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22" w:tooltip="&lt;8&gt; -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документа;">
              <w:r>
                <w:rPr>
                  <w:sz w:val="20"/>
                  <w:color w:val="0000ff"/>
                </w:rPr>
                <w:t xml:space="preserve">&lt;8&gt;</w:t>
              </w:r>
            </w:hyperlink>
          </w:p>
        </w:tc>
        <w:tc>
          <w:tcPr>
            <w:tcW w:w="1191" w:type="dxa"/>
          </w:tcPr>
          <w:p>
            <w:pPr>
              <w:pStyle w:val="0"/>
              <w:jc w:val="center"/>
            </w:pPr>
            <w:r>
              <w:rPr>
                <w:sz w:val="20"/>
              </w:rPr>
              <w:t xml:space="preserve">в соответствии с конкурсом </w:t>
            </w:r>
            <w:hyperlink w:history="0" w:anchor="P1222" w:tooltip="&lt;8&gt; -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документа;">
              <w:r>
                <w:rPr>
                  <w:sz w:val="20"/>
                  <w:color w:val="0000ff"/>
                </w:rPr>
                <w:t xml:space="preserve">&lt;8&gt;</w:t>
              </w:r>
            </w:hyperlink>
          </w:p>
        </w:tc>
        <w:tc>
          <w:tcPr>
            <w:tcW w:w="1191" w:type="dxa"/>
          </w:tcPr>
          <w:p>
            <w:pPr>
              <w:pStyle w:val="0"/>
              <w:jc w:val="center"/>
            </w:pPr>
            <w:r>
              <w:rPr>
                <w:sz w:val="20"/>
              </w:rPr>
              <w:t xml:space="preserve">в соответствии с социальными сертификатами </w:t>
            </w:r>
            <w:hyperlink w:history="0" w:anchor="P1222" w:tooltip="&lt;8&gt; - формируется в соответствии с показателями, характеризующими объем оказания государственной услуги в социальной сфере, включенными в подраздел 2 раздела II настоящего документа;">
              <w:r>
                <w:rPr>
                  <w:sz w:val="20"/>
                  <w:color w:val="0000ff"/>
                </w:rPr>
                <w:t xml:space="preserve">&lt;8&gt;</w:t>
              </w:r>
            </w:hyperlink>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964" w:type="dxa"/>
          </w:tcPr>
          <w:p>
            <w:pPr>
              <w:pStyle w:val="0"/>
              <w:jc w:val="center"/>
            </w:pPr>
            <w:r>
              <w:rPr>
                <w:sz w:val="20"/>
              </w:rPr>
              <w:t xml:space="preserve">5</w:t>
            </w:r>
          </w:p>
        </w:tc>
        <w:tc>
          <w:tcPr>
            <w:tcW w:w="851" w:type="dxa"/>
          </w:tcPr>
          <w:p>
            <w:pPr>
              <w:pStyle w:val="0"/>
              <w:jc w:val="center"/>
            </w:pPr>
            <w:r>
              <w:rPr>
                <w:sz w:val="20"/>
              </w:rPr>
              <w:t xml:space="preserve">6</w:t>
            </w:r>
          </w:p>
        </w:tc>
        <w:tc>
          <w:tcPr>
            <w:tcW w:w="794" w:type="dxa"/>
          </w:tcPr>
          <w:p>
            <w:pPr>
              <w:pStyle w:val="0"/>
              <w:jc w:val="center"/>
            </w:pPr>
            <w:r>
              <w:rPr>
                <w:sz w:val="20"/>
              </w:rPr>
              <w:t xml:space="preserve">7</w:t>
            </w:r>
          </w:p>
        </w:tc>
        <w:tc>
          <w:tcPr>
            <w:tcW w:w="1757" w:type="dxa"/>
          </w:tcPr>
          <w:p>
            <w:pPr>
              <w:pStyle w:val="0"/>
              <w:jc w:val="center"/>
            </w:pPr>
            <w:r>
              <w:rPr>
                <w:sz w:val="20"/>
              </w:rPr>
              <w:t xml:space="preserve">8</w:t>
            </w:r>
          </w:p>
        </w:tc>
        <w:tc>
          <w:tcPr>
            <w:tcW w:w="1757" w:type="dxa"/>
          </w:tcPr>
          <w:p>
            <w:pPr>
              <w:pStyle w:val="0"/>
              <w:jc w:val="center"/>
            </w:pPr>
            <w:r>
              <w:rPr>
                <w:sz w:val="20"/>
              </w:rPr>
              <w:t xml:space="preserve">9</w:t>
            </w:r>
          </w:p>
        </w:tc>
        <w:tc>
          <w:tcPr>
            <w:tcW w:w="1191" w:type="dxa"/>
          </w:tcPr>
          <w:p>
            <w:pPr>
              <w:pStyle w:val="0"/>
              <w:jc w:val="center"/>
            </w:pPr>
            <w:r>
              <w:rPr>
                <w:sz w:val="20"/>
              </w:rPr>
              <w:t xml:space="preserve">10</w:t>
            </w:r>
          </w:p>
        </w:tc>
        <w:tc>
          <w:tcPr>
            <w:tcW w:w="1191" w:type="dxa"/>
          </w:tcPr>
          <w:p>
            <w:pPr>
              <w:pStyle w:val="0"/>
              <w:jc w:val="center"/>
            </w:pPr>
            <w:r>
              <w:rPr>
                <w:sz w:val="20"/>
              </w:rPr>
              <w:t xml:space="preserve">11</w:t>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bl>
    <w:p>
      <w:pPr>
        <w:pStyle w:val="0"/>
        <w:jc w:val="both"/>
      </w:pPr>
      <w:r>
        <w:rPr>
          <w:sz w:val="20"/>
        </w:rPr>
      </w:r>
    </w:p>
    <w:bookmarkStart w:id="417" w:name="P417"/>
    <w:bookmarkEnd w:id="417"/>
    <w:p>
      <w:pPr>
        <w:pStyle w:val="0"/>
        <w:outlineLvl w:val="3"/>
        <w:jc w:val="center"/>
      </w:pPr>
      <w:r>
        <w:rPr>
          <w:sz w:val="20"/>
        </w:rPr>
        <w:t xml:space="preserve">3. Общие сведения о государственном социальном заказе</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органов государственной власти</w:t>
      </w:r>
    </w:p>
    <w:p>
      <w:pPr>
        <w:pStyle w:val="0"/>
        <w:jc w:val="center"/>
      </w:pPr>
      <w:r>
        <w:rPr>
          <w:sz w:val="20"/>
        </w:rPr>
        <w:t xml:space="preserve">Республики Саха (Якутия), на 20____ год</w:t>
      </w:r>
    </w:p>
    <w:p>
      <w:pPr>
        <w:pStyle w:val="0"/>
        <w:jc w:val="center"/>
      </w:pPr>
      <w:r>
        <w:rPr>
          <w:sz w:val="20"/>
        </w:rPr>
        <w:t xml:space="preserve">(на второй год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077"/>
        <w:gridCol w:w="1247"/>
        <w:gridCol w:w="794"/>
        <w:gridCol w:w="964"/>
        <w:gridCol w:w="851"/>
        <w:gridCol w:w="794"/>
        <w:gridCol w:w="1757"/>
        <w:gridCol w:w="1757"/>
        <w:gridCol w:w="1191"/>
        <w:gridCol w:w="1191"/>
      </w:tblGrid>
      <w:tr>
        <w:tc>
          <w:tcPr>
            <w:tcW w:w="1247"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tcW w:w="1077"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tcW w:w="1247"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gridSpan w:val="3"/>
            <w:tcW w:w="2609"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90"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gridSpan w:val="2"/>
            <w:tcW w:w="1815" w:type="dxa"/>
          </w:tcPr>
          <w:p>
            <w:pPr>
              <w:pStyle w:val="0"/>
              <w:jc w:val="center"/>
            </w:pPr>
            <w:r>
              <w:rPr>
                <w:sz w:val="20"/>
              </w:rPr>
              <w:t xml:space="preserve">единица измерения</w:t>
            </w:r>
          </w:p>
        </w:tc>
        <w:tc>
          <w:tcPr>
            <w:tcW w:w="794" w:type="dxa"/>
            <w:vMerge w:val="restart"/>
          </w:tcPr>
          <w:p>
            <w:pPr>
              <w:pStyle w:val="0"/>
              <w:jc w:val="center"/>
            </w:pPr>
            <w:r>
              <w:rPr>
                <w:sz w:val="20"/>
              </w:rPr>
              <w:t xml:space="preserve">всего </w:t>
            </w:r>
            <w:hyperlink w:history="0" w:anchor="P1219" w:tooltip="&lt;5&gt; - рассчитывается как сумма граф 8, 9, 10, 11;">
              <w:r>
                <w:rPr>
                  <w:sz w:val="20"/>
                  <w:color w:val="0000ff"/>
                </w:rPr>
                <w:t xml:space="preserve">&lt;5&gt;</w:t>
              </w:r>
            </w:hyperlink>
          </w:p>
        </w:tc>
        <w:tc>
          <w:tcPr>
            <w:gridSpan w:val="4"/>
            <w:tcW w:w="5896"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tcW w:w="851" w:type="dxa"/>
          </w:tcPr>
          <w:p>
            <w:pPr>
              <w:pStyle w:val="0"/>
              <w:jc w:val="center"/>
            </w:pPr>
            <w:r>
              <w:rPr>
                <w:sz w:val="20"/>
              </w:rPr>
              <w:t xml:space="preserve">код по </w:t>
            </w:r>
            <w:hyperlink w:history="0" r:id="rId4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23" w:tooltip="&lt;9&gt; - формируется в соответствии с информацией, включенной в подраздел 3 раздела II настоящего документа;">
              <w:r>
                <w:rPr>
                  <w:sz w:val="20"/>
                  <w:color w:val="0000ff"/>
                </w:rPr>
                <w:t xml:space="preserve">&lt;9&gt;</w:t>
              </w:r>
            </w:hyperlink>
          </w:p>
        </w:tc>
        <w:tc>
          <w:tcPr>
            <w:vMerge w:val="continue"/>
          </w:tcPr>
          <w:p/>
        </w:tc>
        <w:tc>
          <w:tcPr>
            <w:tcW w:w="1757"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24" w:tooltip="&lt;10&gt; -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документа;">
              <w:r>
                <w:rPr>
                  <w:sz w:val="20"/>
                  <w:color w:val="0000ff"/>
                </w:rPr>
                <w:t xml:space="preserve">&lt;10&gt;</w:t>
              </w:r>
            </w:hyperlink>
          </w:p>
        </w:tc>
        <w:tc>
          <w:tcPr>
            <w:tcW w:w="1757"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24" w:tooltip="&lt;10&gt; -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документа;">
              <w:r>
                <w:rPr>
                  <w:sz w:val="20"/>
                  <w:color w:val="0000ff"/>
                </w:rPr>
                <w:t xml:space="preserve">&lt;10&gt;</w:t>
              </w:r>
            </w:hyperlink>
          </w:p>
        </w:tc>
        <w:tc>
          <w:tcPr>
            <w:tcW w:w="1191" w:type="dxa"/>
          </w:tcPr>
          <w:p>
            <w:pPr>
              <w:pStyle w:val="0"/>
              <w:jc w:val="center"/>
            </w:pPr>
            <w:r>
              <w:rPr>
                <w:sz w:val="20"/>
              </w:rPr>
              <w:t xml:space="preserve">в соответствии с конкурсом </w:t>
            </w:r>
            <w:hyperlink w:history="0" w:anchor="P1224" w:tooltip="&lt;10&gt; -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документа;">
              <w:r>
                <w:rPr>
                  <w:sz w:val="20"/>
                  <w:color w:val="0000ff"/>
                </w:rPr>
                <w:t xml:space="preserve">&lt;10&gt;</w:t>
              </w:r>
            </w:hyperlink>
          </w:p>
        </w:tc>
        <w:tc>
          <w:tcPr>
            <w:tcW w:w="1191" w:type="dxa"/>
          </w:tcPr>
          <w:p>
            <w:pPr>
              <w:pStyle w:val="0"/>
              <w:jc w:val="center"/>
            </w:pPr>
            <w:r>
              <w:rPr>
                <w:sz w:val="20"/>
              </w:rPr>
              <w:t xml:space="preserve">в соответствии с социальными сертификатами </w:t>
            </w:r>
            <w:hyperlink w:history="0" w:anchor="P1224" w:tooltip="&lt;10&gt; - формируется в соответствии с показателями, характеризующими объем оказания государственной услуги в социальной сфере, включенными в подраздел 3 раздела II настоящего документа;">
              <w:r>
                <w:rPr>
                  <w:sz w:val="20"/>
                  <w:color w:val="0000ff"/>
                </w:rPr>
                <w:t xml:space="preserve">&lt;10&gt;</w:t>
              </w:r>
            </w:hyperlink>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964" w:type="dxa"/>
          </w:tcPr>
          <w:p>
            <w:pPr>
              <w:pStyle w:val="0"/>
              <w:jc w:val="center"/>
            </w:pPr>
            <w:r>
              <w:rPr>
                <w:sz w:val="20"/>
              </w:rPr>
              <w:t xml:space="preserve">5</w:t>
            </w:r>
          </w:p>
        </w:tc>
        <w:tc>
          <w:tcPr>
            <w:tcW w:w="851" w:type="dxa"/>
          </w:tcPr>
          <w:p>
            <w:pPr>
              <w:pStyle w:val="0"/>
              <w:jc w:val="center"/>
            </w:pPr>
            <w:r>
              <w:rPr>
                <w:sz w:val="20"/>
              </w:rPr>
              <w:t xml:space="preserve">6</w:t>
            </w:r>
          </w:p>
        </w:tc>
        <w:tc>
          <w:tcPr>
            <w:tcW w:w="794" w:type="dxa"/>
          </w:tcPr>
          <w:p>
            <w:pPr>
              <w:pStyle w:val="0"/>
              <w:jc w:val="center"/>
            </w:pPr>
            <w:r>
              <w:rPr>
                <w:sz w:val="20"/>
              </w:rPr>
              <w:t xml:space="preserve">7</w:t>
            </w:r>
          </w:p>
        </w:tc>
        <w:tc>
          <w:tcPr>
            <w:tcW w:w="1757" w:type="dxa"/>
          </w:tcPr>
          <w:p>
            <w:pPr>
              <w:pStyle w:val="0"/>
              <w:jc w:val="center"/>
            </w:pPr>
            <w:r>
              <w:rPr>
                <w:sz w:val="20"/>
              </w:rPr>
              <w:t xml:space="preserve">8</w:t>
            </w:r>
          </w:p>
        </w:tc>
        <w:tc>
          <w:tcPr>
            <w:tcW w:w="1757" w:type="dxa"/>
          </w:tcPr>
          <w:p>
            <w:pPr>
              <w:pStyle w:val="0"/>
              <w:jc w:val="center"/>
            </w:pPr>
            <w:r>
              <w:rPr>
                <w:sz w:val="20"/>
              </w:rPr>
              <w:t xml:space="preserve">9</w:t>
            </w:r>
          </w:p>
        </w:tc>
        <w:tc>
          <w:tcPr>
            <w:tcW w:w="1191" w:type="dxa"/>
          </w:tcPr>
          <w:p>
            <w:pPr>
              <w:pStyle w:val="0"/>
              <w:jc w:val="center"/>
            </w:pPr>
            <w:r>
              <w:rPr>
                <w:sz w:val="20"/>
              </w:rPr>
              <w:t xml:space="preserve">10</w:t>
            </w:r>
          </w:p>
        </w:tc>
        <w:tc>
          <w:tcPr>
            <w:tcW w:w="1191" w:type="dxa"/>
          </w:tcPr>
          <w:p>
            <w:pPr>
              <w:pStyle w:val="0"/>
              <w:jc w:val="center"/>
            </w:pPr>
            <w:r>
              <w:rPr>
                <w:sz w:val="20"/>
              </w:rPr>
              <w:t xml:space="preserve">11</w:t>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57" w:type="dxa"/>
          </w:tcPr>
          <w:p>
            <w:pPr>
              <w:pStyle w:val="0"/>
            </w:pPr>
            <w:r>
              <w:rPr>
                <w:sz w:val="20"/>
              </w:rPr>
            </w:r>
          </w:p>
        </w:tc>
        <w:tc>
          <w:tcPr>
            <w:tcW w:w="1757" w:type="dxa"/>
          </w:tcPr>
          <w:p>
            <w:pPr>
              <w:pStyle w:val="0"/>
            </w:pPr>
            <w:r>
              <w:rPr>
                <w:sz w:val="20"/>
              </w:rPr>
            </w:r>
          </w:p>
        </w:tc>
        <w:tc>
          <w:tcPr>
            <w:tcW w:w="1191" w:type="dxa"/>
          </w:tcPr>
          <w:p>
            <w:pPr>
              <w:pStyle w:val="0"/>
            </w:pPr>
            <w:r>
              <w:rPr>
                <w:sz w:val="20"/>
              </w:rPr>
            </w:r>
          </w:p>
        </w:tc>
        <w:tc>
          <w:tcPr>
            <w:tcW w:w="1191" w:type="dxa"/>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1440" w:bottom="566" w:left="1440" w:header="0" w:footer="0" w:gutter="0"/>
          <w:titlePg/>
        </w:sectPr>
      </w:pPr>
    </w:p>
    <w:p>
      <w:pPr>
        <w:pStyle w:val="0"/>
        <w:jc w:val="both"/>
      </w:pPr>
      <w:r>
        <w:rPr>
          <w:sz w:val="20"/>
        </w:rPr>
      </w:r>
    </w:p>
    <w:bookmarkStart w:id="522" w:name="P522"/>
    <w:bookmarkEnd w:id="522"/>
    <w:p>
      <w:pPr>
        <w:pStyle w:val="0"/>
        <w:outlineLvl w:val="3"/>
        <w:jc w:val="center"/>
      </w:pPr>
      <w:r>
        <w:rPr>
          <w:sz w:val="20"/>
        </w:rPr>
        <w:t xml:space="preserve">4. Общие сведения о государственном социальном заказе</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органов государственной власти</w:t>
      </w:r>
    </w:p>
    <w:p>
      <w:pPr>
        <w:pStyle w:val="0"/>
        <w:jc w:val="center"/>
      </w:pPr>
      <w:r>
        <w:rPr>
          <w:sz w:val="20"/>
        </w:rPr>
        <w:t xml:space="preserve">Республики Саха (Якутия), на 20__ - 20__ годы (на срок</w:t>
      </w:r>
    </w:p>
    <w:p>
      <w:pPr>
        <w:pStyle w:val="0"/>
        <w:jc w:val="center"/>
      </w:pPr>
      <w:r>
        <w:rPr>
          <w:sz w:val="20"/>
        </w:rPr>
        <w:t xml:space="preserve">оказания государственных услуг в социальной сфере</w:t>
      </w:r>
    </w:p>
    <w:p>
      <w:pPr>
        <w:pStyle w:val="0"/>
        <w:jc w:val="center"/>
      </w:pPr>
      <w:r>
        <w:rPr>
          <w:sz w:val="20"/>
        </w:rPr>
        <w:t xml:space="preserve">за пределами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077"/>
        <w:gridCol w:w="1247"/>
        <w:gridCol w:w="794"/>
        <w:gridCol w:w="964"/>
        <w:gridCol w:w="851"/>
        <w:gridCol w:w="794"/>
        <w:gridCol w:w="1701"/>
        <w:gridCol w:w="1757"/>
        <w:gridCol w:w="1247"/>
        <w:gridCol w:w="1191"/>
      </w:tblGrid>
      <w:tr>
        <w:tc>
          <w:tcPr>
            <w:tcW w:w="1247" w:type="dxa"/>
            <w:vMerge w:val="restart"/>
          </w:tcPr>
          <w:p>
            <w:pPr>
              <w:pStyle w:val="0"/>
              <w:jc w:val="center"/>
            </w:pPr>
            <w:r>
              <w:rPr>
                <w:sz w:val="20"/>
              </w:rPr>
              <w:t xml:space="preserve">Наименование государственной услуги в социальной сфере (укрупненной государственной услуги)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tcW w:w="1077" w:type="dxa"/>
            <w:vMerge w:val="restart"/>
          </w:tcPr>
          <w:p>
            <w:pPr>
              <w:pStyle w:val="0"/>
              <w:jc w:val="center"/>
            </w:pPr>
            <w:r>
              <w:rPr>
                <w:sz w:val="20"/>
              </w:rPr>
              <w:t xml:space="preserve">Год определения исполнителей государственной услуги в социальной сфере (укрупненной государственной услуги)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tcW w:w="1247" w:type="dxa"/>
            <w:vMerge w:val="restart"/>
          </w:tcPr>
          <w:p>
            <w:pPr>
              <w:pStyle w:val="0"/>
              <w:jc w:val="center"/>
            </w:pPr>
            <w:r>
              <w:rPr>
                <w:sz w:val="20"/>
              </w:rPr>
              <w:t xml:space="preserve">Место оказания государственной услуги в социальной сфере (укрупненной государственной услуги)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gridSpan w:val="3"/>
            <w:tcW w:w="2609" w:type="dxa"/>
          </w:tcPr>
          <w:p>
            <w:pPr>
              <w:pStyle w:val="0"/>
              <w:jc w:val="center"/>
            </w:pPr>
            <w:r>
              <w:rPr>
                <w:sz w:val="20"/>
              </w:rPr>
              <w:t xml:space="preserve">Показатель, характеризующий объем оказания государственной услуги в социальной сфере (укрупненной государственной услуги)</w:t>
            </w:r>
          </w:p>
        </w:tc>
        <w:tc>
          <w:tcPr>
            <w:gridSpan w:val="5"/>
            <w:tcW w:w="6690" w:type="dxa"/>
          </w:tcPr>
          <w:p>
            <w:pPr>
              <w:pStyle w:val="0"/>
              <w:jc w:val="center"/>
            </w:pPr>
            <w:r>
              <w:rPr>
                <w:sz w:val="20"/>
              </w:rPr>
              <w:t xml:space="preserve">Значение показателя, характеризующего объем оказания государственной услуги в социальной сфере (укрупненной государственной услуги) по способам определения исполнителей государственной услуги в социальной сфере (укрупненной государственной услуги)</w:t>
            </w:r>
          </w:p>
        </w:tc>
      </w:tr>
      <w:tr>
        <w:tc>
          <w:tcPr>
            <w:vMerge w:val="continue"/>
          </w:tcP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gridSpan w:val="2"/>
            <w:tcW w:w="1815" w:type="dxa"/>
          </w:tcPr>
          <w:p>
            <w:pPr>
              <w:pStyle w:val="0"/>
              <w:jc w:val="center"/>
            </w:pPr>
            <w:r>
              <w:rPr>
                <w:sz w:val="20"/>
              </w:rPr>
              <w:t xml:space="preserve">единица измерения</w:t>
            </w:r>
          </w:p>
        </w:tc>
        <w:tc>
          <w:tcPr>
            <w:tcW w:w="794" w:type="dxa"/>
            <w:vMerge w:val="restart"/>
          </w:tcPr>
          <w:p>
            <w:pPr>
              <w:pStyle w:val="0"/>
              <w:jc w:val="center"/>
            </w:pPr>
            <w:r>
              <w:rPr>
                <w:sz w:val="20"/>
              </w:rPr>
              <w:t xml:space="preserve">всего </w:t>
            </w:r>
            <w:hyperlink w:history="0" w:anchor="P1219" w:tooltip="&lt;5&gt; - рассчитывается как сумма граф 8, 9, 10, 11;">
              <w:r>
                <w:rPr>
                  <w:sz w:val="20"/>
                  <w:color w:val="0000ff"/>
                </w:rPr>
                <w:t xml:space="preserve">&lt;5&gt;</w:t>
              </w:r>
            </w:hyperlink>
          </w:p>
        </w:tc>
        <w:tc>
          <w:tcPr>
            <w:gridSpan w:val="4"/>
            <w:tcW w:w="5896"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tcW w:w="851" w:type="dxa"/>
          </w:tcPr>
          <w:p>
            <w:pPr>
              <w:pStyle w:val="0"/>
              <w:jc w:val="center"/>
            </w:pPr>
            <w:r>
              <w:rPr>
                <w:sz w:val="20"/>
              </w:rPr>
              <w:t xml:space="preserve">код по </w:t>
            </w:r>
            <w:hyperlink w:history="0" r:id="rId4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25" w:tooltip="&lt;11&gt; - формируется в соответствии с информацией, включенной в подраздел 4 раздела II настоящего документа;">
              <w:r>
                <w:rPr>
                  <w:sz w:val="20"/>
                  <w:color w:val="0000ff"/>
                </w:rPr>
                <w:t xml:space="preserve">&lt;11&gt;</w:t>
              </w:r>
            </w:hyperlink>
          </w:p>
        </w:tc>
        <w:tc>
          <w:tcPr>
            <w:vMerge w:val="continue"/>
          </w:tcPr>
          <w:p/>
        </w:tc>
        <w:tc>
          <w:tcPr>
            <w:tcW w:w="1701"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26" w:tooltip="&lt;12&gt; -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документа;">
              <w:r>
                <w:rPr>
                  <w:sz w:val="20"/>
                  <w:color w:val="0000ff"/>
                </w:rPr>
                <w:t xml:space="preserve">&lt;12&gt;</w:t>
              </w:r>
            </w:hyperlink>
          </w:p>
        </w:tc>
        <w:tc>
          <w:tcPr>
            <w:tcW w:w="1757"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26" w:tooltip="&lt;12&gt; -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документа;">
              <w:r>
                <w:rPr>
                  <w:sz w:val="20"/>
                  <w:color w:val="0000ff"/>
                </w:rPr>
                <w:t xml:space="preserve">&lt;12&gt;</w:t>
              </w:r>
            </w:hyperlink>
          </w:p>
        </w:tc>
        <w:tc>
          <w:tcPr>
            <w:tcW w:w="1247" w:type="dxa"/>
          </w:tcPr>
          <w:p>
            <w:pPr>
              <w:pStyle w:val="0"/>
              <w:jc w:val="center"/>
            </w:pPr>
            <w:r>
              <w:rPr>
                <w:sz w:val="20"/>
              </w:rPr>
              <w:t xml:space="preserve">в соответствии с конкурсом </w:t>
            </w:r>
            <w:hyperlink w:history="0" w:anchor="P1226" w:tooltip="&lt;12&gt; -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документа;">
              <w:r>
                <w:rPr>
                  <w:sz w:val="20"/>
                  <w:color w:val="0000ff"/>
                </w:rPr>
                <w:t xml:space="preserve">&lt;12&gt;</w:t>
              </w:r>
            </w:hyperlink>
          </w:p>
        </w:tc>
        <w:tc>
          <w:tcPr>
            <w:tcW w:w="1191" w:type="dxa"/>
          </w:tcPr>
          <w:p>
            <w:pPr>
              <w:pStyle w:val="0"/>
              <w:jc w:val="center"/>
            </w:pPr>
            <w:r>
              <w:rPr>
                <w:sz w:val="20"/>
              </w:rPr>
              <w:t xml:space="preserve">в соответствии с социальными сертификатами </w:t>
            </w:r>
            <w:hyperlink w:history="0" w:anchor="P1226" w:tooltip="&lt;12&gt; - формируется в соответствии с показателями, характеризующими объем оказания государственной услуги в социальной сфере, включенными в подраздел 4 раздела II настоящего документа;">
              <w:r>
                <w:rPr>
                  <w:sz w:val="20"/>
                  <w:color w:val="0000ff"/>
                </w:rPr>
                <w:t xml:space="preserve">&lt;12&gt;</w:t>
              </w:r>
            </w:hyperlink>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964" w:type="dxa"/>
          </w:tcPr>
          <w:p>
            <w:pPr>
              <w:pStyle w:val="0"/>
              <w:jc w:val="center"/>
            </w:pPr>
            <w:r>
              <w:rPr>
                <w:sz w:val="20"/>
              </w:rPr>
              <w:t xml:space="preserve">5</w:t>
            </w:r>
          </w:p>
        </w:tc>
        <w:tc>
          <w:tcPr>
            <w:tcW w:w="851" w:type="dxa"/>
          </w:tcPr>
          <w:p>
            <w:pPr>
              <w:pStyle w:val="0"/>
              <w:jc w:val="center"/>
            </w:pPr>
            <w:r>
              <w:rPr>
                <w:sz w:val="20"/>
              </w:rPr>
              <w:t xml:space="preserve">6</w:t>
            </w:r>
          </w:p>
        </w:tc>
        <w:tc>
          <w:tcPr>
            <w:tcW w:w="794" w:type="dxa"/>
          </w:tcPr>
          <w:p>
            <w:pPr>
              <w:pStyle w:val="0"/>
              <w:jc w:val="center"/>
            </w:pPr>
            <w:r>
              <w:rPr>
                <w:sz w:val="20"/>
              </w:rPr>
              <w:t xml:space="preserve">7</w:t>
            </w:r>
          </w:p>
        </w:tc>
        <w:tc>
          <w:tcPr>
            <w:tcW w:w="1701" w:type="dxa"/>
          </w:tcPr>
          <w:p>
            <w:pPr>
              <w:pStyle w:val="0"/>
              <w:jc w:val="center"/>
            </w:pPr>
            <w:r>
              <w:rPr>
                <w:sz w:val="20"/>
              </w:rPr>
              <w:t xml:space="preserve">8</w:t>
            </w:r>
          </w:p>
        </w:tc>
        <w:tc>
          <w:tcPr>
            <w:tcW w:w="1757" w:type="dxa"/>
          </w:tcPr>
          <w:p>
            <w:pPr>
              <w:pStyle w:val="0"/>
              <w:jc w:val="center"/>
            </w:pPr>
            <w:r>
              <w:rPr>
                <w:sz w:val="20"/>
              </w:rPr>
              <w:t xml:space="preserve">9</w:t>
            </w:r>
          </w:p>
        </w:tc>
        <w:tc>
          <w:tcPr>
            <w:tcW w:w="1247" w:type="dxa"/>
          </w:tcPr>
          <w:p>
            <w:pPr>
              <w:pStyle w:val="0"/>
              <w:jc w:val="center"/>
            </w:pPr>
            <w:r>
              <w:rPr>
                <w:sz w:val="20"/>
              </w:rPr>
              <w:t xml:space="preserve">10</w:t>
            </w:r>
          </w:p>
        </w:tc>
        <w:tc>
          <w:tcPr>
            <w:tcW w:w="1191" w:type="dxa"/>
          </w:tcPr>
          <w:p>
            <w:pPr>
              <w:pStyle w:val="0"/>
              <w:jc w:val="center"/>
            </w:pPr>
            <w:r>
              <w:rPr>
                <w:sz w:val="20"/>
              </w:rPr>
              <w:t xml:space="preserve">11</w:t>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tcW w:w="1247"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tcW w:w="1247" w:type="dxa"/>
            <w:vMerge w:val="restart"/>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79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91" w:type="dxa"/>
          </w:tcPr>
          <w:p>
            <w:pPr>
              <w:pStyle w:val="0"/>
            </w:pPr>
            <w:r>
              <w:rPr>
                <w:sz w:val="20"/>
              </w:rPr>
            </w:r>
          </w:p>
        </w:tc>
      </w:tr>
    </w:tbl>
    <w:p>
      <w:pPr>
        <w:pStyle w:val="0"/>
        <w:jc w:val="both"/>
      </w:pPr>
      <w:r>
        <w:rPr>
          <w:sz w:val="20"/>
        </w:rPr>
      </w:r>
    </w:p>
    <w:bookmarkStart w:id="628" w:name="P628"/>
    <w:bookmarkEnd w:id="628"/>
    <w:p>
      <w:pPr>
        <w:pStyle w:val="0"/>
        <w:outlineLvl w:val="2"/>
        <w:jc w:val="center"/>
      </w:pPr>
      <w:r>
        <w:rPr>
          <w:sz w:val="20"/>
        </w:rPr>
        <w:t xml:space="preserve">II. Сведения об объеме оказания государственной услуги</w:t>
      </w:r>
    </w:p>
    <w:p>
      <w:pPr>
        <w:pStyle w:val="0"/>
        <w:jc w:val="center"/>
      </w:pPr>
      <w:r>
        <w:rPr>
          <w:sz w:val="20"/>
        </w:rPr>
        <w:t xml:space="preserve">в социальной сфере (укрупненной государственной услуги)</w:t>
      </w:r>
    </w:p>
    <w:p>
      <w:pPr>
        <w:pStyle w:val="0"/>
        <w:jc w:val="center"/>
      </w:pPr>
      <w:r>
        <w:rPr>
          <w:sz w:val="20"/>
        </w:rPr>
        <w:t xml:space="preserve">в очередном финансовом году и плановом периоде,</w:t>
      </w:r>
    </w:p>
    <w:p>
      <w:pPr>
        <w:pStyle w:val="0"/>
        <w:jc w:val="center"/>
      </w:pPr>
      <w:r>
        <w:rPr>
          <w:sz w:val="20"/>
        </w:rPr>
        <w:t xml:space="preserve">а также за пределами планового периода</w:t>
      </w:r>
    </w:p>
    <w:p>
      <w:pPr>
        <w:pStyle w:val="0"/>
        <w:jc w:val="both"/>
      </w:pPr>
      <w:r>
        <w:rPr>
          <w:sz w:val="20"/>
        </w:rPr>
      </w:r>
    </w:p>
    <w:p>
      <w:pPr>
        <w:pStyle w:val="0"/>
        <w:jc w:val="center"/>
      </w:pPr>
      <w:r>
        <w:rPr>
          <w:sz w:val="20"/>
        </w:rPr>
        <w:t xml:space="preserve">Наименование укрупненной государственной услуги </w:t>
      </w:r>
      <w:hyperlink w:history="0" w:anchor="P1227" w:tooltip="&lt;13&gt; - указывается наименование укрупненной государственной услуги в социальной сфере, под которой для целей настоящего документа понимается несколько государственных услуг в социальной сфере,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государственной услуги в социальной сфере и (или) условиями (формами) оказания государственной услуги в социальной сфе...">
        <w:r>
          <w:rPr>
            <w:sz w:val="20"/>
            <w:color w:val="0000ff"/>
          </w:rPr>
          <w:t xml:space="preserve">&lt;13&gt;</w:t>
        </w:r>
      </w:hyperlink>
    </w:p>
    <w:p>
      <w:pPr>
        <w:pStyle w:val="0"/>
        <w:jc w:val="both"/>
      </w:pPr>
      <w:r>
        <w:rPr>
          <w:sz w:val="20"/>
        </w:rPr>
      </w:r>
    </w:p>
    <w:bookmarkStart w:id="635" w:name="P635"/>
    <w:bookmarkEnd w:id="635"/>
    <w:p>
      <w:pPr>
        <w:pStyle w:val="0"/>
        <w:outlineLvl w:val="3"/>
        <w:jc w:val="center"/>
      </w:pPr>
      <w:r>
        <w:rPr>
          <w:sz w:val="20"/>
        </w:rPr>
        <w:t xml:space="preserve">1.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 год (на очередной финансовый год)</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794"/>
        <w:gridCol w:w="1134"/>
        <w:gridCol w:w="1247"/>
        <w:gridCol w:w="1134"/>
        <w:gridCol w:w="1191"/>
        <w:gridCol w:w="1134"/>
        <w:gridCol w:w="1077"/>
        <w:gridCol w:w="1134"/>
        <w:gridCol w:w="964"/>
        <w:gridCol w:w="851"/>
        <w:gridCol w:w="850"/>
        <w:gridCol w:w="1247"/>
        <w:gridCol w:w="1020"/>
        <w:gridCol w:w="1077"/>
        <w:gridCol w:w="1701"/>
      </w:tblGrid>
      <w:tr>
        <w:tc>
          <w:tcPr>
            <w:tcW w:w="124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4" w:type="dxa"/>
            <w:vMerge w:val="restart"/>
          </w:tcPr>
          <w:p>
            <w:pPr>
              <w:pStyle w:val="0"/>
              <w:jc w:val="center"/>
            </w:pPr>
            <w:r>
              <w:rPr>
                <w:sz w:val="20"/>
              </w:rPr>
              <w:t xml:space="preserve">Уникальный номер реестровой записи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34" w:type="dxa"/>
            <w:vMerge w:val="restart"/>
          </w:tcPr>
          <w:p>
            <w:pPr>
              <w:pStyle w:val="0"/>
              <w:jc w:val="center"/>
            </w:pPr>
            <w:r>
              <w:rPr>
                <w:sz w:val="20"/>
              </w:rPr>
              <w:t xml:space="preserve">Уполномоченный орган или орган власти, уполномоченный на формирование государственного социального заказа </w:t>
            </w:r>
            <w:hyperlink w:history="0" w:anchor="P1229" w:tooltip="&lt;15&gt; - указывается полное наименование уполномоченного органа или органа власти, уполномоченного на формирование социального заказа Республики Саха (Якутия), указанного в пункте 2 Правил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утвержденных постановлением Правительства Республики Саха (Якутия) &quot;О порядке формирования государственных социальных заказов на оказание ...">
              <w:r>
                <w:rPr>
                  <w:sz w:val="20"/>
                  <w:color w:val="0000ff"/>
                </w:rPr>
                <w:t xml:space="preserve">&lt;15&gt;</w:t>
              </w:r>
            </w:hyperlink>
          </w:p>
        </w:tc>
        <w:tc>
          <w:tcPr>
            <w:tcW w:w="1191"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0" w:tooltip="&lt;16&gt; -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Российской Федерации;">
              <w:r>
                <w:rPr>
                  <w:sz w:val="20"/>
                  <w:color w:val="0000ff"/>
                </w:rPr>
                <w:t xml:space="preserve">&lt;16&gt;</w:t>
              </w:r>
            </w:hyperlink>
          </w:p>
        </w:tc>
        <w:tc>
          <w:tcPr>
            <w:tcW w:w="1134"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31" w:tooltip="&lt;17&gt; -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и 9 Федерального закона &quot;О государственном (муниципальном) социальном заказе на оказани...">
              <w:r>
                <w:rPr>
                  <w:sz w:val="20"/>
                  <w:color w:val="0000ff"/>
                </w:rPr>
                <w:t xml:space="preserve">&lt;17&gt;</w:t>
              </w:r>
            </w:hyperlink>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2" w:tooltip="&lt;18&gt; -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2"/>
            <w:tcW w:w="2098"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5"/>
            <w:tcW w:w="5045"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государственной услуги в социальной сфере (государственных услуг в социальной сфере, составляющих укрупненную государственную услугу)</w:t>
            </w:r>
          </w:p>
        </w:tc>
        <w:tc>
          <w:tcPr>
            <w:tcW w:w="1701"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5" w:tooltip="&lt;21&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2 - 15, при принятии уполномоченным органом в соответствии с пунктом 2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vMerge w:val="restart"/>
          </w:tcPr>
          <w:p>
            <w:pPr>
              <w:pStyle w:val="0"/>
              <w:jc w:val="center"/>
            </w:pPr>
            <w:r>
              <w:rPr>
                <w:sz w:val="20"/>
              </w:rPr>
              <w:t xml:space="preserve">наименование показателя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tcPr>
          <w:p>
            <w:pPr>
              <w:pStyle w:val="0"/>
              <w:jc w:val="center"/>
            </w:pPr>
            <w:r>
              <w:rPr>
                <w:sz w:val="20"/>
              </w:rPr>
              <w:t xml:space="preserve">единица измерения</w:t>
            </w:r>
          </w:p>
        </w:tc>
        <w:tc>
          <w:tcPr>
            <w:gridSpan w:val="2"/>
            <w:tcW w:w="1701"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247"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20" w:type="dxa"/>
            <w:vMerge w:val="restart"/>
          </w:tcPr>
          <w:p>
            <w:pPr>
              <w:pStyle w:val="0"/>
              <w:jc w:val="center"/>
            </w:pPr>
            <w:r>
              <w:rPr>
                <w:sz w:val="20"/>
              </w:rPr>
              <w:t xml:space="preserve">в соответствии с конкурсом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077" w:type="dxa"/>
            <w:vMerge w:val="restart"/>
          </w:tcPr>
          <w:p>
            <w:pPr>
              <w:pStyle w:val="0"/>
              <w:jc w:val="center"/>
            </w:pPr>
            <w:r>
              <w:rPr>
                <w:sz w:val="20"/>
              </w:rPr>
              <w:t xml:space="preserve">в соответствии с социальными сертификатами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851" w:type="dxa"/>
          </w:tcPr>
          <w:p>
            <w:pPr>
              <w:pStyle w:val="0"/>
              <w:jc w:val="center"/>
            </w:pPr>
            <w:r>
              <w:rPr>
                <w:sz w:val="20"/>
              </w:rPr>
              <w:t xml:space="preserve">код по </w:t>
            </w:r>
            <w:hyperlink w:history="0" r:id="rId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33" w:tooltip="&lt;19&gt; - заполняется в соответствии с кодом, указанным в перечне государственных услуг (при наличии);">
              <w:r>
                <w:rPr>
                  <w:sz w:val="20"/>
                  <w:color w:val="0000ff"/>
                </w:rPr>
                <w:t xml:space="preserve">&lt;19&gt;</w:t>
              </w:r>
            </w:hyperlink>
          </w:p>
        </w:tc>
        <w:tc>
          <w:tcPr>
            <w:tcW w:w="850" w:type="dxa"/>
          </w:tcPr>
          <w:p>
            <w:pPr>
              <w:pStyle w:val="0"/>
            </w:pPr>
            <w:r>
              <w:rPr>
                <w:sz w:val="20"/>
              </w:rPr>
            </w:r>
          </w:p>
        </w:tc>
        <w:tc>
          <w:tcPr>
            <w:vMerge w:val="continue"/>
          </w:tcP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794" w:type="dxa"/>
          </w:tcPr>
          <w:p>
            <w:pPr>
              <w:pStyle w:val="0"/>
              <w:jc w:val="center"/>
            </w:pPr>
            <w:r>
              <w:rPr>
                <w:sz w:val="20"/>
              </w:rPr>
              <w:t xml:space="preserve">2</w:t>
            </w:r>
          </w:p>
        </w:tc>
        <w:tc>
          <w:tcPr>
            <w:tcW w:w="1134" w:type="dxa"/>
          </w:tcPr>
          <w:p>
            <w:pPr>
              <w:pStyle w:val="0"/>
              <w:jc w:val="center"/>
            </w:pPr>
            <w:r>
              <w:rPr>
                <w:sz w:val="20"/>
              </w:rPr>
              <w:t xml:space="preserve">3</w:t>
            </w:r>
          </w:p>
        </w:tc>
        <w:tc>
          <w:tcPr>
            <w:tcW w:w="1247"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077" w:type="dxa"/>
          </w:tcPr>
          <w:p>
            <w:pPr>
              <w:pStyle w:val="0"/>
              <w:jc w:val="center"/>
            </w:pPr>
            <w:r>
              <w:rPr>
                <w:sz w:val="20"/>
              </w:rPr>
              <w:t xml:space="preserve">8</w:t>
            </w:r>
          </w:p>
        </w:tc>
        <w:tc>
          <w:tcPr>
            <w:tcW w:w="1134" w:type="dxa"/>
          </w:tcPr>
          <w:p>
            <w:pPr>
              <w:pStyle w:val="0"/>
              <w:jc w:val="center"/>
            </w:pPr>
            <w:r>
              <w:rPr>
                <w:sz w:val="20"/>
              </w:rPr>
              <w:t xml:space="preserve">9</w:t>
            </w:r>
          </w:p>
        </w:tc>
        <w:tc>
          <w:tcPr>
            <w:tcW w:w="964" w:type="dxa"/>
          </w:tcPr>
          <w:p>
            <w:pPr>
              <w:pStyle w:val="0"/>
              <w:jc w:val="center"/>
            </w:pPr>
            <w:r>
              <w:rPr>
                <w:sz w:val="20"/>
              </w:rPr>
              <w:t xml:space="preserve">10</w:t>
            </w:r>
          </w:p>
        </w:tc>
        <w:tc>
          <w:tcPr>
            <w:tcW w:w="851" w:type="dxa"/>
          </w:tcPr>
          <w:p>
            <w:pPr>
              <w:pStyle w:val="0"/>
              <w:jc w:val="center"/>
            </w:pPr>
            <w:r>
              <w:rPr>
                <w:sz w:val="20"/>
              </w:rPr>
              <w:t xml:space="preserve">11</w:t>
            </w:r>
          </w:p>
        </w:tc>
        <w:tc>
          <w:tcPr>
            <w:tcW w:w="850" w:type="dxa"/>
          </w:tcPr>
          <w:p>
            <w:pPr>
              <w:pStyle w:val="0"/>
              <w:jc w:val="center"/>
            </w:pPr>
            <w:r>
              <w:rPr>
                <w:sz w:val="20"/>
              </w:rPr>
              <w:t xml:space="preserve">12</w:t>
            </w:r>
          </w:p>
        </w:tc>
        <w:tc>
          <w:tcPr>
            <w:tcW w:w="1247" w:type="dxa"/>
          </w:tcPr>
          <w:p>
            <w:pPr>
              <w:pStyle w:val="0"/>
              <w:jc w:val="center"/>
            </w:pPr>
            <w:r>
              <w:rPr>
                <w:sz w:val="20"/>
              </w:rPr>
              <w:t xml:space="preserve">13</w:t>
            </w:r>
          </w:p>
        </w:tc>
        <w:tc>
          <w:tcPr>
            <w:tcW w:w="1020" w:type="dxa"/>
          </w:tcPr>
          <w:p>
            <w:pPr>
              <w:pStyle w:val="0"/>
              <w:jc w:val="center"/>
            </w:pPr>
            <w:r>
              <w:rPr>
                <w:sz w:val="20"/>
              </w:rPr>
              <w:t xml:space="preserve">14</w:t>
            </w:r>
          </w:p>
        </w:tc>
        <w:tc>
          <w:tcPr>
            <w:tcW w:w="1077" w:type="dxa"/>
          </w:tcPr>
          <w:p>
            <w:pPr>
              <w:pStyle w:val="0"/>
              <w:jc w:val="center"/>
            </w:pPr>
            <w:r>
              <w:rPr>
                <w:sz w:val="20"/>
              </w:rPr>
              <w:t xml:space="preserve">15</w:t>
            </w:r>
          </w:p>
        </w:tc>
        <w:tc>
          <w:tcPr>
            <w:tcW w:w="1701" w:type="dxa"/>
          </w:tcPr>
          <w:p>
            <w:pPr>
              <w:pStyle w:val="0"/>
              <w:jc w:val="center"/>
            </w:pPr>
            <w:r>
              <w:rPr>
                <w:sz w:val="20"/>
              </w:rPr>
              <w:t xml:space="preserve">16</w:t>
            </w:r>
          </w:p>
        </w:tc>
      </w:tr>
      <w:tr>
        <w:tc>
          <w:tcPr>
            <w:tcW w:w="1247" w:type="dxa"/>
            <w:vMerge w:val="restart"/>
          </w:tcPr>
          <w:p>
            <w:pPr>
              <w:pStyle w:val="0"/>
            </w:pPr>
            <w:r>
              <w:rPr>
                <w:sz w:val="20"/>
              </w:rPr>
            </w:r>
          </w:p>
        </w:tc>
        <w:tc>
          <w:tcPr>
            <w:tcW w:w="794" w:type="dxa"/>
            <w:vMerge w:val="restart"/>
          </w:tcPr>
          <w:p>
            <w:pPr>
              <w:pStyle w:val="0"/>
            </w:pPr>
            <w:r>
              <w:rPr>
                <w:sz w:val="20"/>
              </w:rPr>
            </w:r>
          </w:p>
        </w:tc>
        <w:tc>
          <w:tcPr>
            <w:tcW w:w="1134" w:type="dxa"/>
            <w:vMerge w:val="restart"/>
          </w:tcPr>
          <w:p>
            <w:pPr>
              <w:pStyle w:val="0"/>
            </w:pPr>
            <w:r>
              <w:rPr>
                <w:sz w:val="20"/>
              </w:rPr>
            </w:r>
          </w:p>
        </w:tc>
        <w:tc>
          <w:tcPr>
            <w:tcW w:w="1247" w:type="dxa"/>
            <w:vMerge w:val="restart"/>
          </w:tcPr>
          <w:p>
            <w:pPr>
              <w:pStyle w:val="0"/>
            </w:pPr>
            <w:r>
              <w:rPr>
                <w:sz w:val="20"/>
              </w:rPr>
            </w:r>
          </w:p>
        </w:tc>
        <w:tc>
          <w:tcPr>
            <w:tcW w:w="1134" w:type="dxa"/>
            <w:vMerge w:val="restart"/>
          </w:tcPr>
          <w:p>
            <w:pPr>
              <w:pStyle w:val="0"/>
            </w:pPr>
            <w:r>
              <w:rPr>
                <w:sz w:val="20"/>
              </w:rPr>
            </w:r>
          </w:p>
        </w:tc>
        <w:tc>
          <w:tcPr>
            <w:tcW w:w="1191"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vMerge w:val="restart"/>
          </w:tcPr>
          <w:p>
            <w:pPr>
              <w:pStyle w:val="0"/>
            </w:pPr>
            <w:r>
              <w:rPr>
                <w:sz w:val="20"/>
              </w:rPr>
            </w:r>
          </w:p>
        </w:tc>
        <w:tc>
          <w:tcPr>
            <w:tcW w:w="1077" w:type="dxa"/>
            <w:vMerge w:val="restart"/>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r>
        <w:tblPrEx>
          <w:tblBorders>
            <w:left w:val="nil"/>
          </w:tblBorders>
        </w:tblPrEx>
        <w:tc>
          <w:tcPr>
            <w:gridSpan w:val="5"/>
            <w:tcW w:w="5556" w:type="dxa"/>
            <w:tcBorders>
              <w:left w:val="nil"/>
              <w:bottom w:val="nil"/>
            </w:tcBorders>
          </w:tcPr>
          <w:p>
            <w:pPr>
              <w:pStyle w:val="0"/>
            </w:pPr>
            <w:r>
              <w:rPr>
                <w:sz w:val="20"/>
              </w:rPr>
            </w:r>
          </w:p>
        </w:tc>
        <w:tc>
          <w:tcPr>
            <w:tcW w:w="1191" w:type="dxa"/>
          </w:tcPr>
          <w:p>
            <w:pPr>
              <w:pStyle w:val="0"/>
              <w:jc w:val="center"/>
            </w:pPr>
            <w:r>
              <w:rPr>
                <w:sz w:val="20"/>
              </w:rPr>
              <w:t xml:space="preserve">Итого</w:t>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851"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701" w:type="dxa"/>
          </w:tcPr>
          <w:p>
            <w:pPr>
              <w:pStyle w:val="0"/>
            </w:pPr>
            <w:r>
              <w:rPr>
                <w:sz w:val="20"/>
              </w:rPr>
            </w:r>
          </w:p>
        </w:tc>
      </w:tr>
    </w:tbl>
    <w:p>
      <w:pPr>
        <w:pStyle w:val="0"/>
        <w:jc w:val="both"/>
      </w:pPr>
      <w:r>
        <w:rPr>
          <w:sz w:val="20"/>
        </w:rPr>
      </w:r>
    </w:p>
    <w:bookmarkStart w:id="765" w:name="P765"/>
    <w:bookmarkEnd w:id="765"/>
    <w:p>
      <w:pPr>
        <w:pStyle w:val="0"/>
        <w:outlineLvl w:val="3"/>
        <w:jc w:val="center"/>
      </w:pPr>
      <w:r>
        <w:rPr>
          <w:sz w:val="20"/>
        </w:rPr>
        <w:t xml:space="preserve">2.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20____ год (на первый год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794"/>
        <w:gridCol w:w="1077"/>
        <w:gridCol w:w="1191"/>
        <w:gridCol w:w="1077"/>
        <w:gridCol w:w="1134"/>
        <w:gridCol w:w="1020"/>
        <w:gridCol w:w="1134"/>
        <w:gridCol w:w="1020"/>
        <w:gridCol w:w="737"/>
        <w:gridCol w:w="798"/>
        <w:gridCol w:w="1474"/>
        <w:gridCol w:w="1191"/>
        <w:gridCol w:w="850"/>
        <w:gridCol w:w="964"/>
        <w:gridCol w:w="1701"/>
      </w:tblGrid>
      <w:tr>
        <w:tc>
          <w:tcPr>
            <w:tcW w:w="124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4" w:type="dxa"/>
            <w:vMerge w:val="restart"/>
          </w:tcPr>
          <w:p>
            <w:pPr>
              <w:pStyle w:val="0"/>
              <w:jc w:val="center"/>
            </w:pPr>
            <w:r>
              <w:rPr>
                <w:sz w:val="20"/>
              </w:rPr>
              <w:t xml:space="preserve">Уникальный номер реестровой записи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91"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77" w:type="dxa"/>
            <w:vMerge w:val="restart"/>
          </w:tcPr>
          <w:p>
            <w:pPr>
              <w:pStyle w:val="0"/>
              <w:jc w:val="center"/>
            </w:pPr>
            <w:r>
              <w:rPr>
                <w:sz w:val="20"/>
              </w:rPr>
              <w:t xml:space="preserve">Уполномоченный орган или орган власти, уполномоченный на формирование государственного социального заказа </w:t>
            </w:r>
            <w:hyperlink w:history="0" w:anchor="P1229" w:tooltip="&lt;15&gt; - указывается полное наименование уполномоченного органа или органа власти, уполномоченного на формирование социального заказа Республики Саха (Якутия), указанного в пункте 2 Правил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утвержденных постановлением Правительства Республики Саха (Якутия) &quot;О порядке формирования государственных социальных заказов на оказание ...">
              <w:r>
                <w:rPr>
                  <w:sz w:val="20"/>
                  <w:color w:val="0000ff"/>
                </w:rPr>
                <w:t xml:space="preserve">&lt;15&gt;</w:t>
              </w:r>
            </w:hyperlink>
          </w:p>
        </w:tc>
        <w:tc>
          <w:tcPr>
            <w:tcW w:w="1134"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0" w:tooltip="&lt;16&gt; -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Российской Федерации;">
              <w:r>
                <w:rPr>
                  <w:sz w:val="20"/>
                  <w:color w:val="0000ff"/>
                </w:rPr>
                <w:t xml:space="preserve">&lt;16&gt;</w:t>
              </w:r>
            </w:hyperlink>
          </w:p>
        </w:tc>
        <w:tc>
          <w:tcPr>
            <w:tcW w:w="1020"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31" w:tooltip="&lt;17&gt; -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и 9 Федерального закона &quot;О государственном (муниципальном) социальном заказе на оказани...">
              <w:r>
                <w:rPr>
                  <w:sz w:val="20"/>
                  <w:color w:val="0000ff"/>
                </w:rPr>
                <w:t xml:space="preserve">&lt;17&gt;</w:t>
              </w:r>
            </w:hyperlink>
          </w:p>
        </w:tc>
        <w:tc>
          <w:tcPr>
            <w:tcW w:w="1134"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2" w:tooltip="&lt;18&gt; -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555"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447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государственной услуги в социальной сфере (государственных услуг в социальной сфере, составляющих укрупненную государственную услугу)</w:t>
            </w:r>
          </w:p>
        </w:tc>
        <w:tc>
          <w:tcPr>
            <w:tcW w:w="1701"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5" w:tooltip="&lt;21&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2 - 15, при принятии уполномоченным органом в соответствии с пунктом 2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Merge w:val="restart"/>
          </w:tcPr>
          <w:p>
            <w:pPr>
              <w:pStyle w:val="0"/>
              <w:jc w:val="center"/>
            </w:pPr>
            <w:r>
              <w:rPr>
                <w:sz w:val="20"/>
              </w:rPr>
              <w:t xml:space="preserve">наименование показателя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535" w:type="dxa"/>
          </w:tcPr>
          <w:p>
            <w:pPr>
              <w:pStyle w:val="0"/>
              <w:jc w:val="center"/>
            </w:pPr>
            <w:r>
              <w:rPr>
                <w:sz w:val="20"/>
              </w:rPr>
              <w:t xml:space="preserve">единица измерения</w:t>
            </w:r>
          </w:p>
        </w:tc>
        <w:tc>
          <w:tcPr>
            <w:tcW w:w="1474" w:type="dxa"/>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191"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850" w:type="dxa"/>
            <w:vMerge w:val="restart"/>
          </w:tcPr>
          <w:p>
            <w:pPr>
              <w:pStyle w:val="0"/>
              <w:jc w:val="center"/>
            </w:pPr>
            <w:r>
              <w:rPr>
                <w:sz w:val="20"/>
              </w:rPr>
              <w:t xml:space="preserve">в соответствии с конкурсом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964" w:type="dxa"/>
            <w:vMerge w:val="restart"/>
          </w:tcPr>
          <w:p>
            <w:pPr>
              <w:pStyle w:val="0"/>
              <w:jc w:val="center"/>
            </w:pPr>
            <w:r>
              <w:rPr>
                <w:sz w:val="20"/>
              </w:rPr>
              <w:t xml:space="preserve">в соответствии с социальными сертификатами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8" w:type="dxa"/>
          </w:tcPr>
          <w:p>
            <w:pPr>
              <w:pStyle w:val="0"/>
              <w:jc w:val="center"/>
            </w:pPr>
            <w:r>
              <w:rPr>
                <w:sz w:val="20"/>
              </w:rPr>
              <w:t xml:space="preserve">код по </w:t>
            </w:r>
            <w:hyperlink w:history="0" r:id="rId4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33" w:tooltip="&lt;19&gt; -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794" w:type="dxa"/>
          </w:tcPr>
          <w:p>
            <w:pPr>
              <w:pStyle w:val="0"/>
              <w:jc w:val="center"/>
            </w:pPr>
            <w:r>
              <w:rPr>
                <w:sz w:val="20"/>
              </w:rPr>
              <w:t xml:space="preserve">2</w:t>
            </w:r>
          </w:p>
        </w:tc>
        <w:tc>
          <w:tcPr>
            <w:tcW w:w="1077" w:type="dxa"/>
          </w:tcPr>
          <w:p>
            <w:pPr>
              <w:pStyle w:val="0"/>
              <w:jc w:val="center"/>
            </w:pPr>
            <w:r>
              <w:rPr>
                <w:sz w:val="20"/>
              </w:rPr>
              <w:t xml:space="preserve">3</w:t>
            </w:r>
          </w:p>
        </w:tc>
        <w:tc>
          <w:tcPr>
            <w:tcW w:w="1191" w:type="dxa"/>
          </w:tcPr>
          <w:p>
            <w:pPr>
              <w:pStyle w:val="0"/>
              <w:jc w:val="center"/>
            </w:pPr>
            <w:r>
              <w:rPr>
                <w:sz w:val="20"/>
              </w:rPr>
              <w:t xml:space="preserve">4</w:t>
            </w:r>
          </w:p>
        </w:tc>
        <w:tc>
          <w:tcPr>
            <w:tcW w:w="1077" w:type="dxa"/>
          </w:tcPr>
          <w:p>
            <w:pPr>
              <w:pStyle w:val="0"/>
              <w:jc w:val="center"/>
            </w:pPr>
            <w:r>
              <w:rPr>
                <w:sz w:val="20"/>
              </w:rPr>
              <w:t xml:space="preserve">5</w:t>
            </w:r>
          </w:p>
        </w:tc>
        <w:tc>
          <w:tcPr>
            <w:tcW w:w="1134" w:type="dxa"/>
          </w:tcPr>
          <w:p>
            <w:pPr>
              <w:pStyle w:val="0"/>
              <w:jc w:val="center"/>
            </w:pPr>
            <w:r>
              <w:rPr>
                <w:sz w:val="20"/>
              </w:rPr>
              <w:t xml:space="preserve">6</w:t>
            </w:r>
          </w:p>
        </w:tc>
        <w:tc>
          <w:tcPr>
            <w:tcW w:w="1020" w:type="dxa"/>
          </w:tcPr>
          <w:p>
            <w:pPr>
              <w:pStyle w:val="0"/>
              <w:jc w:val="center"/>
            </w:pPr>
            <w:r>
              <w:rPr>
                <w:sz w:val="20"/>
              </w:rPr>
              <w:t xml:space="preserve">7</w:t>
            </w:r>
          </w:p>
        </w:tc>
        <w:tc>
          <w:tcPr>
            <w:tcW w:w="1134" w:type="dxa"/>
          </w:tcPr>
          <w:p>
            <w:pPr>
              <w:pStyle w:val="0"/>
              <w:jc w:val="center"/>
            </w:pPr>
            <w:r>
              <w:rPr>
                <w:sz w:val="20"/>
              </w:rPr>
              <w:t xml:space="preserve">8</w:t>
            </w:r>
          </w:p>
        </w:tc>
        <w:tc>
          <w:tcPr>
            <w:tcW w:w="1020" w:type="dxa"/>
          </w:tcPr>
          <w:p>
            <w:pPr>
              <w:pStyle w:val="0"/>
              <w:jc w:val="center"/>
            </w:pPr>
            <w:r>
              <w:rPr>
                <w:sz w:val="20"/>
              </w:rPr>
              <w:t xml:space="preserve">9</w:t>
            </w:r>
          </w:p>
        </w:tc>
        <w:tc>
          <w:tcPr>
            <w:tcW w:w="737" w:type="dxa"/>
          </w:tcPr>
          <w:p>
            <w:pPr>
              <w:pStyle w:val="0"/>
              <w:jc w:val="center"/>
            </w:pPr>
            <w:r>
              <w:rPr>
                <w:sz w:val="20"/>
              </w:rPr>
              <w:t xml:space="preserve">10</w:t>
            </w:r>
          </w:p>
        </w:tc>
        <w:tc>
          <w:tcPr>
            <w:tcW w:w="798" w:type="dxa"/>
          </w:tcPr>
          <w:p>
            <w:pPr>
              <w:pStyle w:val="0"/>
              <w:jc w:val="center"/>
            </w:pPr>
            <w:r>
              <w:rPr>
                <w:sz w:val="20"/>
              </w:rPr>
              <w:t xml:space="preserve">11</w:t>
            </w:r>
          </w:p>
        </w:tc>
        <w:tc>
          <w:tcPr>
            <w:tcW w:w="1474" w:type="dxa"/>
          </w:tcPr>
          <w:p>
            <w:pPr>
              <w:pStyle w:val="0"/>
              <w:jc w:val="center"/>
            </w:pPr>
            <w:r>
              <w:rPr>
                <w:sz w:val="20"/>
              </w:rPr>
              <w:t xml:space="preserve">12</w:t>
            </w:r>
          </w:p>
        </w:tc>
        <w:tc>
          <w:tcPr>
            <w:tcW w:w="1191" w:type="dxa"/>
          </w:tcPr>
          <w:p>
            <w:pPr>
              <w:pStyle w:val="0"/>
              <w:jc w:val="center"/>
            </w:pPr>
            <w:r>
              <w:rPr>
                <w:sz w:val="20"/>
              </w:rPr>
              <w:t xml:space="preserve">13</w:t>
            </w:r>
          </w:p>
        </w:tc>
        <w:tc>
          <w:tcPr>
            <w:tcW w:w="850" w:type="dxa"/>
          </w:tcPr>
          <w:p>
            <w:pPr>
              <w:pStyle w:val="0"/>
              <w:jc w:val="center"/>
            </w:pPr>
            <w:r>
              <w:rPr>
                <w:sz w:val="20"/>
              </w:rPr>
              <w:t xml:space="preserve">14</w:t>
            </w:r>
          </w:p>
        </w:tc>
        <w:tc>
          <w:tcPr>
            <w:tcW w:w="964" w:type="dxa"/>
          </w:tcPr>
          <w:p>
            <w:pPr>
              <w:pStyle w:val="0"/>
              <w:jc w:val="center"/>
            </w:pPr>
            <w:r>
              <w:rPr>
                <w:sz w:val="20"/>
              </w:rPr>
              <w:t xml:space="preserve">15</w:t>
            </w:r>
          </w:p>
        </w:tc>
        <w:tc>
          <w:tcPr>
            <w:tcW w:w="1701" w:type="dxa"/>
          </w:tcPr>
          <w:p>
            <w:pPr>
              <w:pStyle w:val="0"/>
              <w:jc w:val="center"/>
            </w:pPr>
            <w:r>
              <w:rPr>
                <w:sz w:val="20"/>
              </w:rPr>
              <w:t xml:space="preserve">16</w:t>
            </w:r>
          </w:p>
        </w:tc>
      </w:tr>
      <w:tr>
        <w:tc>
          <w:tcPr>
            <w:tcW w:w="1247" w:type="dxa"/>
            <w:vMerge w:val="restart"/>
          </w:tcPr>
          <w:p>
            <w:pPr>
              <w:pStyle w:val="0"/>
            </w:pPr>
            <w:r>
              <w:rPr>
                <w:sz w:val="20"/>
              </w:rPr>
            </w:r>
          </w:p>
        </w:tc>
        <w:tc>
          <w:tcPr>
            <w:tcW w:w="794" w:type="dxa"/>
            <w:vMerge w:val="restart"/>
          </w:tcPr>
          <w:p>
            <w:pPr>
              <w:pStyle w:val="0"/>
            </w:pPr>
            <w:r>
              <w:rPr>
                <w:sz w:val="20"/>
              </w:rPr>
            </w:r>
          </w:p>
        </w:tc>
        <w:tc>
          <w:tcPr>
            <w:tcW w:w="1077" w:type="dxa"/>
            <w:vMerge w:val="restart"/>
          </w:tcPr>
          <w:p>
            <w:pPr>
              <w:pStyle w:val="0"/>
            </w:pPr>
            <w:r>
              <w:rPr>
                <w:sz w:val="20"/>
              </w:rPr>
            </w:r>
          </w:p>
        </w:tc>
        <w:tc>
          <w:tcPr>
            <w:tcW w:w="1191" w:type="dxa"/>
            <w:vMerge w:val="restart"/>
          </w:tcPr>
          <w:p>
            <w:pPr>
              <w:pStyle w:val="0"/>
            </w:pPr>
            <w:r>
              <w:rPr>
                <w:sz w:val="20"/>
              </w:rPr>
            </w:r>
          </w:p>
        </w:tc>
        <w:tc>
          <w:tcPr>
            <w:tcW w:w="1077" w:type="dxa"/>
            <w:vMerge w:val="restart"/>
          </w:tcPr>
          <w:p>
            <w:pPr>
              <w:pStyle w:val="0"/>
            </w:pPr>
            <w:r>
              <w:rPr>
                <w:sz w:val="20"/>
              </w:rPr>
            </w:r>
          </w:p>
        </w:tc>
        <w:tc>
          <w:tcPr>
            <w:tcW w:w="1134" w:type="dxa"/>
            <w:vMerge w:val="restart"/>
          </w:tcPr>
          <w:p>
            <w:pPr>
              <w:pStyle w:val="0"/>
            </w:pPr>
            <w:r>
              <w:rPr>
                <w:sz w:val="20"/>
              </w:rPr>
            </w:r>
          </w:p>
        </w:tc>
        <w:tc>
          <w:tcPr>
            <w:tcW w:w="1020" w:type="dxa"/>
            <w:vMerge w:val="restart"/>
          </w:tcPr>
          <w:p>
            <w:pPr>
              <w:pStyle w:val="0"/>
            </w:pPr>
            <w:r>
              <w:rPr>
                <w:sz w:val="20"/>
              </w:rPr>
            </w:r>
          </w:p>
        </w:tc>
        <w:tc>
          <w:tcPr>
            <w:tcW w:w="1134" w:type="dxa"/>
            <w:vMerge w:val="restart"/>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vMerge w:val="restart"/>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vMerge w:val="restart"/>
          </w:tcPr>
          <w:p>
            <w:pPr>
              <w:pStyle w:val="0"/>
            </w:pPr>
            <w:r>
              <w:rPr>
                <w:sz w:val="20"/>
              </w:rPr>
            </w:r>
          </w:p>
        </w:tc>
        <w:tc>
          <w:tcPr>
            <w:tcW w:w="1134" w:type="dxa"/>
            <w:vMerge w:val="restart"/>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134" w:type="dxa"/>
            <w:vMerge w:val="restart"/>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blPrEx>
          <w:tblBorders>
            <w:left w:val="nil"/>
            <w:right w:val="nil"/>
          </w:tblBorders>
        </w:tblPrEx>
        <w:tc>
          <w:tcPr>
            <w:gridSpan w:val="5"/>
            <w:tcW w:w="5386" w:type="dxa"/>
            <w:tcBorders>
              <w:left w:val="nil"/>
              <w:bottom w:val="nil"/>
              <w:right w:val="nil"/>
            </w:tcBorders>
          </w:tcPr>
          <w:p>
            <w:pPr>
              <w:pStyle w:val="0"/>
            </w:pPr>
            <w:r>
              <w:rPr>
                <w:sz w:val="20"/>
              </w:rPr>
            </w:r>
          </w:p>
        </w:tc>
        <w:tc>
          <w:tcPr>
            <w:tcW w:w="1134" w:type="dxa"/>
            <w:tcBorders>
              <w:left w:val="nil"/>
              <w:bottom w:val="nil"/>
            </w:tcBorders>
          </w:tcPr>
          <w:p>
            <w:pPr>
              <w:pStyle w:val="0"/>
              <w:jc w:val="center"/>
            </w:pPr>
            <w:r>
              <w:rPr>
                <w:sz w:val="20"/>
              </w:rPr>
              <w:t xml:space="preserve">Итого</w:t>
            </w:r>
          </w:p>
        </w:tc>
        <w:tc>
          <w:tcPr>
            <w:tcW w:w="1020"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98" w:type="dxa"/>
          </w:tcPr>
          <w:p>
            <w:pPr>
              <w:pStyle w:val="0"/>
            </w:pPr>
            <w:r>
              <w:rPr>
                <w:sz w:val="20"/>
              </w:rPr>
            </w:r>
          </w:p>
        </w:tc>
        <w:tc>
          <w:tcPr>
            <w:tcW w:w="1474"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bookmarkStart w:id="894" w:name="P894"/>
    <w:bookmarkEnd w:id="894"/>
    <w:p>
      <w:pPr>
        <w:pStyle w:val="0"/>
        <w:outlineLvl w:val="3"/>
        <w:jc w:val="center"/>
      </w:pPr>
      <w:r>
        <w:rPr>
          <w:sz w:val="20"/>
        </w:rPr>
        <w:t xml:space="preserve">3.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20____ год (на второй год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794"/>
        <w:gridCol w:w="1077"/>
        <w:gridCol w:w="1191"/>
        <w:gridCol w:w="1077"/>
        <w:gridCol w:w="1134"/>
        <w:gridCol w:w="1077"/>
        <w:gridCol w:w="1077"/>
        <w:gridCol w:w="964"/>
        <w:gridCol w:w="709"/>
        <w:gridCol w:w="794"/>
        <w:gridCol w:w="1531"/>
        <w:gridCol w:w="1191"/>
        <w:gridCol w:w="794"/>
        <w:gridCol w:w="992"/>
        <w:gridCol w:w="1701"/>
      </w:tblGrid>
      <w:tr>
        <w:tc>
          <w:tcPr>
            <w:tcW w:w="124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4" w:type="dxa"/>
            <w:vMerge w:val="restart"/>
          </w:tcPr>
          <w:p>
            <w:pPr>
              <w:pStyle w:val="0"/>
              <w:jc w:val="center"/>
            </w:pPr>
            <w:r>
              <w:rPr>
                <w:sz w:val="20"/>
              </w:rPr>
              <w:t xml:space="preserve">Уникальный номер реестровой записи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191"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77" w:type="dxa"/>
            <w:vMerge w:val="restart"/>
          </w:tcPr>
          <w:p>
            <w:pPr>
              <w:pStyle w:val="0"/>
              <w:jc w:val="center"/>
            </w:pPr>
            <w:r>
              <w:rPr>
                <w:sz w:val="20"/>
              </w:rPr>
              <w:t xml:space="preserve">Уполномоченный орган или орган власти, уполномоченный на формирование государственного социального заказа </w:t>
            </w:r>
            <w:hyperlink w:history="0" w:anchor="P1229" w:tooltip="&lt;15&gt; - указывается полное наименование уполномоченного органа или органа власти, уполномоченного на формирование социального заказа Республики Саха (Якутия), указанного в пункте 2 Правил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утвержденных постановлением Правительства Республики Саха (Якутия) &quot;О порядке формирования государственных социальных заказов на оказание ...">
              <w:r>
                <w:rPr>
                  <w:sz w:val="20"/>
                  <w:color w:val="0000ff"/>
                </w:rPr>
                <w:t xml:space="preserve">&lt;15&gt;</w:t>
              </w:r>
            </w:hyperlink>
          </w:p>
        </w:tc>
        <w:tc>
          <w:tcPr>
            <w:tcW w:w="1134"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0" w:tooltip="&lt;16&gt; -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Российской Федерации;">
              <w:r>
                <w:rPr>
                  <w:sz w:val="20"/>
                  <w:color w:val="0000ff"/>
                </w:rPr>
                <w:t xml:space="preserve">&lt;16&gt;</w:t>
              </w:r>
            </w:hyperlink>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31" w:tooltip="&lt;17&gt; -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и 9 Федерального закона &quot;О государственном (муниципальном) социальном заказе на оказани...">
              <w:r>
                <w:rPr>
                  <w:sz w:val="20"/>
                  <w:color w:val="0000ff"/>
                </w:rPr>
                <w:t xml:space="preserve">&lt;17&gt;</w:t>
              </w:r>
            </w:hyperlink>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2" w:tooltip="&lt;18&gt; -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467"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4508"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государственной услуги в социальной сфере (государственных услуг в социальной сфере, составляющих укрупненную государственную услугу)</w:t>
            </w:r>
          </w:p>
        </w:tc>
        <w:tc>
          <w:tcPr>
            <w:tcW w:w="1701"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5" w:tooltip="&lt;21&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2 - 15, при принятии уполномоченным органом в соответствии с пунктом 2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vMerge w:val="restart"/>
          </w:tcPr>
          <w:p>
            <w:pPr>
              <w:pStyle w:val="0"/>
              <w:jc w:val="center"/>
            </w:pPr>
            <w:r>
              <w:rPr>
                <w:sz w:val="20"/>
              </w:rPr>
              <w:t xml:space="preserve">наименование показателя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503" w:type="dxa"/>
          </w:tcPr>
          <w:p>
            <w:pPr>
              <w:pStyle w:val="0"/>
              <w:jc w:val="center"/>
            </w:pPr>
            <w:r>
              <w:rPr>
                <w:sz w:val="20"/>
              </w:rPr>
              <w:t xml:space="preserve">единица измерения</w:t>
            </w:r>
          </w:p>
        </w:tc>
        <w:tc>
          <w:tcPr>
            <w:tcW w:w="1531" w:type="dxa"/>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191"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794" w:type="dxa"/>
            <w:vMerge w:val="restart"/>
          </w:tcPr>
          <w:p>
            <w:pPr>
              <w:pStyle w:val="0"/>
              <w:jc w:val="center"/>
            </w:pPr>
            <w:r>
              <w:rPr>
                <w:sz w:val="20"/>
              </w:rPr>
              <w:t xml:space="preserve">в соответствии с конкурсом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992" w:type="dxa"/>
            <w:vMerge w:val="restart"/>
          </w:tcPr>
          <w:p>
            <w:pPr>
              <w:pStyle w:val="0"/>
              <w:jc w:val="center"/>
            </w:pPr>
            <w:r>
              <w:rPr>
                <w:sz w:val="20"/>
              </w:rPr>
              <w:t xml:space="preserve">в соответствии с социальными сертификатами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09" w:type="dxa"/>
          </w:tcPr>
          <w:p>
            <w:pPr>
              <w:pStyle w:val="0"/>
              <w:jc w:val="center"/>
            </w:pPr>
            <w:r>
              <w:rPr>
                <w:sz w:val="20"/>
              </w:rPr>
              <w:t xml:space="preserve">наименование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4" w:type="dxa"/>
          </w:tcPr>
          <w:p>
            <w:pPr>
              <w:pStyle w:val="0"/>
              <w:jc w:val="center"/>
            </w:pPr>
            <w:r>
              <w:rPr>
                <w:sz w:val="20"/>
              </w:rPr>
              <w:t xml:space="preserve">код по </w:t>
            </w:r>
            <w:hyperlink w:history="0" r:id="rId4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33" w:tooltip="&lt;19&gt; -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794" w:type="dxa"/>
          </w:tcPr>
          <w:p>
            <w:pPr>
              <w:pStyle w:val="0"/>
              <w:jc w:val="center"/>
            </w:pPr>
            <w:r>
              <w:rPr>
                <w:sz w:val="20"/>
              </w:rPr>
              <w:t xml:space="preserve">2</w:t>
            </w:r>
          </w:p>
        </w:tc>
        <w:tc>
          <w:tcPr>
            <w:tcW w:w="1077" w:type="dxa"/>
          </w:tcPr>
          <w:p>
            <w:pPr>
              <w:pStyle w:val="0"/>
              <w:jc w:val="center"/>
            </w:pPr>
            <w:r>
              <w:rPr>
                <w:sz w:val="20"/>
              </w:rPr>
              <w:t xml:space="preserve">3</w:t>
            </w:r>
          </w:p>
        </w:tc>
        <w:tc>
          <w:tcPr>
            <w:tcW w:w="1191" w:type="dxa"/>
          </w:tcPr>
          <w:p>
            <w:pPr>
              <w:pStyle w:val="0"/>
              <w:jc w:val="center"/>
            </w:pPr>
            <w:r>
              <w:rPr>
                <w:sz w:val="20"/>
              </w:rPr>
              <w:t xml:space="preserve">4</w:t>
            </w:r>
          </w:p>
        </w:tc>
        <w:tc>
          <w:tcPr>
            <w:tcW w:w="1077" w:type="dxa"/>
          </w:tcPr>
          <w:p>
            <w:pPr>
              <w:pStyle w:val="0"/>
              <w:jc w:val="center"/>
            </w:pPr>
            <w:r>
              <w:rPr>
                <w:sz w:val="20"/>
              </w:rPr>
              <w:t xml:space="preserve">5</w:t>
            </w:r>
          </w:p>
        </w:tc>
        <w:tc>
          <w:tcPr>
            <w:tcW w:w="1134"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964" w:type="dxa"/>
          </w:tcPr>
          <w:p>
            <w:pPr>
              <w:pStyle w:val="0"/>
              <w:jc w:val="center"/>
            </w:pPr>
            <w:r>
              <w:rPr>
                <w:sz w:val="20"/>
              </w:rPr>
              <w:t xml:space="preserve">9</w:t>
            </w:r>
          </w:p>
        </w:tc>
        <w:tc>
          <w:tcPr>
            <w:tcW w:w="709" w:type="dxa"/>
          </w:tcPr>
          <w:p>
            <w:pPr>
              <w:pStyle w:val="0"/>
              <w:jc w:val="center"/>
            </w:pPr>
            <w:r>
              <w:rPr>
                <w:sz w:val="20"/>
              </w:rPr>
              <w:t xml:space="preserve">10</w:t>
            </w:r>
          </w:p>
        </w:tc>
        <w:tc>
          <w:tcPr>
            <w:tcW w:w="794" w:type="dxa"/>
          </w:tcPr>
          <w:p>
            <w:pPr>
              <w:pStyle w:val="0"/>
              <w:jc w:val="center"/>
            </w:pPr>
            <w:r>
              <w:rPr>
                <w:sz w:val="20"/>
              </w:rPr>
              <w:t xml:space="preserve">11</w:t>
            </w:r>
          </w:p>
        </w:tc>
        <w:tc>
          <w:tcPr>
            <w:tcW w:w="1531" w:type="dxa"/>
          </w:tcPr>
          <w:p>
            <w:pPr>
              <w:pStyle w:val="0"/>
              <w:jc w:val="center"/>
            </w:pPr>
            <w:r>
              <w:rPr>
                <w:sz w:val="20"/>
              </w:rPr>
              <w:t xml:space="preserve">12</w:t>
            </w:r>
          </w:p>
        </w:tc>
        <w:tc>
          <w:tcPr>
            <w:tcW w:w="1191" w:type="dxa"/>
          </w:tcPr>
          <w:p>
            <w:pPr>
              <w:pStyle w:val="0"/>
              <w:jc w:val="center"/>
            </w:pPr>
            <w:r>
              <w:rPr>
                <w:sz w:val="20"/>
              </w:rPr>
              <w:t xml:space="preserve">13</w:t>
            </w:r>
          </w:p>
        </w:tc>
        <w:tc>
          <w:tcPr>
            <w:tcW w:w="794" w:type="dxa"/>
          </w:tcPr>
          <w:p>
            <w:pPr>
              <w:pStyle w:val="0"/>
              <w:jc w:val="center"/>
            </w:pPr>
            <w:r>
              <w:rPr>
                <w:sz w:val="20"/>
              </w:rPr>
              <w:t xml:space="preserve">14</w:t>
            </w:r>
          </w:p>
        </w:tc>
        <w:tc>
          <w:tcPr>
            <w:tcW w:w="992" w:type="dxa"/>
          </w:tcPr>
          <w:p>
            <w:pPr>
              <w:pStyle w:val="0"/>
              <w:jc w:val="center"/>
            </w:pPr>
            <w:r>
              <w:rPr>
                <w:sz w:val="20"/>
              </w:rPr>
              <w:t xml:space="preserve">15</w:t>
            </w:r>
          </w:p>
        </w:tc>
        <w:tc>
          <w:tcPr>
            <w:tcW w:w="1701" w:type="dxa"/>
          </w:tcPr>
          <w:p>
            <w:pPr>
              <w:pStyle w:val="0"/>
              <w:jc w:val="center"/>
            </w:pPr>
            <w:r>
              <w:rPr>
                <w:sz w:val="20"/>
              </w:rPr>
              <w:t xml:space="preserve">16</w:t>
            </w:r>
          </w:p>
        </w:tc>
      </w:tr>
      <w:tr>
        <w:tc>
          <w:tcPr>
            <w:tcW w:w="1247" w:type="dxa"/>
            <w:vMerge w:val="restart"/>
          </w:tcPr>
          <w:p>
            <w:pPr>
              <w:pStyle w:val="0"/>
            </w:pPr>
            <w:r>
              <w:rPr>
                <w:sz w:val="20"/>
              </w:rPr>
            </w:r>
          </w:p>
        </w:tc>
        <w:tc>
          <w:tcPr>
            <w:tcW w:w="794" w:type="dxa"/>
            <w:vMerge w:val="restart"/>
          </w:tcPr>
          <w:p>
            <w:pPr>
              <w:pStyle w:val="0"/>
            </w:pPr>
            <w:r>
              <w:rPr>
                <w:sz w:val="20"/>
              </w:rPr>
            </w:r>
          </w:p>
        </w:tc>
        <w:tc>
          <w:tcPr>
            <w:tcW w:w="1077" w:type="dxa"/>
            <w:vMerge w:val="restart"/>
          </w:tcPr>
          <w:p>
            <w:pPr>
              <w:pStyle w:val="0"/>
            </w:pPr>
            <w:r>
              <w:rPr>
                <w:sz w:val="20"/>
              </w:rPr>
            </w:r>
          </w:p>
        </w:tc>
        <w:tc>
          <w:tcPr>
            <w:tcW w:w="1191" w:type="dxa"/>
            <w:vMerge w:val="restart"/>
          </w:tcPr>
          <w:p>
            <w:pPr>
              <w:pStyle w:val="0"/>
            </w:pPr>
            <w:r>
              <w:rPr>
                <w:sz w:val="20"/>
              </w:rPr>
            </w:r>
          </w:p>
        </w:tc>
        <w:tc>
          <w:tcPr>
            <w:tcW w:w="1077"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1077" w:type="dxa"/>
            <w:vMerge w:val="restart"/>
          </w:tcPr>
          <w:p>
            <w:pPr>
              <w:pStyle w:val="0"/>
            </w:pPr>
            <w:r>
              <w:rPr>
                <w:sz w:val="20"/>
              </w:rPr>
            </w: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Pr>
          <w:p>
            <w:pPr>
              <w:pStyle w:val="0"/>
            </w:pPr>
            <w:r>
              <w:rPr>
                <w:sz w:val="20"/>
              </w:rPr>
            </w:r>
          </w:p>
        </w:tc>
      </w:tr>
      <w:tr>
        <w:tblPrEx>
          <w:tblBorders>
            <w:left w:val="nil"/>
            <w:right w:val="nil"/>
          </w:tblBorders>
        </w:tblPrEx>
        <w:tc>
          <w:tcPr>
            <w:gridSpan w:val="5"/>
            <w:tcW w:w="5386" w:type="dxa"/>
            <w:tcBorders>
              <w:left w:val="nil"/>
              <w:bottom w:val="nil"/>
              <w:right w:val="nil"/>
            </w:tcBorders>
          </w:tcPr>
          <w:p>
            <w:pPr>
              <w:pStyle w:val="0"/>
            </w:pPr>
            <w:r>
              <w:rPr>
                <w:sz w:val="20"/>
              </w:rPr>
            </w:r>
          </w:p>
        </w:tc>
        <w:tc>
          <w:tcPr>
            <w:tcW w:w="1134" w:type="dxa"/>
            <w:tcBorders>
              <w:left w:val="nil"/>
              <w:bottom w:val="nil"/>
            </w:tcBorders>
          </w:tcPr>
          <w:p>
            <w:pPr>
              <w:pStyle w:val="0"/>
              <w:jc w:val="center"/>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709" w:type="dxa"/>
          </w:tcPr>
          <w:p>
            <w:pPr>
              <w:pStyle w:val="0"/>
            </w:pPr>
            <w:r>
              <w:rPr>
                <w:sz w:val="20"/>
              </w:rPr>
            </w:r>
          </w:p>
        </w:tc>
        <w:tc>
          <w:tcPr>
            <w:tcW w:w="794" w:type="dxa"/>
          </w:tcPr>
          <w:p>
            <w:pPr>
              <w:pStyle w:val="0"/>
            </w:pPr>
            <w:r>
              <w:rPr>
                <w:sz w:val="20"/>
              </w:rPr>
            </w:r>
          </w:p>
        </w:tc>
        <w:tc>
          <w:tcPr>
            <w:tcW w:w="1531" w:type="dxa"/>
          </w:tcPr>
          <w:p>
            <w:pPr>
              <w:pStyle w:val="0"/>
            </w:pPr>
            <w:r>
              <w:rPr>
                <w:sz w:val="20"/>
              </w:rPr>
            </w:r>
          </w:p>
        </w:tc>
        <w:tc>
          <w:tcPr>
            <w:tcW w:w="1191" w:type="dxa"/>
          </w:tcPr>
          <w:p>
            <w:pPr>
              <w:pStyle w:val="0"/>
            </w:pPr>
            <w:r>
              <w:rPr>
                <w:sz w:val="20"/>
              </w:rPr>
            </w:r>
          </w:p>
        </w:tc>
        <w:tc>
          <w:tcPr>
            <w:tcW w:w="794" w:type="dxa"/>
          </w:tcPr>
          <w:p>
            <w:pPr>
              <w:pStyle w:val="0"/>
            </w:pPr>
            <w:r>
              <w:rPr>
                <w:sz w:val="20"/>
              </w:rPr>
            </w:r>
          </w:p>
        </w:tc>
        <w:tc>
          <w:tcPr>
            <w:tcW w:w="992" w:type="dxa"/>
          </w:tcPr>
          <w:p>
            <w:pPr>
              <w:pStyle w:val="0"/>
            </w:pPr>
            <w:r>
              <w:rPr>
                <w:sz w:val="20"/>
              </w:rPr>
            </w:r>
          </w:p>
        </w:tc>
        <w:tc>
          <w:tcPr>
            <w:tcW w:w="1701" w:type="dxa"/>
            <w:tcBorders>
              <w:bottom w:val="nil"/>
              <w:right w:val="nil"/>
            </w:tcBorders>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bookmarkStart w:id="1023" w:name="P1023"/>
    <w:bookmarkEnd w:id="1023"/>
    <w:p>
      <w:pPr>
        <w:pStyle w:val="0"/>
        <w:outlineLvl w:val="3"/>
        <w:jc w:val="center"/>
      </w:pPr>
      <w:r>
        <w:rPr>
          <w:sz w:val="20"/>
        </w:rPr>
        <w:t xml:space="preserve">4. Сведения об объеме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20__ - 20__ годы (на срок оказания государственной</w:t>
      </w:r>
    </w:p>
    <w:p>
      <w:pPr>
        <w:pStyle w:val="0"/>
        <w:jc w:val="center"/>
      </w:pPr>
      <w:r>
        <w:rPr>
          <w:sz w:val="20"/>
        </w:rPr>
        <w:t xml:space="preserve">услуги за пределами планового периода)</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794"/>
        <w:gridCol w:w="1077"/>
        <w:gridCol w:w="1247"/>
        <w:gridCol w:w="1020"/>
        <w:gridCol w:w="1134"/>
        <w:gridCol w:w="1077"/>
        <w:gridCol w:w="1077"/>
        <w:gridCol w:w="956"/>
        <w:gridCol w:w="737"/>
        <w:gridCol w:w="850"/>
        <w:gridCol w:w="1304"/>
        <w:gridCol w:w="1247"/>
        <w:gridCol w:w="964"/>
        <w:gridCol w:w="964"/>
        <w:gridCol w:w="1701"/>
      </w:tblGrid>
      <w:tr>
        <w:tc>
          <w:tcPr>
            <w:tcW w:w="1247"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794" w:type="dxa"/>
            <w:vMerge w:val="restart"/>
          </w:tcPr>
          <w:p>
            <w:pPr>
              <w:pStyle w:val="0"/>
              <w:jc w:val="center"/>
            </w:pPr>
            <w:r>
              <w:rPr>
                <w:sz w:val="20"/>
              </w:rPr>
              <w:t xml:space="preserve">Уникальный номер реестровой записи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77"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24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020" w:type="dxa"/>
            <w:vMerge w:val="restart"/>
          </w:tcPr>
          <w:p>
            <w:pPr>
              <w:pStyle w:val="0"/>
              <w:jc w:val="center"/>
            </w:pPr>
            <w:r>
              <w:rPr>
                <w:sz w:val="20"/>
              </w:rPr>
              <w:t xml:space="preserve">Уполномоченный орган или орган власти, уполномоченный на формирование государственного социального заказа </w:t>
            </w:r>
            <w:hyperlink w:history="0" w:anchor="P1229" w:tooltip="&lt;15&gt; - указывается полное наименование уполномоченного органа или органа власти, уполномоченного на формирование социального заказа Республики Саха (Якутия), указанного в пункте 2 Правил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утвержденных постановлением Правительства Республики Саха (Якутия) &quot;О порядке формирования государственных социальных заказов на оказание ...">
              <w:r>
                <w:rPr>
                  <w:sz w:val="20"/>
                  <w:color w:val="0000ff"/>
                </w:rPr>
                <w:t xml:space="preserve">&lt;15&gt;</w:t>
              </w:r>
            </w:hyperlink>
          </w:p>
        </w:tc>
        <w:tc>
          <w:tcPr>
            <w:tcW w:w="1134" w:type="dxa"/>
            <w:vMerge w:val="restart"/>
          </w:tcPr>
          <w:p>
            <w:pPr>
              <w:pStyle w:val="0"/>
              <w:jc w:val="center"/>
            </w:pPr>
            <w:r>
              <w:rPr>
                <w:sz w:val="20"/>
              </w:rPr>
              <w:t xml:space="preserve">Срок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0" w:tooltip="&lt;16&gt; -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Российской Федерации;">
              <w:r>
                <w:rPr>
                  <w:sz w:val="20"/>
                  <w:color w:val="0000ff"/>
                </w:rPr>
                <w:t xml:space="preserve">&lt;16&gt;</w:t>
              </w:r>
            </w:hyperlink>
          </w:p>
        </w:tc>
        <w:tc>
          <w:tcPr>
            <w:tcW w:w="1077" w:type="dxa"/>
            <w:vMerge w:val="restart"/>
          </w:tcPr>
          <w:p>
            <w:pPr>
              <w:pStyle w:val="0"/>
              <w:jc w:val="center"/>
            </w:pPr>
            <w:r>
              <w:rPr>
                <w:sz w:val="20"/>
              </w:rPr>
              <w:t xml:space="preserve">Год определения исполнителей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31" w:tooltip="&lt;17&gt; -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части 6 статьи 9 Федерального закона &quot;О государственном (муниципальном) социальном заказе на оказани...">
              <w:r>
                <w:rPr>
                  <w:sz w:val="20"/>
                  <w:color w:val="0000ff"/>
                </w:rPr>
                <w:t xml:space="preserve">&lt;17&gt;</w:t>
              </w:r>
            </w:hyperlink>
          </w:p>
        </w:tc>
        <w:tc>
          <w:tcPr>
            <w:tcW w:w="1077" w:type="dxa"/>
            <w:vMerge w:val="restart"/>
          </w:tcPr>
          <w:p>
            <w:pPr>
              <w:pStyle w:val="0"/>
              <w:jc w:val="center"/>
            </w:pPr>
            <w:r>
              <w:rPr>
                <w:sz w:val="20"/>
              </w:rPr>
              <w:t xml:space="preserve">Место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2" w:tooltip="&lt;18&gt; -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
              <w:r>
                <w:rPr>
                  <w:sz w:val="20"/>
                  <w:color w:val="0000ff"/>
                </w:rPr>
                <w:t xml:space="preserve">&lt;18&gt;</w:t>
              </w:r>
            </w:hyperlink>
          </w:p>
        </w:tc>
        <w:tc>
          <w:tcPr>
            <w:gridSpan w:val="3"/>
            <w:tcW w:w="2543" w:type="dxa"/>
          </w:tcPr>
          <w:p>
            <w:pPr>
              <w:pStyle w:val="0"/>
              <w:jc w:val="center"/>
            </w:pPr>
            <w:r>
              <w:rPr>
                <w:sz w:val="20"/>
              </w:rPr>
              <w:t xml:space="preserve">Показатель, характеризующий объем оказания государственной услуги в социальной сфере (государственных услуг в социальной сфере, составляющих укрупненную государственную услугу)</w:t>
            </w:r>
          </w:p>
        </w:tc>
        <w:tc>
          <w:tcPr>
            <w:gridSpan w:val="4"/>
            <w:tcW w:w="4479" w:type="dxa"/>
          </w:tcPr>
          <w:p>
            <w:pPr>
              <w:pStyle w:val="0"/>
              <w:jc w:val="center"/>
            </w:pPr>
            <w:r>
              <w:rPr>
                <w:sz w:val="20"/>
              </w:rPr>
              <w:t xml:space="preserve">Значение показателя, характеризующего объем оказания государственной услуги в социальной сфере (государственных услуг в социальной сфере, составляющих укрупненную государственную услугу) по способам определения исполнителей государственной услуги в социальной сфере (государственных услуг в социальной сфере, составляющих укрупненную государственную услугу)</w:t>
            </w:r>
          </w:p>
        </w:tc>
        <w:tc>
          <w:tcPr>
            <w:tcW w:w="1701" w:type="dxa"/>
            <w:vMerge w:val="restart"/>
          </w:tcPr>
          <w:p>
            <w:pPr>
              <w:pStyle w:val="0"/>
              <w:jc w:val="center"/>
            </w:pPr>
            <w:r>
              <w:rPr>
                <w:sz w:val="20"/>
              </w:rPr>
              <w:t xml:space="preserve">Предельные допустимые возможные отклонения от показателей, характеризующих объем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5" w:tooltip="&lt;21&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графы 12 - 15, при принятии уполномоченным органом в соответствии с пунктом 2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
              <w:r>
                <w:rPr>
                  <w:sz w:val="20"/>
                  <w:color w:val="0000ff"/>
                </w:rPr>
                <w:t xml:space="preserve">&lt;21&gt;</w:t>
              </w:r>
            </w:hyperlink>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56" w:type="dxa"/>
            <w:vMerge w:val="restart"/>
          </w:tcPr>
          <w:p>
            <w:pPr>
              <w:pStyle w:val="0"/>
              <w:jc w:val="center"/>
            </w:pPr>
            <w:r>
              <w:rPr>
                <w:sz w:val="20"/>
              </w:rPr>
              <w:t xml:space="preserve">наименование показателя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587" w:type="dxa"/>
          </w:tcPr>
          <w:p>
            <w:pPr>
              <w:pStyle w:val="0"/>
              <w:jc w:val="center"/>
            </w:pPr>
            <w:r>
              <w:rPr>
                <w:sz w:val="20"/>
              </w:rPr>
              <w:t xml:space="preserve">единица измерения</w:t>
            </w:r>
          </w:p>
        </w:tc>
        <w:tc>
          <w:tcPr>
            <w:tcW w:w="1304" w:type="dxa"/>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1247"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964" w:type="dxa"/>
            <w:vMerge w:val="restart"/>
          </w:tcPr>
          <w:p>
            <w:pPr>
              <w:pStyle w:val="0"/>
              <w:jc w:val="center"/>
            </w:pPr>
            <w:r>
              <w:rPr>
                <w:sz w:val="20"/>
              </w:rPr>
              <w:t xml:space="preserve">в соответствии с конкурсом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tcW w:w="964" w:type="dxa"/>
            <w:vMerge w:val="restart"/>
          </w:tcPr>
          <w:p>
            <w:pPr>
              <w:pStyle w:val="0"/>
              <w:jc w:val="center"/>
            </w:pPr>
            <w:r>
              <w:rPr>
                <w:sz w:val="20"/>
              </w:rPr>
              <w:t xml:space="preserve">в соответствии с социальными сертификатами </w:t>
            </w:r>
            <w:hyperlink w:history="0" w:anchor="P1234" w:tooltip="&lt;20&gt; - в графы 12 - 15 включаются числовые значения показателей, характеризующих объем оказания государственной услуги в социальной сфере;">
              <w:r>
                <w:rPr>
                  <w:sz w:val="20"/>
                  <w:color w:val="0000ff"/>
                </w:rPr>
                <w:t xml:space="preserve">&lt;20&gt;</w:t>
              </w:r>
            </w:hyperlink>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850" w:type="dxa"/>
          </w:tcPr>
          <w:p>
            <w:pPr>
              <w:pStyle w:val="0"/>
              <w:jc w:val="center"/>
            </w:pPr>
            <w:r>
              <w:rPr>
                <w:sz w:val="20"/>
              </w:rPr>
              <w:t xml:space="preserve">код по </w:t>
            </w:r>
            <w:hyperlink w:history="0" r:id="rId4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33" w:tooltip="&lt;19&gt; -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794" w:type="dxa"/>
          </w:tcPr>
          <w:p>
            <w:pPr>
              <w:pStyle w:val="0"/>
              <w:jc w:val="center"/>
            </w:pPr>
            <w:r>
              <w:rPr>
                <w:sz w:val="20"/>
              </w:rPr>
              <w:t xml:space="preserve">2</w:t>
            </w:r>
          </w:p>
        </w:tc>
        <w:tc>
          <w:tcPr>
            <w:tcW w:w="1077" w:type="dxa"/>
          </w:tcPr>
          <w:p>
            <w:pPr>
              <w:pStyle w:val="0"/>
              <w:jc w:val="center"/>
            </w:pPr>
            <w:r>
              <w:rPr>
                <w:sz w:val="20"/>
              </w:rPr>
              <w:t xml:space="preserve">3</w:t>
            </w:r>
          </w:p>
        </w:tc>
        <w:tc>
          <w:tcPr>
            <w:tcW w:w="1247" w:type="dxa"/>
          </w:tcPr>
          <w:p>
            <w:pPr>
              <w:pStyle w:val="0"/>
              <w:jc w:val="center"/>
            </w:pPr>
            <w:r>
              <w:rPr>
                <w:sz w:val="20"/>
              </w:rPr>
              <w:t xml:space="preserve">4</w:t>
            </w:r>
          </w:p>
        </w:tc>
        <w:tc>
          <w:tcPr>
            <w:tcW w:w="1020" w:type="dxa"/>
          </w:tcPr>
          <w:p>
            <w:pPr>
              <w:pStyle w:val="0"/>
              <w:jc w:val="center"/>
            </w:pPr>
            <w:r>
              <w:rPr>
                <w:sz w:val="20"/>
              </w:rPr>
              <w:t xml:space="preserve">5</w:t>
            </w:r>
          </w:p>
        </w:tc>
        <w:tc>
          <w:tcPr>
            <w:tcW w:w="1134" w:type="dxa"/>
          </w:tcPr>
          <w:p>
            <w:pPr>
              <w:pStyle w:val="0"/>
              <w:jc w:val="center"/>
            </w:pPr>
            <w:r>
              <w:rPr>
                <w:sz w:val="20"/>
              </w:rPr>
              <w:t xml:space="preserve">6</w:t>
            </w:r>
          </w:p>
        </w:tc>
        <w:tc>
          <w:tcPr>
            <w:tcW w:w="1077" w:type="dxa"/>
          </w:tcPr>
          <w:p>
            <w:pPr>
              <w:pStyle w:val="0"/>
              <w:jc w:val="center"/>
            </w:pPr>
            <w:r>
              <w:rPr>
                <w:sz w:val="20"/>
              </w:rPr>
              <w:t xml:space="preserve">7</w:t>
            </w:r>
          </w:p>
        </w:tc>
        <w:tc>
          <w:tcPr>
            <w:tcW w:w="1077" w:type="dxa"/>
          </w:tcPr>
          <w:p>
            <w:pPr>
              <w:pStyle w:val="0"/>
              <w:jc w:val="center"/>
            </w:pPr>
            <w:r>
              <w:rPr>
                <w:sz w:val="20"/>
              </w:rPr>
              <w:t xml:space="preserve">8</w:t>
            </w:r>
          </w:p>
        </w:tc>
        <w:tc>
          <w:tcPr>
            <w:tcW w:w="956" w:type="dxa"/>
          </w:tcPr>
          <w:p>
            <w:pPr>
              <w:pStyle w:val="0"/>
              <w:jc w:val="center"/>
            </w:pPr>
            <w:r>
              <w:rPr>
                <w:sz w:val="20"/>
              </w:rPr>
              <w:t xml:space="preserve">9</w:t>
            </w:r>
          </w:p>
        </w:tc>
        <w:tc>
          <w:tcPr>
            <w:tcW w:w="737" w:type="dxa"/>
          </w:tcPr>
          <w:p>
            <w:pPr>
              <w:pStyle w:val="0"/>
              <w:jc w:val="center"/>
            </w:pPr>
            <w:r>
              <w:rPr>
                <w:sz w:val="20"/>
              </w:rPr>
              <w:t xml:space="preserve">10</w:t>
            </w:r>
          </w:p>
        </w:tc>
        <w:tc>
          <w:tcPr>
            <w:tcW w:w="850" w:type="dxa"/>
          </w:tcPr>
          <w:p>
            <w:pPr>
              <w:pStyle w:val="0"/>
              <w:jc w:val="center"/>
            </w:pPr>
            <w:r>
              <w:rPr>
                <w:sz w:val="20"/>
              </w:rPr>
              <w:t xml:space="preserve">11</w:t>
            </w:r>
          </w:p>
        </w:tc>
        <w:tc>
          <w:tcPr>
            <w:tcW w:w="1304" w:type="dxa"/>
          </w:tcPr>
          <w:bookmarkStart w:id="1059" w:name="P1059"/>
          <w:bookmarkEnd w:id="1059"/>
          <w:p>
            <w:pPr>
              <w:pStyle w:val="0"/>
              <w:jc w:val="center"/>
            </w:pPr>
            <w:r>
              <w:rPr>
                <w:sz w:val="20"/>
              </w:rPr>
              <w:t xml:space="preserve">12</w:t>
            </w:r>
          </w:p>
        </w:tc>
        <w:tc>
          <w:tcPr>
            <w:tcW w:w="1247" w:type="dxa"/>
          </w:tcPr>
          <w:p>
            <w:pPr>
              <w:pStyle w:val="0"/>
              <w:jc w:val="center"/>
            </w:pPr>
            <w:r>
              <w:rPr>
                <w:sz w:val="20"/>
              </w:rPr>
              <w:t xml:space="preserve">13</w:t>
            </w:r>
          </w:p>
        </w:tc>
        <w:tc>
          <w:tcPr>
            <w:tcW w:w="964" w:type="dxa"/>
          </w:tcPr>
          <w:p>
            <w:pPr>
              <w:pStyle w:val="0"/>
              <w:jc w:val="center"/>
            </w:pPr>
            <w:r>
              <w:rPr>
                <w:sz w:val="20"/>
              </w:rPr>
              <w:t xml:space="preserve">14</w:t>
            </w:r>
          </w:p>
        </w:tc>
        <w:tc>
          <w:tcPr>
            <w:tcW w:w="964" w:type="dxa"/>
          </w:tcPr>
          <w:bookmarkStart w:id="1062" w:name="P1062"/>
          <w:bookmarkEnd w:id="1062"/>
          <w:p>
            <w:pPr>
              <w:pStyle w:val="0"/>
              <w:jc w:val="center"/>
            </w:pPr>
            <w:r>
              <w:rPr>
                <w:sz w:val="20"/>
              </w:rPr>
              <w:t xml:space="preserve">15</w:t>
            </w:r>
          </w:p>
        </w:tc>
        <w:tc>
          <w:tcPr>
            <w:tcW w:w="1701" w:type="dxa"/>
          </w:tcPr>
          <w:p>
            <w:pPr>
              <w:pStyle w:val="0"/>
              <w:jc w:val="center"/>
            </w:pPr>
            <w:r>
              <w:rPr>
                <w:sz w:val="20"/>
              </w:rPr>
              <w:t xml:space="preserve">16</w:t>
            </w:r>
          </w:p>
        </w:tc>
      </w:tr>
      <w:tr>
        <w:tc>
          <w:tcPr>
            <w:tcW w:w="1247" w:type="dxa"/>
            <w:vMerge w:val="restart"/>
          </w:tcPr>
          <w:p>
            <w:pPr>
              <w:pStyle w:val="0"/>
            </w:pPr>
            <w:r>
              <w:rPr>
                <w:sz w:val="20"/>
              </w:rPr>
            </w:r>
          </w:p>
        </w:tc>
        <w:tc>
          <w:tcPr>
            <w:tcW w:w="794" w:type="dxa"/>
            <w:vMerge w:val="restart"/>
          </w:tcPr>
          <w:p>
            <w:pPr>
              <w:pStyle w:val="0"/>
            </w:pPr>
            <w:r>
              <w:rPr>
                <w:sz w:val="20"/>
              </w:rPr>
            </w:r>
          </w:p>
        </w:tc>
        <w:tc>
          <w:tcPr>
            <w:tcW w:w="1077" w:type="dxa"/>
            <w:vMerge w:val="restart"/>
          </w:tcPr>
          <w:p>
            <w:pPr>
              <w:pStyle w:val="0"/>
            </w:pPr>
            <w:r>
              <w:rPr>
                <w:sz w:val="20"/>
              </w:rPr>
            </w:r>
          </w:p>
        </w:tc>
        <w:tc>
          <w:tcPr>
            <w:tcW w:w="1247" w:type="dxa"/>
            <w:vMerge w:val="restart"/>
          </w:tcPr>
          <w:p>
            <w:pPr>
              <w:pStyle w:val="0"/>
            </w:pPr>
            <w:r>
              <w:rPr>
                <w:sz w:val="20"/>
              </w:rPr>
            </w:r>
          </w:p>
        </w:tc>
        <w:tc>
          <w:tcPr>
            <w:tcW w:w="1020"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1077" w:type="dxa"/>
            <w:vMerge w:val="restart"/>
          </w:tcPr>
          <w:p>
            <w:pPr>
              <w:pStyle w:val="0"/>
            </w:pPr>
            <w:r>
              <w:rPr>
                <w:sz w:val="20"/>
              </w:rPr>
            </w: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1077" w:type="dxa"/>
            <w:vMerge w:val="restart"/>
          </w:tcPr>
          <w:p>
            <w:pPr>
              <w:pStyle w:val="0"/>
            </w:pPr>
            <w:r>
              <w:rPr>
                <w:sz w:val="20"/>
              </w:rPr>
            </w: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077" w:type="dxa"/>
            <w:vMerge w:val="restart"/>
          </w:tcPr>
          <w:p>
            <w:pPr>
              <w:pStyle w:val="0"/>
            </w:pPr>
            <w:r>
              <w:rPr>
                <w:sz w:val="20"/>
              </w:rPr>
            </w: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Pr>
          <w:p>
            <w:pPr>
              <w:pStyle w:val="0"/>
            </w:pPr>
            <w:r>
              <w:rPr>
                <w:sz w:val="20"/>
              </w:rPr>
            </w:r>
          </w:p>
        </w:tc>
      </w:tr>
      <w:tr>
        <w:tblPrEx>
          <w:tblBorders>
            <w:left w:val="nil"/>
            <w:right w:val="nil"/>
          </w:tblBorders>
        </w:tblPrEx>
        <w:tc>
          <w:tcPr>
            <w:gridSpan w:val="5"/>
            <w:tcW w:w="5385" w:type="dxa"/>
            <w:tcBorders>
              <w:left w:val="nil"/>
              <w:bottom w:val="nil"/>
              <w:right w:val="nil"/>
            </w:tcBorders>
          </w:tcPr>
          <w:p>
            <w:pPr>
              <w:pStyle w:val="0"/>
            </w:pPr>
            <w:r>
              <w:rPr>
                <w:sz w:val="20"/>
              </w:rPr>
            </w:r>
          </w:p>
        </w:tc>
        <w:tc>
          <w:tcPr>
            <w:tcW w:w="1134" w:type="dxa"/>
            <w:tcBorders>
              <w:left w:val="nil"/>
              <w:bottom w:val="nil"/>
            </w:tcBorders>
          </w:tcPr>
          <w:p>
            <w:pPr>
              <w:pStyle w:val="0"/>
              <w:jc w:val="center"/>
            </w:pPr>
            <w:r>
              <w:rPr>
                <w:sz w:val="20"/>
              </w:rPr>
              <w:t xml:space="preserve">Итого</w:t>
            </w:r>
          </w:p>
        </w:tc>
        <w:tc>
          <w:tcPr>
            <w:tcW w:w="1077" w:type="dxa"/>
          </w:tcPr>
          <w:p>
            <w:pPr>
              <w:pStyle w:val="0"/>
            </w:pPr>
            <w:r>
              <w:rPr>
                <w:sz w:val="20"/>
              </w:rPr>
            </w:r>
          </w:p>
        </w:tc>
        <w:tc>
          <w:tcPr>
            <w:tcW w:w="1077" w:type="dxa"/>
          </w:tcPr>
          <w:p>
            <w:pPr>
              <w:pStyle w:val="0"/>
            </w:pPr>
            <w:r>
              <w:rPr>
                <w:sz w:val="20"/>
              </w:rPr>
            </w:r>
          </w:p>
        </w:tc>
        <w:tc>
          <w:tcPr>
            <w:tcW w:w="956"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bookmarkStart w:id="1153" w:name="P1153"/>
    <w:bookmarkEnd w:id="1153"/>
    <w:p>
      <w:pPr>
        <w:pStyle w:val="0"/>
        <w:outlineLvl w:val="2"/>
        <w:jc w:val="center"/>
      </w:pPr>
      <w:r>
        <w:rPr>
          <w:sz w:val="20"/>
        </w:rPr>
        <w:t xml:space="preserve">III. Сведения о показателях, характеризующих качество</w:t>
      </w:r>
    </w:p>
    <w:p>
      <w:pPr>
        <w:pStyle w:val="0"/>
        <w:jc w:val="center"/>
      </w:pPr>
      <w:r>
        <w:rPr>
          <w:sz w:val="20"/>
        </w:rPr>
        <w:t xml:space="preserve">оказания государственной услуги в социальной сфере</w:t>
      </w:r>
    </w:p>
    <w:p>
      <w:pPr>
        <w:pStyle w:val="0"/>
        <w:jc w:val="center"/>
      </w:pPr>
      <w:r>
        <w:rPr>
          <w:sz w:val="20"/>
        </w:rPr>
        <w:t xml:space="preserve">(государственных услуг в социальной сфере, составляющих</w:t>
      </w:r>
    </w:p>
    <w:p>
      <w:pPr>
        <w:pStyle w:val="0"/>
        <w:jc w:val="center"/>
      </w:pPr>
      <w:r>
        <w:rPr>
          <w:sz w:val="20"/>
        </w:rPr>
        <w:t xml:space="preserve">укрупненную государственную услугу) в очередном</w:t>
      </w:r>
    </w:p>
    <w:p>
      <w:pPr>
        <w:pStyle w:val="0"/>
        <w:jc w:val="center"/>
      </w:pPr>
      <w:r>
        <w:rPr>
          <w:sz w:val="20"/>
        </w:rPr>
        <w:t xml:space="preserve">финансовом году и плановом периоде, а также</w:t>
      </w:r>
    </w:p>
    <w:p>
      <w:pPr>
        <w:pStyle w:val="0"/>
        <w:jc w:val="center"/>
      </w:pPr>
      <w:r>
        <w:rPr>
          <w:sz w:val="20"/>
        </w:rPr>
        <w:t xml:space="preserve">за пределами планового периода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964"/>
        <w:gridCol w:w="1701"/>
        <w:gridCol w:w="1757"/>
        <w:gridCol w:w="907"/>
        <w:gridCol w:w="964"/>
        <w:gridCol w:w="850"/>
        <w:gridCol w:w="1871"/>
        <w:gridCol w:w="2154"/>
      </w:tblGrid>
      <w:tr>
        <w:tc>
          <w:tcPr>
            <w:tcW w:w="1701" w:type="dxa"/>
            <w:vMerge w:val="restart"/>
          </w:tcPr>
          <w:p>
            <w:pPr>
              <w:pStyle w:val="0"/>
              <w:jc w:val="center"/>
            </w:pPr>
            <w:r>
              <w:rPr>
                <w:sz w:val="20"/>
              </w:rPr>
              <w:t xml:space="preserve">Наименование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964" w:type="dxa"/>
            <w:vMerge w:val="restart"/>
          </w:tcPr>
          <w:p>
            <w:pPr>
              <w:pStyle w:val="0"/>
              <w:jc w:val="center"/>
            </w:pPr>
            <w:r>
              <w:rPr>
                <w:sz w:val="20"/>
              </w:rPr>
              <w:t xml:space="preserve">Уникальный номер реестровой записи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701" w:type="dxa"/>
            <w:vMerge w:val="restart"/>
          </w:tcPr>
          <w:p>
            <w:pPr>
              <w:pStyle w:val="0"/>
              <w:jc w:val="center"/>
            </w:pPr>
            <w:r>
              <w:rPr>
                <w:sz w:val="20"/>
              </w:rPr>
              <w:t xml:space="preserve">Условия (формы)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1757" w:type="dxa"/>
            <w:vMerge w:val="restart"/>
          </w:tcPr>
          <w:p>
            <w:pPr>
              <w:pStyle w:val="0"/>
              <w:jc w:val="center"/>
            </w:pPr>
            <w:r>
              <w:rPr>
                <w:sz w:val="20"/>
              </w:rPr>
              <w:t xml:space="preserve">Категории потребителей государственных услуг в социальной сфере (государственных услуг в социальной сфере, составляющих укрупненную государственную услугу)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3"/>
            <w:tcW w:w="2721" w:type="dxa"/>
          </w:tcPr>
          <w:p>
            <w:pPr>
              <w:pStyle w:val="0"/>
              <w:jc w:val="center"/>
            </w:pPr>
            <w:r>
              <w:rPr>
                <w:sz w:val="20"/>
              </w:rPr>
              <w:t xml:space="preserve">Показатель, характеризующий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&lt;4&gt;</w:t>
            </w:r>
          </w:p>
        </w:tc>
        <w:tc>
          <w:tcPr>
            <w:tcW w:w="1871" w:type="dxa"/>
            <w:vMerge w:val="restart"/>
          </w:tcPr>
          <w:p>
            <w:pPr>
              <w:pStyle w:val="0"/>
              <w:jc w:val="center"/>
            </w:pPr>
            <w:r>
              <w:rPr>
                <w:sz w:val="20"/>
              </w:rPr>
              <w:t xml:space="preserve">Значение показателя, характеризующего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6" w:tooltip="&lt;22&gt; - заполняется в соответствии с показателями, характеризующими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установленными в перечне государственных услуг;">
              <w:r>
                <w:rPr>
                  <w:sz w:val="20"/>
                  <w:color w:val="0000ff"/>
                </w:rPr>
                <w:t xml:space="preserve">&lt;22&gt;</w:t>
              </w:r>
            </w:hyperlink>
          </w:p>
        </w:tc>
        <w:tc>
          <w:tcPr>
            <w:tcW w:w="2154" w:type="dxa"/>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 в социальной сфере (государственных услуг в социальной сфере, составляющих укрупненную государственную услугу) </w:t>
            </w:r>
            <w:hyperlink w:history="0" w:anchor="P1237" w:tooltip="&lt;23&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качество оказания государственной услуги в социальной сфере, включенных в графу 8, при принятии уполномоченными органами в соответствии с пунктом 2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
              <w:r>
                <w:rPr>
                  <w:sz w:val="20"/>
                  <w:color w:val="0000ff"/>
                </w:rPr>
                <w:t xml:space="preserve">&lt;23&gt;</w:t>
              </w:r>
            </w:hyperlink>
          </w:p>
        </w:tc>
      </w:tr>
      <w:tr>
        <w:tc>
          <w:tcPr>
            <w:vMerge w:val="continue"/>
          </w:tcPr>
          <w:p/>
        </w:tc>
        <w:tc>
          <w:tcPr>
            <w:vMerge w:val="continue"/>
          </w:tcPr>
          <w:p/>
        </w:tc>
        <w:tc>
          <w:tcPr>
            <w:vMerge w:val="continue"/>
          </w:tcPr>
          <w:p/>
        </w:tc>
        <w:tc>
          <w:tcPr>
            <w:vMerge w:val="continue"/>
          </w:tcPr>
          <w:p/>
        </w:tc>
        <w:tc>
          <w:tcPr>
            <w:tcW w:w="907" w:type="dxa"/>
            <w:vMerge w:val="restart"/>
          </w:tcPr>
          <w:p>
            <w:pPr>
              <w:pStyle w:val="0"/>
              <w:jc w:val="center"/>
            </w:pPr>
            <w:r>
              <w:rPr>
                <w:sz w:val="20"/>
              </w:rPr>
              <w:t xml:space="preserve">наименование показателя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gridSpan w:val="2"/>
            <w:tcW w:w="1814" w:type="dxa"/>
          </w:tcPr>
          <w:p>
            <w:pPr>
              <w:pStyle w:val="0"/>
              <w:jc w:val="center"/>
            </w:pPr>
            <w:r>
              <w:rPr>
                <w:sz w:val="20"/>
              </w:rPr>
              <w:t xml:space="preserve">единица измерения</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w:t>
            </w:r>
            <w:hyperlink w:history="0" w:anchor="P1228" w:tooltip="&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
              <w:r>
                <w:rPr>
                  <w:sz w:val="20"/>
                  <w:color w:val="0000ff"/>
                </w:rPr>
                <w:t xml:space="preserve">&lt;14&gt;</w:t>
              </w:r>
            </w:hyperlink>
          </w:p>
        </w:tc>
        <w:tc>
          <w:tcPr>
            <w:tcW w:w="850" w:type="dxa"/>
          </w:tcPr>
          <w:p>
            <w:pPr>
              <w:pStyle w:val="0"/>
              <w:jc w:val="center"/>
            </w:pPr>
            <w:r>
              <w:rPr>
                <w:sz w:val="20"/>
              </w:rPr>
              <w:t xml:space="preserve">код по </w:t>
            </w:r>
            <w:hyperlink w:history="0" r:id="rId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33" w:tooltip="&lt;19&gt; - заполняется в соответствии с кодом, указанным в перечне государственных услуг (при наличии);">
              <w:r>
                <w:rPr>
                  <w:sz w:val="20"/>
                  <w:color w:val="0000ff"/>
                </w:rPr>
                <w:t xml:space="preserve">&lt;19&gt;</w:t>
              </w:r>
            </w:hyperlink>
          </w:p>
        </w:tc>
        <w:tc>
          <w:tcPr>
            <w:vMerge w:val="continue"/>
          </w:tcPr>
          <w:p/>
        </w:tc>
        <w:tc>
          <w:tcPr>
            <w:vMerge w:val="continue"/>
          </w:tcPr>
          <w:p/>
        </w:tc>
      </w:tr>
      <w:tr>
        <w:tc>
          <w:tcPr>
            <w:tcW w:w="1701" w:type="dxa"/>
          </w:tcPr>
          <w:p>
            <w:pPr>
              <w:pStyle w:val="0"/>
              <w:jc w:val="center"/>
            </w:pPr>
            <w:r>
              <w:rPr>
                <w:sz w:val="20"/>
              </w:rPr>
              <w:t xml:space="preserve">1</w:t>
            </w:r>
          </w:p>
        </w:tc>
        <w:tc>
          <w:tcPr>
            <w:tcW w:w="964" w:type="dxa"/>
          </w:tcPr>
          <w:p>
            <w:pPr>
              <w:pStyle w:val="0"/>
              <w:jc w:val="center"/>
            </w:pPr>
            <w:r>
              <w:rPr>
                <w:sz w:val="20"/>
              </w:rPr>
              <w:t xml:space="preserve">2</w:t>
            </w:r>
          </w:p>
        </w:tc>
        <w:tc>
          <w:tcPr>
            <w:tcW w:w="1701" w:type="dxa"/>
          </w:tcPr>
          <w:p>
            <w:pPr>
              <w:pStyle w:val="0"/>
              <w:jc w:val="center"/>
            </w:pPr>
            <w:r>
              <w:rPr>
                <w:sz w:val="20"/>
              </w:rPr>
              <w:t xml:space="preserve">3</w:t>
            </w:r>
          </w:p>
        </w:tc>
        <w:tc>
          <w:tcPr>
            <w:tcW w:w="1757" w:type="dxa"/>
          </w:tcPr>
          <w:p>
            <w:pPr>
              <w:pStyle w:val="0"/>
              <w:jc w:val="center"/>
            </w:pPr>
            <w:r>
              <w:rPr>
                <w:sz w:val="20"/>
              </w:rPr>
              <w:t xml:space="preserve">4</w:t>
            </w:r>
          </w:p>
        </w:tc>
        <w:tc>
          <w:tcPr>
            <w:tcW w:w="907"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1871" w:type="dxa"/>
          </w:tcPr>
          <w:bookmarkStart w:id="1178" w:name="P1178"/>
          <w:bookmarkEnd w:id="1178"/>
          <w:p>
            <w:pPr>
              <w:pStyle w:val="0"/>
              <w:jc w:val="center"/>
            </w:pPr>
            <w:r>
              <w:rPr>
                <w:sz w:val="20"/>
              </w:rPr>
              <w:t xml:space="preserve">8</w:t>
            </w:r>
          </w:p>
        </w:tc>
        <w:tc>
          <w:tcPr>
            <w:tcW w:w="2154" w:type="dxa"/>
          </w:tcPr>
          <w:p>
            <w:pPr>
              <w:pStyle w:val="0"/>
              <w:jc w:val="center"/>
            </w:pPr>
            <w:r>
              <w:rPr>
                <w:sz w:val="20"/>
              </w:rPr>
              <w:t xml:space="preserve">9</w:t>
            </w:r>
          </w:p>
        </w:tc>
      </w:tr>
      <w:tr>
        <w:tc>
          <w:tcPr>
            <w:tcW w:w="1701" w:type="dxa"/>
          </w:tcPr>
          <w:p>
            <w:pPr>
              <w:pStyle w:val="0"/>
            </w:pPr>
            <w:r>
              <w:rPr>
                <w:sz w:val="20"/>
              </w:rPr>
            </w:r>
          </w:p>
        </w:tc>
        <w:tc>
          <w:tcPr>
            <w:tcW w:w="96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871" w:type="dxa"/>
          </w:tcPr>
          <w:p>
            <w:pPr>
              <w:pStyle w:val="0"/>
            </w:pPr>
            <w:r>
              <w:rPr>
                <w:sz w:val="20"/>
              </w:rPr>
            </w:r>
          </w:p>
        </w:tc>
        <w:tc>
          <w:tcPr>
            <w:tcW w:w="2154" w:type="dxa"/>
          </w:tcPr>
          <w:p>
            <w:pPr>
              <w:pStyle w:val="0"/>
            </w:pPr>
            <w:r>
              <w:rPr>
                <w:sz w:val="20"/>
              </w:rPr>
            </w:r>
          </w:p>
        </w:tc>
      </w:tr>
      <w:tr>
        <w:tc>
          <w:tcPr>
            <w:tcW w:w="1701" w:type="dxa"/>
          </w:tcPr>
          <w:p>
            <w:pPr>
              <w:pStyle w:val="0"/>
            </w:pPr>
            <w:r>
              <w:rPr>
                <w:sz w:val="20"/>
              </w:rPr>
            </w:r>
          </w:p>
        </w:tc>
        <w:tc>
          <w:tcPr>
            <w:tcW w:w="964" w:type="dxa"/>
          </w:tcPr>
          <w:p>
            <w:pPr>
              <w:pStyle w:val="0"/>
            </w:pPr>
            <w:r>
              <w:rPr>
                <w:sz w:val="20"/>
              </w:rPr>
            </w:r>
          </w:p>
        </w:tc>
        <w:tc>
          <w:tcPr>
            <w:tcW w:w="1701" w:type="dxa"/>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871" w:type="dxa"/>
          </w:tcPr>
          <w:p>
            <w:pPr>
              <w:pStyle w:val="0"/>
            </w:pPr>
            <w:r>
              <w:rPr>
                <w:sz w:val="20"/>
              </w:rPr>
            </w:r>
          </w:p>
        </w:tc>
        <w:tc>
          <w:tcPr>
            <w:tcW w:w="2154" w:type="dxa"/>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2665"/>
        <w:gridCol w:w="1622"/>
        <w:gridCol w:w="425"/>
        <w:gridCol w:w="1304"/>
        <w:gridCol w:w="425"/>
        <w:gridCol w:w="2629"/>
      </w:tblGrid>
      <w:tr>
        <w:tc>
          <w:tcPr>
            <w:tcW w:w="2665" w:type="dxa"/>
            <w:tcBorders>
              <w:top w:val="nil"/>
              <w:left w:val="nil"/>
              <w:bottom w:val="nil"/>
              <w:right w:val="nil"/>
            </w:tcBorders>
          </w:tcPr>
          <w:p>
            <w:pPr>
              <w:pStyle w:val="0"/>
            </w:pPr>
            <w:r>
              <w:rPr>
                <w:sz w:val="20"/>
              </w:rPr>
              <w:t xml:space="preserve">Руководитель</w:t>
            </w:r>
          </w:p>
          <w:p>
            <w:pPr>
              <w:pStyle w:val="0"/>
            </w:pPr>
            <w:r>
              <w:rPr>
                <w:sz w:val="20"/>
              </w:rPr>
              <w:t xml:space="preserve">(уполномоченное лицо)</w:t>
            </w:r>
          </w:p>
        </w:tc>
        <w:tc>
          <w:tcPr>
            <w:tcW w:w="1622" w:type="dxa"/>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2629" w:type="dxa"/>
            <w:tcBorders>
              <w:top w:val="nil"/>
              <w:left w:val="nil"/>
              <w:bottom w:val="single" w:sz="4"/>
              <w:right w:val="nil"/>
            </w:tcBorders>
          </w:tcPr>
          <w:p>
            <w:pPr>
              <w:pStyle w:val="0"/>
            </w:pPr>
            <w:r>
              <w:rPr>
                <w:sz w:val="20"/>
              </w:rPr>
            </w:r>
          </w:p>
        </w:tc>
      </w:tr>
      <w:tr>
        <w:tc>
          <w:tcPr>
            <w:tcW w:w="2665" w:type="dxa"/>
            <w:tcBorders>
              <w:top w:val="nil"/>
              <w:left w:val="nil"/>
              <w:bottom w:val="nil"/>
              <w:right w:val="nil"/>
            </w:tcBorders>
          </w:tcPr>
          <w:p>
            <w:pPr>
              <w:pStyle w:val="0"/>
            </w:pPr>
            <w:r>
              <w:rPr>
                <w:sz w:val="20"/>
              </w:rPr>
            </w:r>
          </w:p>
        </w:tc>
        <w:tc>
          <w:tcPr>
            <w:tcW w:w="1622" w:type="dxa"/>
            <w:tcBorders>
              <w:top w:val="single" w:sz="4"/>
              <w:left w:val="nil"/>
              <w:bottom w:val="nil"/>
              <w:right w:val="nil"/>
            </w:tcBorders>
          </w:tcPr>
          <w:p>
            <w:pPr>
              <w:pStyle w:val="0"/>
              <w:jc w:val="center"/>
            </w:pPr>
            <w:r>
              <w:rPr>
                <w:sz w:val="20"/>
              </w:rPr>
              <w:t xml:space="preserve">(должность)</w:t>
            </w:r>
          </w:p>
        </w:tc>
        <w:tc>
          <w:tcPr>
            <w:tcW w:w="425"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425" w:type="dxa"/>
            <w:tcBorders>
              <w:top w:val="nil"/>
              <w:left w:val="nil"/>
              <w:bottom w:val="nil"/>
              <w:right w:val="nil"/>
            </w:tcBorders>
          </w:tcPr>
          <w:p>
            <w:pPr>
              <w:pStyle w:val="0"/>
            </w:pPr>
            <w:r>
              <w:rPr>
                <w:sz w:val="20"/>
              </w:rPr>
            </w:r>
          </w:p>
        </w:tc>
        <w:tc>
          <w:tcPr>
            <w:tcW w:w="2629" w:type="dxa"/>
            <w:tcBorders>
              <w:top w:val="single" w:sz="4"/>
              <w:left w:val="nil"/>
              <w:bottom w:val="nil"/>
              <w:right w:val="nil"/>
            </w:tcBorders>
          </w:tcPr>
          <w:p>
            <w:pPr>
              <w:pStyle w:val="0"/>
              <w:jc w:val="center"/>
            </w:pPr>
            <w:r>
              <w:rPr>
                <w:sz w:val="20"/>
              </w:rPr>
              <w:t xml:space="preserve">(расшифровка подписи)</w:t>
            </w:r>
          </w:p>
        </w:tc>
      </w:tr>
      <w:tr>
        <w:tc>
          <w:tcPr>
            <w:gridSpan w:val="6"/>
            <w:tcW w:w="9070" w:type="dxa"/>
            <w:tcBorders>
              <w:top w:val="nil"/>
              <w:left w:val="nil"/>
              <w:bottom w:val="nil"/>
              <w:right w:val="nil"/>
            </w:tcBorders>
          </w:tcPr>
          <w:p>
            <w:pPr>
              <w:pStyle w:val="0"/>
              <w:jc w:val="both"/>
            </w:pPr>
            <w:r>
              <w:rPr>
                <w:sz w:val="20"/>
              </w:rPr>
              <w:t xml:space="preserve">"____" ________________ 20__ г.</w:t>
            </w:r>
          </w:p>
        </w:tc>
      </w:tr>
    </w:tbl>
    <w:p>
      <w:pPr>
        <w:pStyle w:val="0"/>
        <w:jc w:val="both"/>
      </w:pPr>
      <w:r>
        <w:rPr>
          <w:sz w:val="20"/>
        </w:rPr>
      </w:r>
    </w:p>
    <w:p>
      <w:pPr>
        <w:pStyle w:val="0"/>
        <w:ind w:firstLine="540"/>
        <w:jc w:val="both"/>
      </w:pPr>
      <w:r>
        <w:rPr>
          <w:sz w:val="20"/>
        </w:rPr>
        <w:t xml:space="preserve">--------------------------------</w:t>
      </w:r>
    </w:p>
    <w:bookmarkStart w:id="1215" w:name="P1215"/>
    <w:bookmarkEnd w:id="1215"/>
    <w:p>
      <w:pPr>
        <w:pStyle w:val="0"/>
        <w:spacing w:before="200" w:lineRule="auto"/>
        <w:ind w:firstLine="540"/>
        <w:jc w:val="both"/>
      </w:pPr>
      <w:r>
        <w:rPr>
          <w:sz w:val="20"/>
        </w:rPr>
        <w:t xml:space="preserve">&lt;1&gt; - указывается государственный бюджет Республики Саха (Якутия);</w:t>
      </w:r>
    </w:p>
    <w:bookmarkStart w:id="1216" w:name="P1216"/>
    <w:bookmarkEnd w:id="1216"/>
    <w:p>
      <w:pPr>
        <w:pStyle w:val="0"/>
        <w:spacing w:before="200" w:lineRule="auto"/>
        <w:ind w:firstLine="540"/>
        <w:jc w:val="both"/>
      </w:pPr>
      <w:r>
        <w:rPr>
          <w:sz w:val="20"/>
        </w:rPr>
        <w:t xml:space="preserve">&lt;2&gt; - ставится цифра 1 в случае, если государственный социальный заказ на оказание государственных услуг в социальной сфере, отнесенных к полномочиям органов государственной власти Республики Саха (Якутия) (далее - социальный заказ Республики Саха (Якутия), формируется впервые, ставится цифра 2 - в случае внесения изменений в утвержденный социальный заказ Республики Саха (Якутия) и формирования нового социального заказа Республики Саха (Якутия);</w:t>
      </w:r>
    </w:p>
    <w:bookmarkStart w:id="1217" w:name="P1217"/>
    <w:bookmarkEnd w:id="1217"/>
    <w:p>
      <w:pPr>
        <w:pStyle w:val="0"/>
        <w:spacing w:before="200" w:lineRule="auto"/>
        <w:ind w:firstLine="540"/>
        <w:jc w:val="both"/>
      </w:pPr>
      <w:r>
        <w:rPr>
          <w:sz w:val="20"/>
        </w:rPr>
        <w:t xml:space="preserve">&lt;3&gt; - указывается отрасль социальной сферы, определенная </w:t>
      </w:r>
      <w:hyperlink w:history="0" r:id="rId5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1 статьи 1</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w:t>
      </w:r>
    </w:p>
    <w:bookmarkStart w:id="1218" w:name="P1218"/>
    <w:bookmarkEnd w:id="1218"/>
    <w:p>
      <w:pPr>
        <w:pStyle w:val="0"/>
        <w:spacing w:before="200" w:lineRule="auto"/>
        <w:ind w:firstLine="540"/>
        <w:jc w:val="both"/>
      </w:pPr>
      <w:r>
        <w:rPr>
          <w:sz w:val="20"/>
        </w:rPr>
        <w:t xml:space="preserve">&lt;4&gt; - формируется в соответствии с информацией, включенной в </w:t>
      </w:r>
      <w:hyperlink w:history="0" w:anchor="P635" w:tooltip="1. Сведения об объеме оказания государственной услуги">
        <w:r>
          <w:rPr>
            <w:sz w:val="20"/>
            <w:color w:val="0000ff"/>
          </w:rPr>
          <w:t xml:space="preserve">подраздел 1 раздела II</w:t>
        </w:r>
      </w:hyperlink>
      <w:r>
        <w:rPr>
          <w:sz w:val="20"/>
        </w:rPr>
        <w:t xml:space="preserve"> настоящего документа;</w:t>
      </w:r>
    </w:p>
    <w:bookmarkStart w:id="1219" w:name="P1219"/>
    <w:bookmarkEnd w:id="1219"/>
    <w:p>
      <w:pPr>
        <w:pStyle w:val="0"/>
        <w:spacing w:before="200" w:lineRule="auto"/>
        <w:ind w:firstLine="540"/>
        <w:jc w:val="both"/>
      </w:pPr>
      <w:r>
        <w:rPr>
          <w:sz w:val="20"/>
        </w:rPr>
        <w:t xml:space="preserve">&lt;5&gt; - рассчитывается как сумма </w:t>
      </w:r>
      <w:hyperlink w:history="0" w:anchor="P235" w:tooltip="8">
        <w:r>
          <w:rPr>
            <w:sz w:val="20"/>
            <w:color w:val="0000ff"/>
          </w:rPr>
          <w:t xml:space="preserve">граф 8</w:t>
        </w:r>
      </w:hyperlink>
      <w:r>
        <w:rPr>
          <w:sz w:val="20"/>
        </w:rPr>
        <w:t xml:space="preserve">, </w:t>
      </w:r>
      <w:hyperlink w:history="0" w:anchor="P236" w:tooltip="9">
        <w:r>
          <w:rPr>
            <w:sz w:val="20"/>
            <w:color w:val="0000ff"/>
          </w:rPr>
          <w:t xml:space="preserve">9</w:t>
        </w:r>
      </w:hyperlink>
      <w:r>
        <w:rPr>
          <w:sz w:val="20"/>
        </w:rPr>
        <w:t xml:space="preserve">, </w:t>
      </w:r>
      <w:hyperlink w:history="0" w:anchor="P237" w:tooltip="10">
        <w:r>
          <w:rPr>
            <w:sz w:val="20"/>
            <w:color w:val="0000ff"/>
          </w:rPr>
          <w:t xml:space="preserve">10</w:t>
        </w:r>
      </w:hyperlink>
      <w:r>
        <w:rPr>
          <w:sz w:val="20"/>
        </w:rPr>
        <w:t xml:space="preserve">, </w:t>
      </w:r>
      <w:hyperlink w:history="0" w:anchor="P238" w:tooltip="11">
        <w:r>
          <w:rPr>
            <w:sz w:val="20"/>
            <w:color w:val="0000ff"/>
          </w:rPr>
          <w:t xml:space="preserve">11</w:t>
        </w:r>
      </w:hyperlink>
      <w:r>
        <w:rPr>
          <w:sz w:val="20"/>
        </w:rPr>
        <w:t xml:space="preserve">;</w:t>
      </w:r>
    </w:p>
    <w:bookmarkStart w:id="1220" w:name="P1220"/>
    <w:bookmarkEnd w:id="1220"/>
    <w:p>
      <w:pPr>
        <w:pStyle w:val="0"/>
        <w:spacing w:before="200" w:lineRule="auto"/>
        <w:ind w:firstLine="540"/>
        <w:jc w:val="both"/>
      </w:pPr>
      <w:r>
        <w:rPr>
          <w:sz w:val="20"/>
        </w:rPr>
        <w:t xml:space="preserve">&lt;6&gt; -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635" w:tooltip="1. Сведения об объеме оказания государственной услуги">
        <w:r>
          <w:rPr>
            <w:sz w:val="20"/>
            <w:color w:val="0000ff"/>
          </w:rPr>
          <w:t xml:space="preserve">подраздел 1 раздела II</w:t>
        </w:r>
      </w:hyperlink>
      <w:r>
        <w:rPr>
          <w:sz w:val="20"/>
        </w:rPr>
        <w:t xml:space="preserve"> настоящего документа;</w:t>
      </w:r>
    </w:p>
    <w:bookmarkStart w:id="1221" w:name="P1221"/>
    <w:bookmarkEnd w:id="1221"/>
    <w:p>
      <w:pPr>
        <w:pStyle w:val="0"/>
        <w:spacing w:before="200" w:lineRule="auto"/>
        <w:ind w:firstLine="540"/>
        <w:jc w:val="both"/>
      </w:pPr>
      <w:r>
        <w:rPr>
          <w:sz w:val="20"/>
        </w:rPr>
        <w:t xml:space="preserve">&lt;7&gt; - формируется в соответствии с информацией, включенной в </w:t>
      </w:r>
      <w:hyperlink w:history="0" w:anchor="P765" w:tooltip="2. Сведения об объеме оказания государственной услуги">
        <w:r>
          <w:rPr>
            <w:sz w:val="20"/>
            <w:color w:val="0000ff"/>
          </w:rPr>
          <w:t xml:space="preserve">подраздел 2 раздела II</w:t>
        </w:r>
      </w:hyperlink>
      <w:r>
        <w:rPr>
          <w:sz w:val="20"/>
        </w:rPr>
        <w:t xml:space="preserve"> настоящего документа;</w:t>
      </w:r>
    </w:p>
    <w:bookmarkStart w:id="1222" w:name="P1222"/>
    <w:bookmarkEnd w:id="1222"/>
    <w:p>
      <w:pPr>
        <w:pStyle w:val="0"/>
        <w:spacing w:before="200" w:lineRule="auto"/>
        <w:ind w:firstLine="540"/>
        <w:jc w:val="both"/>
      </w:pPr>
      <w:r>
        <w:rPr>
          <w:sz w:val="20"/>
        </w:rPr>
        <w:t xml:space="preserve">&lt;8&gt; -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765" w:tooltip="2. Сведения об объеме оказания государственной услуги">
        <w:r>
          <w:rPr>
            <w:sz w:val="20"/>
            <w:color w:val="0000ff"/>
          </w:rPr>
          <w:t xml:space="preserve">подраздел 2 раздела II</w:t>
        </w:r>
      </w:hyperlink>
      <w:r>
        <w:rPr>
          <w:sz w:val="20"/>
        </w:rPr>
        <w:t xml:space="preserve"> настоящего документа;</w:t>
      </w:r>
    </w:p>
    <w:bookmarkStart w:id="1223" w:name="P1223"/>
    <w:bookmarkEnd w:id="1223"/>
    <w:p>
      <w:pPr>
        <w:pStyle w:val="0"/>
        <w:spacing w:before="200" w:lineRule="auto"/>
        <w:ind w:firstLine="540"/>
        <w:jc w:val="both"/>
      </w:pPr>
      <w:r>
        <w:rPr>
          <w:sz w:val="20"/>
        </w:rPr>
        <w:t xml:space="preserve">&lt;9&gt; - формируется в соответствии с информацией, включенной в </w:t>
      </w:r>
      <w:hyperlink w:history="0" w:anchor="P894" w:tooltip="3. Сведения об объеме оказания государственной услуги">
        <w:r>
          <w:rPr>
            <w:sz w:val="20"/>
            <w:color w:val="0000ff"/>
          </w:rPr>
          <w:t xml:space="preserve">подраздел 3 раздела II</w:t>
        </w:r>
      </w:hyperlink>
      <w:r>
        <w:rPr>
          <w:sz w:val="20"/>
        </w:rPr>
        <w:t xml:space="preserve"> настоящего документа;</w:t>
      </w:r>
    </w:p>
    <w:bookmarkStart w:id="1224" w:name="P1224"/>
    <w:bookmarkEnd w:id="1224"/>
    <w:p>
      <w:pPr>
        <w:pStyle w:val="0"/>
        <w:spacing w:before="200" w:lineRule="auto"/>
        <w:ind w:firstLine="540"/>
        <w:jc w:val="both"/>
      </w:pPr>
      <w:r>
        <w:rPr>
          <w:sz w:val="20"/>
        </w:rPr>
        <w:t xml:space="preserve">&lt;10&gt; -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894" w:tooltip="3. Сведения об объеме оказания государственной услуги">
        <w:r>
          <w:rPr>
            <w:sz w:val="20"/>
            <w:color w:val="0000ff"/>
          </w:rPr>
          <w:t xml:space="preserve">подраздел 3 раздела II</w:t>
        </w:r>
      </w:hyperlink>
      <w:r>
        <w:rPr>
          <w:sz w:val="20"/>
        </w:rPr>
        <w:t xml:space="preserve"> настоящего документа;</w:t>
      </w:r>
    </w:p>
    <w:bookmarkStart w:id="1225" w:name="P1225"/>
    <w:bookmarkEnd w:id="1225"/>
    <w:p>
      <w:pPr>
        <w:pStyle w:val="0"/>
        <w:spacing w:before="200" w:lineRule="auto"/>
        <w:ind w:firstLine="540"/>
        <w:jc w:val="both"/>
      </w:pPr>
      <w:r>
        <w:rPr>
          <w:sz w:val="20"/>
        </w:rPr>
        <w:t xml:space="preserve">&lt;11&gt; - формируется в соответствии с информацией, включенной в </w:t>
      </w:r>
      <w:hyperlink w:history="0" w:anchor="P1023" w:tooltip="4. Сведения об объеме оказания государственной услуги">
        <w:r>
          <w:rPr>
            <w:sz w:val="20"/>
            <w:color w:val="0000ff"/>
          </w:rPr>
          <w:t xml:space="preserve">подраздел 4 раздела II</w:t>
        </w:r>
      </w:hyperlink>
      <w:r>
        <w:rPr>
          <w:sz w:val="20"/>
        </w:rPr>
        <w:t xml:space="preserve"> настоящего документа;</w:t>
      </w:r>
    </w:p>
    <w:bookmarkStart w:id="1226" w:name="P1226"/>
    <w:bookmarkEnd w:id="1226"/>
    <w:p>
      <w:pPr>
        <w:pStyle w:val="0"/>
        <w:spacing w:before="200" w:lineRule="auto"/>
        <w:ind w:firstLine="540"/>
        <w:jc w:val="both"/>
      </w:pPr>
      <w:r>
        <w:rPr>
          <w:sz w:val="20"/>
        </w:rPr>
        <w:t xml:space="preserve">&lt;12&gt; - формируется в соответствии с показателями, характеризующими объем оказания государственной услуги в социальной сфере, включенными в </w:t>
      </w:r>
      <w:hyperlink w:history="0" w:anchor="P1023" w:tooltip="4. Сведения об объеме оказания государственной услуги">
        <w:r>
          <w:rPr>
            <w:sz w:val="20"/>
            <w:color w:val="0000ff"/>
          </w:rPr>
          <w:t xml:space="preserve">подраздел 4 раздела II</w:t>
        </w:r>
      </w:hyperlink>
      <w:r>
        <w:rPr>
          <w:sz w:val="20"/>
        </w:rPr>
        <w:t xml:space="preserve"> настоящего документа;</w:t>
      </w:r>
    </w:p>
    <w:bookmarkStart w:id="1227" w:name="P1227"/>
    <w:bookmarkEnd w:id="1227"/>
    <w:p>
      <w:pPr>
        <w:pStyle w:val="0"/>
        <w:spacing w:before="200" w:lineRule="auto"/>
        <w:ind w:firstLine="540"/>
        <w:jc w:val="both"/>
      </w:pPr>
      <w:r>
        <w:rPr>
          <w:sz w:val="20"/>
        </w:rPr>
        <w:t xml:space="preserve">&lt;13&gt; - указывается наименование укрупненной государственной услуги в социальной сфере, под которой для целей настоящего документа понимается несколько государственных услуг в социальной сфере, соответствующих одному и тому же виду кода Общероссийского </w:t>
      </w:r>
      <w:hyperlink w:history="0" r:id="rId51"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классификатора</w:t>
        </w:r>
      </w:hyperlink>
      <w:r>
        <w:rPr>
          <w:sz w:val="20"/>
        </w:rPr>
        <w:t xml:space="preserve"> продукции по видам экономической деятельности и объединенных по решению уполномоченного органа в соответствии с содержанием государственной услуги в социальной сфере и (или) условиями (формами) оказания государственной услуги в социальной сфере, в случае принятия уполномоченным органом решения о формировании социального заказа Республики Саха (Якутия) в отношении укрупненных государственных услуг в социальной сфере;</w:t>
      </w:r>
    </w:p>
    <w:bookmarkStart w:id="1228" w:name="P1228"/>
    <w:bookmarkEnd w:id="1228"/>
    <w:p>
      <w:pPr>
        <w:pStyle w:val="0"/>
        <w:spacing w:before="200" w:lineRule="auto"/>
        <w:ind w:firstLine="540"/>
        <w:jc w:val="both"/>
      </w:pPr>
      <w:r>
        <w:rPr>
          <w:sz w:val="20"/>
        </w:rPr>
        <w:t xml:space="preserve">&lt;14&gt; - заполняется в соответствии с общероссийским базовым (отраслевым) перечнем (классификатором) государственных и муниципальных услуг, оказываемых физическим лицам, по соответствующей сфере деятельности (далее - перечень государственных услуг);</w:t>
      </w:r>
    </w:p>
    <w:bookmarkStart w:id="1229" w:name="P1229"/>
    <w:bookmarkEnd w:id="1229"/>
    <w:p>
      <w:pPr>
        <w:pStyle w:val="0"/>
        <w:spacing w:before="200" w:lineRule="auto"/>
        <w:ind w:firstLine="540"/>
        <w:jc w:val="both"/>
      </w:pPr>
      <w:r>
        <w:rPr>
          <w:sz w:val="20"/>
        </w:rPr>
        <w:t xml:space="preserve">&lt;15&gt; - указывается полное наименование уполномоченного органа или органа власти, уполномоченного на формирование социального заказа Республики Саха (Якутия), указанного в </w:t>
      </w:r>
      <w:hyperlink w:history="0" w:anchor="P60" w:tooltip="2. Социальные заказы Республики Саха (Якутия) формируются в соответствии с настоящими Правилами в отраслях социальной сферы, определенных частью 1 статьи 1 Федерального закона, соответствующими уполномоченными органами.">
        <w:r>
          <w:rPr>
            <w:sz w:val="20"/>
            <w:color w:val="0000ff"/>
          </w:rPr>
          <w:t xml:space="preserve">пункте 2</w:t>
        </w:r>
      </w:hyperlink>
      <w:r>
        <w:rPr>
          <w:sz w:val="20"/>
        </w:rPr>
        <w:t xml:space="preserve"> Правил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утвержденных постановлением Правительства Республики Саха (Якутия) "О порядке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Республики Саха (Якутия), о форме и сроках формирования отчета об их исполнении".</w:t>
      </w:r>
    </w:p>
    <w:bookmarkStart w:id="1230" w:name="P1230"/>
    <w:bookmarkEnd w:id="1230"/>
    <w:p>
      <w:pPr>
        <w:pStyle w:val="0"/>
        <w:spacing w:before="200" w:lineRule="auto"/>
        <w:ind w:firstLine="540"/>
        <w:jc w:val="both"/>
      </w:pPr>
      <w:r>
        <w:rPr>
          <w:sz w:val="20"/>
        </w:rPr>
        <w:t xml:space="preserve">&lt;16&gt; - указывается срок оказания государственной услуги в социальной сфере (государственных услуг в социальной сфере, составляющих укрупненную государственную услугу), установленный в соответствии с законодательством Российской Федерации;</w:t>
      </w:r>
    </w:p>
    <w:bookmarkStart w:id="1231" w:name="P1231"/>
    <w:bookmarkEnd w:id="1231"/>
    <w:p>
      <w:pPr>
        <w:pStyle w:val="0"/>
        <w:spacing w:before="200" w:lineRule="auto"/>
        <w:ind w:firstLine="540"/>
        <w:jc w:val="both"/>
      </w:pPr>
      <w:r>
        <w:rPr>
          <w:sz w:val="20"/>
        </w:rPr>
        <w:t xml:space="preserve">&lt;17&gt; - указывается год, в котором уполномоченный орган осуществляет отбор исполнителей государственных услуг в социальной сфере (государственных услуг в социальной сфере, составляющих укрупненную государственную услугу), либо заключает с исполнителями государственных услуг в социальной сфере (государственных услуг в социальной сфере, составляющих укрупненную государственную услугу) соглашения, указанные в </w:t>
      </w:r>
      <w:hyperlink w:history="0" r:id="rId5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части 6 статьи 9</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либо утверждает государственное задание на оказание государственных услуг (выполнение работ) государственному учреждению.</w:t>
      </w:r>
    </w:p>
    <w:bookmarkStart w:id="1232" w:name="P1232"/>
    <w:bookmarkEnd w:id="1232"/>
    <w:p>
      <w:pPr>
        <w:pStyle w:val="0"/>
        <w:spacing w:before="200" w:lineRule="auto"/>
        <w:ind w:firstLine="540"/>
        <w:jc w:val="both"/>
      </w:pPr>
      <w:r>
        <w:rPr>
          <w:sz w:val="20"/>
        </w:rPr>
        <w:t xml:space="preserve">&lt;18&gt; - указывается полное наименование публично-правового образования, на территории которого предоставляется государственная услуга в социальной сфере (государственные услуги в социальной сфере, составляющие укрупненную государственную услугу);</w:t>
      </w:r>
    </w:p>
    <w:bookmarkStart w:id="1233" w:name="P1233"/>
    <w:bookmarkEnd w:id="1233"/>
    <w:p>
      <w:pPr>
        <w:pStyle w:val="0"/>
        <w:spacing w:before="200" w:lineRule="auto"/>
        <w:ind w:firstLine="540"/>
        <w:jc w:val="both"/>
      </w:pPr>
      <w:r>
        <w:rPr>
          <w:sz w:val="20"/>
        </w:rPr>
        <w:t xml:space="preserve">&lt;19&gt; - заполняется в соответствии с кодом, указанным в перечне государственных услуг (при наличии);</w:t>
      </w:r>
    </w:p>
    <w:bookmarkStart w:id="1234" w:name="P1234"/>
    <w:bookmarkEnd w:id="1234"/>
    <w:p>
      <w:pPr>
        <w:pStyle w:val="0"/>
        <w:spacing w:before="200" w:lineRule="auto"/>
        <w:ind w:firstLine="540"/>
        <w:jc w:val="both"/>
      </w:pPr>
      <w:r>
        <w:rPr>
          <w:sz w:val="20"/>
        </w:rPr>
        <w:t xml:space="preserve">&lt;20&gt; - в </w:t>
      </w:r>
      <w:hyperlink w:history="0" w:anchor="P1059" w:tooltip="12">
        <w:r>
          <w:rPr>
            <w:sz w:val="20"/>
            <w:color w:val="0000ff"/>
          </w:rPr>
          <w:t xml:space="preserve">графы 12</w:t>
        </w:r>
      </w:hyperlink>
      <w:r>
        <w:rPr>
          <w:sz w:val="20"/>
        </w:rPr>
        <w:t xml:space="preserve"> - </w:t>
      </w:r>
      <w:hyperlink w:history="0" w:anchor="P1062" w:tooltip="15">
        <w:r>
          <w:rPr>
            <w:sz w:val="20"/>
            <w:color w:val="0000ff"/>
          </w:rPr>
          <w:t xml:space="preserve">15</w:t>
        </w:r>
      </w:hyperlink>
      <w:r>
        <w:rPr>
          <w:sz w:val="20"/>
        </w:rPr>
        <w:t xml:space="preserve"> включаются числовые значения показателей, характеризующих объем оказания государственной услуги в социальной сфере;</w:t>
      </w:r>
    </w:p>
    <w:bookmarkStart w:id="1235" w:name="P1235"/>
    <w:bookmarkEnd w:id="1235"/>
    <w:p>
      <w:pPr>
        <w:pStyle w:val="0"/>
        <w:spacing w:before="200" w:lineRule="auto"/>
        <w:ind w:firstLine="540"/>
        <w:jc w:val="both"/>
      </w:pPr>
      <w:r>
        <w:rPr>
          <w:sz w:val="20"/>
        </w:rPr>
        <w:t xml:space="preserve">&lt;21&gt;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объем оказания государственной услуги в социальной сфере, включенных в </w:t>
      </w:r>
      <w:hyperlink w:history="0" w:anchor="P1059" w:tooltip="12">
        <w:r>
          <w:rPr>
            <w:sz w:val="20"/>
            <w:color w:val="0000ff"/>
          </w:rPr>
          <w:t xml:space="preserve">графы 12</w:t>
        </w:r>
      </w:hyperlink>
      <w:r>
        <w:rPr>
          <w:sz w:val="20"/>
        </w:rPr>
        <w:t xml:space="preserve"> - </w:t>
      </w:r>
      <w:hyperlink w:history="0" w:anchor="P1062" w:tooltip="15">
        <w:r>
          <w:rPr>
            <w:sz w:val="20"/>
            <w:color w:val="0000ff"/>
          </w:rPr>
          <w:t xml:space="preserve">15</w:t>
        </w:r>
      </w:hyperlink>
      <w:r>
        <w:rPr>
          <w:sz w:val="20"/>
        </w:rPr>
        <w:t xml:space="preserve">, при принятии уполномоченным органом в соответствии с </w:t>
      </w:r>
      <w:hyperlink w:history="0" r:id="rId53" w:tooltip="Постановление Правительства РФ от 23.10.2020 N 1728 &quot;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quot; {КонсультантПлюс}">
        <w:r>
          <w:rPr>
            <w:sz w:val="20"/>
            <w:color w:val="0000ff"/>
          </w:rPr>
          <w:t xml:space="preserve">пунктом 2</w:t>
        </w:r>
      </w:hyperlink>
      <w:r>
        <w:rPr>
          <w:sz w:val="20"/>
        </w:rPr>
        <w:t xml:space="preserve">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утвержденных постановлением Правительства Российской Федерации от 23 октября 2020 г. N 1728 "Об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решения об определении предельных допустимых возможных отклонений от значений показателей, характеризующих объем оказания государственной услуги в социальной сфере;</w:t>
      </w:r>
    </w:p>
    <w:bookmarkStart w:id="1236" w:name="P1236"/>
    <w:bookmarkEnd w:id="1236"/>
    <w:p>
      <w:pPr>
        <w:pStyle w:val="0"/>
        <w:spacing w:before="200" w:lineRule="auto"/>
        <w:ind w:firstLine="540"/>
        <w:jc w:val="both"/>
      </w:pPr>
      <w:r>
        <w:rPr>
          <w:sz w:val="20"/>
        </w:rPr>
        <w:t xml:space="preserve">&lt;22&gt; - заполняется в соответствии с показателями, характеризующими качество оказания государственных услуг в социальной сфере (государственных услуг в социальной сфере, составляющих укрупненную государственную услугу), установленными в перечне государственных услуг;</w:t>
      </w:r>
    </w:p>
    <w:bookmarkStart w:id="1237" w:name="P1237"/>
    <w:bookmarkEnd w:id="1237"/>
    <w:p>
      <w:pPr>
        <w:pStyle w:val="0"/>
        <w:spacing w:before="200" w:lineRule="auto"/>
        <w:ind w:firstLine="540"/>
        <w:jc w:val="both"/>
      </w:pPr>
      <w:r>
        <w:rPr>
          <w:sz w:val="20"/>
        </w:rPr>
        <w:t xml:space="preserve">&lt;23&gt; - указывается числовое значение предельного допустимого возможного отклонения в процентах или абсолютных величинах от значений показателей, характеризующих качество оказания государственной услуги в социальной сфере, включенных в </w:t>
      </w:r>
      <w:hyperlink w:history="0" w:anchor="P1178" w:tooltip="8">
        <w:r>
          <w:rPr>
            <w:sz w:val="20"/>
            <w:color w:val="0000ff"/>
          </w:rPr>
          <w:t xml:space="preserve">графу 8</w:t>
        </w:r>
      </w:hyperlink>
      <w:r>
        <w:rPr>
          <w:sz w:val="20"/>
        </w:rPr>
        <w:t xml:space="preserve">, при принятии уполномоченными органами в соответствии с </w:t>
      </w:r>
      <w:hyperlink w:history="0" r:id="rId54" w:tooltip="Постановление Правительства РФ от 23.10.2020 N 1728 &quot;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quot; {КонсультантПлюс}">
        <w:r>
          <w:rPr>
            <w:sz w:val="20"/>
            <w:color w:val="0000ff"/>
          </w:rPr>
          <w:t xml:space="preserve">пунктом 2</w:t>
        </w:r>
      </w:hyperlink>
      <w:r>
        <w:rPr>
          <w:sz w:val="20"/>
        </w:rPr>
        <w:t xml:space="preserve">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утвержденных постановлением Правительства Российской Федерации от 23 октября 2020 г. N 1728 "Об утверждении общих требований к определению предельных допустимых возможных отклонений от показателей, характеризующих качество оказания государственной (муниципальной) услуги в социальной сфере и объем оказания такой услуги", решения об определении предельных допустимых возможных отклонений от значений показателей, характеризующих качество оказания государственной услуги в социальной сфере.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Правилам формирования</w:t>
      </w:r>
    </w:p>
    <w:p>
      <w:pPr>
        <w:pStyle w:val="0"/>
        <w:jc w:val="right"/>
      </w:pPr>
      <w:r>
        <w:rPr>
          <w:sz w:val="20"/>
        </w:rPr>
        <w:t xml:space="preserve">государственных социальных</w:t>
      </w:r>
    </w:p>
    <w:p>
      <w:pPr>
        <w:pStyle w:val="0"/>
        <w:jc w:val="right"/>
      </w:pPr>
      <w:r>
        <w:rPr>
          <w:sz w:val="20"/>
        </w:rPr>
        <w:t xml:space="preserve">заказов на оказание</w:t>
      </w:r>
    </w:p>
    <w:p>
      <w:pPr>
        <w:pStyle w:val="0"/>
        <w:jc w:val="right"/>
      </w:pPr>
      <w:r>
        <w:rPr>
          <w:sz w:val="20"/>
        </w:rPr>
        <w:t xml:space="preserve">государственных услуг</w:t>
      </w:r>
    </w:p>
    <w:p>
      <w:pPr>
        <w:pStyle w:val="0"/>
        <w:jc w:val="right"/>
      </w:pPr>
      <w:r>
        <w:rPr>
          <w:sz w:val="20"/>
        </w:rPr>
        <w:t xml:space="preserve">в социальной сфере, отнесенных</w:t>
      </w:r>
    </w:p>
    <w:p>
      <w:pPr>
        <w:pStyle w:val="0"/>
        <w:jc w:val="right"/>
      </w:pPr>
      <w:r>
        <w:rPr>
          <w:sz w:val="20"/>
        </w:rPr>
        <w:t xml:space="preserve">к полномочиям исполнительных</w:t>
      </w:r>
    </w:p>
    <w:p>
      <w:pPr>
        <w:pStyle w:val="0"/>
        <w:jc w:val="right"/>
      </w:pPr>
      <w:r>
        <w:rPr>
          <w:sz w:val="20"/>
        </w:rPr>
        <w:t xml:space="preserve">органов государственной власти</w:t>
      </w:r>
    </w:p>
    <w:p>
      <w:pPr>
        <w:pStyle w:val="0"/>
        <w:jc w:val="right"/>
      </w:pPr>
      <w:r>
        <w:rPr>
          <w:sz w:val="20"/>
        </w:rPr>
        <w:t xml:space="preserve">Республики Саха (Якутия)</w:t>
      </w:r>
    </w:p>
    <w:p>
      <w:pPr>
        <w:pStyle w:val="0"/>
        <w:jc w:val="both"/>
      </w:pPr>
      <w:r>
        <w:rPr>
          <w:sz w:val="20"/>
        </w:rPr>
      </w:r>
    </w:p>
    <w:p>
      <w:pPr>
        <w:pStyle w:val="2"/>
        <w:jc w:val="center"/>
      </w:pPr>
      <w:r>
        <w:rPr>
          <w:sz w:val="20"/>
        </w:rPr>
        <w:t xml:space="preserve">ПЛАН</w:t>
      </w:r>
    </w:p>
    <w:p>
      <w:pPr>
        <w:pStyle w:val="2"/>
        <w:jc w:val="center"/>
      </w:pPr>
      <w:r>
        <w:rPr>
          <w:sz w:val="20"/>
        </w:rPr>
        <w:t xml:space="preserve">ДОСТИЖЕНИЯ ПОКАЗАТЕЛЕЙ ЭФФЕКТИВНОСТИ ОРГАНИЗАЦИИ</w:t>
      </w:r>
    </w:p>
    <w:p>
      <w:pPr>
        <w:pStyle w:val="2"/>
        <w:jc w:val="center"/>
      </w:pPr>
      <w:r>
        <w:rPr>
          <w:sz w:val="20"/>
        </w:rPr>
        <w:t xml:space="preserve">ОКАЗАНИЯ ГОСУДАРСТВЕННЫХ УСЛУГ В СОЦИАЛЬНОЙ СФЕРЕ</w:t>
      </w:r>
    </w:p>
    <w:p>
      <w:pPr>
        <w:pStyle w:val="2"/>
        <w:jc w:val="center"/>
      </w:pPr>
      <w:r>
        <w:rPr>
          <w:sz w:val="20"/>
        </w:rPr>
        <w:t xml:space="preserve">В РЕСПУБЛИКЕ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55"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постановлением</w:t>
              </w:r>
            </w:hyperlink>
            <w:r>
              <w:rPr>
                <w:sz w:val="20"/>
                <w:color w:val="392c69"/>
              </w:rPr>
              <w:t xml:space="preserve"> Правительства РС(Я) от 06.11.2025 N 461)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8"/>
        <w:gridCol w:w="2204"/>
        <w:gridCol w:w="3458"/>
        <w:gridCol w:w="1765"/>
        <w:gridCol w:w="2268"/>
        <w:gridCol w:w="3798"/>
      </w:tblGrid>
      <w:tr>
        <w:tc>
          <w:tcPr>
            <w:tcW w:w="568" w:type="dxa"/>
            <w:vAlign w:val="center"/>
          </w:tcPr>
          <w:p>
            <w:pPr>
              <w:pStyle w:val="0"/>
              <w:jc w:val="center"/>
            </w:pPr>
            <w:r>
              <w:rPr>
                <w:sz w:val="20"/>
              </w:rPr>
              <w:t xml:space="preserve">N п/п</w:t>
            </w:r>
          </w:p>
        </w:tc>
        <w:tc>
          <w:tcPr>
            <w:tcW w:w="2204" w:type="dxa"/>
            <w:vAlign w:val="center"/>
          </w:tcPr>
          <w:p>
            <w:pPr>
              <w:pStyle w:val="0"/>
              <w:jc w:val="center"/>
            </w:pPr>
            <w:r>
              <w:rPr>
                <w:sz w:val="20"/>
              </w:rPr>
              <w:t xml:space="preserve">Этап</w:t>
            </w:r>
          </w:p>
        </w:tc>
        <w:tc>
          <w:tcPr>
            <w:tcW w:w="3458" w:type="dxa"/>
            <w:vAlign w:val="center"/>
          </w:tcPr>
          <w:p>
            <w:pPr>
              <w:pStyle w:val="0"/>
              <w:jc w:val="center"/>
            </w:pPr>
            <w:r>
              <w:rPr>
                <w:sz w:val="20"/>
              </w:rPr>
              <w:t xml:space="preserve">Мероприятие</w:t>
            </w:r>
          </w:p>
        </w:tc>
        <w:tc>
          <w:tcPr>
            <w:tcW w:w="1765" w:type="dxa"/>
            <w:vAlign w:val="center"/>
          </w:tcPr>
          <w:p>
            <w:pPr>
              <w:pStyle w:val="0"/>
              <w:jc w:val="center"/>
            </w:pPr>
            <w:r>
              <w:rPr>
                <w:sz w:val="20"/>
              </w:rPr>
              <w:t xml:space="preserve">Срок исполнения</w:t>
            </w:r>
          </w:p>
        </w:tc>
        <w:tc>
          <w:tcPr>
            <w:tcW w:w="2268" w:type="dxa"/>
            <w:vAlign w:val="center"/>
          </w:tcPr>
          <w:p>
            <w:pPr>
              <w:pStyle w:val="0"/>
              <w:jc w:val="center"/>
            </w:pPr>
            <w:r>
              <w:rPr>
                <w:sz w:val="20"/>
              </w:rPr>
              <w:t xml:space="preserve">Результат</w:t>
            </w:r>
          </w:p>
        </w:tc>
        <w:tc>
          <w:tcPr>
            <w:tcW w:w="3798" w:type="dxa"/>
            <w:vAlign w:val="center"/>
          </w:tcPr>
          <w:p>
            <w:pPr>
              <w:pStyle w:val="0"/>
              <w:jc w:val="center"/>
            </w:pPr>
            <w:r>
              <w:rPr>
                <w:sz w:val="20"/>
              </w:rPr>
              <w:t xml:space="preserve">Ответственные исполнители</w:t>
            </w:r>
          </w:p>
        </w:tc>
      </w:tr>
      <w:tr>
        <w:tc>
          <w:tcPr>
            <w:tcW w:w="568" w:type="dxa"/>
            <w:vAlign w:val="center"/>
            <w:vMerge w:val="restart"/>
          </w:tcPr>
          <w:p>
            <w:pPr>
              <w:pStyle w:val="0"/>
              <w:jc w:val="center"/>
            </w:pPr>
            <w:r>
              <w:rPr>
                <w:sz w:val="20"/>
              </w:rPr>
              <w:t xml:space="preserve">1</w:t>
            </w:r>
          </w:p>
        </w:tc>
        <w:tc>
          <w:tcPr>
            <w:tcW w:w="2204" w:type="dxa"/>
            <w:vAlign w:val="center"/>
            <w:vMerge w:val="restart"/>
          </w:tcPr>
          <w:p>
            <w:pPr>
              <w:pStyle w:val="0"/>
              <w:jc w:val="both"/>
            </w:pPr>
            <w:r>
              <w:rPr>
                <w:sz w:val="20"/>
              </w:rPr>
              <w:t xml:space="preserve">Коммуникационная поддержка</w:t>
            </w:r>
          </w:p>
        </w:tc>
        <w:tc>
          <w:tcPr>
            <w:tcW w:w="3458" w:type="dxa"/>
            <w:vAlign w:val="center"/>
          </w:tcPr>
          <w:p>
            <w:pPr>
              <w:pStyle w:val="0"/>
              <w:jc w:val="both"/>
            </w:pPr>
            <w:r>
              <w:rPr>
                <w:sz w:val="20"/>
              </w:rPr>
              <w:t xml:space="preserve">1.1. Организация и проведение семинара-совещания с потенциальными исполнителями услуг</w:t>
            </w:r>
          </w:p>
        </w:tc>
        <w:tc>
          <w:tcPr>
            <w:tcW w:w="1765" w:type="dxa"/>
            <w:vAlign w:val="center"/>
          </w:tcPr>
          <w:p>
            <w:pPr>
              <w:pStyle w:val="0"/>
              <w:jc w:val="center"/>
            </w:pPr>
            <w:r>
              <w:rPr>
                <w:sz w:val="20"/>
              </w:rPr>
              <w:t xml:space="preserve">1 раз в полугодие</w:t>
            </w:r>
          </w:p>
        </w:tc>
        <w:tc>
          <w:tcPr>
            <w:tcW w:w="2268" w:type="dxa"/>
            <w:vAlign w:val="center"/>
          </w:tcPr>
          <w:p>
            <w:pPr>
              <w:pStyle w:val="0"/>
              <w:jc w:val="center"/>
            </w:pPr>
            <w:r>
              <w:rPr>
                <w:sz w:val="20"/>
              </w:rPr>
              <w:t xml:space="preserve">Семинар-совещание проведен</w:t>
            </w:r>
          </w:p>
        </w:tc>
        <w:tc>
          <w:tcPr>
            <w:tcW w:w="3798" w:type="dxa"/>
            <w:vAlign w:val="center"/>
          </w:tcPr>
          <w:p>
            <w:pPr>
              <w:pStyle w:val="0"/>
              <w:jc w:val="center"/>
            </w:pPr>
            <w:r>
              <w:rPr>
                <w:sz w:val="20"/>
              </w:rPr>
              <w:t xml:space="preserve">Министерство труда и социального развития Республики Саха (Якутия),</w:t>
            </w:r>
          </w:p>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3458" w:type="dxa"/>
            <w:vAlign w:val="center"/>
          </w:tcPr>
          <w:p>
            <w:pPr>
              <w:pStyle w:val="0"/>
              <w:jc w:val="both"/>
            </w:pPr>
            <w:r>
              <w:rPr>
                <w:sz w:val="20"/>
              </w:rPr>
              <w:t xml:space="preserve">1.2. Проведение консультаций, семинаров, совещаний с заинтересованными сторонами (в том числе с потребителями услуг, представителями негосударственных организаций и некоммерческих организаций, должностными лицами и персоналом, работающим непосредственно с потребителями услуг), вовлекаемыми в оказание государственных услуг в социальной сфере</w:t>
            </w:r>
          </w:p>
        </w:tc>
        <w:tc>
          <w:tcPr>
            <w:tcW w:w="1765" w:type="dxa"/>
            <w:vAlign w:val="center"/>
          </w:tcPr>
          <w:p>
            <w:pPr>
              <w:pStyle w:val="0"/>
              <w:jc w:val="center"/>
            </w:pPr>
            <w:r>
              <w:rPr>
                <w:sz w:val="20"/>
              </w:rPr>
              <w:t xml:space="preserve">По необходимости</w:t>
            </w:r>
          </w:p>
        </w:tc>
        <w:tc>
          <w:tcPr>
            <w:tcW w:w="2268" w:type="dxa"/>
            <w:vAlign w:val="center"/>
          </w:tcPr>
          <w:p>
            <w:pPr>
              <w:pStyle w:val="0"/>
              <w:jc w:val="center"/>
            </w:pPr>
            <w:r>
              <w:rPr>
                <w:sz w:val="20"/>
              </w:rPr>
              <w:t xml:space="preserve">Консультации проведены</w:t>
            </w:r>
          </w:p>
        </w:tc>
        <w:tc>
          <w:tcPr>
            <w:tcW w:w="3798" w:type="dxa"/>
            <w:vAlign w:val="center"/>
          </w:tcPr>
          <w:p>
            <w:pPr>
              <w:pStyle w:val="0"/>
              <w:jc w:val="center"/>
            </w:pPr>
            <w:r>
              <w:rPr>
                <w:sz w:val="20"/>
              </w:rPr>
              <w:t xml:space="preserve">Министерство труда и социального развития Республики Саха (Якутия),</w:t>
            </w:r>
          </w:p>
          <w:p>
            <w:pPr>
              <w:pStyle w:val="0"/>
              <w:jc w:val="center"/>
            </w:pPr>
            <w:r>
              <w:rPr>
                <w:sz w:val="20"/>
              </w:rPr>
              <w:t xml:space="preserve">Государственный комитет Республики Саха (Якутия) по занятости населения</w:t>
            </w:r>
          </w:p>
        </w:tc>
      </w:tr>
      <w:tr>
        <w:tc>
          <w:tcPr>
            <w:tcW w:w="568" w:type="dxa"/>
            <w:vMerge w:val="restart"/>
          </w:tcPr>
          <w:p>
            <w:pPr>
              <w:pStyle w:val="0"/>
              <w:jc w:val="center"/>
            </w:pPr>
            <w:r>
              <w:rPr>
                <w:sz w:val="20"/>
              </w:rPr>
              <w:t xml:space="preserve">2</w:t>
            </w:r>
          </w:p>
        </w:tc>
        <w:tc>
          <w:tcPr>
            <w:tcW w:w="2204" w:type="dxa"/>
            <w:vMerge w:val="restart"/>
          </w:tcPr>
          <w:p>
            <w:pPr>
              <w:pStyle w:val="0"/>
              <w:jc w:val="both"/>
            </w:pPr>
            <w:r>
              <w:rPr>
                <w:sz w:val="20"/>
              </w:rPr>
              <w:t xml:space="preserve">Оценка результатов эффективности</w:t>
            </w:r>
          </w:p>
        </w:tc>
        <w:tc>
          <w:tcPr>
            <w:tcW w:w="3458" w:type="dxa"/>
          </w:tcPr>
          <w:p>
            <w:pPr>
              <w:pStyle w:val="0"/>
              <w:jc w:val="both"/>
            </w:pPr>
            <w:r>
              <w:rPr>
                <w:sz w:val="20"/>
              </w:rPr>
              <w:t xml:space="preserve">2.1. Подготовка информации о достижении показателей эффективности организации оказания государственных услуг в социальной сфере</w:t>
            </w:r>
          </w:p>
        </w:tc>
        <w:tc>
          <w:tcPr>
            <w:tcW w:w="1765" w:type="dxa"/>
          </w:tcPr>
          <w:p>
            <w:pPr>
              <w:pStyle w:val="0"/>
              <w:jc w:val="center"/>
            </w:pPr>
            <w:r>
              <w:rPr>
                <w:sz w:val="20"/>
              </w:rPr>
              <w:t xml:space="preserve">Ежегодно до 10 декабря</w:t>
            </w:r>
          </w:p>
        </w:tc>
        <w:tc>
          <w:tcPr>
            <w:tcW w:w="2268" w:type="dxa"/>
          </w:tcPr>
          <w:p>
            <w:pPr>
              <w:pStyle w:val="0"/>
              <w:jc w:val="center"/>
            </w:pPr>
            <w:r>
              <w:rPr>
                <w:sz w:val="20"/>
              </w:rPr>
              <w:t xml:space="preserve">Информация подготовлена</w:t>
            </w:r>
          </w:p>
        </w:tc>
        <w:tc>
          <w:tcPr>
            <w:tcW w:w="3798" w:type="dxa"/>
          </w:tcPr>
          <w:p>
            <w:pPr>
              <w:pStyle w:val="0"/>
              <w:jc w:val="center"/>
            </w:pPr>
            <w:r>
              <w:rPr>
                <w:sz w:val="20"/>
              </w:rPr>
              <w:t xml:space="preserve">Министерство труда и социального развития Республики Саха (Якутия),</w:t>
            </w:r>
          </w:p>
          <w:p>
            <w:pPr>
              <w:pStyle w:val="0"/>
              <w:jc w:val="center"/>
            </w:pPr>
            <w:r>
              <w:rPr>
                <w:sz w:val="20"/>
              </w:rPr>
              <w:t xml:space="preserve">Министерство финансов Республики Саха (Якутия),</w:t>
            </w:r>
          </w:p>
          <w:p>
            <w:pPr>
              <w:pStyle w:val="0"/>
              <w:jc w:val="center"/>
            </w:pPr>
            <w:r>
              <w:rPr>
                <w:sz w:val="20"/>
              </w:rPr>
              <w:t xml:space="preserve">Государственный комитет Республики Саха (Якутия) по занятости населения,</w:t>
            </w:r>
          </w:p>
          <w:p>
            <w:pPr>
              <w:pStyle w:val="0"/>
              <w:jc w:val="center"/>
            </w:pPr>
            <w:r>
              <w:rPr>
                <w:sz w:val="20"/>
              </w:rPr>
              <w:t xml:space="preserve">Министерство здравоохранения Республики Саха (Якутия), Министерство по физической культуре и спорту Республики Саха (Якутия), Министерство предпринимательства, торговли и туризма Республики Саха (Якутия)</w:t>
            </w:r>
          </w:p>
        </w:tc>
      </w:tr>
      <w:tr>
        <w:tc>
          <w:tcPr>
            <w:vMerge w:val="continue"/>
          </w:tcPr>
          <w:p/>
        </w:tc>
        <w:tc>
          <w:tcPr>
            <w:vMerge w:val="continue"/>
          </w:tcPr>
          <w:p/>
        </w:tc>
        <w:tc>
          <w:tcPr>
            <w:tcW w:w="3458" w:type="dxa"/>
          </w:tcPr>
          <w:p>
            <w:pPr>
              <w:pStyle w:val="0"/>
              <w:jc w:val="both"/>
            </w:pPr>
            <w:r>
              <w:rPr>
                <w:sz w:val="20"/>
              </w:rPr>
              <w:t xml:space="preserve">2.2. Обеспечение участия в совещании по оценке достижения утвержденных показателей эффективности</w:t>
            </w:r>
          </w:p>
        </w:tc>
        <w:tc>
          <w:tcPr>
            <w:tcW w:w="1765" w:type="dxa"/>
          </w:tcPr>
          <w:p>
            <w:pPr>
              <w:pStyle w:val="0"/>
              <w:jc w:val="center"/>
            </w:pPr>
            <w:r>
              <w:rPr>
                <w:sz w:val="20"/>
              </w:rPr>
              <w:t xml:space="preserve">Ежегодно до 10 декабря</w:t>
            </w:r>
          </w:p>
        </w:tc>
        <w:tc>
          <w:tcPr>
            <w:tcW w:w="2268" w:type="dxa"/>
          </w:tcPr>
          <w:p>
            <w:pPr>
              <w:pStyle w:val="0"/>
              <w:jc w:val="center"/>
            </w:pPr>
            <w:r>
              <w:rPr>
                <w:sz w:val="20"/>
              </w:rPr>
              <w:t xml:space="preserve">Участие обеспечено</w:t>
            </w:r>
          </w:p>
        </w:tc>
        <w:tc>
          <w:tcPr>
            <w:tcW w:w="3798" w:type="dxa"/>
          </w:tcPr>
          <w:p>
            <w:pPr>
              <w:pStyle w:val="0"/>
              <w:jc w:val="center"/>
            </w:pPr>
            <w:r>
              <w:rPr>
                <w:sz w:val="20"/>
              </w:rPr>
              <w:t xml:space="preserve">Министерство труда и социального развития Республики Саха (Якутия),</w:t>
            </w:r>
          </w:p>
          <w:p>
            <w:pPr>
              <w:pStyle w:val="0"/>
              <w:jc w:val="center"/>
            </w:pPr>
            <w:r>
              <w:rPr>
                <w:sz w:val="20"/>
              </w:rPr>
              <w:t xml:space="preserve">Министерство финансов Республики Саха (Якутия),</w:t>
            </w:r>
          </w:p>
          <w:p>
            <w:pPr>
              <w:pStyle w:val="0"/>
              <w:jc w:val="center"/>
            </w:pPr>
            <w:r>
              <w:rPr>
                <w:sz w:val="20"/>
              </w:rPr>
              <w:t xml:space="preserve">Государственный комитет Республики Саха (Якутия) по занятости населения,</w:t>
            </w:r>
          </w:p>
          <w:p>
            <w:pPr>
              <w:pStyle w:val="0"/>
              <w:jc w:val="center"/>
            </w:pPr>
            <w:r>
              <w:rPr>
                <w:sz w:val="20"/>
              </w:rPr>
              <w:t xml:space="preserve">Министерство здравоохранения Республики Саха (Якутия), Министерство по физической культуре и спорту Республики Саха (Якутия), Министерство предпринимательства, торговли и туризма Республики Саха (Якутия)</w:t>
            </w:r>
          </w:p>
        </w:tc>
      </w:tr>
      <w:tr>
        <w:tc>
          <w:tcPr>
            <w:tcW w:w="568" w:type="dxa"/>
            <w:vMerge w:val="restart"/>
          </w:tcPr>
          <w:p>
            <w:pPr>
              <w:pStyle w:val="0"/>
              <w:jc w:val="both"/>
            </w:pPr>
            <w:r>
              <w:rPr>
                <w:sz w:val="20"/>
              </w:rPr>
              <w:t xml:space="preserve">3</w:t>
            </w:r>
          </w:p>
        </w:tc>
        <w:tc>
          <w:tcPr>
            <w:tcW w:w="2204" w:type="dxa"/>
            <w:vMerge w:val="restart"/>
          </w:tcPr>
          <w:p>
            <w:pPr>
              <w:pStyle w:val="0"/>
              <w:jc w:val="both"/>
            </w:pPr>
            <w:r>
              <w:rPr>
                <w:sz w:val="20"/>
              </w:rPr>
              <w:t xml:space="preserve">Повышение эффективности деятельности организаций</w:t>
            </w:r>
          </w:p>
        </w:tc>
        <w:tc>
          <w:tcPr>
            <w:tcW w:w="3458" w:type="dxa"/>
          </w:tcPr>
          <w:p>
            <w:pPr>
              <w:pStyle w:val="0"/>
              <w:jc w:val="both"/>
            </w:pPr>
            <w:r>
              <w:rPr>
                <w:sz w:val="20"/>
              </w:rPr>
              <w:t xml:space="preserve">3.1. Проведение инвентаризации регионального перечня (классификатора) государственных (муниципальных) услуг и работ</w:t>
            </w:r>
          </w:p>
        </w:tc>
        <w:tc>
          <w:tcPr>
            <w:tcW w:w="1765" w:type="dxa"/>
          </w:tcPr>
          <w:p>
            <w:pPr>
              <w:pStyle w:val="0"/>
              <w:jc w:val="center"/>
            </w:pPr>
            <w:r>
              <w:rPr>
                <w:sz w:val="20"/>
              </w:rPr>
              <w:t xml:space="preserve">До 1 декабря 2025 года</w:t>
            </w:r>
          </w:p>
        </w:tc>
        <w:tc>
          <w:tcPr>
            <w:tcW w:w="2268" w:type="dxa"/>
          </w:tcPr>
          <w:p>
            <w:pPr>
              <w:pStyle w:val="0"/>
              <w:jc w:val="center"/>
            </w:pPr>
            <w:r>
              <w:rPr>
                <w:sz w:val="20"/>
              </w:rPr>
              <w:t xml:space="preserve">Инвентаризация проведена</w:t>
            </w:r>
          </w:p>
        </w:tc>
        <w:tc>
          <w:tcPr>
            <w:tcW w:w="3798" w:type="dxa"/>
            <w:vMerge w:val="restart"/>
          </w:tcPr>
          <w:p>
            <w:pPr>
              <w:pStyle w:val="0"/>
              <w:jc w:val="center"/>
            </w:pPr>
            <w:r>
              <w:rPr>
                <w:sz w:val="20"/>
              </w:rPr>
              <w:t xml:space="preserve">Министерство труда и социального развития Республики Саха (Якутия),</w:t>
            </w:r>
          </w:p>
          <w:p>
            <w:pPr>
              <w:pStyle w:val="0"/>
              <w:jc w:val="center"/>
            </w:pPr>
            <w:r>
              <w:rPr>
                <w:sz w:val="20"/>
              </w:rPr>
              <w:t xml:space="preserve">Министерство финансов Республики Саха (Якутия),</w:t>
            </w:r>
          </w:p>
          <w:p>
            <w:pPr>
              <w:pStyle w:val="0"/>
              <w:jc w:val="center"/>
            </w:pPr>
            <w:r>
              <w:rPr>
                <w:sz w:val="20"/>
              </w:rPr>
              <w:t xml:space="preserve">Государственный комитет Республики Саха (Якутия) по занятости населения,</w:t>
            </w:r>
          </w:p>
          <w:p>
            <w:pPr>
              <w:pStyle w:val="0"/>
              <w:jc w:val="center"/>
            </w:pPr>
            <w:r>
              <w:rPr>
                <w:sz w:val="20"/>
              </w:rPr>
              <w:t xml:space="preserve">Министерство здравоохранения Республики Саха (Якутия), Министерство по физической культуре и спорту Республики Саха (Якутия), Министерство предпринимательства, торговли и туризма Республики Саха (Якутия)</w:t>
            </w:r>
          </w:p>
        </w:tc>
      </w:tr>
      <w:tr>
        <w:tc>
          <w:tcPr>
            <w:vMerge w:val="continue"/>
          </w:tcPr>
          <w:p/>
        </w:tc>
        <w:tc>
          <w:tcPr>
            <w:vMerge w:val="continue"/>
          </w:tcPr>
          <w:p/>
        </w:tc>
        <w:tc>
          <w:tcPr>
            <w:tcW w:w="3458" w:type="dxa"/>
          </w:tcPr>
          <w:p>
            <w:pPr>
              <w:pStyle w:val="0"/>
              <w:jc w:val="both"/>
            </w:pPr>
            <w:r>
              <w:rPr>
                <w:sz w:val="20"/>
              </w:rPr>
              <w:t xml:space="preserve">3.2. Внесение изменений в показатели качества государственных (муниципальных) услуг и работ для формирования государственных заданий на 2026 год и плановый период 2027 и 2028 годов</w:t>
            </w:r>
          </w:p>
        </w:tc>
        <w:tc>
          <w:tcPr>
            <w:tcW w:w="1765" w:type="dxa"/>
          </w:tcPr>
          <w:p>
            <w:pPr>
              <w:pStyle w:val="0"/>
              <w:jc w:val="center"/>
            </w:pPr>
            <w:r>
              <w:rPr>
                <w:sz w:val="20"/>
              </w:rPr>
              <w:t xml:space="preserve">До 1 декабря 2025 года</w:t>
            </w:r>
          </w:p>
        </w:tc>
        <w:tc>
          <w:tcPr>
            <w:tcW w:w="2268" w:type="dxa"/>
          </w:tcPr>
          <w:p>
            <w:pPr>
              <w:pStyle w:val="0"/>
              <w:jc w:val="center"/>
            </w:pPr>
            <w:r>
              <w:rPr>
                <w:sz w:val="20"/>
              </w:rPr>
              <w:t xml:space="preserve">Внесены изменения</w:t>
            </w:r>
          </w:p>
        </w:tc>
        <w:tc>
          <w:tcPr>
            <w:vMerge w:val="continue"/>
          </w:tcP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Правилам формирования</w:t>
      </w:r>
    </w:p>
    <w:p>
      <w:pPr>
        <w:pStyle w:val="0"/>
        <w:jc w:val="right"/>
      </w:pPr>
      <w:r>
        <w:rPr>
          <w:sz w:val="20"/>
        </w:rPr>
        <w:t xml:space="preserve">государственных социальных</w:t>
      </w:r>
    </w:p>
    <w:p>
      <w:pPr>
        <w:pStyle w:val="0"/>
        <w:jc w:val="right"/>
      </w:pPr>
      <w:r>
        <w:rPr>
          <w:sz w:val="20"/>
        </w:rPr>
        <w:t xml:space="preserve">заказов на оказание</w:t>
      </w:r>
    </w:p>
    <w:p>
      <w:pPr>
        <w:pStyle w:val="0"/>
        <w:jc w:val="right"/>
      </w:pPr>
      <w:r>
        <w:rPr>
          <w:sz w:val="20"/>
        </w:rPr>
        <w:t xml:space="preserve">государственных услуг</w:t>
      </w:r>
    </w:p>
    <w:p>
      <w:pPr>
        <w:pStyle w:val="0"/>
        <w:jc w:val="right"/>
      </w:pPr>
      <w:r>
        <w:rPr>
          <w:sz w:val="20"/>
        </w:rPr>
        <w:t xml:space="preserve">в социальной сфере, отнесенных</w:t>
      </w:r>
    </w:p>
    <w:p>
      <w:pPr>
        <w:pStyle w:val="0"/>
        <w:jc w:val="right"/>
      </w:pPr>
      <w:r>
        <w:rPr>
          <w:sz w:val="20"/>
        </w:rPr>
        <w:t xml:space="preserve">к полномочиям исполнительных</w:t>
      </w:r>
    </w:p>
    <w:p>
      <w:pPr>
        <w:pStyle w:val="0"/>
        <w:jc w:val="right"/>
      </w:pPr>
      <w:r>
        <w:rPr>
          <w:sz w:val="20"/>
        </w:rPr>
        <w:t xml:space="preserve">органов государственной власти</w:t>
      </w:r>
    </w:p>
    <w:p>
      <w:pPr>
        <w:pStyle w:val="0"/>
        <w:jc w:val="right"/>
      </w:pPr>
      <w:r>
        <w:rPr>
          <w:sz w:val="20"/>
        </w:rPr>
        <w:t xml:space="preserve">Республики Саха (Якутия)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56" w:tooltip="Постановление Правительства РС(Я) от 06.11.2025 N 461 &quot;О внесении изменений в отдельные нормативные правовые акты Правительства Республики Саха (Якутия)&quot; (вместе с &quot;Перечнем государственных услуг в социальной сфере, включенных в республиканские социальные заказы, по которым исполнителей планируется определять путем отбора исполнителей услуг&quot;, &quot;Планом достижения показателей эффективности организации оказания государственных услуг в социальной сфере в Республике Саха (Якутия)&quot;) {КонсультантПлюс}">
              <w:r>
                <w:rPr>
                  <w:sz w:val="20"/>
                  <w:color w:val="0000ff"/>
                </w:rPr>
                <w:t xml:space="preserve">постановлением</w:t>
              </w:r>
            </w:hyperlink>
            <w:r>
              <w:rPr>
                <w:sz w:val="20"/>
                <w:color w:val="392c69"/>
              </w:rPr>
              <w:t xml:space="preserve"> Правительства РС(Я) от 06.11.2025 N 461)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outlineLvl w:val="2"/>
        <w:jc w:val="right"/>
      </w:pPr>
      <w:r>
        <w:rPr>
          <w:sz w:val="20"/>
        </w:rPr>
        <w:t xml:space="preserve">Таблица 1</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(880000О.99.0.АЭ26АА00000,</w:t>
      </w:r>
    </w:p>
    <w:p>
      <w:pPr>
        <w:pStyle w:val="2"/>
        <w:jc w:val="center"/>
      </w:pPr>
      <w:r>
        <w:rPr>
          <w:sz w:val="20"/>
        </w:rPr>
        <w:t xml:space="preserve">категория получателей - гражданин, полностью утративший</w:t>
      </w:r>
    </w:p>
    <w:p>
      <w:pPr>
        <w:pStyle w:val="2"/>
        <w:jc w:val="center"/>
      </w:pPr>
      <w:r>
        <w:rPr>
          <w:sz w:val="20"/>
        </w:rPr>
        <w:t xml:space="preserve">способность либо возможность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(бесплатно))</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126"/>
        <w:gridCol w:w="1843"/>
        <w:gridCol w:w="4706"/>
        <w:gridCol w:w="1616"/>
        <w:gridCol w:w="1503"/>
        <w:gridCol w:w="2350"/>
      </w:tblGrid>
      <w:tr>
        <w:tc>
          <w:tcPr>
            <w:tcW w:w="624" w:type="dxa"/>
            <w:vAlign w:val="center"/>
          </w:tcPr>
          <w:p>
            <w:pPr>
              <w:pStyle w:val="0"/>
              <w:jc w:val="center"/>
            </w:pPr>
            <w:r>
              <w:rPr>
                <w:sz w:val="20"/>
              </w:rPr>
              <w:t xml:space="preserve">N</w:t>
            </w:r>
          </w:p>
          <w:p>
            <w:pPr>
              <w:pStyle w:val="0"/>
              <w:jc w:val="center"/>
            </w:pPr>
            <w:r>
              <w:rPr>
                <w:sz w:val="20"/>
              </w:rPr>
              <w:t xml:space="preserve">п/п</w:t>
            </w:r>
          </w:p>
        </w:tc>
        <w:tc>
          <w:tcPr>
            <w:tcW w:w="2126" w:type="dxa"/>
            <w:vAlign w:val="center"/>
          </w:tcPr>
          <w:p>
            <w:pPr>
              <w:pStyle w:val="0"/>
              <w:jc w:val="center"/>
            </w:pPr>
            <w:r>
              <w:rPr>
                <w:sz w:val="20"/>
              </w:rPr>
              <w:t xml:space="preserve">Цель</w:t>
            </w:r>
          </w:p>
        </w:tc>
        <w:tc>
          <w:tcPr>
            <w:tcW w:w="1843" w:type="dxa"/>
            <w:vAlign w:val="center"/>
          </w:tcPr>
          <w:p>
            <w:pPr>
              <w:pStyle w:val="0"/>
              <w:jc w:val="center"/>
            </w:pPr>
            <w:r>
              <w:rPr>
                <w:sz w:val="20"/>
              </w:rPr>
              <w:t xml:space="preserve">Тип индикатора</w:t>
            </w:r>
          </w:p>
        </w:tc>
        <w:tc>
          <w:tcPr>
            <w:tcW w:w="4706" w:type="dxa"/>
            <w:vAlign w:val="center"/>
          </w:tcPr>
          <w:p>
            <w:pPr>
              <w:pStyle w:val="0"/>
              <w:jc w:val="center"/>
            </w:pPr>
            <w:r>
              <w:rPr>
                <w:sz w:val="20"/>
              </w:rPr>
              <w:t xml:space="preserve">Индикатор</w:t>
            </w:r>
          </w:p>
        </w:tc>
        <w:tc>
          <w:tcPr>
            <w:tcW w:w="1616" w:type="dxa"/>
            <w:vAlign w:val="center"/>
          </w:tcPr>
          <w:p>
            <w:pPr>
              <w:pStyle w:val="0"/>
              <w:jc w:val="center"/>
            </w:pPr>
            <w:r>
              <w:rPr>
                <w:sz w:val="20"/>
              </w:rPr>
              <w:t xml:space="preserve">Базовая величина на 2024 год</w:t>
            </w:r>
          </w:p>
        </w:tc>
        <w:tc>
          <w:tcPr>
            <w:tcW w:w="1503"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2350" w:type="dxa"/>
            <w:vAlign w:val="center"/>
          </w:tcPr>
          <w:p>
            <w:pPr>
              <w:pStyle w:val="0"/>
              <w:jc w:val="center"/>
            </w:pPr>
            <w:r>
              <w:rPr>
                <w:sz w:val="20"/>
              </w:rPr>
              <w:t xml:space="preserve">Ответственный исполнитель</w:t>
            </w:r>
          </w:p>
        </w:tc>
      </w:tr>
      <w:tr>
        <w:tc>
          <w:tcPr>
            <w:tcW w:w="624" w:type="dxa"/>
            <w:vMerge w:val="restart"/>
          </w:tcPr>
          <w:p>
            <w:pPr>
              <w:pStyle w:val="0"/>
              <w:jc w:val="center"/>
            </w:pPr>
            <w:r>
              <w:rPr>
                <w:sz w:val="20"/>
              </w:rPr>
              <w:t xml:space="preserve">1</w:t>
            </w:r>
          </w:p>
        </w:tc>
        <w:tc>
          <w:tcPr>
            <w:tcW w:w="2126"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843" w:type="dxa"/>
          </w:tcPr>
          <w:p>
            <w:pPr>
              <w:pStyle w:val="0"/>
              <w:jc w:val="center"/>
            </w:pPr>
            <w:r>
              <w:rPr>
                <w:sz w:val="20"/>
              </w:rPr>
              <w:t xml:space="preserve">Процесс</w:t>
            </w:r>
          </w:p>
        </w:tc>
        <w:tc>
          <w:tcPr>
            <w:tcW w:w="4706"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616" w:type="dxa"/>
          </w:tcPr>
          <w:p>
            <w:pPr>
              <w:pStyle w:val="0"/>
              <w:jc w:val="center"/>
            </w:pPr>
            <w:r>
              <w:rPr>
                <w:sz w:val="20"/>
              </w:rPr>
              <w:t xml:space="preserve">70</w:t>
            </w:r>
          </w:p>
        </w:tc>
        <w:tc>
          <w:tcPr>
            <w:tcW w:w="1503" w:type="dxa"/>
          </w:tcPr>
          <w:p>
            <w:pPr>
              <w:pStyle w:val="0"/>
              <w:jc w:val="center"/>
            </w:pPr>
            <w:r>
              <w:rPr>
                <w:sz w:val="20"/>
              </w:rPr>
              <w:t xml:space="preserve">не менее 78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06"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616" w:type="dxa"/>
          </w:tcPr>
          <w:p>
            <w:pPr>
              <w:pStyle w:val="0"/>
              <w:jc w:val="center"/>
            </w:pPr>
            <w:r>
              <w:rPr>
                <w:sz w:val="20"/>
              </w:rPr>
              <w:t xml:space="preserve">33</w:t>
            </w:r>
          </w:p>
        </w:tc>
        <w:tc>
          <w:tcPr>
            <w:tcW w:w="1503" w:type="dxa"/>
          </w:tcPr>
          <w:p>
            <w:pPr>
              <w:pStyle w:val="0"/>
              <w:jc w:val="center"/>
            </w:pPr>
            <w:r>
              <w:rPr>
                <w:sz w:val="20"/>
              </w:rPr>
              <w:t xml:space="preserve">не менее 38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706"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616" w:type="dxa"/>
          </w:tcPr>
          <w:p>
            <w:pPr>
              <w:pStyle w:val="0"/>
              <w:jc w:val="center"/>
            </w:pPr>
            <w:r>
              <w:rPr>
                <w:sz w:val="20"/>
              </w:rPr>
              <w:t xml:space="preserve">4</w:t>
            </w:r>
          </w:p>
        </w:tc>
        <w:tc>
          <w:tcPr>
            <w:tcW w:w="1503"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616" w:type="dxa"/>
          </w:tcPr>
          <w:p>
            <w:pPr>
              <w:pStyle w:val="0"/>
              <w:jc w:val="center"/>
            </w:pPr>
            <w:r>
              <w:rPr>
                <w:sz w:val="20"/>
              </w:rPr>
              <w:t xml:space="preserve">4</w:t>
            </w:r>
          </w:p>
        </w:tc>
        <w:tc>
          <w:tcPr>
            <w:tcW w:w="1503"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624" w:type="dxa"/>
            <w:vMerge w:val="restart"/>
          </w:tcPr>
          <w:p>
            <w:pPr>
              <w:pStyle w:val="0"/>
              <w:jc w:val="center"/>
            </w:pPr>
            <w:r>
              <w:rPr>
                <w:sz w:val="20"/>
              </w:rPr>
              <w:t xml:space="preserve">2</w:t>
            </w:r>
          </w:p>
        </w:tc>
        <w:tc>
          <w:tcPr>
            <w:tcW w:w="2126"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843" w:type="dxa"/>
          </w:tcPr>
          <w:p>
            <w:pPr>
              <w:pStyle w:val="0"/>
              <w:jc w:val="center"/>
            </w:pPr>
            <w:r>
              <w:rPr>
                <w:sz w:val="20"/>
              </w:rPr>
              <w:t xml:space="preserve">Процесс</w:t>
            </w:r>
          </w:p>
        </w:tc>
        <w:tc>
          <w:tcPr>
            <w:tcW w:w="4706"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70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616" w:type="dxa"/>
          </w:tcPr>
          <w:p>
            <w:pPr>
              <w:pStyle w:val="0"/>
              <w:jc w:val="center"/>
            </w:pPr>
            <w:r>
              <w:rPr>
                <w:sz w:val="20"/>
              </w:rPr>
              <w:t xml:space="preserve">16</w:t>
            </w:r>
          </w:p>
        </w:tc>
        <w:tc>
          <w:tcPr>
            <w:tcW w:w="1503" w:type="dxa"/>
          </w:tcPr>
          <w:p>
            <w:pPr>
              <w:pStyle w:val="0"/>
              <w:jc w:val="center"/>
            </w:pPr>
            <w:r>
              <w:rPr>
                <w:sz w:val="20"/>
              </w:rPr>
              <w:t xml:space="preserve">не менее 18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616" w:type="dxa"/>
          </w:tcPr>
          <w:p>
            <w:pPr>
              <w:pStyle w:val="0"/>
              <w:jc w:val="center"/>
            </w:pPr>
            <w:r>
              <w:rPr>
                <w:sz w:val="20"/>
              </w:rPr>
              <w:t xml:space="preserve">16</w:t>
            </w:r>
          </w:p>
        </w:tc>
        <w:tc>
          <w:tcPr>
            <w:tcW w:w="1503" w:type="dxa"/>
          </w:tcPr>
          <w:p>
            <w:pPr>
              <w:pStyle w:val="0"/>
              <w:jc w:val="center"/>
            </w:pPr>
            <w:r>
              <w:rPr>
                <w:sz w:val="20"/>
              </w:rPr>
              <w:t xml:space="preserve">не менее 18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06"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616" w:type="dxa"/>
          </w:tcPr>
          <w:p>
            <w:pPr>
              <w:pStyle w:val="0"/>
              <w:jc w:val="center"/>
            </w:pPr>
            <w:r>
              <w:rPr>
                <w:sz w:val="20"/>
              </w:rPr>
              <w:t xml:space="preserve">6,25%</w:t>
            </w:r>
          </w:p>
        </w:tc>
        <w:tc>
          <w:tcPr>
            <w:tcW w:w="1503" w:type="dxa"/>
          </w:tcPr>
          <w:p>
            <w:pPr>
              <w:pStyle w:val="0"/>
              <w:jc w:val="center"/>
            </w:pPr>
            <w:r>
              <w:rPr>
                <w:sz w:val="20"/>
              </w:rPr>
              <w:t xml:space="preserve">не менее 6,25%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624" w:type="dxa"/>
            <w:vMerge w:val="restart"/>
          </w:tcPr>
          <w:p>
            <w:pPr>
              <w:pStyle w:val="0"/>
              <w:jc w:val="center"/>
            </w:pPr>
            <w:r>
              <w:rPr>
                <w:sz w:val="20"/>
              </w:rPr>
              <w:t xml:space="preserve">3</w:t>
            </w:r>
          </w:p>
        </w:tc>
        <w:tc>
          <w:tcPr>
            <w:tcW w:w="2126" w:type="dxa"/>
            <w:vMerge w:val="restart"/>
          </w:tcPr>
          <w:p>
            <w:pPr>
              <w:pStyle w:val="0"/>
              <w:jc w:val="center"/>
            </w:pPr>
            <w:r>
              <w:rPr>
                <w:sz w:val="20"/>
              </w:rPr>
              <w:t xml:space="preserve">Увеличение охвата услугами/доступа к услугам</w:t>
            </w:r>
          </w:p>
        </w:tc>
        <w:tc>
          <w:tcPr>
            <w:tcW w:w="1843" w:type="dxa"/>
          </w:tcPr>
          <w:p>
            <w:pPr>
              <w:pStyle w:val="0"/>
              <w:jc w:val="center"/>
            </w:pPr>
            <w:r>
              <w:rPr>
                <w:sz w:val="20"/>
              </w:rPr>
              <w:t xml:space="preserve">Процесс</w:t>
            </w:r>
          </w:p>
        </w:tc>
        <w:tc>
          <w:tcPr>
            <w:tcW w:w="4706"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706"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616" w:type="dxa"/>
          </w:tcPr>
          <w:p>
            <w:pPr>
              <w:pStyle w:val="0"/>
              <w:jc w:val="center"/>
            </w:pPr>
            <w:r>
              <w:rPr>
                <w:sz w:val="20"/>
              </w:rPr>
              <w:t xml:space="preserve">16</w:t>
            </w:r>
          </w:p>
        </w:tc>
        <w:tc>
          <w:tcPr>
            <w:tcW w:w="1503" w:type="dxa"/>
          </w:tcPr>
          <w:p>
            <w:pPr>
              <w:pStyle w:val="0"/>
              <w:jc w:val="center"/>
            </w:pPr>
            <w:r>
              <w:rPr>
                <w:sz w:val="20"/>
              </w:rPr>
              <w:t xml:space="preserve">не менее 18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616" w:type="dxa"/>
          </w:tcPr>
          <w:p>
            <w:pPr>
              <w:pStyle w:val="0"/>
              <w:jc w:val="center"/>
            </w:pPr>
            <w:r>
              <w:rPr>
                <w:sz w:val="20"/>
              </w:rPr>
              <w:t xml:space="preserve">1</w:t>
            </w:r>
          </w:p>
        </w:tc>
        <w:tc>
          <w:tcPr>
            <w:tcW w:w="1503" w:type="dxa"/>
          </w:tcPr>
          <w:p>
            <w:pPr>
              <w:pStyle w:val="0"/>
              <w:jc w:val="center"/>
            </w:pPr>
            <w:r>
              <w:rPr>
                <w:sz w:val="20"/>
              </w:rPr>
              <w:t xml:space="preserve">не менее 1</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706"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616" w:type="dxa"/>
          </w:tcPr>
          <w:p>
            <w:pPr>
              <w:pStyle w:val="0"/>
              <w:jc w:val="center"/>
            </w:pPr>
            <w:r>
              <w:rPr>
                <w:sz w:val="20"/>
              </w:rPr>
              <w:t xml:space="preserve">158</w:t>
            </w:r>
          </w:p>
        </w:tc>
        <w:tc>
          <w:tcPr>
            <w:tcW w:w="1503" w:type="dxa"/>
          </w:tcPr>
          <w:p>
            <w:pPr>
              <w:pStyle w:val="0"/>
              <w:jc w:val="center"/>
            </w:pPr>
            <w:r>
              <w:rPr>
                <w:sz w:val="20"/>
              </w:rPr>
              <w:t xml:space="preserve">не менее 158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616" w:type="dxa"/>
          </w:tcPr>
          <w:p>
            <w:pPr>
              <w:pStyle w:val="0"/>
              <w:jc w:val="center"/>
            </w:pPr>
            <w:r>
              <w:rPr>
                <w:sz w:val="20"/>
              </w:rPr>
              <w:t xml:space="preserve">10</w:t>
            </w:r>
          </w:p>
        </w:tc>
        <w:tc>
          <w:tcPr>
            <w:tcW w:w="1503" w:type="dxa"/>
          </w:tcPr>
          <w:p>
            <w:pPr>
              <w:pStyle w:val="0"/>
              <w:jc w:val="center"/>
            </w:pPr>
            <w:r>
              <w:rPr>
                <w:sz w:val="20"/>
              </w:rPr>
              <w:t xml:space="preserve">не менее 10</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624" w:type="dxa"/>
            <w:vMerge w:val="restart"/>
          </w:tcPr>
          <w:p>
            <w:pPr>
              <w:pStyle w:val="0"/>
              <w:jc w:val="center"/>
            </w:pPr>
            <w:r>
              <w:rPr>
                <w:sz w:val="20"/>
              </w:rPr>
              <w:t xml:space="preserve">4</w:t>
            </w:r>
          </w:p>
        </w:tc>
        <w:tc>
          <w:tcPr>
            <w:tcW w:w="2126" w:type="dxa"/>
            <w:vMerge w:val="restart"/>
          </w:tcPr>
          <w:p>
            <w:pPr>
              <w:pStyle w:val="0"/>
              <w:jc w:val="center"/>
            </w:pPr>
            <w:r>
              <w:rPr>
                <w:sz w:val="20"/>
              </w:rPr>
              <w:t xml:space="preserve">Повышение качества оказанных услуг</w:t>
            </w:r>
          </w:p>
        </w:tc>
        <w:tc>
          <w:tcPr>
            <w:tcW w:w="1843" w:type="dxa"/>
            <w:vMerge w:val="restart"/>
          </w:tcPr>
          <w:p>
            <w:pPr>
              <w:pStyle w:val="0"/>
              <w:jc w:val="center"/>
            </w:pPr>
            <w:r>
              <w:rPr>
                <w:sz w:val="20"/>
              </w:rPr>
              <w:t xml:space="preserve">Процесс</w:t>
            </w:r>
          </w:p>
        </w:tc>
        <w:tc>
          <w:tcPr>
            <w:tcW w:w="4706"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06"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0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616" w:type="dxa"/>
          </w:tcPr>
          <w:p>
            <w:pPr>
              <w:pStyle w:val="0"/>
              <w:jc w:val="center"/>
            </w:pPr>
            <w:r>
              <w:rPr>
                <w:sz w:val="20"/>
              </w:rPr>
              <w:t xml:space="preserve">16</w:t>
            </w:r>
          </w:p>
        </w:tc>
        <w:tc>
          <w:tcPr>
            <w:tcW w:w="1503" w:type="dxa"/>
          </w:tcPr>
          <w:p>
            <w:pPr>
              <w:pStyle w:val="0"/>
              <w:jc w:val="center"/>
            </w:pPr>
            <w:r>
              <w:rPr>
                <w:sz w:val="20"/>
              </w:rPr>
              <w:t xml:space="preserve">не менее 18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06"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616" w:type="dxa"/>
          </w:tcPr>
          <w:p>
            <w:pPr>
              <w:pStyle w:val="0"/>
              <w:jc w:val="center"/>
            </w:pPr>
            <w:r>
              <w:rPr>
                <w:sz w:val="20"/>
              </w:rPr>
              <w:t xml:space="preserve">95%</w:t>
            </w:r>
          </w:p>
        </w:tc>
        <w:tc>
          <w:tcPr>
            <w:tcW w:w="1503" w:type="dxa"/>
          </w:tcPr>
          <w:p>
            <w:pPr>
              <w:pStyle w:val="0"/>
              <w:jc w:val="center"/>
            </w:pPr>
            <w:r>
              <w:rPr>
                <w:sz w:val="20"/>
              </w:rPr>
              <w:t xml:space="preserve">не менее</w:t>
            </w:r>
          </w:p>
          <w:p>
            <w:pPr>
              <w:pStyle w:val="0"/>
              <w:jc w:val="center"/>
            </w:pPr>
            <w:r>
              <w:rPr>
                <w:sz w:val="20"/>
              </w:rPr>
              <w:t xml:space="preserve">95%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624" w:type="dxa"/>
            <w:vMerge w:val="restart"/>
          </w:tcPr>
          <w:p>
            <w:pPr>
              <w:pStyle w:val="0"/>
              <w:jc w:val="center"/>
            </w:pPr>
            <w:r>
              <w:rPr>
                <w:sz w:val="20"/>
              </w:rPr>
              <w:t xml:space="preserve">5</w:t>
            </w:r>
          </w:p>
        </w:tc>
        <w:tc>
          <w:tcPr>
            <w:tcW w:w="2126"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843" w:type="dxa"/>
          </w:tcPr>
          <w:p>
            <w:pPr>
              <w:pStyle w:val="0"/>
              <w:jc w:val="center"/>
            </w:pPr>
            <w:r>
              <w:rPr>
                <w:sz w:val="20"/>
              </w:rPr>
              <w:t xml:space="preserve">Процесс</w:t>
            </w:r>
          </w:p>
        </w:tc>
        <w:tc>
          <w:tcPr>
            <w:tcW w:w="4706"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616" w:type="dxa"/>
          </w:tcPr>
          <w:p>
            <w:pPr>
              <w:pStyle w:val="0"/>
              <w:jc w:val="center"/>
            </w:pPr>
            <w:r>
              <w:rPr>
                <w:sz w:val="20"/>
              </w:rPr>
              <w:t xml:space="preserve">да</w:t>
            </w:r>
          </w:p>
        </w:tc>
        <w:tc>
          <w:tcPr>
            <w:tcW w:w="1503"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06"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616" w:type="dxa"/>
          </w:tcPr>
          <w:p>
            <w:pPr>
              <w:pStyle w:val="0"/>
              <w:jc w:val="center"/>
            </w:pPr>
            <w:r>
              <w:rPr>
                <w:sz w:val="20"/>
              </w:rPr>
              <w:t xml:space="preserve">16</w:t>
            </w:r>
          </w:p>
        </w:tc>
        <w:tc>
          <w:tcPr>
            <w:tcW w:w="1503" w:type="dxa"/>
          </w:tcPr>
          <w:p>
            <w:pPr>
              <w:pStyle w:val="0"/>
              <w:jc w:val="center"/>
            </w:pPr>
            <w:r>
              <w:rPr>
                <w:sz w:val="20"/>
              </w:rPr>
              <w:t xml:space="preserve">не менее 18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06"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616" w:type="dxa"/>
          </w:tcPr>
          <w:p>
            <w:pPr>
              <w:pStyle w:val="0"/>
              <w:jc w:val="center"/>
            </w:pPr>
            <w:r>
              <w:rPr>
                <w:sz w:val="20"/>
              </w:rPr>
              <w:t xml:space="preserve">95%</w:t>
            </w:r>
          </w:p>
        </w:tc>
        <w:tc>
          <w:tcPr>
            <w:tcW w:w="1503" w:type="dxa"/>
          </w:tcPr>
          <w:p>
            <w:pPr>
              <w:pStyle w:val="0"/>
              <w:jc w:val="center"/>
            </w:pPr>
            <w:r>
              <w:rPr>
                <w:sz w:val="20"/>
              </w:rPr>
              <w:t xml:space="preserve">не менее 95%</w:t>
            </w:r>
          </w:p>
        </w:tc>
        <w:tc>
          <w:tcPr>
            <w:tcW w:w="2350"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2</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(880000О.99.0.АЭ22АА00000,</w:t>
      </w:r>
    </w:p>
    <w:p>
      <w:pPr>
        <w:pStyle w:val="2"/>
        <w:jc w:val="center"/>
      </w:pPr>
      <w:r>
        <w:rPr>
          <w:sz w:val="20"/>
        </w:rPr>
        <w:t xml:space="preserve">категория получателей - гражданин, полностью утративший</w:t>
      </w:r>
    </w:p>
    <w:p>
      <w:pPr>
        <w:pStyle w:val="2"/>
        <w:jc w:val="center"/>
      </w:pPr>
      <w:r>
        <w:rPr>
          <w:sz w:val="20"/>
        </w:rPr>
        <w:t xml:space="preserve">способность либо возможность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561"/>
        <w:gridCol w:w="1928"/>
        <w:gridCol w:w="4819"/>
        <w:gridCol w:w="1418"/>
        <w:gridCol w:w="1559"/>
        <w:gridCol w:w="2350"/>
      </w:tblGrid>
      <w:tr>
        <w:tc>
          <w:tcPr>
            <w:tcW w:w="567" w:type="dxa"/>
            <w:vAlign w:val="center"/>
          </w:tcPr>
          <w:p>
            <w:pPr>
              <w:pStyle w:val="0"/>
              <w:jc w:val="center"/>
            </w:pPr>
            <w:r>
              <w:rPr>
                <w:sz w:val="20"/>
              </w:rPr>
              <w:t xml:space="preserve">N</w:t>
            </w:r>
          </w:p>
          <w:p>
            <w:pPr>
              <w:pStyle w:val="0"/>
              <w:jc w:val="center"/>
            </w:pPr>
            <w:r>
              <w:rPr>
                <w:sz w:val="20"/>
              </w:rPr>
              <w:t xml:space="preserve">п/п</w:t>
            </w:r>
          </w:p>
        </w:tc>
        <w:tc>
          <w:tcPr>
            <w:tcW w:w="2561" w:type="dxa"/>
            <w:vAlign w:val="center"/>
          </w:tcPr>
          <w:p>
            <w:pPr>
              <w:pStyle w:val="0"/>
              <w:jc w:val="center"/>
            </w:pPr>
            <w:r>
              <w:rPr>
                <w:sz w:val="20"/>
              </w:rPr>
              <w:t xml:space="preserve">Цель</w:t>
            </w:r>
          </w:p>
        </w:tc>
        <w:tc>
          <w:tcPr>
            <w:tcW w:w="1928" w:type="dxa"/>
            <w:vAlign w:val="center"/>
          </w:tcPr>
          <w:p>
            <w:pPr>
              <w:pStyle w:val="0"/>
              <w:jc w:val="center"/>
            </w:pPr>
            <w:r>
              <w:rPr>
                <w:sz w:val="20"/>
              </w:rPr>
              <w:t xml:space="preserve">Тип индикатора</w:t>
            </w:r>
          </w:p>
        </w:tc>
        <w:tc>
          <w:tcPr>
            <w:tcW w:w="4819" w:type="dxa"/>
            <w:vAlign w:val="center"/>
          </w:tcPr>
          <w:p>
            <w:pPr>
              <w:pStyle w:val="0"/>
              <w:jc w:val="center"/>
            </w:pPr>
            <w:r>
              <w:rPr>
                <w:sz w:val="20"/>
              </w:rPr>
              <w:t xml:space="preserve">Индикатор</w:t>
            </w:r>
          </w:p>
        </w:tc>
        <w:tc>
          <w:tcPr>
            <w:tcW w:w="1418" w:type="dxa"/>
            <w:vAlign w:val="center"/>
          </w:tcPr>
          <w:p>
            <w:pPr>
              <w:pStyle w:val="0"/>
              <w:jc w:val="center"/>
            </w:pPr>
            <w:r>
              <w:rPr>
                <w:sz w:val="20"/>
              </w:rPr>
              <w:t xml:space="preserve">Базовая величина на 2024 год</w:t>
            </w:r>
          </w:p>
        </w:tc>
        <w:tc>
          <w:tcPr>
            <w:tcW w:w="1559"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2350" w:type="dxa"/>
            <w:vAlign w:val="center"/>
          </w:tcPr>
          <w:p>
            <w:pPr>
              <w:pStyle w:val="0"/>
              <w:jc w:val="center"/>
            </w:pPr>
            <w:r>
              <w:rPr>
                <w:sz w:val="20"/>
              </w:rPr>
              <w:t xml:space="preserve">Ответственный исполнитель</w:t>
            </w:r>
          </w:p>
        </w:tc>
      </w:tr>
      <w:tr>
        <w:tc>
          <w:tcPr>
            <w:tcW w:w="567" w:type="dxa"/>
            <w:vMerge w:val="restart"/>
          </w:tcPr>
          <w:p>
            <w:pPr>
              <w:pStyle w:val="0"/>
              <w:jc w:val="center"/>
            </w:pPr>
            <w:r>
              <w:rPr>
                <w:sz w:val="20"/>
              </w:rPr>
              <w:t xml:space="preserve">1</w:t>
            </w:r>
          </w:p>
        </w:tc>
        <w:tc>
          <w:tcPr>
            <w:tcW w:w="2561"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928" w:type="dxa"/>
          </w:tcPr>
          <w:p>
            <w:pPr>
              <w:pStyle w:val="0"/>
              <w:jc w:val="center"/>
            </w:pPr>
            <w:r>
              <w:rPr>
                <w:sz w:val="20"/>
              </w:rPr>
              <w:t xml:space="preserve">Процесс</w:t>
            </w:r>
          </w:p>
        </w:tc>
        <w:tc>
          <w:tcPr>
            <w:tcW w:w="4819"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418" w:type="dxa"/>
          </w:tcPr>
          <w:p>
            <w:pPr>
              <w:pStyle w:val="0"/>
              <w:jc w:val="center"/>
            </w:pPr>
            <w:r>
              <w:rPr>
                <w:sz w:val="20"/>
              </w:rPr>
              <w:t xml:space="preserve">70</w:t>
            </w:r>
          </w:p>
        </w:tc>
        <w:tc>
          <w:tcPr>
            <w:tcW w:w="1559" w:type="dxa"/>
          </w:tcPr>
          <w:p>
            <w:pPr>
              <w:pStyle w:val="0"/>
              <w:jc w:val="center"/>
            </w:pPr>
            <w:r>
              <w:rPr>
                <w:sz w:val="20"/>
              </w:rPr>
              <w:t xml:space="preserve">не менее 78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19"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8" w:type="dxa"/>
          </w:tcPr>
          <w:p>
            <w:pPr>
              <w:pStyle w:val="0"/>
              <w:jc w:val="center"/>
            </w:pPr>
            <w:r>
              <w:rPr>
                <w:sz w:val="20"/>
              </w:rPr>
              <w:t xml:space="preserve">33</w:t>
            </w:r>
          </w:p>
        </w:tc>
        <w:tc>
          <w:tcPr>
            <w:tcW w:w="1559" w:type="dxa"/>
          </w:tcPr>
          <w:p>
            <w:pPr>
              <w:pStyle w:val="0"/>
              <w:jc w:val="center"/>
            </w:pPr>
            <w:r>
              <w:rPr>
                <w:sz w:val="20"/>
              </w:rPr>
              <w:t xml:space="preserve">не менее 38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Итоговый результат</w:t>
            </w:r>
          </w:p>
        </w:tc>
        <w:tc>
          <w:tcPr>
            <w:tcW w:w="4819"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418" w:type="dxa"/>
          </w:tcPr>
          <w:p>
            <w:pPr>
              <w:pStyle w:val="0"/>
              <w:jc w:val="center"/>
            </w:pPr>
            <w:r>
              <w:rPr>
                <w:sz w:val="20"/>
              </w:rPr>
              <w:t xml:space="preserve">4</w:t>
            </w:r>
          </w:p>
        </w:tc>
        <w:tc>
          <w:tcPr>
            <w:tcW w:w="1559"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418" w:type="dxa"/>
          </w:tcPr>
          <w:p>
            <w:pPr>
              <w:pStyle w:val="0"/>
              <w:jc w:val="center"/>
            </w:pPr>
            <w:r>
              <w:rPr>
                <w:sz w:val="20"/>
              </w:rPr>
              <w:t xml:space="preserve">4</w:t>
            </w:r>
          </w:p>
        </w:tc>
        <w:tc>
          <w:tcPr>
            <w:tcW w:w="1559"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2</w:t>
            </w:r>
          </w:p>
        </w:tc>
        <w:tc>
          <w:tcPr>
            <w:tcW w:w="2561"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928" w:type="dxa"/>
          </w:tcPr>
          <w:p>
            <w:pPr>
              <w:pStyle w:val="0"/>
              <w:jc w:val="center"/>
            </w:pPr>
            <w:r>
              <w:rPr>
                <w:sz w:val="20"/>
              </w:rPr>
              <w:t xml:space="preserve">Процесс</w:t>
            </w:r>
          </w:p>
        </w:tc>
        <w:tc>
          <w:tcPr>
            <w:tcW w:w="4819"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Промежуточный результат</w:t>
            </w:r>
          </w:p>
        </w:tc>
        <w:tc>
          <w:tcPr>
            <w:tcW w:w="4819"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12</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12</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19"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10%</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3</w:t>
            </w:r>
          </w:p>
        </w:tc>
        <w:tc>
          <w:tcPr>
            <w:tcW w:w="2561" w:type="dxa"/>
            <w:vMerge w:val="restart"/>
          </w:tcPr>
          <w:p>
            <w:pPr>
              <w:pStyle w:val="0"/>
              <w:jc w:val="center"/>
            </w:pPr>
            <w:r>
              <w:rPr>
                <w:sz w:val="20"/>
              </w:rPr>
              <w:t xml:space="preserve">Увеличение охвата услугами/доступа к услугам</w:t>
            </w:r>
          </w:p>
        </w:tc>
        <w:tc>
          <w:tcPr>
            <w:tcW w:w="1928" w:type="dxa"/>
          </w:tcPr>
          <w:p>
            <w:pPr>
              <w:pStyle w:val="0"/>
              <w:jc w:val="center"/>
            </w:pPr>
            <w:r>
              <w:rPr>
                <w:sz w:val="20"/>
              </w:rPr>
              <w:t xml:space="preserve">Процесс</w:t>
            </w:r>
          </w:p>
        </w:tc>
        <w:tc>
          <w:tcPr>
            <w:tcW w:w="4819"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Промежуточный результат</w:t>
            </w:r>
          </w:p>
        </w:tc>
        <w:tc>
          <w:tcPr>
            <w:tcW w:w="4819"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12</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8" w:type="dxa"/>
          </w:tcPr>
          <w:p>
            <w:pPr>
              <w:pStyle w:val="0"/>
              <w:jc w:val="center"/>
            </w:pPr>
            <w:r>
              <w:rPr>
                <w:sz w:val="20"/>
              </w:rPr>
              <w:t xml:space="preserve">1</w:t>
            </w:r>
          </w:p>
        </w:tc>
        <w:tc>
          <w:tcPr>
            <w:tcW w:w="1559" w:type="dxa"/>
          </w:tcPr>
          <w:p>
            <w:pPr>
              <w:pStyle w:val="0"/>
              <w:jc w:val="center"/>
            </w:pPr>
            <w:r>
              <w:rPr>
                <w:sz w:val="20"/>
              </w:rPr>
              <w:t xml:space="preserve">не менее 1</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Итоговый результат</w:t>
            </w:r>
          </w:p>
        </w:tc>
        <w:tc>
          <w:tcPr>
            <w:tcW w:w="4819"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418" w:type="dxa"/>
          </w:tcPr>
          <w:p>
            <w:pPr>
              <w:pStyle w:val="0"/>
              <w:jc w:val="center"/>
            </w:pPr>
            <w:r>
              <w:rPr>
                <w:sz w:val="20"/>
              </w:rPr>
              <w:t xml:space="preserve">69</w:t>
            </w:r>
          </w:p>
        </w:tc>
        <w:tc>
          <w:tcPr>
            <w:tcW w:w="1559" w:type="dxa"/>
          </w:tcPr>
          <w:p>
            <w:pPr>
              <w:pStyle w:val="0"/>
              <w:jc w:val="center"/>
            </w:pPr>
            <w:r>
              <w:rPr>
                <w:sz w:val="20"/>
              </w:rPr>
              <w:t xml:space="preserve">не менее 69</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418" w:type="dxa"/>
          </w:tcPr>
          <w:p>
            <w:pPr>
              <w:pStyle w:val="0"/>
              <w:jc w:val="center"/>
            </w:pPr>
            <w:r>
              <w:rPr>
                <w:sz w:val="20"/>
              </w:rPr>
              <w:t xml:space="preserve">8</w:t>
            </w:r>
          </w:p>
        </w:tc>
        <w:tc>
          <w:tcPr>
            <w:tcW w:w="1559" w:type="dxa"/>
          </w:tcPr>
          <w:p>
            <w:pPr>
              <w:pStyle w:val="0"/>
              <w:jc w:val="center"/>
            </w:pPr>
            <w:r>
              <w:rPr>
                <w:sz w:val="20"/>
              </w:rPr>
              <w:t xml:space="preserve">не менее 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4</w:t>
            </w:r>
          </w:p>
        </w:tc>
        <w:tc>
          <w:tcPr>
            <w:tcW w:w="2561" w:type="dxa"/>
            <w:vMerge w:val="restart"/>
          </w:tcPr>
          <w:p>
            <w:pPr>
              <w:pStyle w:val="0"/>
              <w:jc w:val="center"/>
            </w:pPr>
            <w:r>
              <w:rPr>
                <w:sz w:val="20"/>
              </w:rPr>
              <w:t xml:space="preserve">Повышение качества оказанных услуг</w:t>
            </w:r>
          </w:p>
        </w:tc>
        <w:tc>
          <w:tcPr>
            <w:tcW w:w="1928" w:type="dxa"/>
            <w:vMerge w:val="restart"/>
          </w:tcPr>
          <w:p>
            <w:pPr>
              <w:pStyle w:val="0"/>
              <w:jc w:val="center"/>
            </w:pPr>
            <w:r>
              <w:rPr>
                <w:sz w:val="20"/>
              </w:rPr>
              <w:t xml:space="preserve">Процесс</w:t>
            </w:r>
          </w:p>
        </w:tc>
        <w:tc>
          <w:tcPr>
            <w:tcW w:w="4819"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19"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19"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12</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19"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418" w:type="dxa"/>
          </w:tcPr>
          <w:p>
            <w:pPr>
              <w:pStyle w:val="0"/>
              <w:jc w:val="center"/>
            </w:pPr>
            <w:r>
              <w:rPr>
                <w:sz w:val="20"/>
              </w:rPr>
              <w:t xml:space="preserve">95%</w:t>
            </w:r>
          </w:p>
        </w:tc>
        <w:tc>
          <w:tcPr>
            <w:tcW w:w="1559" w:type="dxa"/>
          </w:tcPr>
          <w:p>
            <w:pPr>
              <w:pStyle w:val="0"/>
              <w:jc w:val="center"/>
            </w:pPr>
            <w:r>
              <w:rPr>
                <w:sz w:val="20"/>
              </w:rPr>
              <w:t xml:space="preserve">не менее 95%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5</w:t>
            </w:r>
          </w:p>
        </w:tc>
        <w:tc>
          <w:tcPr>
            <w:tcW w:w="2561"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928" w:type="dxa"/>
          </w:tcPr>
          <w:p>
            <w:pPr>
              <w:pStyle w:val="0"/>
              <w:jc w:val="center"/>
            </w:pPr>
            <w:r>
              <w:rPr>
                <w:sz w:val="20"/>
              </w:rPr>
              <w:t xml:space="preserve">Процесс</w:t>
            </w:r>
          </w:p>
        </w:tc>
        <w:tc>
          <w:tcPr>
            <w:tcW w:w="4819"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418" w:type="dxa"/>
          </w:tcPr>
          <w:p>
            <w:pPr>
              <w:pStyle w:val="0"/>
              <w:jc w:val="center"/>
            </w:pPr>
            <w:r>
              <w:rPr>
                <w:sz w:val="20"/>
              </w:rPr>
              <w:t xml:space="preserve">да</w:t>
            </w:r>
          </w:p>
        </w:tc>
        <w:tc>
          <w:tcPr>
            <w:tcW w:w="1559"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19"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418" w:type="dxa"/>
          </w:tcPr>
          <w:p>
            <w:pPr>
              <w:pStyle w:val="0"/>
              <w:jc w:val="center"/>
            </w:pPr>
            <w:r>
              <w:rPr>
                <w:sz w:val="20"/>
              </w:rPr>
              <w:t xml:space="preserve">10</w:t>
            </w:r>
          </w:p>
        </w:tc>
        <w:tc>
          <w:tcPr>
            <w:tcW w:w="1559" w:type="dxa"/>
          </w:tcPr>
          <w:p>
            <w:pPr>
              <w:pStyle w:val="0"/>
              <w:jc w:val="center"/>
            </w:pPr>
            <w:r>
              <w:rPr>
                <w:sz w:val="20"/>
              </w:rPr>
              <w:t xml:space="preserve">не менее 12</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19"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418" w:type="dxa"/>
          </w:tcPr>
          <w:p>
            <w:pPr>
              <w:pStyle w:val="0"/>
              <w:jc w:val="center"/>
            </w:pPr>
            <w:r>
              <w:rPr>
                <w:sz w:val="20"/>
              </w:rPr>
              <w:t xml:space="preserve">95%</w:t>
            </w:r>
          </w:p>
        </w:tc>
        <w:tc>
          <w:tcPr>
            <w:tcW w:w="1559" w:type="dxa"/>
          </w:tcPr>
          <w:p>
            <w:pPr>
              <w:pStyle w:val="0"/>
              <w:jc w:val="center"/>
            </w:pPr>
            <w:r>
              <w:rPr>
                <w:sz w:val="20"/>
              </w:rPr>
              <w:t xml:space="preserve">не менее 95%</w:t>
            </w:r>
          </w:p>
        </w:tc>
        <w:tc>
          <w:tcPr>
            <w:tcW w:w="2350" w:type="dxa"/>
          </w:tcPr>
          <w:p>
            <w:pPr>
              <w:pStyle w:val="0"/>
              <w:jc w:val="center"/>
            </w:pPr>
            <w:r>
              <w:rPr>
                <w:sz w:val="20"/>
              </w:rPr>
              <w:t xml:space="preserve">Министерство труда и социального развития Республики Саха (Якутия)</w:t>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p>
      <w:pPr>
        <w:pStyle w:val="0"/>
        <w:outlineLvl w:val="2"/>
        <w:jc w:val="right"/>
      </w:pPr>
      <w:r>
        <w:rPr>
          <w:sz w:val="20"/>
        </w:rPr>
        <w:t xml:space="preserve">Таблица 3</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(880000О.99.0.АЭ26АА04000,</w:t>
      </w:r>
    </w:p>
    <w:p>
      <w:pPr>
        <w:pStyle w:val="2"/>
        <w:jc w:val="center"/>
      </w:pPr>
      <w:r>
        <w:rPr>
          <w:sz w:val="20"/>
        </w:rPr>
        <w:t xml:space="preserve">категория получателей - гражданин при наличии в семье</w:t>
      </w:r>
    </w:p>
    <w:p>
      <w:pPr>
        <w:pStyle w:val="2"/>
        <w:jc w:val="center"/>
      </w:pPr>
      <w:r>
        <w:rPr>
          <w:sz w:val="20"/>
        </w:rPr>
        <w:t xml:space="preserve">инвалида или инвалидов, в том числе ребенка-инвалида</w:t>
      </w:r>
    </w:p>
    <w:p>
      <w:pPr>
        <w:pStyle w:val="2"/>
        <w:jc w:val="center"/>
      </w:pPr>
      <w:r>
        <w:rPr>
          <w:sz w:val="20"/>
        </w:rPr>
        <w:t xml:space="preserve">или детей-инвалидов, нуждающихся в постоянном</w:t>
      </w:r>
    </w:p>
    <w:p>
      <w:pPr>
        <w:pStyle w:val="2"/>
        <w:jc w:val="center"/>
      </w:pPr>
      <w:r>
        <w:rPr>
          <w:sz w:val="20"/>
        </w:rPr>
        <w:t xml:space="preserve">постороннем уходе (бесплатно))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
        <w:gridCol w:w="2410"/>
        <w:gridCol w:w="1928"/>
        <w:gridCol w:w="4876"/>
        <w:gridCol w:w="1276"/>
        <w:gridCol w:w="1418"/>
        <w:gridCol w:w="2350"/>
      </w:tblGrid>
      <w:tr>
        <w:tc>
          <w:tcPr>
            <w:tcW w:w="595" w:type="dxa"/>
            <w:vAlign w:val="center"/>
          </w:tcPr>
          <w:p>
            <w:pPr>
              <w:pStyle w:val="0"/>
              <w:jc w:val="center"/>
            </w:pPr>
            <w:r>
              <w:rPr>
                <w:sz w:val="20"/>
              </w:rPr>
              <w:t xml:space="preserve">N</w:t>
            </w:r>
          </w:p>
          <w:p>
            <w:pPr>
              <w:pStyle w:val="0"/>
              <w:jc w:val="center"/>
            </w:pPr>
            <w:r>
              <w:rPr>
                <w:sz w:val="20"/>
              </w:rPr>
              <w:t xml:space="preserve">п/п</w:t>
            </w:r>
          </w:p>
        </w:tc>
        <w:tc>
          <w:tcPr>
            <w:tcW w:w="2410" w:type="dxa"/>
            <w:vAlign w:val="center"/>
          </w:tcPr>
          <w:p>
            <w:pPr>
              <w:pStyle w:val="0"/>
              <w:jc w:val="center"/>
            </w:pPr>
            <w:r>
              <w:rPr>
                <w:sz w:val="20"/>
              </w:rPr>
              <w:t xml:space="preserve">Цель</w:t>
            </w:r>
          </w:p>
        </w:tc>
        <w:tc>
          <w:tcPr>
            <w:tcW w:w="1928" w:type="dxa"/>
            <w:vAlign w:val="center"/>
          </w:tcPr>
          <w:p>
            <w:pPr>
              <w:pStyle w:val="0"/>
              <w:jc w:val="center"/>
            </w:pPr>
            <w:r>
              <w:rPr>
                <w:sz w:val="20"/>
              </w:rPr>
              <w:t xml:space="preserve">Тип индикатора</w:t>
            </w:r>
          </w:p>
        </w:tc>
        <w:tc>
          <w:tcPr>
            <w:tcW w:w="4876" w:type="dxa"/>
            <w:vAlign w:val="center"/>
          </w:tcPr>
          <w:p>
            <w:pPr>
              <w:pStyle w:val="0"/>
              <w:jc w:val="center"/>
            </w:pPr>
            <w:r>
              <w:rPr>
                <w:sz w:val="20"/>
              </w:rPr>
              <w:t xml:space="preserve">Индикатор</w:t>
            </w:r>
          </w:p>
        </w:tc>
        <w:tc>
          <w:tcPr>
            <w:tcW w:w="1276" w:type="dxa"/>
            <w:vAlign w:val="center"/>
          </w:tcPr>
          <w:p>
            <w:pPr>
              <w:pStyle w:val="0"/>
              <w:jc w:val="center"/>
            </w:pPr>
            <w:r>
              <w:rPr>
                <w:sz w:val="20"/>
              </w:rPr>
              <w:t xml:space="preserve">Базовая величина на 2024 год</w:t>
            </w:r>
          </w:p>
        </w:tc>
        <w:tc>
          <w:tcPr>
            <w:tcW w:w="1418"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2350" w:type="dxa"/>
            <w:vAlign w:val="center"/>
          </w:tcPr>
          <w:p>
            <w:pPr>
              <w:pStyle w:val="0"/>
              <w:jc w:val="center"/>
            </w:pPr>
            <w:r>
              <w:rPr>
                <w:sz w:val="20"/>
              </w:rPr>
              <w:t xml:space="preserve">Ответственный исполнитель</w:t>
            </w:r>
          </w:p>
        </w:tc>
      </w:tr>
      <w:tr>
        <w:tc>
          <w:tcPr>
            <w:tcW w:w="595" w:type="dxa"/>
            <w:vMerge w:val="restart"/>
          </w:tcPr>
          <w:p>
            <w:pPr>
              <w:pStyle w:val="0"/>
              <w:jc w:val="center"/>
            </w:pPr>
            <w:r>
              <w:rPr>
                <w:sz w:val="20"/>
              </w:rPr>
              <w:t xml:space="preserve">1</w:t>
            </w:r>
          </w:p>
        </w:tc>
        <w:tc>
          <w:tcPr>
            <w:tcW w:w="2410"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928" w:type="dxa"/>
          </w:tcPr>
          <w:p>
            <w:pPr>
              <w:pStyle w:val="0"/>
              <w:jc w:val="center"/>
            </w:pPr>
            <w:r>
              <w:rPr>
                <w:sz w:val="20"/>
              </w:rPr>
              <w:t xml:space="preserve">Процесс</w:t>
            </w:r>
          </w:p>
        </w:tc>
        <w:tc>
          <w:tcPr>
            <w:tcW w:w="4876"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276" w:type="dxa"/>
          </w:tcPr>
          <w:p>
            <w:pPr>
              <w:pStyle w:val="0"/>
              <w:jc w:val="center"/>
            </w:pPr>
            <w:r>
              <w:rPr>
                <w:sz w:val="20"/>
              </w:rPr>
              <w:t xml:space="preserve">70</w:t>
            </w:r>
          </w:p>
        </w:tc>
        <w:tc>
          <w:tcPr>
            <w:tcW w:w="1418" w:type="dxa"/>
          </w:tcPr>
          <w:p>
            <w:pPr>
              <w:pStyle w:val="0"/>
              <w:jc w:val="center"/>
            </w:pPr>
            <w:r>
              <w:rPr>
                <w:sz w:val="20"/>
              </w:rPr>
              <w:t xml:space="preserve">не менее 78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76"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276" w:type="dxa"/>
          </w:tcPr>
          <w:p>
            <w:pPr>
              <w:pStyle w:val="0"/>
              <w:jc w:val="center"/>
            </w:pPr>
            <w:r>
              <w:rPr>
                <w:sz w:val="20"/>
              </w:rPr>
              <w:t xml:space="preserve">33</w:t>
            </w:r>
          </w:p>
        </w:tc>
        <w:tc>
          <w:tcPr>
            <w:tcW w:w="1418" w:type="dxa"/>
          </w:tcPr>
          <w:p>
            <w:pPr>
              <w:pStyle w:val="0"/>
              <w:jc w:val="center"/>
            </w:pPr>
            <w:r>
              <w:rPr>
                <w:sz w:val="20"/>
              </w:rPr>
              <w:t xml:space="preserve">не менее 38</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Итоговый результат</w:t>
            </w:r>
          </w:p>
        </w:tc>
        <w:tc>
          <w:tcPr>
            <w:tcW w:w="4876"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276" w:type="dxa"/>
          </w:tcPr>
          <w:p>
            <w:pPr>
              <w:pStyle w:val="0"/>
              <w:jc w:val="center"/>
            </w:pPr>
            <w:r>
              <w:rPr>
                <w:sz w:val="20"/>
              </w:rPr>
              <w:t xml:space="preserve">4</w:t>
            </w:r>
          </w:p>
        </w:tc>
        <w:tc>
          <w:tcPr>
            <w:tcW w:w="1418"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276" w:type="dxa"/>
          </w:tcPr>
          <w:p>
            <w:pPr>
              <w:pStyle w:val="0"/>
              <w:jc w:val="center"/>
            </w:pPr>
            <w:r>
              <w:rPr>
                <w:sz w:val="20"/>
              </w:rPr>
              <w:t xml:space="preserve">4</w:t>
            </w:r>
          </w:p>
        </w:tc>
        <w:tc>
          <w:tcPr>
            <w:tcW w:w="1418" w:type="dxa"/>
          </w:tcPr>
          <w:p>
            <w:pPr>
              <w:pStyle w:val="0"/>
              <w:jc w:val="center"/>
            </w:pPr>
            <w:r>
              <w:rPr>
                <w:sz w:val="20"/>
              </w:rPr>
              <w:t xml:space="preserve">не менее 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2</w:t>
            </w:r>
          </w:p>
        </w:tc>
        <w:tc>
          <w:tcPr>
            <w:tcW w:w="2410"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928" w:type="dxa"/>
          </w:tcPr>
          <w:p>
            <w:pPr>
              <w:pStyle w:val="0"/>
              <w:jc w:val="center"/>
            </w:pPr>
            <w:r>
              <w:rPr>
                <w:sz w:val="20"/>
              </w:rPr>
              <w:t xml:space="preserve">Процесс</w:t>
            </w:r>
          </w:p>
        </w:tc>
        <w:tc>
          <w:tcPr>
            <w:tcW w:w="4876"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Промежуточный результат</w:t>
            </w:r>
          </w:p>
        </w:tc>
        <w:tc>
          <w:tcPr>
            <w:tcW w:w="487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276" w:type="dxa"/>
          </w:tcPr>
          <w:p>
            <w:pPr>
              <w:pStyle w:val="0"/>
              <w:jc w:val="center"/>
            </w:pPr>
            <w:r>
              <w:rPr>
                <w:sz w:val="20"/>
              </w:rPr>
              <w:t xml:space="preserve">11</w:t>
            </w:r>
          </w:p>
        </w:tc>
        <w:tc>
          <w:tcPr>
            <w:tcW w:w="1418" w:type="dxa"/>
          </w:tcPr>
          <w:p>
            <w:pPr>
              <w:pStyle w:val="0"/>
              <w:jc w:val="center"/>
            </w:pPr>
            <w:r>
              <w:rPr>
                <w:sz w:val="20"/>
              </w:rPr>
              <w:t xml:space="preserve">не менее 13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276" w:type="dxa"/>
          </w:tcPr>
          <w:p>
            <w:pPr>
              <w:pStyle w:val="0"/>
              <w:jc w:val="center"/>
            </w:pPr>
            <w:r>
              <w:rPr>
                <w:sz w:val="20"/>
              </w:rPr>
              <w:t xml:space="preserve">11</w:t>
            </w:r>
          </w:p>
        </w:tc>
        <w:tc>
          <w:tcPr>
            <w:tcW w:w="1418" w:type="dxa"/>
          </w:tcPr>
          <w:p>
            <w:pPr>
              <w:pStyle w:val="0"/>
              <w:jc w:val="center"/>
            </w:pPr>
            <w:r>
              <w:rPr>
                <w:sz w:val="20"/>
              </w:rPr>
              <w:t xml:space="preserve">не менее 13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76"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276" w:type="dxa"/>
          </w:tcPr>
          <w:p>
            <w:pPr>
              <w:pStyle w:val="0"/>
              <w:jc w:val="center"/>
            </w:pPr>
            <w:r>
              <w:rPr>
                <w:sz w:val="20"/>
              </w:rPr>
              <w:t xml:space="preserve">9,09%</w:t>
            </w:r>
          </w:p>
        </w:tc>
        <w:tc>
          <w:tcPr>
            <w:tcW w:w="1418" w:type="dxa"/>
          </w:tcPr>
          <w:p>
            <w:pPr>
              <w:pStyle w:val="0"/>
              <w:jc w:val="center"/>
            </w:pPr>
            <w:r>
              <w:rPr>
                <w:sz w:val="20"/>
              </w:rPr>
              <w:t xml:space="preserve">не менее 9,09%</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3</w:t>
            </w:r>
          </w:p>
        </w:tc>
        <w:tc>
          <w:tcPr>
            <w:tcW w:w="2410" w:type="dxa"/>
            <w:vMerge w:val="restart"/>
          </w:tcPr>
          <w:p>
            <w:pPr>
              <w:pStyle w:val="0"/>
              <w:jc w:val="center"/>
            </w:pPr>
            <w:r>
              <w:rPr>
                <w:sz w:val="20"/>
              </w:rPr>
              <w:t xml:space="preserve">Увеличение охвата услугами/доступа к услугам</w:t>
            </w:r>
          </w:p>
        </w:tc>
        <w:tc>
          <w:tcPr>
            <w:tcW w:w="1928" w:type="dxa"/>
          </w:tcPr>
          <w:p>
            <w:pPr>
              <w:pStyle w:val="0"/>
              <w:jc w:val="center"/>
            </w:pPr>
            <w:r>
              <w:rPr>
                <w:sz w:val="20"/>
              </w:rPr>
              <w:t xml:space="preserve">Процесс</w:t>
            </w:r>
          </w:p>
        </w:tc>
        <w:tc>
          <w:tcPr>
            <w:tcW w:w="4876"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Промежуточный результат</w:t>
            </w:r>
          </w:p>
        </w:tc>
        <w:tc>
          <w:tcPr>
            <w:tcW w:w="4876"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276" w:type="dxa"/>
          </w:tcPr>
          <w:p>
            <w:pPr>
              <w:pStyle w:val="0"/>
              <w:jc w:val="center"/>
            </w:pPr>
            <w:r>
              <w:rPr>
                <w:sz w:val="20"/>
              </w:rPr>
              <w:t xml:space="preserve">11</w:t>
            </w:r>
          </w:p>
        </w:tc>
        <w:tc>
          <w:tcPr>
            <w:tcW w:w="1418" w:type="dxa"/>
          </w:tcPr>
          <w:p>
            <w:pPr>
              <w:pStyle w:val="0"/>
              <w:jc w:val="center"/>
            </w:pPr>
            <w:r>
              <w:rPr>
                <w:sz w:val="20"/>
              </w:rPr>
              <w:t xml:space="preserve">не менее 13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276" w:type="dxa"/>
          </w:tcPr>
          <w:p>
            <w:pPr>
              <w:pStyle w:val="0"/>
              <w:jc w:val="center"/>
            </w:pPr>
            <w:r>
              <w:rPr>
                <w:sz w:val="20"/>
              </w:rPr>
              <w:t xml:space="preserve">1</w:t>
            </w:r>
          </w:p>
        </w:tc>
        <w:tc>
          <w:tcPr>
            <w:tcW w:w="1418" w:type="dxa"/>
          </w:tcPr>
          <w:p>
            <w:pPr>
              <w:pStyle w:val="0"/>
              <w:jc w:val="center"/>
            </w:pPr>
            <w:r>
              <w:rPr>
                <w:sz w:val="20"/>
              </w:rPr>
              <w:t xml:space="preserve">не менее 1</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vMerge w:val="restart"/>
          </w:tcPr>
          <w:p>
            <w:pPr>
              <w:pStyle w:val="0"/>
              <w:jc w:val="center"/>
            </w:pPr>
            <w:r>
              <w:rPr>
                <w:sz w:val="20"/>
              </w:rPr>
              <w:t xml:space="preserve">Итоговый результат</w:t>
            </w:r>
          </w:p>
        </w:tc>
        <w:tc>
          <w:tcPr>
            <w:tcW w:w="4876"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276" w:type="dxa"/>
          </w:tcPr>
          <w:p>
            <w:pPr>
              <w:pStyle w:val="0"/>
              <w:jc w:val="center"/>
            </w:pPr>
            <w:r>
              <w:rPr>
                <w:sz w:val="20"/>
              </w:rPr>
              <w:t xml:space="preserve">103</w:t>
            </w:r>
          </w:p>
        </w:tc>
        <w:tc>
          <w:tcPr>
            <w:tcW w:w="1418" w:type="dxa"/>
          </w:tcPr>
          <w:p>
            <w:pPr>
              <w:pStyle w:val="0"/>
              <w:jc w:val="center"/>
            </w:pPr>
            <w:r>
              <w:rPr>
                <w:sz w:val="20"/>
              </w:rPr>
              <w:t xml:space="preserve">не менее 103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276" w:type="dxa"/>
          </w:tcPr>
          <w:p>
            <w:pPr>
              <w:pStyle w:val="0"/>
              <w:jc w:val="center"/>
            </w:pPr>
            <w:r>
              <w:rPr>
                <w:sz w:val="20"/>
              </w:rPr>
              <w:t xml:space="preserve">1</w:t>
            </w:r>
          </w:p>
        </w:tc>
        <w:tc>
          <w:tcPr>
            <w:tcW w:w="1418" w:type="dxa"/>
          </w:tcPr>
          <w:p>
            <w:pPr>
              <w:pStyle w:val="0"/>
              <w:jc w:val="center"/>
            </w:pPr>
            <w:r>
              <w:rPr>
                <w:sz w:val="20"/>
              </w:rPr>
              <w:t xml:space="preserve">не менее 1</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4</w:t>
            </w:r>
          </w:p>
        </w:tc>
        <w:tc>
          <w:tcPr>
            <w:tcW w:w="2410" w:type="dxa"/>
            <w:vMerge w:val="restart"/>
          </w:tcPr>
          <w:p>
            <w:pPr>
              <w:pStyle w:val="0"/>
              <w:jc w:val="center"/>
            </w:pPr>
            <w:r>
              <w:rPr>
                <w:sz w:val="20"/>
              </w:rPr>
              <w:t xml:space="preserve">Повышение качества оказанных услуг</w:t>
            </w:r>
          </w:p>
        </w:tc>
        <w:tc>
          <w:tcPr>
            <w:tcW w:w="1928" w:type="dxa"/>
            <w:vMerge w:val="restart"/>
          </w:tcPr>
          <w:p>
            <w:pPr>
              <w:pStyle w:val="0"/>
              <w:jc w:val="center"/>
            </w:pPr>
            <w:r>
              <w:rPr>
                <w:sz w:val="20"/>
              </w:rPr>
              <w:t xml:space="preserve">Процесс</w:t>
            </w:r>
          </w:p>
        </w:tc>
        <w:tc>
          <w:tcPr>
            <w:tcW w:w="4876"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876"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7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276" w:type="dxa"/>
          </w:tcPr>
          <w:p>
            <w:pPr>
              <w:pStyle w:val="0"/>
              <w:jc w:val="center"/>
            </w:pPr>
            <w:r>
              <w:rPr>
                <w:sz w:val="20"/>
              </w:rPr>
              <w:t xml:space="preserve">11</w:t>
            </w:r>
          </w:p>
        </w:tc>
        <w:tc>
          <w:tcPr>
            <w:tcW w:w="1418" w:type="dxa"/>
          </w:tcPr>
          <w:p>
            <w:pPr>
              <w:pStyle w:val="0"/>
              <w:jc w:val="center"/>
            </w:pPr>
            <w:r>
              <w:rPr>
                <w:sz w:val="20"/>
              </w:rPr>
              <w:t xml:space="preserve">не менее 13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76"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276" w:type="dxa"/>
          </w:tcPr>
          <w:p>
            <w:pPr>
              <w:pStyle w:val="0"/>
              <w:jc w:val="center"/>
            </w:pPr>
            <w:r>
              <w:rPr>
                <w:sz w:val="20"/>
              </w:rPr>
              <w:t xml:space="preserve">95%</w:t>
            </w:r>
          </w:p>
        </w:tc>
        <w:tc>
          <w:tcPr>
            <w:tcW w:w="1418" w:type="dxa"/>
          </w:tcPr>
          <w:p>
            <w:pPr>
              <w:pStyle w:val="0"/>
              <w:jc w:val="center"/>
            </w:pPr>
            <w:r>
              <w:rPr>
                <w:sz w:val="20"/>
              </w:rPr>
              <w:t xml:space="preserve">не менее 95%</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5</w:t>
            </w:r>
          </w:p>
        </w:tc>
        <w:tc>
          <w:tcPr>
            <w:tcW w:w="2410"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928" w:type="dxa"/>
          </w:tcPr>
          <w:p>
            <w:pPr>
              <w:pStyle w:val="0"/>
              <w:jc w:val="center"/>
            </w:pPr>
            <w:r>
              <w:rPr>
                <w:sz w:val="20"/>
              </w:rPr>
              <w:t xml:space="preserve">Процесс</w:t>
            </w:r>
          </w:p>
        </w:tc>
        <w:tc>
          <w:tcPr>
            <w:tcW w:w="4876"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276" w:type="dxa"/>
          </w:tcPr>
          <w:p>
            <w:pPr>
              <w:pStyle w:val="0"/>
              <w:jc w:val="center"/>
            </w:pPr>
            <w:r>
              <w:rPr>
                <w:sz w:val="20"/>
              </w:rPr>
              <w:t xml:space="preserve">да</w:t>
            </w:r>
          </w:p>
        </w:tc>
        <w:tc>
          <w:tcPr>
            <w:tcW w:w="1418" w:type="dxa"/>
          </w:tcPr>
          <w:p>
            <w:pPr>
              <w:pStyle w:val="0"/>
              <w:jc w:val="center"/>
            </w:pPr>
            <w:r>
              <w:rPr>
                <w:sz w:val="20"/>
              </w:rPr>
              <w:t xml:space="preserve">да</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Промежуточный результат</w:t>
            </w:r>
          </w:p>
        </w:tc>
        <w:tc>
          <w:tcPr>
            <w:tcW w:w="4876"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276" w:type="dxa"/>
          </w:tcPr>
          <w:p>
            <w:pPr>
              <w:pStyle w:val="0"/>
              <w:jc w:val="center"/>
            </w:pPr>
            <w:r>
              <w:rPr>
                <w:sz w:val="20"/>
              </w:rPr>
              <w:t xml:space="preserve">11</w:t>
            </w:r>
          </w:p>
        </w:tc>
        <w:tc>
          <w:tcPr>
            <w:tcW w:w="1418" w:type="dxa"/>
          </w:tcPr>
          <w:p>
            <w:pPr>
              <w:pStyle w:val="0"/>
              <w:jc w:val="center"/>
            </w:pPr>
            <w:r>
              <w:rPr>
                <w:sz w:val="20"/>
              </w:rPr>
              <w:t xml:space="preserve">не менее 13</w:t>
            </w:r>
          </w:p>
        </w:tc>
        <w:tc>
          <w:tcPr>
            <w:tcW w:w="2350"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28" w:type="dxa"/>
          </w:tcPr>
          <w:p>
            <w:pPr>
              <w:pStyle w:val="0"/>
              <w:jc w:val="center"/>
            </w:pPr>
            <w:r>
              <w:rPr>
                <w:sz w:val="20"/>
              </w:rPr>
              <w:t xml:space="preserve">Итоговый результат</w:t>
            </w:r>
          </w:p>
        </w:tc>
        <w:tc>
          <w:tcPr>
            <w:tcW w:w="4876"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276" w:type="dxa"/>
          </w:tcPr>
          <w:p>
            <w:pPr>
              <w:pStyle w:val="0"/>
              <w:jc w:val="center"/>
            </w:pPr>
            <w:r>
              <w:rPr>
                <w:sz w:val="20"/>
              </w:rPr>
              <w:t xml:space="preserve">95%</w:t>
            </w:r>
          </w:p>
        </w:tc>
        <w:tc>
          <w:tcPr>
            <w:tcW w:w="1418" w:type="dxa"/>
          </w:tcPr>
          <w:p>
            <w:pPr>
              <w:pStyle w:val="0"/>
              <w:jc w:val="center"/>
            </w:pPr>
            <w:r>
              <w:rPr>
                <w:sz w:val="20"/>
              </w:rPr>
              <w:t xml:space="preserve">не менее 95%</w:t>
            </w:r>
          </w:p>
        </w:tc>
        <w:tc>
          <w:tcPr>
            <w:tcW w:w="2350"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4</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(880000О.99.0.АЭ22АА04000,</w:t>
      </w:r>
    </w:p>
    <w:p>
      <w:pPr>
        <w:pStyle w:val="2"/>
        <w:jc w:val="center"/>
      </w:pPr>
      <w:r>
        <w:rPr>
          <w:sz w:val="20"/>
        </w:rPr>
        <w:t xml:space="preserve">категория получателей - гражданин при наличии в семье</w:t>
      </w:r>
    </w:p>
    <w:p>
      <w:pPr>
        <w:pStyle w:val="2"/>
        <w:jc w:val="center"/>
      </w:pPr>
      <w:r>
        <w:rPr>
          <w:sz w:val="20"/>
        </w:rPr>
        <w:t xml:space="preserve">инвалида или инвалидов, в том числе ребенка-инвалида</w:t>
      </w:r>
    </w:p>
    <w:p>
      <w:pPr>
        <w:pStyle w:val="2"/>
        <w:jc w:val="center"/>
      </w:pPr>
      <w:r>
        <w:rPr>
          <w:sz w:val="20"/>
        </w:rPr>
        <w:t xml:space="preserve">или детей-инвалидов, нуждающихся в постоянном</w:t>
      </w:r>
    </w:p>
    <w:p>
      <w:pPr>
        <w:pStyle w:val="2"/>
        <w:jc w:val="center"/>
      </w:pPr>
      <w:r>
        <w:rPr>
          <w:sz w:val="20"/>
        </w:rPr>
        <w:t xml:space="preserve">постороннем уходе (платно))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410"/>
        <w:gridCol w:w="1843"/>
        <w:gridCol w:w="5355"/>
        <w:gridCol w:w="1276"/>
        <w:gridCol w:w="1407"/>
        <w:gridCol w:w="2846"/>
      </w:tblGrid>
      <w:tr>
        <w:tc>
          <w:tcPr>
            <w:tcW w:w="567" w:type="dxa"/>
            <w:vAlign w:val="center"/>
          </w:tcPr>
          <w:p>
            <w:pPr>
              <w:pStyle w:val="0"/>
              <w:jc w:val="center"/>
            </w:pPr>
            <w:r>
              <w:rPr>
                <w:sz w:val="20"/>
              </w:rPr>
              <w:t xml:space="preserve">N</w:t>
            </w:r>
          </w:p>
          <w:p>
            <w:pPr>
              <w:pStyle w:val="0"/>
              <w:jc w:val="center"/>
            </w:pPr>
            <w:r>
              <w:rPr>
                <w:sz w:val="20"/>
              </w:rPr>
              <w:t xml:space="preserve">п/п</w:t>
            </w:r>
          </w:p>
        </w:tc>
        <w:tc>
          <w:tcPr>
            <w:tcW w:w="2410" w:type="dxa"/>
            <w:vAlign w:val="center"/>
          </w:tcPr>
          <w:p>
            <w:pPr>
              <w:pStyle w:val="0"/>
              <w:jc w:val="center"/>
            </w:pPr>
            <w:r>
              <w:rPr>
                <w:sz w:val="20"/>
              </w:rPr>
              <w:t xml:space="preserve">Цель</w:t>
            </w:r>
          </w:p>
        </w:tc>
        <w:tc>
          <w:tcPr>
            <w:tcW w:w="1843" w:type="dxa"/>
            <w:vAlign w:val="center"/>
          </w:tcPr>
          <w:p>
            <w:pPr>
              <w:pStyle w:val="0"/>
              <w:jc w:val="center"/>
            </w:pPr>
            <w:r>
              <w:rPr>
                <w:sz w:val="20"/>
              </w:rPr>
              <w:t xml:space="preserve">Тип индикатора</w:t>
            </w:r>
          </w:p>
        </w:tc>
        <w:tc>
          <w:tcPr>
            <w:tcW w:w="5355" w:type="dxa"/>
            <w:vAlign w:val="center"/>
          </w:tcPr>
          <w:p>
            <w:pPr>
              <w:pStyle w:val="0"/>
              <w:jc w:val="center"/>
            </w:pPr>
            <w:r>
              <w:rPr>
                <w:sz w:val="20"/>
              </w:rPr>
              <w:t xml:space="preserve">Индикатор</w:t>
            </w:r>
          </w:p>
        </w:tc>
        <w:tc>
          <w:tcPr>
            <w:tcW w:w="1276" w:type="dxa"/>
            <w:vAlign w:val="center"/>
          </w:tcPr>
          <w:p>
            <w:pPr>
              <w:pStyle w:val="0"/>
              <w:jc w:val="center"/>
            </w:pPr>
            <w:r>
              <w:rPr>
                <w:sz w:val="20"/>
              </w:rPr>
              <w:t xml:space="preserve">Базовая величина на 2024 год</w:t>
            </w:r>
          </w:p>
        </w:tc>
        <w:tc>
          <w:tcPr>
            <w:tcW w:w="1407"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2846" w:type="dxa"/>
            <w:vAlign w:val="center"/>
          </w:tcPr>
          <w:p>
            <w:pPr>
              <w:pStyle w:val="0"/>
              <w:jc w:val="center"/>
            </w:pPr>
            <w:r>
              <w:rPr>
                <w:sz w:val="20"/>
              </w:rPr>
              <w:t xml:space="preserve">Ответственный исполнитель</w:t>
            </w:r>
          </w:p>
        </w:tc>
      </w:tr>
      <w:tr>
        <w:tc>
          <w:tcPr>
            <w:tcW w:w="567" w:type="dxa"/>
            <w:vMerge w:val="restart"/>
          </w:tcPr>
          <w:p>
            <w:pPr>
              <w:pStyle w:val="0"/>
              <w:jc w:val="center"/>
            </w:pPr>
            <w:r>
              <w:rPr>
                <w:sz w:val="20"/>
              </w:rPr>
              <w:t xml:space="preserve">1</w:t>
            </w:r>
          </w:p>
        </w:tc>
        <w:tc>
          <w:tcPr>
            <w:tcW w:w="2410"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843" w:type="dxa"/>
          </w:tcPr>
          <w:p>
            <w:pPr>
              <w:pStyle w:val="0"/>
              <w:jc w:val="center"/>
            </w:pPr>
            <w:r>
              <w:rPr>
                <w:sz w:val="20"/>
              </w:rPr>
              <w:t xml:space="preserve">Процесс</w:t>
            </w:r>
          </w:p>
        </w:tc>
        <w:tc>
          <w:tcPr>
            <w:tcW w:w="5355"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276" w:type="dxa"/>
          </w:tcPr>
          <w:p>
            <w:pPr>
              <w:pStyle w:val="0"/>
              <w:jc w:val="center"/>
            </w:pPr>
            <w:r>
              <w:rPr>
                <w:sz w:val="20"/>
              </w:rPr>
              <w:t xml:space="preserve">70</w:t>
            </w:r>
          </w:p>
        </w:tc>
        <w:tc>
          <w:tcPr>
            <w:tcW w:w="1407" w:type="dxa"/>
          </w:tcPr>
          <w:p>
            <w:pPr>
              <w:pStyle w:val="0"/>
              <w:jc w:val="center"/>
            </w:pPr>
            <w:r>
              <w:rPr>
                <w:sz w:val="20"/>
              </w:rPr>
              <w:t xml:space="preserve">не менее 78</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5355"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276" w:type="dxa"/>
          </w:tcPr>
          <w:p>
            <w:pPr>
              <w:pStyle w:val="0"/>
              <w:jc w:val="center"/>
            </w:pPr>
            <w:r>
              <w:rPr>
                <w:sz w:val="20"/>
              </w:rPr>
              <w:t xml:space="preserve">33</w:t>
            </w:r>
          </w:p>
        </w:tc>
        <w:tc>
          <w:tcPr>
            <w:tcW w:w="1407" w:type="dxa"/>
          </w:tcPr>
          <w:p>
            <w:pPr>
              <w:pStyle w:val="0"/>
              <w:jc w:val="center"/>
            </w:pPr>
            <w:r>
              <w:rPr>
                <w:sz w:val="20"/>
              </w:rPr>
              <w:t xml:space="preserve">не менее 38</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5355"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276" w:type="dxa"/>
          </w:tcPr>
          <w:p>
            <w:pPr>
              <w:pStyle w:val="0"/>
              <w:jc w:val="center"/>
            </w:pPr>
            <w:r>
              <w:rPr>
                <w:sz w:val="20"/>
              </w:rPr>
              <w:t xml:space="preserve">4</w:t>
            </w:r>
          </w:p>
        </w:tc>
        <w:tc>
          <w:tcPr>
            <w:tcW w:w="1407" w:type="dxa"/>
          </w:tcPr>
          <w:p>
            <w:pPr>
              <w:pStyle w:val="0"/>
              <w:jc w:val="center"/>
            </w:pPr>
            <w:r>
              <w:rPr>
                <w:sz w:val="20"/>
              </w:rPr>
              <w:t xml:space="preserve">не менее 5</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276" w:type="dxa"/>
          </w:tcPr>
          <w:p>
            <w:pPr>
              <w:pStyle w:val="0"/>
              <w:jc w:val="center"/>
            </w:pPr>
            <w:r>
              <w:rPr>
                <w:sz w:val="20"/>
              </w:rPr>
              <w:t xml:space="preserve">4</w:t>
            </w:r>
          </w:p>
        </w:tc>
        <w:tc>
          <w:tcPr>
            <w:tcW w:w="1407" w:type="dxa"/>
          </w:tcPr>
          <w:p>
            <w:pPr>
              <w:pStyle w:val="0"/>
              <w:jc w:val="center"/>
            </w:pPr>
            <w:r>
              <w:rPr>
                <w:sz w:val="20"/>
              </w:rPr>
              <w:t xml:space="preserve">не менее 5</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2</w:t>
            </w:r>
          </w:p>
        </w:tc>
        <w:tc>
          <w:tcPr>
            <w:tcW w:w="2410"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843" w:type="dxa"/>
          </w:tcPr>
          <w:p>
            <w:pPr>
              <w:pStyle w:val="0"/>
              <w:jc w:val="center"/>
            </w:pPr>
            <w:r>
              <w:rPr>
                <w:sz w:val="20"/>
              </w:rPr>
              <w:t xml:space="preserve">Процесс</w:t>
            </w:r>
          </w:p>
        </w:tc>
        <w:tc>
          <w:tcPr>
            <w:tcW w:w="5355"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5355"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276" w:type="dxa"/>
          </w:tcPr>
          <w:p>
            <w:pPr>
              <w:pStyle w:val="0"/>
              <w:jc w:val="center"/>
            </w:pPr>
            <w:r>
              <w:rPr>
                <w:sz w:val="20"/>
              </w:rPr>
              <w:t xml:space="preserve">2</w:t>
            </w:r>
          </w:p>
        </w:tc>
        <w:tc>
          <w:tcPr>
            <w:tcW w:w="1407" w:type="dxa"/>
          </w:tcPr>
          <w:p>
            <w:pPr>
              <w:pStyle w:val="0"/>
              <w:jc w:val="center"/>
            </w:pPr>
            <w:r>
              <w:rPr>
                <w:sz w:val="20"/>
              </w:rPr>
              <w:t xml:space="preserve">не менее 4</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276" w:type="dxa"/>
          </w:tcPr>
          <w:p>
            <w:pPr>
              <w:pStyle w:val="0"/>
              <w:jc w:val="center"/>
            </w:pPr>
            <w:r>
              <w:rPr>
                <w:sz w:val="20"/>
              </w:rPr>
              <w:t xml:space="preserve">2</w:t>
            </w:r>
          </w:p>
        </w:tc>
        <w:tc>
          <w:tcPr>
            <w:tcW w:w="1407" w:type="dxa"/>
          </w:tcPr>
          <w:p>
            <w:pPr>
              <w:pStyle w:val="0"/>
              <w:jc w:val="center"/>
            </w:pPr>
            <w:r>
              <w:rPr>
                <w:sz w:val="20"/>
              </w:rPr>
              <w:t xml:space="preserve">не менее 4</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5355"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276" w:type="dxa"/>
          </w:tcPr>
          <w:p>
            <w:pPr>
              <w:pStyle w:val="0"/>
              <w:jc w:val="center"/>
            </w:pPr>
            <w:r>
              <w:rPr>
                <w:sz w:val="20"/>
              </w:rPr>
              <w:t xml:space="preserve">0%</w:t>
            </w:r>
          </w:p>
        </w:tc>
        <w:tc>
          <w:tcPr>
            <w:tcW w:w="1407" w:type="dxa"/>
          </w:tcPr>
          <w:p>
            <w:pPr>
              <w:pStyle w:val="0"/>
              <w:jc w:val="center"/>
            </w:pPr>
            <w:r>
              <w:rPr>
                <w:sz w:val="20"/>
              </w:rPr>
              <w:t xml:space="preserve">не менее 25%</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3</w:t>
            </w:r>
          </w:p>
        </w:tc>
        <w:tc>
          <w:tcPr>
            <w:tcW w:w="2410" w:type="dxa"/>
            <w:vMerge w:val="restart"/>
          </w:tcPr>
          <w:p>
            <w:pPr>
              <w:pStyle w:val="0"/>
              <w:jc w:val="center"/>
            </w:pPr>
            <w:r>
              <w:rPr>
                <w:sz w:val="20"/>
              </w:rPr>
              <w:t xml:space="preserve">Увеличение охвата услугами/доступа к услугам</w:t>
            </w:r>
          </w:p>
        </w:tc>
        <w:tc>
          <w:tcPr>
            <w:tcW w:w="1843" w:type="dxa"/>
          </w:tcPr>
          <w:p>
            <w:pPr>
              <w:pStyle w:val="0"/>
              <w:jc w:val="center"/>
            </w:pPr>
            <w:r>
              <w:rPr>
                <w:sz w:val="20"/>
              </w:rPr>
              <w:t xml:space="preserve">Процесс</w:t>
            </w:r>
          </w:p>
        </w:tc>
        <w:tc>
          <w:tcPr>
            <w:tcW w:w="5355"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5355"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276" w:type="dxa"/>
          </w:tcPr>
          <w:p>
            <w:pPr>
              <w:pStyle w:val="0"/>
              <w:jc w:val="center"/>
            </w:pPr>
            <w:r>
              <w:rPr>
                <w:sz w:val="20"/>
              </w:rPr>
              <w:t xml:space="preserve">2</w:t>
            </w:r>
          </w:p>
        </w:tc>
        <w:tc>
          <w:tcPr>
            <w:tcW w:w="1407" w:type="dxa"/>
          </w:tcPr>
          <w:p>
            <w:pPr>
              <w:pStyle w:val="0"/>
              <w:jc w:val="center"/>
            </w:pPr>
            <w:r>
              <w:rPr>
                <w:sz w:val="20"/>
              </w:rPr>
              <w:t xml:space="preserve">не менее 4</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276" w:type="dxa"/>
          </w:tcPr>
          <w:p>
            <w:pPr>
              <w:pStyle w:val="0"/>
              <w:jc w:val="center"/>
            </w:pPr>
            <w:r>
              <w:rPr>
                <w:sz w:val="20"/>
              </w:rPr>
              <w:t xml:space="preserve">0</w:t>
            </w:r>
          </w:p>
        </w:tc>
        <w:tc>
          <w:tcPr>
            <w:tcW w:w="1407" w:type="dxa"/>
          </w:tcPr>
          <w:p>
            <w:pPr>
              <w:pStyle w:val="0"/>
              <w:jc w:val="center"/>
            </w:pPr>
            <w:r>
              <w:rPr>
                <w:sz w:val="20"/>
              </w:rPr>
              <w:t xml:space="preserve">не менее 1</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5355"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276" w:type="dxa"/>
          </w:tcPr>
          <w:p>
            <w:pPr>
              <w:pStyle w:val="0"/>
              <w:jc w:val="center"/>
            </w:pPr>
            <w:r>
              <w:rPr>
                <w:sz w:val="20"/>
              </w:rPr>
              <w:t xml:space="preserve">5</w:t>
            </w:r>
          </w:p>
        </w:tc>
        <w:tc>
          <w:tcPr>
            <w:tcW w:w="1407" w:type="dxa"/>
          </w:tcPr>
          <w:p>
            <w:pPr>
              <w:pStyle w:val="0"/>
              <w:jc w:val="center"/>
            </w:pPr>
            <w:r>
              <w:rPr>
                <w:sz w:val="20"/>
              </w:rPr>
              <w:t xml:space="preserve">не менее 5</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276" w:type="dxa"/>
          </w:tcPr>
          <w:p>
            <w:pPr>
              <w:pStyle w:val="0"/>
              <w:jc w:val="center"/>
            </w:pPr>
            <w:r>
              <w:rPr>
                <w:sz w:val="20"/>
              </w:rPr>
              <w:t xml:space="preserve">0</w:t>
            </w:r>
          </w:p>
        </w:tc>
        <w:tc>
          <w:tcPr>
            <w:tcW w:w="1407" w:type="dxa"/>
          </w:tcPr>
          <w:p>
            <w:pPr>
              <w:pStyle w:val="0"/>
              <w:jc w:val="center"/>
            </w:pPr>
            <w:r>
              <w:rPr>
                <w:sz w:val="20"/>
              </w:rPr>
              <w:t xml:space="preserve">не менее 1</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4</w:t>
            </w:r>
          </w:p>
        </w:tc>
        <w:tc>
          <w:tcPr>
            <w:tcW w:w="2410" w:type="dxa"/>
            <w:vMerge w:val="restart"/>
          </w:tcPr>
          <w:p>
            <w:pPr>
              <w:pStyle w:val="0"/>
              <w:jc w:val="center"/>
            </w:pPr>
            <w:r>
              <w:rPr>
                <w:sz w:val="20"/>
              </w:rPr>
              <w:t xml:space="preserve">Повышение качества оказанных услуг</w:t>
            </w:r>
          </w:p>
        </w:tc>
        <w:tc>
          <w:tcPr>
            <w:tcW w:w="1843" w:type="dxa"/>
            <w:vMerge w:val="restart"/>
          </w:tcPr>
          <w:p>
            <w:pPr>
              <w:pStyle w:val="0"/>
              <w:jc w:val="center"/>
            </w:pPr>
            <w:r>
              <w:rPr>
                <w:sz w:val="20"/>
              </w:rPr>
              <w:t xml:space="preserve">Процесс</w:t>
            </w:r>
          </w:p>
        </w:tc>
        <w:tc>
          <w:tcPr>
            <w:tcW w:w="5355"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5"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5355"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276" w:type="dxa"/>
          </w:tcPr>
          <w:p>
            <w:pPr>
              <w:pStyle w:val="0"/>
              <w:jc w:val="center"/>
            </w:pPr>
            <w:r>
              <w:rPr>
                <w:sz w:val="20"/>
              </w:rPr>
              <w:t xml:space="preserve">2</w:t>
            </w:r>
          </w:p>
        </w:tc>
        <w:tc>
          <w:tcPr>
            <w:tcW w:w="1407" w:type="dxa"/>
          </w:tcPr>
          <w:p>
            <w:pPr>
              <w:pStyle w:val="0"/>
              <w:jc w:val="center"/>
            </w:pPr>
            <w:r>
              <w:rPr>
                <w:sz w:val="20"/>
              </w:rPr>
              <w:t xml:space="preserve">не менее 4</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5355"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276" w:type="dxa"/>
          </w:tcPr>
          <w:p>
            <w:pPr>
              <w:pStyle w:val="0"/>
              <w:jc w:val="center"/>
            </w:pPr>
            <w:r>
              <w:rPr>
                <w:sz w:val="20"/>
              </w:rPr>
              <w:t xml:space="preserve">95%</w:t>
            </w:r>
          </w:p>
        </w:tc>
        <w:tc>
          <w:tcPr>
            <w:tcW w:w="1407" w:type="dxa"/>
          </w:tcPr>
          <w:p>
            <w:pPr>
              <w:pStyle w:val="0"/>
              <w:jc w:val="center"/>
            </w:pPr>
            <w:r>
              <w:rPr>
                <w:sz w:val="20"/>
              </w:rPr>
              <w:t xml:space="preserve">не менее 95%</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tcW w:w="567" w:type="dxa"/>
            <w:vMerge w:val="restart"/>
          </w:tcPr>
          <w:p>
            <w:pPr>
              <w:pStyle w:val="0"/>
              <w:jc w:val="center"/>
            </w:pPr>
            <w:r>
              <w:rPr>
                <w:sz w:val="20"/>
              </w:rPr>
              <w:t xml:space="preserve">5</w:t>
            </w:r>
          </w:p>
        </w:tc>
        <w:tc>
          <w:tcPr>
            <w:tcW w:w="2410"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843" w:type="dxa"/>
          </w:tcPr>
          <w:p>
            <w:pPr>
              <w:pStyle w:val="0"/>
              <w:jc w:val="center"/>
            </w:pPr>
            <w:r>
              <w:rPr>
                <w:sz w:val="20"/>
              </w:rPr>
              <w:t xml:space="preserve">Процесс</w:t>
            </w:r>
          </w:p>
        </w:tc>
        <w:tc>
          <w:tcPr>
            <w:tcW w:w="5355"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276" w:type="dxa"/>
          </w:tcPr>
          <w:p>
            <w:pPr>
              <w:pStyle w:val="0"/>
              <w:jc w:val="center"/>
            </w:pPr>
            <w:r>
              <w:rPr>
                <w:sz w:val="20"/>
              </w:rPr>
              <w:t xml:space="preserve">да</w:t>
            </w:r>
          </w:p>
        </w:tc>
        <w:tc>
          <w:tcPr>
            <w:tcW w:w="1407" w:type="dxa"/>
          </w:tcPr>
          <w:p>
            <w:pPr>
              <w:pStyle w:val="0"/>
              <w:jc w:val="center"/>
            </w:pPr>
            <w:r>
              <w:rPr>
                <w:sz w:val="20"/>
              </w:rPr>
              <w:t xml:space="preserve">да</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5355"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276" w:type="dxa"/>
          </w:tcPr>
          <w:p>
            <w:pPr>
              <w:pStyle w:val="0"/>
              <w:jc w:val="center"/>
            </w:pPr>
            <w:r>
              <w:rPr>
                <w:sz w:val="20"/>
              </w:rPr>
              <w:t xml:space="preserve">2</w:t>
            </w:r>
          </w:p>
        </w:tc>
        <w:tc>
          <w:tcPr>
            <w:tcW w:w="1407" w:type="dxa"/>
          </w:tcPr>
          <w:p>
            <w:pPr>
              <w:pStyle w:val="0"/>
              <w:jc w:val="center"/>
            </w:pPr>
            <w:r>
              <w:rPr>
                <w:sz w:val="20"/>
              </w:rPr>
              <w:t xml:space="preserve">не менее 4</w:t>
            </w:r>
          </w:p>
        </w:tc>
        <w:tc>
          <w:tcPr>
            <w:tcW w:w="2846"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5355"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276" w:type="dxa"/>
          </w:tcPr>
          <w:p>
            <w:pPr>
              <w:pStyle w:val="0"/>
              <w:jc w:val="center"/>
            </w:pPr>
            <w:r>
              <w:rPr>
                <w:sz w:val="20"/>
              </w:rPr>
              <w:t xml:space="preserve">95%</w:t>
            </w:r>
          </w:p>
        </w:tc>
        <w:tc>
          <w:tcPr>
            <w:tcW w:w="1407" w:type="dxa"/>
          </w:tcPr>
          <w:p>
            <w:pPr>
              <w:pStyle w:val="0"/>
              <w:jc w:val="center"/>
            </w:pPr>
            <w:r>
              <w:rPr>
                <w:sz w:val="20"/>
              </w:rPr>
              <w:t xml:space="preserve">не менее 95%</w:t>
            </w:r>
          </w:p>
        </w:tc>
        <w:tc>
          <w:tcPr>
            <w:tcW w:w="2846"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5</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(880000О.99.0.АЭ26АА01000,</w:t>
      </w:r>
    </w:p>
    <w:p>
      <w:pPr>
        <w:pStyle w:val="2"/>
        <w:jc w:val="center"/>
      </w:pPr>
      <w:r>
        <w:rPr>
          <w:sz w:val="20"/>
        </w:rPr>
        <w:t xml:space="preserve">категория получателей - гражданин, частично утративший</w:t>
      </w:r>
    </w:p>
    <w:p>
      <w:pPr>
        <w:pStyle w:val="2"/>
        <w:jc w:val="center"/>
      </w:pPr>
      <w:r>
        <w:rPr>
          <w:sz w:val="20"/>
        </w:rPr>
        <w:t xml:space="preserve">способность либо возможности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(бесплатно))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
        <w:gridCol w:w="2136"/>
        <w:gridCol w:w="1833"/>
        <w:gridCol w:w="5356"/>
        <w:gridCol w:w="1418"/>
        <w:gridCol w:w="1407"/>
        <w:gridCol w:w="2917"/>
      </w:tblGrid>
      <w:tr>
        <w:tc>
          <w:tcPr>
            <w:tcW w:w="595" w:type="dxa"/>
            <w:vAlign w:val="center"/>
          </w:tcPr>
          <w:p>
            <w:pPr>
              <w:pStyle w:val="0"/>
              <w:jc w:val="center"/>
            </w:pPr>
            <w:r>
              <w:rPr>
                <w:sz w:val="20"/>
              </w:rPr>
              <w:t xml:space="preserve">N</w:t>
            </w:r>
          </w:p>
          <w:p>
            <w:pPr>
              <w:pStyle w:val="0"/>
              <w:jc w:val="center"/>
            </w:pPr>
            <w:r>
              <w:rPr>
                <w:sz w:val="20"/>
              </w:rPr>
              <w:t xml:space="preserve">п/п</w:t>
            </w:r>
          </w:p>
        </w:tc>
        <w:tc>
          <w:tcPr>
            <w:tcW w:w="2136" w:type="dxa"/>
            <w:vAlign w:val="center"/>
          </w:tcPr>
          <w:p>
            <w:pPr>
              <w:pStyle w:val="0"/>
              <w:jc w:val="center"/>
            </w:pPr>
            <w:r>
              <w:rPr>
                <w:sz w:val="20"/>
              </w:rPr>
              <w:t xml:space="preserve">Цель</w:t>
            </w:r>
          </w:p>
        </w:tc>
        <w:tc>
          <w:tcPr>
            <w:tcW w:w="1833" w:type="dxa"/>
            <w:vAlign w:val="center"/>
          </w:tcPr>
          <w:p>
            <w:pPr>
              <w:pStyle w:val="0"/>
              <w:jc w:val="center"/>
            </w:pPr>
            <w:r>
              <w:rPr>
                <w:sz w:val="20"/>
              </w:rPr>
              <w:t xml:space="preserve">Тип индикатора</w:t>
            </w:r>
          </w:p>
        </w:tc>
        <w:tc>
          <w:tcPr>
            <w:tcW w:w="5356" w:type="dxa"/>
            <w:vAlign w:val="center"/>
          </w:tcPr>
          <w:p>
            <w:pPr>
              <w:pStyle w:val="0"/>
              <w:jc w:val="center"/>
            </w:pPr>
            <w:r>
              <w:rPr>
                <w:sz w:val="20"/>
              </w:rPr>
              <w:t xml:space="preserve">Индикатор</w:t>
            </w:r>
          </w:p>
        </w:tc>
        <w:tc>
          <w:tcPr>
            <w:tcW w:w="1418" w:type="dxa"/>
            <w:vAlign w:val="center"/>
          </w:tcPr>
          <w:p>
            <w:pPr>
              <w:pStyle w:val="0"/>
              <w:jc w:val="center"/>
            </w:pPr>
            <w:r>
              <w:rPr>
                <w:sz w:val="20"/>
              </w:rPr>
              <w:t xml:space="preserve">Базовая величина</w:t>
            </w:r>
          </w:p>
          <w:p>
            <w:pPr>
              <w:pStyle w:val="0"/>
              <w:jc w:val="center"/>
            </w:pPr>
            <w:r>
              <w:rPr>
                <w:sz w:val="20"/>
              </w:rPr>
              <w:t xml:space="preserve">на 2024 год</w:t>
            </w:r>
          </w:p>
        </w:tc>
        <w:tc>
          <w:tcPr>
            <w:tcW w:w="1407" w:type="dxa"/>
            <w:vAlign w:val="center"/>
          </w:tcPr>
          <w:p>
            <w:pPr>
              <w:pStyle w:val="0"/>
              <w:jc w:val="center"/>
            </w:pPr>
            <w:r>
              <w:rPr>
                <w:sz w:val="20"/>
              </w:rPr>
              <w:t xml:space="preserve">Целевой ориентир на 2027 год</w:t>
            </w:r>
          </w:p>
        </w:tc>
        <w:tc>
          <w:tcPr>
            <w:tcW w:w="2917" w:type="dxa"/>
            <w:vAlign w:val="center"/>
          </w:tcPr>
          <w:p>
            <w:pPr>
              <w:pStyle w:val="0"/>
              <w:jc w:val="center"/>
            </w:pPr>
            <w:r>
              <w:rPr>
                <w:sz w:val="20"/>
              </w:rPr>
              <w:t xml:space="preserve">Ответственный исполнитель</w:t>
            </w:r>
          </w:p>
        </w:tc>
      </w:tr>
      <w:tr>
        <w:tc>
          <w:tcPr>
            <w:tcW w:w="595" w:type="dxa"/>
            <w:vMerge w:val="restart"/>
          </w:tcPr>
          <w:p>
            <w:pPr>
              <w:pStyle w:val="0"/>
              <w:jc w:val="center"/>
            </w:pPr>
            <w:r>
              <w:rPr>
                <w:sz w:val="20"/>
              </w:rPr>
              <w:t xml:space="preserve">1</w:t>
            </w:r>
          </w:p>
        </w:tc>
        <w:tc>
          <w:tcPr>
            <w:tcW w:w="2136"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833" w:type="dxa"/>
          </w:tcPr>
          <w:p>
            <w:pPr>
              <w:pStyle w:val="0"/>
              <w:jc w:val="center"/>
            </w:pPr>
            <w:r>
              <w:rPr>
                <w:sz w:val="20"/>
              </w:rPr>
              <w:t xml:space="preserve">Процесс</w:t>
            </w:r>
          </w:p>
        </w:tc>
        <w:tc>
          <w:tcPr>
            <w:tcW w:w="5356"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418" w:type="dxa"/>
          </w:tcPr>
          <w:p>
            <w:pPr>
              <w:pStyle w:val="0"/>
              <w:jc w:val="center"/>
            </w:pPr>
            <w:r>
              <w:rPr>
                <w:sz w:val="20"/>
              </w:rPr>
              <w:t xml:space="preserve">70</w:t>
            </w:r>
          </w:p>
        </w:tc>
        <w:tc>
          <w:tcPr>
            <w:tcW w:w="1407" w:type="dxa"/>
          </w:tcPr>
          <w:p>
            <w:pPr>
              <w:pStyle w:val="0"/>
              <w:jc w:val="center"/>
            </w:pPr>
            <w:r>
              <w:rPr>
                <w:sz w:val="20"/>
              </w:rPr>
              <w:t xml:space="preserve">не менее 78</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Промежуточный результат</w:t>
            </w:r>
          </w:p>
        </w:tc>
        <w:tc>
          <w:tcPr>
            <w:tcW w:w="5356"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8" w:type="dxa"/>
          </w:tcPr>
          <w:p>
            <w:pPr>
              <w:pStyle w:val="0"/>
              <w:jc w:val="center"/>
            </w:pPr>
            <w:r>
              <w:rPr>
                <w:sz w:val="20"/>
              </w:rPr>
              <w:t xml:space="preserve">33</w:t>
            </w:r>
          </w:p>
        </w:tc>
        <w:tc>
          <w:tcPr>
            <w:tcW w:w="1407" w:type="dxa"/>
          </w:tcPr>
          <w:p>
            <w:pPr>
              <w:pStyle w:val="0"/>
              <w:jc w:val="center"/>
            </w:pPr>
            <w:r>
              <w:rPr>
                <w:sz w:val="20"/>
              </w:rPr>
              <w:t xml:space="preserve">не менее 38</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vMerge w:val="restart"/>
          </w:tcPr>
          <w:p>
            <w:pPr>
              <w:pStyle w:val="0"/>
              <w:jc w:val="center"/>
            </w:pPr>
            <w:r>
              <w:rPr>
                <w:sz w:val="20"/>
              </w:rPr>
              <w:t xml:space="preserve">Итоговый результат</w:t>
            </w:r>
          </w:p>
        </w:tc>
        <w:tc>
          <w:tcPr>
            <w:tcW w:w="5356"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418" w:type="dxa"/>
          </w:tcPr>
          <w:p>
            <w:pPr>
              <w:pStyle w:val="0"/>
              <w:jc w:val="center"/>
            </w:pPr>
            <w:r>
              <w:rPr>
                <w:sz w:val="20"/>
              </w:rPr>
              <w:t xml:space="preserve">4</w:t>
            </w:r>
          </w:p>
        </w:tc>
        <w:tc>
          <w:tcPr>
            <w:tcW w:w="1407" w:type="dxa"/>
          </w:tcPr>
          <w:p>
            <w:pPr>
              <w:pStyle w:val="0"/>
              <w:jc w:val="center"/>
            </w:pPr>
            <w:r>
              <w:rPr>
                <w:sz w:val="20"/>
              </w:rPr>
              <w:t xml:space="preserve">не менее 5</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418" w:type="dxa"/>
          </w:tcPr>
          <w:p>
            <w:pPr>
              <w:pStyle w:val="0"/>
              <w:jc w:val="center"/>
            </w:pPr>
            <w:r>
              <w:rPr>
                <w:sz w:val="20"/>
              </w:rPr>
              <w:t xml:space="preserve">4</w:t>
            </w:r>
          </w:p>
        </w:tc>
        <w:tc>
          <w:tcPr>
            <w:tcW w:w="1407" w:type="dxa"/>
          </w:tcPr>
          <w:p>
            <w:pPr>
              <w:pStyle w:val="0"/>
              <w:jc w:val="center"/>
            </w:pPr>
            <w:r>
              <w:rPr>
                <w:sz w:val="20"/>
              </w:rPr>
              <w:t xml:space="preserve">не менее 5</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2</w:t>
            </w:r>
          </w:p>
        </w:tc>
        <w:tc>
          <w:tcPr>
            <w:tcW w:w="2136"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833" w:type="dxa"/>
          </w:tcPr>
          <w:p>
            <w:pPr>
              <w:pStyle w:val="0"/>
              <w:jc w:val="center"/>
            </w:pPr>
            <w:r>
              <w:rPr>
                <w:sz w:val="20"/>
              </w:rPr>
              <w:t xml:space="preserve">Процесс</w:t>
            </w:r>
          </w:p>
        </w:tc>
        <w:tc>
          <w:tcPr>
            <w:tcW w:w="5356"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vMerge w:val="restart"/>
          </w:tcPr>
          <w:p>
            <w:pPr>
              <w:pStyle w:val="0"/>
              <w:jc w:val="center"/>
            </w:pPr>
            <w:r>
              <w:rPr>
                <w:sz w:val="20"/>
              </w:rPr>
              <w:t xml:space="preserve">Промежуточный результат</w:t>
            </w:r>
          </w:p>
        </w:tc>
        <w:tc>
          <w:tcPr>
            <w:tcW w:w="535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418" w:type="dxa"/>
          </w:tcPr>
          <w:p>
            <w:pPr>
              <w:pStyle w:val="0"/>
              <w:jc w:val="center"/>
            </w:pPr>
            <w:r>
              <w:rPr>
                <w:sz w:val="20"/>
              </w:rPr>
              <w:t xml:space="preserve">37</w:t>
            </w:r>
          </w:p>
        </w:tc>
        <w:tc>
          <w:tcPr>
            <w:tcW w:w="1407" w:type="dxa"/>
          </w:tcPr>
          <w:p>
            <w:pPr>
              <w:pStyle w:val="0"/>
              <w:jc w:val="center"/>
            </w:pPr>
            <w:r>
              <w:rPr>
                <w:sz w:val="20"/>
              </w:rPr>
              <w:t xml:space="preserve">не менее 37</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418" w:type="dxa"/>
          </w:tcPr>
          <w:p>
            <w:pPr>
              <w:pStyle w:val="0"/>
              <w:jc w:val="center"/>
            </w:pPr>
            <w:r>
              <w:rPr>
                <w:sz w:val="20"/>
              </w:rPr>
              <w:t xml:space="preserve">37</w:t>
            </w:r>
          </w:p>
        </w:tc>
        <w:tc>
          <w:tcPr>
            <w:tcW w:w="1407" w:type="dxa"/>
          </w:tcPr>
          <w:p>
            <w:pPr>
              <w:pStyle w:val="0"/>
              <w:jc w:val="center"/>
            </w:pPr>
            <w:r>
              <w:rPr>
                <w:sz w:val="20"/>
              </w:rPr>
              <w:t xml:space="preserve">не менее 37</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Итоговый результат</w:t>
            </w:r>
          </w:p>
        </w:tc>
        <w:tc>
          <w:tcPr>
            <w:tcW w:w="5356"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418" w:type="dxa"/>
          </w:tcPr>
          <w:p>
            <w:pPr>
              <w:pStyle w:val="0"/>
              <w:jc w:val="center"/>
            </w:pPr>
            <w:r>
              <w:rPr>
                <w:sz w:val="20"/>
              </w:rPr>
              <w:t xml:space="preserve">10,81%</w:t>
            </w:r>
          </w:p>
        </w:tc>
        <w:tc>
          <w:tcPr>
            <w:tcW w:w="1407" w:type="dxa"/>
          </w:tcPr>
          <w:p>
            <w:pPr>
              <w:pStyle w:val="0"/>
              <w:jc w:val="center"/>
            </w:pPr>
            <w:r>
              <w:rPr>
                <w:sz w:val="20"/>
              </w:rPr>
              <w:t xml:space="preserve">не менее 10,81%</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3</w:t>
            </w:r>
          </w:p>
        </w:tc>
        <w:tc>
          <w:tcPr>
            <w:tcW w:w="2136" w:type="dxa"/>
            <w:vMerge w:val="restart"/>
          </w:tcPr>
          <w:p>
            <w:pPr>
              <w:pStyle w:val="0"/>
              <w:jc w:val="center"/>
            </w:pPr>
            <w:r>
              <w:rPr>
                <w:sz w:val="20"/>
              </w:rPr>
              <w:t xml:space="preserve">Увеличение охвата услугами/доступа к услугам</w:t>
            </w:r>
          </w:p>
        </w:tc>
        <w:tc>
          <w:tcPr>
            <w:tcW w:w="1833" w:type="dxa"/>
          </w:tcPr>
          <w:p>
            <w:pPr>
              <w:pStyle w:val="0"/>
              <w:jc w:val="center"/>
            </w:pPr>
            <w:r>
              <w:rPr>
                <w:sz w:val="20"/>
              </w:rPr>
              <w:t xml:space="preserve">Процесс</w:t>
            </w:r>
          </w:p>
        </w:tc>
        <w:tc>
          <w:tcPr>
            <w:tcW w:w="5356"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vMerge w:val="restart"/>
          </w:tcPr>
          <w:p>
            <w:pPr>
              <w:pStyle w:val="0"/>
              <w:jc w:val="center"/>
            </w:pPr>
            <w:r>
              <w:rPr>
                <w:sz w:val="20"/>
              </w:rPr>
              <w:t xml:space="preserve">Промежуточный результат</w:t>
            </w:r>
          </w:p>
        </w:tc>
        <w:tc>
          <w:tcPr>
            <w:tcW w:w="5356"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418" w:type="dxa"/>
          </w:tcPr>
          <w:p>
            <w:pPr>
              <w:pStyle w:val="0"/>
              <w:jc w:val="center"/>
            </w:pPr>
            <w:r>
              <w:rPr>
                <w:sz w:val="20"/>
              </w:rPr>
              <w:t xml:space="preserve">37</w:t>
            </w:r>
          </w:p>
        </w:tc>
        <w:tc>
          <w:tcPr>
            <w:tcW w:w="1407" w:type="dxa"/>
          </w:tcPr>
          <w:p>
            <w:pPr>
              <w:pStyle w:val="0"/>
              <w:jc w:val="center"/>
            </w:pPr>
            <w:r>
              <w:rPr>
                <w:sz w:val="20"/>
              </w:rPr>
              <w:t xml:space="preserve">не менее 37</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8" w:type="dxa"/>
          </w:tcPr>
          <w:p>
            <w:pPr>
              <w:pStyle w:val="0"/>
              <w:jc w:val="center"/>
            </w:pPr>
            <w:r>
              <w:rPr>
                <w:sz w:val="20"/>
              </w:rPr>
              <w:t xml:space="preserve">4</w:t>
            </w:r>
          </w:p>
        </w:tc>
        <w:tc>
          <w:tcPr>
            <w:tcW w:w="1407" w:type="dxa"/>
          </w:tcPr>
          <w:p>
            <w:pPr>
              <w:pStyle w:val="0"/>
              <w:jc w:val="center"/>
            </w:pPr>
            <w:r>
              <w:rPr>
                <w:sz w:val="20"/>
              </w:rPr>
              <w:t xml:space="preserve">не менее 4</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vMerge w:val="restart"/>
          </w:tcPr>
          <w:p>
            <w:pPr>
              <w:pStyle w:val="0"/>
              <w:jc w:val="center"/>
            </w:pPr>
            <w:r>
              <w:rPr>
                <w:sz w:val="20"/>
              </w:rPr>
              <w:t xml:space="preserve">Итоговый результат</w:t>
            </w:r>
          </w:p>
        </w:tc>
        <w:tc>
          <w:tcPr>
            <w:tcW w:w="5356"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418" w:type="dxa"/>
          </w:tcPr>
          <w:p>
            <w:pPr>
              <w:pStyle w:val="0"/>
              <w:jc w:val="center"/>
            </w:pPr>
            <w:r>
              <w:rPr>
                <w:sz w:val="20"/>
              </w:rPr>
              <w:t xml:space="preserve">3136</w:t>
            </w:r>
          </w:p>
        </w:tc>
        <w:tc>
          <w:tcPr>
            <w:tcW w:w="1407" w:type="dxa"/>
          </w:tcPr>
          <w:p>
            <w:pPr>
              <w:pStyle w:val="0"/>
              <w:jc w:val="center"/>
            </w:pPr>
            <w:r>
              <w:rPr>
                <w:sz w:val="20"/>
              </w:rPr>
              <w:t xml:space="preserve">не менее 3136</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418" w:type="dxa"/>
          </w:tcPr>
          <w:p>
            <w:pPr>
              <w:pStyle w:val="0"/>
              <w:jc w:val="center"/>
            </w:pPr>
            <w:r>
              <w:rPr>
                <w:sz w:val="20"/>
              </w:rPr>
              <w:t xml:space="preserve">124</w:t>
            </w:r>
          </w:p>
        </w:tc>
        <w:tc>
          <w:tcPr>
            <w:tcW w:w="1407" w:type="dxa"/>
          </w:tcPr>
          <w:p>
            <w:pPr>
              <w:pStyle w:val="0"/>
              <w:jc w:val="center"/>
            </w:pPr>
            <w:r>
              <w:rPr>
                <w:sz w:val="20"/>
              </w:rPr>
              <w:t xml:space="preserve">не менее 124</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4</w:t>
            </w:r>
          </w:p>
        </w:tc>
        <w:tc>
          <w:tcPr>
            <w:tcW w:w="2136" w:type="dxa"/>
            <w:vMerge w:val="restart"/>
          </w:tcPr>
          <w:p>
            <w:pPr>
              <w:pStyle w:val="0"/>
              <w:jc w:val="center"/>
            </w:pPr>
            <w:r>
              <w:rPr>
                <w:sz w:val="20"/>
              </w:rPr>
              <w:t xml:space="preserve">Повышение качества оказанных услуг</w:t>
            </w:r>
          </w:p>
        </w:tc>
        <w:tc>
          <w:tcPr>
            <w:tcW w:w="1833" w:type="dxa"/>
            <w:vMerge w:val="restart"/>
          </w:tcPr>
          <w:p>
            <w:pPr>
              <w:pStyle w:val="0"/>
              <w:jc w:val="center"/>
            </w:pPr>
            <w:r>
              <w:rPr>
                <w:sz w:val="20"/>
              </w:rPr>
              <w:t xml:space="preserve">Процесс</w:t>
            </w:r>
          </w:p>
        </w:tc>
        <w:tc>
          <w:tcPr>
            <w:tcW w:w="5356"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356"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Промежуточный результат</w:t>
            </w:r>
          </w:p>
        </w:tc>
        <w:tc>
          <w:tcPr>
            <w:tcW w:w="535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418" w:type="dxa"/>
          </w:tcPr>
          <w:p>
            <w:pPr>
              <w:pStyle w:val="0"/>
              <w:jc w:val="center"/>
            </w:pPr>
            <w:r>
              <w:rPr>
                <w:sz w:val="20"/>
              </w:rPr>
              <w:t xml:space="preserve">37</w:t>
            </w:r>
          </w:p>
        </w:tc>
        <w:tc>
          <w:tcPr>
            <w:tcW w:w="1407" w:type="dxa"/>
          </w:tcPr>
          <w:p>
            <w:pPr>
              <w:pStyle w:val="0"/>
              <w:jc w:val="center"/>
            </w:pPr>
            <w:r>
              <w:rPr>
                <w:sz w:val="20"/>
              </w:rPr>
              <w:t xml:space="preserve">не менее 37</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Итоговый результат</w:t>
            </w:r>
          </w:p>
        </w:tc>
        <w:tc>
          <w:tcPr>
            <w:tcW w:w="5356"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418" w:type="dxa"/>
          </w:tcPr>
          <w:p>
            <w:pPr>
              <w:pStyle w:val="0"/>
              <w:jc w:val="center"/>
            </w:pPr>
            <w:r>
              <w:rPr>
                <w:sz w:val="20"/>
              </w:rPr>
              <w:t xml:space="preserve">95%</w:t>
            </w:r>
          </w:p>
        </w:tc>
        <w:tc>
          <w:tcPr>
            <w:tcW w:w="1407" w:type="dxa"/>
          </w:tcPr>
          <w:p>
            <w:pPr>
              <w:pStyle w:val="0"/>
              <w:jc w:val="center"/>
            </w:pPr>
            <w:r>
              <w:rPr>
                <w:sz w:val="20"/>
              </w:rPr>
              <w:t xml:space="preserve">не менее 95%</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5</w:t>
            </w:r>
          </w:p>
        </w:tc>
        <w:tc>
          <w:tcPr>
            <w:tcW w:w="2136"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833" w:type="dxa"/>
          </w:tcPr>
          <w:p>
            <w:pPr>
              <w:pStyle w:val="0"/>
              <w:jc w:val="center"/>
            </w:pPr>
            <w:r>
              <w:rPr>
                <w:sz w:val="20"/>
              </w:rPr>
              <w:t xml:space="preserve">Процесс</w:t>
            </w:r>
          </w:p>
        </w:tc>
        <w:tc>
          <w:tcPr>
            <w:tcW w:w="5356"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418" w:type="dxa"/>
          </w:tcPr>
          <w:p>
            <w:pPr>
              <w:pStyle w:val="0"/>
              <w:jc w:val="center"/>
            </w:pPr>
            <w:r>
              <w:rPr>
                <w:sz w:val="20"/>
              </w:rPr>
              <w:t xml:space="preserve">да</w:t>
            </w:r>
          </w:p>
        </w:tc>
        <w:tc>
          <w:tcPr>
            <w:tcW w:w="1407" w:type="dxa"/>
          </w:tcPr>
          <w:p>
            <w:pPr>
              <w:pStyle w:val="0"/>
              <w:jc w:val="center"/>
            </w:pPr>
            <w:r>
              <w:rPr>
                <w:sz w:val="20"/>
              </w:rPr>
              <w:t xml:space="preserve">да</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Промежуточный результат</w:t>
            </w:r>
          </w:p>
        </w:tc>
        <w:tc>
          <w:tcPr>
            <w:tcW w:w="5356"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418" w:type="dxa"/>
          </w:tcPr>
          <w:p>
            <w:pPr>
              <w:pStyle w:val="0"/>
              <w:jc w:val="center"/>
            </w:pPr>
            <w:r>
              <w:rPr>
                <w:sz w:val="20"/>
              </w:rPr>
              <w:t xml:space="preserve">37</w:t>
            </w:r>
          </w:p>
        </w:tc>
        <w:tc>
          <w:tcPr>
            <w:tcW w:w="1407" w:type="dxa"/>
          </w:tcPr>
          <w:p>
            <w:pPr>
              <w:pStyle w:val="0"/>
              <w:jc w:val="center"/>
            </w:pPr>
            <w:r>
              <w:rPr>
                <w:sz w:val="20"/>
              </w:rPr>
              <w:t xml:space="preserve">не менее 37</w:t>
            </w:r>
          </w:p>
        </w:tc>
        <w:tc>
          <w:tcPr>
            <w:tcW w:w="291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33" w:type="dxa"/>
          </w:tcPr>
          <w:p>
            <w:pPr>
              <w:pStyle w:val="0"/>
              <w:jc w:val="center"/>
            </w:pPr>
            <w:r>
              <w:rPr>
                <w:sz w:val="20"/>
              </w:rPr>
              <w:t xml:space="preserve">Итоговый результат</w:t>
            </w:r>
          </w:p>
        </w:tc>
        <w:tc>
          <w:tcPr>
            <w:tcW w:w="5356"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418" w:type="dxa"/>
          </w:tcPr>
          <w:p>
            <w:pPr>
              <w:pStyle w:val="0"/>
              <w:jc w:val="center"/>
            </w:pPr>
            <w:r>
              <w:rPr>
                <w:sz w:val="20"/>
              </w:rPr>
              <w:t xml:space="preserve">95%</w:t>
            </w:r>
          </w:p>
        </w:tc>
        <w:tc>
          <w:tcPr>
            <w:tcW w:w="1407" w:type="dxa"/>
          </w:tcPr>
          <w:p>
            <w:pPr>
              <w:pStyle w:val="0"/>
              <w:jc w:val="center"/>
            </w:pPr>
            <w:r>
              <w:rPr>
                <w:sz w:val="20"/>
              </w:rPr>
              <w:t xml:space="preserve">не менее 95%</w:t>
            </w:r>
          </w:p>
        </w:tc>
        <w:tc>
          <w:tcPr>
            <w:tcW w:w="2917"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6</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форме</w:t>
      </w:r>
    </w:p>
    <w:p>
      <w:pPr>
        <w:pStyle w:val="2"/>
        <w:jc w:val="center"/>
      </w:pPr>
      <w:r>
        <w:rPr>
          <w:sz w:val="20"/>
        </w:rPr>
        <w:t xml:space="preserve">социального обслуживания на дому (880000О.99.0.АЭ22АА01000,</w:t>
      </w:r>
    </w:p>
    <w:p>
      <w:pPr>
        <w:pStyle w:val="2"/>
        <w:jc w:val="center"/>
      </w:pPr>
      <w:r>
        <w:rPr>
          <w:sz w:val="20"/>
        </w:rPr>
        <w:t xml:space="preserve">категория получателей - гражданин, частично утративший</w:t>
      </w:r>
    </w:p>
    <w:p>
      <w:pPr>
        <w:pStyle w:val="2"/>
        <w:jc w:val="center"/>
      </w:pPr>
      <w:r>
        <w:rPr>
          <w:sz w:val="20"/>
        </w:rPr>
        <w:t xml:space="preserve">способность либо возможности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95"/>
        <w:gridCol w:w="2410"/>
        <w:gridCol w:w="1843"/>
        <w:gridCol w:w="4788"/>
        <w:gridCol w:w="1559"/>
        <w:gridCol w:w="1417"/>
        <w:gridCol w:w="2977"/>
      </w:tblGrid>
      <w:tr>
        <w:tc>
          <w:tcPr>
            <w:tcW w:w="595" w:type="dxa"/>
            <w:vAlign w:val="center"/>
          </w:tcPr>
          <w:p>
            <w:pPr>
              <w:pStyle w:val="0"/>
              <w:jc w:val="center"/>
            </w:pPr>
            <w:r>
              <w:rPr>
                <w:sz w:val="20"/>
              </w:rPr>
              <w:t xml:space="preserve">N</w:t>
            </w:r>
          </w:p>
          <w:p>
            <w:pPr>
              <w:pStyle w:val="0"/>
              <w:jc w:val="center"/>
            </w:pPr>
            <w:r>
              <w:rPr>
                <w:sz w:val="20"/>
              </w:rPr>
              <w:t xml:space="preserve">п/п</w:t>
            </w:r>
          </w:p>
        </w:tc>
        <w:tc>
          <w:tcPr>
            <w:tcW w:w="2410" w:type="dxa"/>
            <w:vAlign w:val="center"/>
          </w:tcPr>
          <w:p>
            <w:pPr>
              <w:pStyle w:val="0"/>
              <w:jc w:val="center"/>
            </w:pPr>
            <w:r>
              <w:rPr>
                <w:sz w:val="20"/>
              </w:rPr>
              <w:t xml:space="preserve">Цель</w:t>
            </w:r>
          </w:p>
        </w:tc>
        <w:tc>
          <w:tcPr>
            <w:tcW w:w="1843" w:type="dxa"/>
            <w:vAlign w:val="center"/>
          </w:tcPr>
          <w:p>
            <w:pPr>
              <w:pStyle w:val="0"/>
              <w:jc w:val="center"/>
            </w:pPr>
            <w:r>
              <w:rPr>
                <w:sz w:val="20"/>
              </w:rPr>
              <w:t xml:space="preserve">Тип индикатора</w:t>
            </w:r>
          </w:p>
        </w:tc>
        <w:tc>
          <w:tcPr>
            <w:tcW w:w="4788" w:type="dxa"/>
            <w:vAlign w:val="center"/>
          </w:tcPr>
          <w:p>
            <w:pPr>
              <w:pStyle w:val="0"/>
              <w:jc w:val="center"/>
            </w:pPr>
            <w:r>
              <w:rPr>
                <w:sz w:val="20"/>
              </w:rPr>
              <w:t xml:space="preserve">Индикатор</w:t>
            </w:r>
          </w:p>
        </w:tc>
        <w:tc>
          <w:tcPr>
            <w:tcW w:w="1559" w:type="dxa"/>
            <w:vAlign w:val="center"/>
          </w:tcPr>
          <w:p>
            <w:pPr>
              <w:pStyle w:val="0"/>
              <w:jc w:val="center"/>
            </w:pPr>
            <w:r>
              <w:rPr>
                <w:sz w:val="20"/>
              </w:rPr>
              <w:t xml:space="preserve">Базовая величина</w:t>
            </w:r>
          </w:p>
          <w:p>
            <w:pPr>
              <w:pStyle w:val="0"/>
              <w:jc w:val="center"/>
            </w:pPr>
            <w:r>
              <w:rPr>
                <w:sz w:val="20"/>
              </w:rPr>
              <w:t xml:space="preserve">на 2024 год</w:t>
            </w:r>
          </w:p>
        </w:tc>
        <w:tc>
          <w:tcPr>
            <w:tcW w:w="1417" w:type="dxa"/>
            <w:vAlign w:val="center"/>
          </w:tcPr>
          <w:p>
            <w:pPr>
              <w:pStyle w:val="0"/>
              <w:jc w:val="center"/>
            </w:pPr>
            <w:r>
              <w:rPr>
                <w:sz w:val="20"/>
              </w:rPr>
              <w:t xml:space="preserve">Целевой ориентир на 2027 год</w:t>
            </w:r>
          </w:p>
        </w:tc>
        <w:tc>
          <w:tcPr>
            <w:tcW w:w="2977" w:type="dxa"/>
            <w:vAlign w:val="center"/>
          </w:tcPr>
          <w:p>
            <w:pPr>
              <w:pStyle w:val="0"/>
              <w:jc w:val="center"/>
            </w:pPr>
            <w:r>
              <w:rPr>
                <w:sz w:val="20"/>
              </w:rPr>
              <w:t xml:space="preserve">Ответственный исполнитель</w:t>
            </w:r>
          </w:p>
        </w:tc>
      </w:tr>
      <w:tr>
        <w:tc>
          <w:tcPr>
            <w:tcW w:w="595" w:type="dxa"/>
            <w:vMerge w:val="restart"/>
          </w:tcPr>
          <w:p>
            <w:pPr>
              <w:pStyle w:val="0"/>
              <w:jc w:val="center"/>
            </w:pPr>
            <w:r>
              <w:rPr>
                <w:sz w:val="20"/>
              </w:rPr>
              <w:t xml:space="preserve">1</w:t>
            </w:r>
          </w:p>
        </w:tc>
        <w:tc>
          <w:tcPr>
            <w:tcW w:w="2410"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843" w:type="dxa"/>
          </w:tcPr>
          <w:p>
            <w:pPr>
              <w:pStyle w:val="0"/>
              <w:jc w:val="center"/>
            </w:pPr>
            <w:r>
              <w:rPr>
                <w:sz w:val="20"/>
              </w:rPr>
              <w:t xml:space="preserve">Процесс</w:t>
            </w:r>
          </w:p>
        </w:tc>
        <w:tc>
          <w:tcPr>
            <w:tcW w:w="4788"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559" w:type="dxa"/>
          </w:tcPr>
          <w:p>
            <w:pPr>
              <w:pStyle w:val="0"/>
              <w:jc w:val="center"/>
            </w:pPr>
            <w:r>
              <w:rPr>
                <w:sz w:val="20"/>
              </w:rPr>
              <w:t xml:space="preserve">70</w:t>
            </w:r>
          </w:p>
        </w:tc>
        <w:tc>
          <w:tcPr>
            <w:tcW w:w="1417" w:type="dxa"/>
          </w:tcPr>
          <w:p>
            <w:pPr>
              <w:pStyle w:val="0"/>
              <w:jc w:val="center"/>
            </w:pPr>
            <w:r>
              <w:rPr>
                <w:sz w:val="20"/>
              </w:rPr>
              <w:t xml:space="preserve">не менее 78</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88"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559" w:type="dxa"/>
          </w:tcPr>
          <w:p>
            <w:pPr>
              <w:pStyle w:val="0"/>
              <w:jc w:val="center"/>
            </w:pPr>
            <w:r>
              <w:rPr>
                <w:sz w:val="20"/>
              </w:rPr>
              <w:t xml:space="preserve">33</w:t>
            </w:r>
          </w:p>
        </w:tc>
        <w:tc>
          <w:tcPr>
            <w:tcW w:w="1417" w:type="dxa"/>
          </w:tcPr>
          <w:p>
            <w:pPr>
              <w:pStyle w:val="0"/>
              <w:jc w:val="center"/>
            </w:pPr>
            <w:r>
              <w:rPr>
                <w:sz w:val="20"/>
              </w:rPr>
              <w:t xml:space="preserve">не менее 38</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788"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законом, единиц</w:t>
            </w:r>
          </w:p>
        </w:tc>
        <w:tc>
          <w:tcPr>
            <w:tcW w:w="1559" w:type="dxa"/>
          </w:tcPr>
          <w:p>
            <w:pPr>
              <w:pStyle w:val="0"/>
              <w:jc w:val="center"/>
            </w:pPr>
            <w:r>
              <w:rPr>
                <w:sz w:val="20"/>
              </w:rPr>
              <w:t xml:space="preserve">4</w:t>
            </w:r>
          </w:p>
        </w:tc>
        <w:tc>
          <w:tcPr>
            <w:tcW w:w="1417" w:type="dxa"/>
          </w:tcPr>
          <w:p>
            <w:pPr>
              <w:pStyle w:val="0"/>
              <w:jc w:val="center"/>
            </w:pPr>
            <w:r>
              <w:rPr>
                <w:sz w:val="20"/>
              </w:rPr>
              <w:t xml:space="preserve">не менее 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559" w:type="dxa"/>
          </w:tcPr>
          <w:p>
            <w:pPr>
              <w:pStyle w:val="0"/>
              <w:jc w:val="center"/>
            </w:pPr>
            <w:r>
              <w:rPr>
                <w:sz w:val="20"/>
              </w:rPr>
              <w:t xml:space="preserve">4</w:t>
            </w:r>
          </w:p>
        </w:tc>
        <w:tc>
          <w:tcPr>
            <w:tcW w:w="1417" w:type="dxa"/>
          </w:tcPr>
          <w:p>
            <w:pPr>
              <w:pStyle w:val="0"/>
              <w:jc w:val="center"/>
            </w:pPr>
            <w:r>
              <w:rPr>
                <w:sz w:val="20"/>
              </w:rPr>
              <w:t xml:space="preserve">не менее 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2</w:t>
            </w:r>
          </w:p>
        </w:tc>
        <w:tc>
          <w:tcPr>
            <w:tcW w:w="2410"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843" w:type="dxa"/>
          </w:tcPr>
          <w:p>
            <w:pPr>
              <w:pStyle w:val="0"/>
              <w:jc w:val="center"/>
            </w:pPr>
            <w:r>
              <w:rPr>
                <w:sz w:val="20"/>
              </w:rPr>
              <w:t xml:space="preserve">Процесс</w:t>
            </w:r>
          </w:p>
        </w:tc>
        <w:tc>
          <w:tcPr>
            <w:tcW w:w="4788"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788"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559" w:type="dxa"/>
          </w:tcPr>
          <w:p>
            <w:pPr>
              <w:pStyle w:val="0"/>
              <w:jc w:val="center"/>
            </w:pPr>
            <w:r>
              <w:rPr>
                <w:sz w:val="20"/>
              </w:rPr>
              <w:t xml:space="preserve">27</w:t>
            </w:r>
          </w:p>
        </w:tc>
        <w:tc>
          <w:tcPr>
            <w:tcW w:w="1417" w:type="dxa"/>
          </w:tcPr>
          <w:p>
            <w:pPr>
              <w:pStyle w:val="0"/>
              <w:jc w:val="center"/>
            </w:pPr>
            <w:r>
              <w:rPr>
                <w:sz w:val="20"/>
              </w:rPr>
              <w:t xml:space="preserve">не менее 27</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559" w:type="dxa"/>
          </w:tcPr>
          <w:p>
            <w:pPr>
              <w:pStyle w:val="0"/>
              <w:jc w:val="center"/>
            </w:pPr>
            <w:r>
              <w:rPr>
                <w:sz w:val="20"/>
              </w:rPr>
              <w:t xml:space="preserve">27</w:t>
            </w:r>
          </w:p>
        </w:tc>
        <w:tc>
          <w:tcPr>
            <w:tcW w:w="1417" w:type="dxa"/>
          </w:tcPr>
          <w:p>
            <w:pPr>
              <w:pStyle w:val="0"/>
              <w:jc w:val="center"/>
            </w:pPr>
            <w:r>
              <w:rPr>
                <w:sz w:val="20"/>
              </w:rPr>
              <w:t xml:space="preserve">не менее 27</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88"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559" w:type="dxa"/>
          </w:tcPr>
          <w:p>
            <w:pPr>
              <w:pStyle w:val="0"/>
              <w:jc w:val="center"/>
            </w:pPr>
            <w:r>
              <w:rPr>
                <w:sz w:val="20"/>
              </w:rPr>
              <w:t xml:space="preserve">7,41%</w:t>
            </w:r>
          </w:p>
        </w:tc>
        <w:tc>
          <w:tcPr>
            <w:tcW w:w="1417" w:type="dxa"/>
          </w:tcPr>
          <w:p>
            <w:pPr>
              <w:pStyle w:val="0"/>
              <w:jc w:val="center"/>
            </w:pPr>
            <w:r>
              <w:rPr>
                <w:sz w:val="20"/>
              </w:rPr>
              <w:t xml:space="preserve">не менее 7,41%</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3</w:t>
            </w:r>
          </w:p>
        </w:tc>
        <w:tc>
          <w:tcPr>
            <w:tcW w:w="2410" w:type="dxa"/>
            <w:vMerge w:val="restart"/>
          </w:tcPr>
          <w:p>
            <w:pPr>
              <w:pStyle w:val="0"/>
              <w:jc w:val="center"/>
            </w:pPr>
            <w:r>
              <w:rPr>
                <w:sz w:val="20"/>
              </w:rPr>
              <w:t xml:space="preserve">Увеличение охвата услугами/доступа к услугам</w:t>
            </w:r>
          </w:p>
        </w:tc>
        <w:tc>
          <w:tcPr>
            <w:tcW w:w="1843" w:type="dxa"/>
          </w:tcPr>
          <w:p>
            <w:pPr>
              <w:pStyle w:val="0"/>
              <w:jc w:val="center"/>
            </w:pPr>
            <w:r>
              <w:rPr>
                <w:sz w:val="20"/>
              </w:rPr>
              <w:t xml:space="preserve">Процесс</w:t>
            </w:r>
          </w:p>
        </w:tc>
        <w:tc>
          <w:tcPr>
            <w:tcW w:w="4788"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788"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559" w:type="dxa"/>
          </w:tcPr>
          <w:p>
            <w:pPr>
              <w:pStyle w:val="0"/>
              <w:jc w:val="center"/>
            </w:pPr>
            <w:r>
              <w:rPr>
                <w:sz w:val="20"/>
              </w:rPr>
              <w:t xml:space="preserve">27</w:t>
            </w:r>
          </w:p>
        </w:tc>
        <w:tc>
          <w:tcPr>
            <w:tcW w:w="1417" w:type="dxa"/>
          </w:tcPr>
          <w:p>
            <w:pPr>
              <w:pStyle w:val="0"/>
              <w:jc w:val="center"/>
            </w:pPr>
            <w:r>
              <w:rPr>
                <w:sz w:val="20"/>
              </w:rPr>
              <w:t xml:space="preserve">не менее 27</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559" w:type="dxa"/>
          </w:tcPr>
          <w:p>
            <w:pPr>
              <w:pStyle w:val="0"/>
              <w:jc w:val="center"/>
            </w:pPr>
            <w:r>
              <w:rPr>
                <w:sz w:val="20"/>
              </w:rPr>
              <w:t xml:space="preserve">2</w:t>
            </w:r>
          </w:p>
        </w:tc>
        <w:tc>
          <w:tcPr>
            <w:tcW w:w="1417" w:type="dxa"/>
          </w:tcPr>
          <w:p>
            <w:pPr>
              <w:pStyle w:val="0"/>
              <w:jc w:val="center"/>
            </w:pPr>
            <w:r>
              <w:rPr>
                <w:sz w:val="20"/>
              </w:rPr>
              <w:t xml:space="preserve">не менее 2</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788"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559" w:type="dxa"/>
          </w:tcPr>
          <w:p>
            <w:pPr>
              <w:pStyle w:val="0"/>
              <w:jc w:val="center"/>
            </w:pPr>
            <w:r>
              <w:rPr>
                <w:sz w:val="20"/>
              </w:rPr>
              <w:t xml:space="preserve">1873</w:t>
            </w:r>
          </w:p>
        </w:tc>
        <w:tc>
          <w:tcPr>
            <w:tcW w:w="1417" w:type="dxa"/>
          </w:tcPr>
          <w:p>
            <w:pPr>
              <w:pStyle w:val="0"/>
              <w:jc w:val="center"/>
            </w:pPr>
            <w:r>
              <w:rPr>
                <w:sz w:val="20"/>
              </w:rPr>
              <w:t xml:space="preserve">не менее 1873</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559" w:type="dxa"/>
          </w:tcPr>
          <w:p>
            <w:pPr>
              <w:pStyle w:val="0"/>
              <w:jc w:val="center"/>
            </w:pPr>
            <w:r>
              <w:rPr>
                <w:sz w:val="20"/>
              </w:rPr>
              <w:t xml:space="preserve">33</w:t>
            </w:r>
          </w:p>
        </w:tc>
        <w:tc>
          <w:tcPr>
            <w:tcW w:w="1417" w:type="dxa"/>
          </w:tcPr>
          <w:p>
            <w:pPr>
              <w:pStyle w:val="0"/>
              <w:jc w:val="center"/>
            </w:pPr>
            <w:r>
              <w:rPr>
                <w:sz w:val="20"/>
              </w:rPr>
              <w:t xml:space="preserve">не менее 33</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4</w:t>
            </w:r>
          </w:p>
        </w:tc>
        <w:tc>
          <w:tcPr>
            <w:tcW w:w="2410" w:type="dxa"/>
            <w:vMerge w:val="restart"/>
          </w:tcPr>
          <w:p>
            <w:pPr>
              <w:pStyle w:val="0"/>
              <w:jc w:val="center"/>
            </w:pPr>
            <w:r>
              <w:rPr>
                <w:sz w:val="20"/>
              </w:rPr>
              <w:t xml:space="preserve">Повышение качества оказанных услуг</w:t>
            </w:r>
          </w:p>
        </w:tc>
        <w:tc>
          <w:tcPr>
            <w:tcW w:w="1843" w:type="dxa"/>
            <w:vMerge w:val="restart"/>
          </w:tcPr>
          <w:p>
            <w:pPr>
              <w:pStyle w:val="0"/>
              <w:jc w:val="center"/>
            </w:pPr>
            <w:r>
              <w:rPr>
                <w:sz w:val="20"/>
              </w:rPr>
              <w:t xml:space="preserve">Процесс</w:t>
            </w:r>
          </w:p>
        </w:tc>
        <w:tc>
          <w:tcPr>
            <w:tcW w:w="4788"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88"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88"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559" w:type="dxa"/>
          </w:tcPr>
          <w:p>
            <w:pPr>
              <w:pStyle w:val="0"/>
              <w:jc w:val="center"/>
            </w:pPr>
            <w:r>
              <w:rPr>
                <w:sz w:val="20"/>
              </w:rPr>
              <w:t xml:space="preserve">27</w:t>
            </w:r>
          </w:p>
        </w:tc>
        <w:tc>
          <w:tcPr>
            <w:tcW w:w="1417" w:type="dxa"/>
          </w:tcPr>
          <w:p>
            <w:pPr>
              <w:pStyle w:val="0"/>
              <w:jc w:val="center"/>
            </w:pPr>
            <w:r>
              <w:rPr>
                <w:sz w:val="20"/>
              </w:rPr>
              <w:t xml:space="preserve">не менее 27</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88"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559" w:type="dxa"/>
          </w:tcPr>
          <w:p>
            <w:pPr>
              <w:pStyle w:val="0"/>
              <w:jc w:val="center"/>
            </w:pPr>
            <w:r>
              <w:rPr>
                <w:sz w:val="20"/>
              </w:rPr>
              <w:t xml:space="preserve">95%</w:t>
            </w:r>
          </w:p>
        </w:tc>
        <w:tc>
          <w:tcPr>
            <w:tcW w:w="1417" w:type="dxa"/>
          </w:tcPr>
          <w:p>
            <w:pPr>
              <w:pStyle w:val="0"/>
              <w:jc w:val="center"/>
            </w:pPr>
            <w:r>
              <w:rPr>
                <w:sz w:val="20"/>
              </w:rPr>
              <w:t xml:space="preserve">не менее 95%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95" w:type="dxa"/>
            <w:vMerge w:val="restart"/>
          </w:tcPr>
          <w:p>
            <w:pPr>
              <w:pStyle w:val="0"/>
              <w:jc w:val="center"/>
            </w:pPr>
            <w:r>
              <w:rPr>
                <w:sz w:val="20"/>
              </w:rPr>
              <w:t xml:space="preserve">5</w:t>
            </w:r>
          </w:p>
        </w:tc>
        <w:tc>
          <w:tcPr>
            <w:tcW w:w="2410"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843" w:type="dxa"/>
          </w:tcPr>
          <w:p>
            <w:pPr>
              <w:pStyle w:val="0"/>
              <w:jc w:val="center"/>
            </w:pPr>
            <w:r>
              <w:rPr>
                <w:sz w:val="20"/>
              </w:rPr>
              <w:t xml:space="preserve">Процесс</w:t>
            </w:r>
          </w:p>
        </w:tc>
        <w:tc>
          <w:tcPr>
            <w:tcW w:w="4788"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559" w:type="dxa"/>
          </w:tcPr>
          <w:p>
            <w:pPr>
              <w:pStyle w:val="0"/>
              <w:jc w:val="center"/>
            </w:pPr>
            <w:r>
              <w:rPr>
                <w:sz w:val="20"/>
              </w:rPr>
              <w:t xml:space="preserve">да</w:t>
            </w:r>
          </w:p>
        </w:tc>
        <w:tc>
          <w:tcPr>
            <w:tcW w:w="1417"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788"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559" w:type="dxa"/>
          </w:tcPr>
          <w:p>
            <w:pPr>
              <w:pStyle w:val="0"/>
              <w:jc w:val="center"/>
            </w:pPr>
            <w:r>
              <w:rPr>
                <w:sz w:val="20"/>
              </w:rPr>
              <w:t xml:space="preserve">27</w:t>
            </w:r>
          </w:p>
        </w:tc>
        <w:tc>
          <w:tcPr>
            <w:tcW w:w="1417" w:type="dxa"/>
          </w:tcPr>
          <w:p>
            <w:pPr>
              <w:pStyle w:val="0"/>
              <w:jc w:val="center"/>
            </w:pPr>
            <w:r>
              <w:rPr>
                <w:sz w:val="20"/>
              </w:rPr>
              <w:t xml:space="preserve">не менее 27</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788"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559" w:type="dxa"/>
          </w:tcPr>
          <w:p>
            <w:pPr>
              <w:pStyle w:val="0"/>
              <w:jc w:val="center"/>
            </w:pPr>
            <w:r>
              <w:rPr>
                <w:sz w:val="20"/>
              </w:rPr>
              <w:t xml:space="preserve">95%</w:t>
            </w:r>
          </w:p>
        </w:tc>
        <w:tc>
          <w:tcPr>
            <w:tcW w:w="1417" w:type="dxa"/>
          </w:tcPr>
          <w:p>
            <w:pPr>
              <w:pStyle w:val="0"/>
              <w:jc w:val="center"/>
            </w:pPr>
            <w:r>
              <w:rPr>
                <w:sz w:val="20"/>
              </w:rPr>
              <w:t xml:space="preserve">не менее 95%</w:t>
            </w:r>
          </w:p>
        </w:tc>
        <w:tc>
          <w:tcPr>
            <w:tcW w:w="2977" w:type="dxa"/>
          </w:tcPr>
          <w:p>
            <w:pPr>
              <w:pStyle w:val="0"/>
              <w:jc w:val="center"/>
            </w:pPr>
            <w:r>
              <w:rPr>
                <w:sz w:val="20"/>
              </w:rPr>
              <w:t xml:space="preserve">Министерство труда и социального развития Республики Саха (Якутия)</w:t>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p>
      <w:pPr>
        <w:pStyle w:val="0"/>
        <w:outlineLvl w:val="2"/>
        <w:jc w:val="right"/>
      </w:pPr>
      <w:r>
        <w:rPr>
          <w:sz w:val="20"/>
        </w:rPr>
        <w:t xml:space="preserve">Таблица 7</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 услуги</w:t>
      </w:r>
    </w:p>
    <w:p>
      <w:pPr>
        <w:pStyle w:val="2"/>
        <w:jc w:val="center"/>
      </w:pPr>
      <w:r>
        <w:rPr>
          <w:sz w:val="20"/>
        </w:rPr>
        <w:t xml:space="preserve">по предоставлению социальных услуг в полустационарной форме</w:t>
      </w:r>
    </w:p>
    <w:p>
      <w:pPr>
        <w:pStyle w:val="2"/>
        <w:jc w:val="center"/>
      </w:pPr>
      <w:r>
        <w:rPr>
          <w:sz w:val="20"/>
        </w:rPr>
        <w:t xml:space="preserve">социального обслуживания (870000О.99.0.АЭ25АА01000,</w:t>
      </w:r>
    </w:p>
    <w:p>
      <w:pPr>
        <w:pStyle w:val="2"/>
        <w:jc w:val="center"/>
      </w:pPr>
      <w:r>
        <w:rPr>
          <w:sz w:val="20"/>
        </w:rPr>
        <w:t xml:space="preserve">категория получателей - гражданин, частично утративший</w:t>
      </w:r>
    </w:p>
    <w:p>
      <w:pPr>
        <w:pStyle w:val="2"/>
        <w:jc w:val="center"/>
      </w:pPr>
      <w:r>
        <w:rPr>
          <w:sz w:val="20"/>
        </w:rPr>
        <w:t xml:space="preserve">способность либо возможности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(бесплатно))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
        <w:gridCol w:w="2409"/>
        <w:gridCol w:w="1985"/>
        <w:gridCol w:w="4752"/>
        <w:gridCol w:w="1417"/>
        <w:gridCol w:w="1559"/>
        <w:gridCol w:w="2977"/>
      </w:tblGrid>
      <w:tr>
        <w:tc>
          <w:tcPr>
            <w:tcW w:w="555" w:type="dxa"/>
            <w:vAlign w:val="center"/>
          </w:tcPr>
          <w:p>
            <w:pPr>
              <w:pStyle w:val="0"/>
              <w:jc w:val="center"/>
            </w:pPr>
            <w:r>
              <w:rPr>
                <w:sz w:val="20"/>
              </w:rPr>
              <w:t xml:space="preserve">N</w:t>
            </w:r>
          </w:p>
          <w:p>
            <w:pPr>
              <w:pStyle w:val="0"/>
              <w:jc w:val="center"/>
            </w:pPr>
            <w:r>
              <w:rPr>
                <w:sz w:val="20"/>
              </w:rPr>
              <w:t xml:space="preserve">п/п</w:t>
            </w:r>
          </w:p>
        </w:tc>
        <w:tc>
          <w:tcPr>
            <w:tcW w:w="2409" w:type="dxa"/>
            <w:vAlign w:val="center"/>
          </w:tcPr>
          <w:p>
            <w:pPr>
              <w:pStyle w:val="0"/>
              <w:jc w:val="center"/>
            </w:pPr>
            <w:r>
              <w:rPr>
                <w:sz w:val="20"/>
              </w:rPr>
              <w:t xml:space="preserve">Цель</w:t>
            </w:r>
          </w:p>
        </w:tc>
        <w:tc>
          <w:tcPr>
            <w:tcW w:w="1985" w:type="dxa"/>
            <w:vAlign w:val="center"/>
          </w:tcPr>
          <w:p>
            <w:pPr>
              <w:pStyle w:val="0"/>
              <w:jc w:val="center"/>
            </w:pPr>
            <w:r>
              <w:rPr>
                <w:sz w:val="20"/>
              </w:rPr>
              <w:t xml:space="preserve">Тип индикатора</w:t>
            </w:r>
          </w:p>
        </w:tc>
        <w:tc>
          <w:tcPr>
            <w:tcW w:w="4752" w:type="dxa"/>
            <w:vAlign w:val="center"/>
          </w:tcPr>
          <w:p>
            <w:pPr>
              <w:pStyle w:val="0"/>
              <w:jc w:val="center"/>
            </w:pPr>
            <w:r>
              <w:rPr>
                <w:sz w:val="20"/>
              </w:rPr>
              <w:t xml:space="preserve">Индикатор</w:t>
            </w:r>
          </w:p>
        </w:tc>
        <w:tc>
          <w:tcPr>
            <w:tcW w:w="1417" w:type="dxa"/>
            <w:vAlign w:val="center"/>
          </w:tcPr>
          <w:p>
            <w:pPr>
              <w:pStyle w:val="0"/>
              <w:jc w:val="center"/>
            </w:pPr>
            <w:r>
              <w:rPr>
                <w:sz w:val="20"/>
              </w:rPr>
              <w:t xml:space="preserve">Базовая величина</w:t>
            </w:r>
          </w:p>
          <w:p>
            <w:pPr>
              <w:pStyle w:val="0"/>
              <w:jc w:val="center"/>
            </w:pPr>
            <w:r>
              <w:rPr>
                <w:sz w:val="20"/>
              </w:rPr>
              <w:t xml:space="preserve">на 2024 год</w:t>
            </w:r>
          </w:p>
        </w:tc>
        <w:tc>
          <w:tcPr>
            <w:tcW w:w="1559"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2977" w:type="dxa"/>
            <w:vAlign w:val="center"/>
          </w:tcPr>
          <w:p>
            <w:pPr>
              <w:pStyle w:val="0"/>
              <w:jc w:val="center"/>
            </w:pPr>
            <w:r>
              <w:rPr>
                <w:sz w:val="20"/>
              </w:rPr>
              <w:t xml:space="preserve">Ответственный исполнитель</w:t>
            </w:r>
          </w:p>
        </w:tc>
      </w:tr>
      <w:tr>
        <w:tc>
          <w:tcPr>
            <w:tcW w:w="555" w:type="dxa"/>
            <w:vMerge w:val="restart"/>
          </w:tcPr>
          <w:p>
            <w:pPr>
              <w:pStyle w:val="0"/>
              <w:jc w:val="center"/>
            </w:pPr>
            <w:r>
              <w:rPr>
                <w:sz w:val="20"/>
              </w:rPr>
              <w:t xml:space="preserve">1</w:t>
            </w:r>
          </w:p>
        </w:tc>
        <w:tc>
          <w:tcPr>
            <w:tcW w:w="2409"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985" w:type="dxa"/>
          </w:tcPr>
          <w:p>
            <w:pPr>
              <w:pStyle w:val="0"/>
              <w:jc w:val="center"/>
            </w:pPr>
            <w:r>
              <w:rPr>
                <w:sz w:val="20"/>
              </w:rPr>
              <w:t xml:space="preserve">Процесс</w:t>
            </w:r>
          </w:p>
        </w:tc>
        <w:tc>
          <w:tcPr>
            <w:tcW w:w="4752"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417" w:type="dxa"/>
          </w:tcPr>
          <w:p>
            <w:pPr>
              <w:pStyle w:val="0"/>
              <w:jc w:val="center"/>
            </w:pPr>
            <w:r>
              <w:rPr>
                <w:sz w:val="20"/>
              </w:rPr>
              <w:t xml:space="preserve">70</w:t>
            </w:r>
          </w:p>
        </w:tc>
        <w:tc>
          <w:tcPr>
            <w:tcW w:w="1559" w:type="dxa"/>
          </w:tcPr>
          <w:p>
            <w:pPr>
              <w:pStyle w:val="0"/>
              <w:jc w:val="center"/>
            </w:pPr>
            <w:r>
              <w:rPr>
                <w:sz w:val="20"/>
              </w:rPr>
              <w:t xml:space="preserve">не менее 78</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Промежуточный результат</w:t>
            </w:r>
          </w:p>
        </w:tc>
        <w:tc>
          <w:tcPr>
            <w:tcW w:w="4752"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7" w:type="dxa"/>
          </w:tcPr>
          <w:p>
            <w:pPr>
              <w:pStyle w:val="0"/>
              <w:jc w:val="center"/>
            </w:pPr>
            <w:r>
              <w:rPr>
                <w:sz w:val="20"/>
              </w:rPr>
              <w:t xml:space="preserve">33</w:t>
            </w:r>
          </w:p>
        </w:tc>
        <w:tc>
          <w:tcPr>
            <w:tcW w:w="1559" w:type="dxa"/>
          </w:tcPr>
          <w:p>
            <w:pPr>
              <w:pStyle w:val="0"/>
              <w:jc w:val="center"/>
            </w:pPr>
            <w:r>
              <w:rPr>
                <w:sz w:val="20"/>
              </w:rPr>
              <w:t xml:space="preserve">не менее 38</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vMerge w:val="restart"/>
          </w:tcPr>
          <w:p>
            <w:pPr>
              <w:pStyle w:val="0"/>
              <w:jc w:val="center"/>
            </w:pPr>
            <w:r>
              <w:rPr>
                <w:sz w:val="20"/>
              </w:rPr>
              <w:t xml:space="preserve">Итоговый результат</w:t>
            </w:r>
          </w:p>
        </w:tc>
        <w:tc>
          <w:tcPr>
            <w:tcW w:w="4752" w:type="dxa"/>
          </w:tcPr>
          <w:p>
            <w:pPr>
              <w:pStyle w:val="0"/>
              <w:jc w:val="both"/>
            </w:pPr>
            <w:r>
              <w:rPr>
                <w:sz w:val="20"/>
              </w:rPr>
              <w:t xml:space="preserve">Количество некоммерческих организаций, оказывающих государственные услуги в социальной сфере, единиц</w:t>
            </w:r>
          </w:p>
        </w:tc>
        <w:tc>
          <w:tcPr>
            <w:tcW w:w="1417" w:type="dxa"/>
          </w:tcPr>
          <w:p>
            <w:pPr>
              <w:pStyle w:val="0"/>
              <w:jc w:val="center"/>
            </w:pPr>
            <w:r>
              <w:rPr>
                <w:sz w:val="20"/>
              </w:rPr>
              <w:t xml:space="preserve">4</w:t>
            </w:r>
          </w:p>
        </w:tc>
        <w:tc>
          <w:tcPr>
            <w:tcW w:w="1559" w:type="dxa"/>
          </w:tcPr>
          <w:p>
            <w:pPr>
              <w:pStyle w:val="0"/>
              <w:jc w:val="center"/>
            </w:pPr>
            <w:r>
              <w:rPr>
                <w:sz w:val="20"/>
              </w:rPr>
              <w:t xml:space="preserve">не менее 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417" w:type="dxa"/>
          </w:tcPr>
          <w:p>
            <w:pPr>
              <w:pStyle w:val="0"/>
              <w:jc w:val="center"/>
            </w:pPr>
            <w:r>
              <w:rPr>
                <w:sz w:val="20"/>
              </w:rPr>
              <w:t xml:space="preserve">4</w:t>
            </w:r>
          </w:p>
        </w:tc>
        <w:tc>
          <w:tcPr>
            <w:tcW w:w="1559" w:type="dxa"/>
          </w:tcPr>
          <w:p>
            <w:pPr>
              <w:pStyle w:val="0"/>
              <w:jc w:val="center"/>
            </w:pPr>
            <w:r>
              <w:rPr>
                <w:sz w:val="20"/>
              </w:rPr>
              <w:t xml:space="preserve">не менее 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2</w:t>
            </w:r>
          </w:p>
        </w:tc>
        <w:tc>
          <w:tcPr>
            <w:tcW w:w="2409"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985" w:type="dxa"/>
          </w:tcPr>
          <w:p>
            <w:pPr>
              <w:pStyle w:val="0"/>
              <w:jc w:val="center"/>
            </w:pPr>
            <w:r>
              <w:rPr>
                <w:sz w:val="20"/>
              </w:rPr>
              <w:t xml:space="preserve">Процесс</w:t>
            </w:r>
          </w:p>
        </w:tc>
        <w:tc>
          <w:tcPr>
            <w:tcW w:w="4752"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vMerge w:val="restart"/>
          </w:tcPr>
          <w:p>
            <w:pPr>
              <w:pStyle w:val="0"/>
              <w:jc w:val="center"/>
            </w:pPr>
            <w:r>
              <w:rPr>
                <w:sz w:val="20"/>
              </w:rPr>
              <w:t xml:space="preserve">Промежуточный результат</w:t>
            </w:r>
          </w:p>
        </w:tc>
        <w:tc>
          <w:tcPr>
            <w:tcW w:w="4752"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417" w:type="dxa"/>
          </w:tcPr>
          <w:p>
            <w:pPr>
              <w:pStyle w:val="0"/>
              <w:jc w:val="center"/>
            </w:pPr>
            <w:r>
              <w:rPr>
                <w:sz w:val="20"/>
              </w:rPr>
              <w:t xml:space="preserve">9</w:t>
            </w:r>
          </w:p>
        </w:tc>
        <w:tc>
          <w:tcPr>
            <w:tcW w:w="1559" w:type="dxa"/>
          </w:tcPr>
          <w:p>
            <w:pPr>
              <w:pStyle w:val="0"/>
              <w:jc w:val="center"/>
            </w:pPr>
            <w:r>
              <w:rPr>
                <w:sz w:val="20"/>
              </w:rPr>
              <w:t xml:space="preserve">не менее 9</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417" w:type="dxa"/>
          </w:tcPr>
          <w:p>
            <w:pPr>
              <w:pStyle w:val="0"/>
              <w:jc w:val="center"/>
            </w:pPr>
            <w:r>
              <w:rPr>
                <w:sz w:val="20"/>
              </w:rPr>
              <w:t xml:space="preserve">9</w:t>
            </w:r>
          </w:p>
        </w:tc>
        <w:tc>
          <w:tcPr>
            <w:tcW w:w="1559" w:type="dxa"/>
          </w:tcPr>
          <w:p>
            <w:pPr>
              <w:pStyle w:val="0"/>
              <w:jc w:val="center"/>
            </w:pPr>
            <w:r>
              <w:rPr>
                <w:sz w:val="20"/>
              </w:rPr>
              <w:t xml:space="preserve">не менее 9</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Итоговый результат</w:t>
            </w:r>
          </w:p>
        </w:tc>
        <w:tc>
          <w:tcPr>
            <w:tcW w:w="4752"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417" w:type="dxa"/>
          </w:tcPr>
          <w:p>
            <w:pPr>
              <w:pStyle w:val="0"/>
              <w:jc w:val="center"/>
            </w:pPr>
            <w:r>
              <w:rPr>
                <w:sz w:val="20"/>
              </w:rPr>
              <w:t xml:space="preserve">33,33%</w:t>
            </w:r>
          </w:p>
        </w:tc>
        <w:tc>
          <w:tcPr>
            <w:tcW w:w="1559" w:type="dxa"/>
          </w:tcPr>
          <w:p>
            <w:pPr>
              <w:pStyle w:val="0"/>
              <w:jc w:val="center"/>
            </w:pPr>
            <w:r>
              <w:rPr>
                <w:sz w:val="20"/>
              </w:rPr>
              <w:t xml:space="preserve">не менее 33,33%</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3</w:t>
            </w:r>
          </w:p>
        </w:tc>
        <w:tc>
          <w:tcPr>
            <w:tcW w:w="2409" w:type="dxa"/>
            <w:vMerge w:val="restart"/>
          </w:tcPr>
          <w:p>
            <w:pPr>
              <w:pStyle w:val="0"/>
              <w:jc w:val="center"/>
            </w:pPr>
            <w:r>
              <w:rPr>
                <w:sz w:val="20"/>
              </w:rPr>
              <w:t xml:space="preserve">Увеличение охвата услугами/доступа к услугам</w:t>
            </w:r>
          </w:p>
        </w:tc>
        <w:tc>
          <w:tcPr>
            <w:tcW w:w="1985" w:type="dxa"/>
          </w:tcPr>
          <w:p>
            <w:pPr>
              <w:pStyle w:val="0"/>
              <w:jc w:val="center"/>
            </w:pPr>
            <w:r>
              <w:rPr>
                <w:sz w:val="20"/>
              </w:rPr>
              <w:t xml:space="preserve">Процесс</w:t>
            </w:r>
          </w:p>
        </w:tc>
        <w:tc>
          <w:tcPr>
            <w:tcW w:w="4752"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vMerge w:val="restart"/>
          </w:tcPr>
          <w:p>
            <w:pPr>
              <w:pStyle w:val="0"/>
              <w:jc w:val="center"/>
            </w:pPr>
            <w:r>
              <w:rPr>
                <w:sz w:val="20"/>
              </w:rPr>
              <w:t xml:space="preserve">Промежуточный результат</w:t>
            </w:r>
          </w:p>
        </w:tc>
        <w:tc>
          <w:tcPr>
            <w:tcW w:w="4752"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417" w:type="dxa"/>
          </w:tcPr>
          <w:p>
            <w:pPr>
              <w:pStyle w:val="0"/>
              <w:jc w:val="center"/>
            </w:pPr>
            <w:r>
              <w:rPr>
                <w:sz w:val="20"/>
              </w:rPr>
              <w:t xml:space="preserve">9</w:t>
            </w:r>
          </w:p>
        </w:tc>
        <w:tc>
          <w:tcPr>
            <w:tcW w:w="1559" w:type="dxa"/>
          </w:tcPr>
          <w:p>
            <w:pPr>
              <w:pStyle w:val="0"/>
              <w:jc w:val="center"/>
            </w:pPr>
            <w:r>
              <w:rPr>
                <w:sz w:val="20"/>
              </w:rPr>
              <w:t xml:space="preserve">не менее 9</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7" w:type="dxa"/>
          </w:tcPr>
          <w:p>
            <w:pPr>
              <w:pStyle w:val="0"/>
              <w:jc w:val="center"/>
            </w:pPr>
            <w:r>
              <w:rPr>
                <w:sz w:val="20"/>
              </w:rPr>
              <w:t xml:space="preserve">1</w:t>
            </w:r>
          </w:p>
        </w:tc>
        <w:tc>
          <w:tcPr>
            <w:tcW w:w="1559" w:type="dxa"/>
          </w:tcPr>
          <w:p>
            <w:pPr>
              <w:pStyle w:val="0"/>
              <w:jc w:val="center"/>
            </w:pPr>
            <w:r>
              <w:rPr>
                <w:sz w:val="20"/>
              </w:rPr>
              <w:t xml:space="preserve">не менее 1</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vMerge w:val="restart"/>
          </w:tcPr>
          <w:p>
            <w:pPr>
              <w:pStyle w:val="0"/>
              <w:jc w:val="center"/>
            </w:pPr>
            <w:r>
              <w:rPr>
                <w:sz w:val="20"/>
              </w:rPr>
              <w:t xml:space="preserve">Итоговый результат</w:t>
            </w:r>
          </w:p>
        </w:tc>
        <w:tc>
          <w:tcPr>
            <w:tcW w:w="4752"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417" w:type="dxa"/>
          </w:tcPr>
          <w:p>
            <w:pPr>
              <w:pStyle w:val="0"/>
              <w:jc w:val="center"/>
            </w:pPr>
            <w:r>
              <w:rPr>
                <w:sz w:val="20"/>
              </w:rPr>
              <w:t xml:space="preserve">1161</w:t>
            </w:r>
          </w:p>
        </w:tc>
        <w:tc>
          <w:tcPr>
            <w:tcW w:w="1559" w:type="dxa"/>
          </w:tcPr>
          <w:p>
            <w:pPr>
              <w:pStyle w:val="0"/>
              <w:jc w:val="center"/>
            </w:pPr>
            <w:r>
              <w:rPr>
                <w:sz w:val="20"/>
              </w:rPr>
              <w:t xml:space="preserve">не менее 1161</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417" w:type="dxa"/>
          </w:tcPr>
          <w:p>
            <w:pPr>
              <w:pStyle w:val="0"/>
              <w:jc w:val="center"/>
            </w:pPr>
            <w:r>
              <w:rPr>
                <w:sz w:val="20"/>
              </w:rPr>
              <w:t xml:space="preserve">356</w:t>
            </w:r>
          </w:p>
        </w:tc>
        <w:tc>
          <w:tcPr>
            <w:tcW w:w="1559" w:type="dxa"/>
          </w:tcPr>
          <w:p>
            <w:pPr>
              <w:pStyle w:val="0"/>
              <w:jc w:val="center"/>
            </w:pPr>
            <w:r>
              <w:rPr>
                <w:sz w:val="20"/>
              </w:rPr>
              <w:t xml:space="preserve">не менее 356</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4</w:t>
            </w:r>
          </w:p>
        </w:tc>
        <w:tc>
          <w:tcPr>
            <w:tcW w:w="2409" w:type="dxa"/>
            <w:vMerge w:val="restart"/>
          </w:tcPr>
          <w:p>
            <w:pPr>
              <w:pStyle w:val="0"/>
              <w:jc w:val="center"/>
            </w:pPr>
            <w:r>
              <w:rPr>
                <w:sz w:val="20"/>
              </w:rPr>
              <w:t xml:space="preserve">Повышение качества оказанных услуг</w:t>
            </w:r>
          </w:p>
        </w:tc>
        <w:tc>
          <w:tcPr>
            <w:tcW w:w="1985" w:type="dxa"/>
            <w:vMerge w:val="restart"/>
          </w:tcPr>
          <w:p>
            <w:pPr>
              <w:pStyle w:val="0"/>
              <w:jc w:val="center"/>
            </w:pPr>
            <w:r>
              <w:rPr>
                <w:sz w:val="20"/>
              </w:rPr>
              <w:t xml:space="preserve">Процесс</w:t>
            </w:r>
          </w:p>
        </w:tc>
        <w:tc>
          <w:tcPr>
            <w:tcW w:w="4752"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4752"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Промежуточный результат</w:t>
            </w:r>
          </w:p>
        </w:tc>
        <w:tc>
          <w:tcPr>
            <w:tcW w:w="4752"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417" w:type="dxa"/>
          </w:tcPr>
          <w:p>
            <w:pPr>
              <w:pStyle w:val="0"/>
              <w:jc w:val="center"/>
            </w:pPr>
            <w:r>
              <w:rPr>
                <w:sz w:val="20"/>
              </w:rPr>
              <w:t xml:space="preserve">9</w:t>
            </w:r>
          </w:p>
        </w:tc>
        <w:tc>
          <w:tcPr>
            <w:tcW w:w="1559" w:type="dxa"/>
          </w:tcPr>
          <w:p>
            <w:pPr>
              <w:pStyle w:val="0"/>
              <w:jc w:val="center"/>
            </w:pPr>
            <w:r>
              <w:rPr>
                <w:sz w:val="20"/>
              </w:rPr>
              <w:t xml:space="preserve">не менее 9</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Итоговый результат</w:t>
            </w:r>
          </w:p>
        </w:tc>
        <w:tc>
          <w:tcPr>
            <w:tcW w:w="4752"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417" w:type="dxa"/>
          </w:tcPr>
          <w:p>
            <w:pPr>
              <w:pStyle w:val="0"/>
              <w:jc w:val="center"/>
            </w:pPr>
            <w:r>
              <w:rPr>
                <w:sz w:val="20"/>
              </w:rPr>
              <w:t xml:space="preserve">99,39%</w:t>
            </w:r>
          </w:p>
        </w:tc>
        <w:tc>
          <w:tcPr>
            <w:tcW w:w="1559" w:type="dxa"/>
          </w:tcPr>
          <w:p>
            <w:pPr>
              <w:pStyle w:val="0"/>
              <w:jc w:val="center"/>
            </w:pPr>
            <w:r>
              <w:rPr>
                <w:sz w:val="20"/>
              </w:rPr>
              <w:t xml:space="preserve">не менее 99,39%</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5</w:t>
            </w:r>
          </w:p>
        </w:tc>
        <w:tc>
          <w:tcPr>
            <w:tcW w:w="2409"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985" w:type="dxa"/>
          </w:tcPr>
          <w:p>
            <w:pPr>
              <w:pStyle w:val="0"/>
              <w:jc w:val="center"/>
            </w:pPr>
            <w:r>
              <w:rPr>
                <w:sz w:val="20"/>
              </w:rPr>
              <w:t xml:space="preserve">Процесс</w:t>
            </w:r>
          </w:p>
        </w:tc>
        <w:tc>
          <w:tcPr>
            <w:tcW w:w="4752"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417" w:type="dxa"/>
          </w:tcPr>
          <w:p>
            <w:pPr>
              <w:pStyle w:val="0"/>
              <w:jc w:val="center"/>
            </w:pPr>
            <w:r>
              <w:rPr>
                <w:sz w:val="20"/>
              </w:rPr>
              <w:t xml:space="preserve">да</w:t>
            </w:r>
          </w:p>
        </w:tc>
        <w:tc>
          <w:tcPr>
            <w:tcW w:w="1559" w:type="dxa"/>
          </w:tcPr>
          <w:p>
            <w:pPr>
              <w:pStyle w:val="0"/>
              <w:jc w:val="center"/>
            </w:pPr>
            <w:r>
              <w:rPr>
                <w:sz w:val="20"/>
              </w:rPr>
              <w:t xml:space="preserve">да</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Промежуточный результат</w:t>
            </w:r>
          </w:p>
        </w:tc>
        <w:tc>
          <w:tcPr>
            <w:tcW w:w="4752"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417" w:type="dxa"/>
          </w:tcPr>
          <w:p>
            <w:pPr>
              <w:pStyle w:val="0"/>
              <w:jc w:val="center"/>
            </w:pPr>
            <w:r>
              <w:rPr>
                <w:sz w:val="20"/>
              </w:rPr>
              <w:t xml:space="preserve">5</w:t>
            </w:r>
          </w:p>
        </w:tc>
        <w:tc>
          <w:tcPr>
            <w:tcW w:w="1559" w:type="dxa"/>
          </w:tcPr>
          <w:p>
            <w:pPr>
              <w:pStyle w:val="0"/>
              <w:jc w:val="center"/>
            </w:pPr>
            <w:r>
              <w:rPr>
                <w:sz w:val="20"/>
              </w:rPr>
              <w:t xml:space="preserve">не менее 5</w:t>
            </w:r>
          </w:p>
        </w:tc>
        <w:tc>
          <w:tcPr>
            <w:tcW w:w="2977"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5" w:type="dxa"/>
          </w:tcPr>
          <w:p>
            <w:pPr>
              <w:pStyle w:val="0"/>
              <w:jc w:val="center"/>
            </w:pPr>
            <w:r>
              <w:rPr>
                <w:sz w:val="20"/>
              </w:rPr>
              <w:t xml:space="preserve">Итоговый результат</w:t>
            </w:r>
          </w:p>
        </w:tc>
        <w:tc>
          <w:tcPr>
            <w:tcW w:w="4752"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417" w:type="dxa"/>
          </w:tcPr>
          <w:p>
            <w:pPr>
              <w:pStyle w:val="0"/>
              <w:jc w:val="center"/>
            </w:pPr>
            <w:r>
              <w:rPr>
                <w:sz w:val="20"/>
              </w:rPr>
              <w:t xml:space="preserve">99,39%</w:t>
            </w:r>
          </w:p>
        </w:tc>
        <w:tc>
          <w:tcPr>
            <w:tcW w:w="1559" w:type="dxa"/>
          </w:tcPr>
          <w:p>
            <w:pPr>
              <w:pStyle w:val="0"/>
              <w:jc w:val="center"/>
            </w:pPr>
            <w:r>
              <w:rPr>
                <w:sz w:val="20"/>
              </w:rPr>
              <w:t xml:space="preserve">не менее 99,39%</w:t>
            </w:r>
          </w:p>
        </w:tc>
        <w:tc>
          <w:tcPr>
            <w:tcW w:w="2977"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8</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организации оказания государственной</w:t>
      </w:r>
    </w:p>
    <w:p>
      <w:pPr>
        <w:pStyle w:val="2"/>
        <w:jc w:val="center"/>
      </w:pPr>
      <w:r>
        <w:rPr>
          <w:sz w:val="20"/>
        </w:rPr>
        <w:t xml:space="preserve">услуги по предоставлению социальных услуг в полустационарной</w:t>
      </w:r>
    </w:p>
    <w:p>
      <w:pPr>
        <w:pStyle w:val="2"/>
        <w:jc w:val="center"/>
      </w:pPr>
      <w:r>
        <w:rPr>
          <w:sz w:val="20"/>
        </w:rPr>
        <w:t xml:space="preserve">форме социального обслуживания (870000О.99.0.АЭ21АА01000,</w:t>
      </w:r>
    </w:p>
    <w:p>
      <w:pPr>
        <w:pStyle w:val="2"/>
        <w:jc w:val="center"/>
      </w:pPr>
      <w:r>
        <w:rPr>
          <w:sz w:val="20"/>
        </w:rPr>
        <w:t xml:space="preserve">категория получателей - гражданин, частично утративший</w:t>
      </w:r>
    </w:p>
    <w:p>
      <w:pPr>
        <w:pStyle w:val="2"/>
        <w:jc w:val="center"/>
      </w:pPr>
      <w:r>
        <w:rPr>
          <w:sz w:val="20"/>
        </w:rPr>
        <w:t xml:space="preserve">способность либо возможности осуществлять самообслуживание,</w:t>
      </w:r>
    </w:p>
    <w:p>
      <w:pPr>
        <w:pStyle w:val="2"/>
        <w:jc w:val="center"/>
      </w:pPr>
      <w:r>
        <w:rPr>
          <w:sz w:val="20"/>
        </w:rPr>
        <w:t xml:space="preserve">самостоятельно передвигаться, обеспечивать основные</w:t>
      </w:r>
    </w:p>
    <w:p>
      <w:pPr>
        <w:pStyle w:val="2"/>
        <w:jc w:val="center"/>
      </w:pPr>
      <w:r>
        <w:rPr>
          <w:sz w:val="20"/>
        </w:rPr>
        <w:t xml:space="preserve">жизненные потребности в силу заболевания, травмы,</w:t>
      </w:r>
    </w:p>
    <w:p>
      <w:pPr>
        <w:pStyle w:val="2"/>
        <w:jc w:val="center"/>
      </w:pPr>
      <w:r>
        <w:rPr>
          <w:sz w:val="20"/>
        </w:rPr>
        <w:t xml:space="preserve">возраста или наличия инвалидности (платно))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
        <w:gridCol w:w="2268"/>
        <w:gridCol w:w="1984"/>
        <w:gridCol w:w="5036"/>
        <w:gridCol w:w="1418"/>
        <w:gridCol w:w="1486"/>
        <w:gridCol w:w="2908"/>
      </w:tblGrid>
      <w:tr>
        <w:tc>
          <w:tcPr>
            <w:tcW w:w="555" w:type="dxa"/>
            <w:vAlign w:val="center"/>
          </w:tcPr>
          <w:p>
            <w:pPr>
              <w:pStyle w:val="0"/>
              <w:jc w:val="center"/>
            </w:pPr>
            <w:r>
              <w:rPr>
                <w:sz w:val="20"/>
              </w:rPr>
              <w:t xml:space="preserve">N</w:t>
            </w:r>
          </w:p>
          <w:p>
            <w:pPr>
              <w:pStyle w:val="0"/>
              <w:jc w:val="center"/>
            </w:pPr>
            <w:r>
              <w:rPr>
                <w:sz w:val="20"/>
              </w:rPr>
              <w:t xml:space="preserve">п/п</w:t>
            </w:r>
          </w:p>
        </w:tc>
        <w:tc>
          <w:tcPr>
            <w:tcW w:w="2268" w:type="dxa"/>
            <w:vAlign w:val="center"/>
          </w:tcPr>
          <w:p>
            <w:pPr>
              <w:pStyle w:val="0"/>
              <w:jc w:val="center"/>
            </w:pPr>
            <w:r>
              <w:rPr>
                <w:sz w:val="20"/>
              </w:rPr>
              <w:t xml:space="preserve">Цель</w:t>
            </w:r>
          </w:p>
        </w:tc>
        <w:tc>
          <w:tcPr>
            <w:tcW w:w="1984" w:type="dxa"/>
            <w:vAlign w:val="center"/>
          </w:tcPr>
          <w:p>
            <w:pPr>
              <w:pStyle w:val="0"/>
              <w:jc w:val="center"/>
            </w:pPr>
            <w:r>
              <w:rPr>
                <w:sz w:val="20"/>
              </w:rPr>
              <w:t xml:space="preserve">Тип индикатора</w:t>
            </w:r>
          </w:p>
        </w:tc>
        <w:tc>
          <w:tcPr>
            <w:tcW w:w="5036" w:type="dxa"/>
            <w:vAlign w:val="center"/>
          </w:tcPr>
          <w:p>
            <w:pPr>
              <w:pStyle w:val="0"/>
              <w:jc w:val="center"/>
            </w:pPr>
            <w:r>
              <w:rPr>
                <w:sz w:val="20"/>
              </w:rPr>
              <w:t xml:space="preserve">Индикатор</w:t>
            </w:r>
          </w:p>
        </w:tc>
        <w:tc>
          <w:tcPr>
            <w:tcW w:w="1418" w:type="dxa"/>
            <w:vAlign w:val="center"/>
          </w:tcPr>
          <w:p>
            <w:pPr>
              <w:pStyle w:val="0"/>
              <w:jc w:val="center"/>
            </w:pPr>
            <w:r>
              <w:rPr>
                <w:sz w:val="20"/>
              </w:rPr>
              <w:t xml:space="preserve">Базовая величина</w:t>
            </w:r>
          </w:p>
          <w:p>
            <w:pPr>
              <w:pStyle w:val="0"/>
              <w:jc w:val="center"/>
            </w:pPr>
            <w:r>
              <w:rPr>
                <w:sz w:val="20"/>
              </w:rPr>
              <w:t xml:space="preserve">на 2024 год</w:t>
            </w:r>
          </w:p>
        </w:tc>
        <w:tc>
          <w:tcPr>
            <w:tcW w:w="1486" w:type="dxa"/>
            <w:vAlign w:val="center"/>
          </w:tcPr>
          <w:p>
            <w:pPr>
              <w:pStyle w:val="0"/>
              <w:jc w:val="center"/>
            </w:pPr>
            <w:r>
              <w:rPr>
                <w:sz w:val="20"/>
              </w:rPr>
              <w:t xml:space="preserve">Целевой ориентир на 2027 год</w:t>
            </w:r>
          </w:p>
        </w:tc>
        <w:tc>
          <w:tcPr>
            <w:tcW w:w="2908" w:type="dxa"/>
            <w:vAlign w:val="center"/>
          </w:tcPr>
          <w:p>
            <w:pPr>
              <w:pStyle w:val="0"/>
              <w:jc w:val="center"/>
            </w:pPr>
            <w:r>
              <w:rPr>
                <w:sz w:val="20"/>
              </w:rPr>
              <w:t xml:space="preserve">Ответственный исполнитель</w:t>
            </w:r>
          </w:p>
        </w:tc>
      </w:tr>
      <w:tr>
        <w:tc>
          <w:tcPr>
            <w:tcW w:w="555" w:type="dxa"/>
            <w:vMerge w:val="restart"/>
          </w:tcPr>
          <w:p>
            <w:pPr>
              <w:pStyle w:val="0"/>
              <w:jc w:val="center"/>
            </w:pPr>
            <w:r>
              <w:rPr>
                <w:sz w:val="20"/>
              </w:rPr>
              <w:t xml:space="preserve">1</w:t>
            </w:r>
          </w:p>
        </w:tc>
        <w:tc>
          <w:tcPr>
            <w:tcW w:w="2268" w:type="dxa"/>
            <w:vMerge w:val="restart"/>
          </w:tcPr>
          <w:p>
            <w:pPr>
              <w:pStyle w:val="0"/>
              <w:jc w:val="center"/>
            </w:pPr>
            <w:r>
              <w:rPr>
                <w:sz w:val="20"/>
              </w:rPr>
              <w:t xml:space="preserve">Улучшение условий для оказания государственных услуг некоммерческими организациями</w:t>
            </w:r>
          </w:p>
        </w:tc>
        <w:tc>
          <w:tcPr>
            <w:tcW w:w="1984" w:type="dxa"/>
          </w:tcPr>
          <w:p>
            <w:pPr>
              <w:pStyle w:val="0"/>
              <w:jc w:val="center"/>
            </w:pPr>
            <w:r>
              <w:rPr>
                <w:sz w:val="20"/>
              </w:rPr>
              <w:t xml:space="preserve">Процесс</w:t>
            </w:r>
          </w:p>
        </w:tc>
        <w:tc>
          <w:tcPr>
            <w:tcW w:w="5036"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418" w:type="dxa"/>
          </w:tcPr>
          <w:p>
            <w:pPr>
              <w:pStyle w:val="0"/>
              <w:jc w:val="center"/>
            </w:pPr>
            <w:r>
              <w:rPr>
                <w:sz w:val="20"/>
              </w:rPr>
              <w:t xml:space="preserve">70</w:t>
            </w:r>
          </w:p>
        </w:tc>
        <w:tc>
          <w:tcPr>
            <w:tcW w:w="1486" w:type="dxa"/>
          </w:tcPr>
          <w:p>
            <w:pPr>
              <w:pStyle w:val="0"/>
              <w:jc w:val="center"/>
            </w:pPr>
            <w:r>
              <w:rPr>
                <w:sz w:val="20"/>
              </w:rPr>
              <w:t xml:space="preserve">не менее 78</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Промежуточный результат</w:t>
            </w:r>
          </w:p>
        </w:tc>
        <w:tc>
          <w:tcPr>
            <w:tcW w:w="5036"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8" w:type="dxa"/>
          </w:tcPr>
          <w:p>
            <w:pPr>
              <w:pStyle w:val="0"/>
              <w:jc w:val="center"/>
            </w:pPr>
            <w:r>
              <w:rPr>
                <w:sz w:val="20"/>
              </w:rPr>
              <w:t xml:space="preserve">33</w:t>
            </w:r>
          </w:p>
        </w:tc>
        <w:tc>
          <w:tcPr>
            <w:tcW w:w="1486" w:type="dxa"/>
          </w:tcPr>
          <w:p>
            <w:pPr>
              <w:pStyle w:val="0"/>
              <w:jc w:val="center"/>
            </w:pPr>
            <w:r>
              <w:rPr>
                <w:sz w:val="20"/>
              </w:rPr>
              <w:t xml:space="preserve">не менее 38</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vMerge w:val="restart"/>
          </w:tcPr>
          <w:p>
            <w:pPr>
              <w:pStyle w:val="0"/>
              <w:jc w:val="center"/>
            </w:pPr>
            <w:r>
              <w:rPr>
                <w:sz w:val="20"/>
              </w:rPr>
              <w:t xml:space="preserve">Итоговый результат</w:t>
            </w:r>
          </w:p>
        </w:tc>
        <w:tc>
          <w:tcPr>
            <w:tcW w:w="5036" w:type="dxa"/>
          </w:tcPr>
          <w:p>
            <w:pPr>
              <w:pStyle w:val="0"/>
              <w:jc w:val="both"/>
            </w:pPr>
            <w:r>
              <w:rPr>
                <w:sz w:val="20"/>
              </w:rPr>
              <w:t xml:space="preserve">Количество некоммерческих организаций, оказывающих государственные услуги в социальной сфере, единиц</w:t>
            </w:r>
          </w:p>
        </w:tc>
        <w:tc>
          <w:tcPr>
            <w:tcW w:w="1418" w:type="dxa"/>
          </w:tcPr>
          <w:p>
            <w:pPr>
              <w:pStyle w:val="0"/>
              <w:jc w:val="center"/>
            </w:pPr>
            <w:r>
              <w:rPr>
                <w:sz w:val="20"/>
              </w:rPr>
              <w:t xml:space="preserve">4</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418" w:type="dxa"/>
          </w:tcPr>
          <w:p>
            <w:pPr>
              <w:pStyle w:val="0"/>
              <w:jc w:val="center"/>
            </w:pPr>
            <w:r>
              <w:rPr>
                <w:sz w:val="20"/>
              </w:rPr>
              <w:t xml:space="preserve">4</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2</w:t>
            </w:r>
          </w:p>
        </w:tc>
        <w:tc>
          <w:tcPr>
            <w:tcW w:w="2268" w:type="dxa"/>
            <w:vMerge w:val="restart"/>
          </w:tcPr>
          <w:p>
            <w:pPr>
              <w:pStyle w:val="0"/>
              <w:jc w:val="center"/>
            </w:pPr>
            <w:r>
              <w:rPr>
                <w:sz w:val="20"/>
              </w:rPr>
              <w:t xml:space="preserve">Усиление конкуренции при выборе негосударственных исполнителей услуг</w:t>
            </w:r>
          </w:p>
        </w:tc>
        <w:tc>
          <w:tcPr>
            <w:tcW w:w="1984" w:type="dxa"/>
          </w:tcPr>
          <w:p>
            <w:pPr>
              <w:pStyle w:val="0"/>
              <w:jc w:val="center"/>
            </w:pPr>
            <w:r>
              <w:rPr>
                <w:sz w:val="20"/>
              </w:rPr>
              <w:t xml:space="preserve">Процесс</w:t>
            </w:r>
          </w:p>
        </w:tc>
        <w:tc>
          <w:tcPr>
            <w:tcW w:w="5036"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vMerge w:val="restart"/>
          </w:tcPr>
          <w:p>
            <w:pPr>
              <w:pStyle w:val="0"/>
              <w:jc w:val="center"/>
            </w:pPr>
            <w:r>
              <w:rPr>
                <w:sz w:val="20"/>
              </w:rPr>
              <w:t xml:space="preserve">Промежуточный результат</w:t>
            </w:r>
          </w:p>
        </w:tc>
        <w:tc>
          <w:tcPr>
            <w:tcW w:w="503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418" w:type="dxa"/>
          </w:tcPr>
          <w:p>
            <w:pPr>
              <w:pStyle w:val="0"/>
              <w:jc w:val="center"/>
            </w:pPr>
            <w:r>
              <w:rPr>
                <w:sz w:val="20"/>
              </w:rPr>
              <w:t xml:space="preserve">5</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418" w:type="dxa"/>
          </w:tcPr>
          <w:p>
            <w:pPr>
              <w:pStyle w:val="0"/>
              <w:jc w:val="center"/>
            </w:pPr>
            <w:r>
              <w:rPr>
                <w:sz w:val="20"/>
              </w:rPr>
              <w:t xml:space="preserve">5</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Итоговый результат</w:t>
            </w:r>
          </w:p>
        </w:tc>
        <w:tc>
          <w:tcPr>
            <w:tcW w:w="5036"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418" w:type="dxa"/>
          </w:tcPr>
          <w:p>
            <w:pPr>
              <w:pStyle w:val="0"/>
              <w:jc w:val="center"/>
            </w:pPr>
            <w:r>
              <w:rPr>
                <w:sz w:val="20"/>
              </w:rPr>
              <w:t xml:space="preserve">20%</w:t>
            </w:r>
          </w:p>
        </w:tc>
        <w:tc>
          <w:tcPr>
            <w:tcW w:w="1486" w:type="dxa"/>
          </w:tcPr>
          <w:p>
            <w:pPr>
              <w:pStyle w:val="0"/>
              <w:jc w:val="center"/>
            </w:pPr>
            <w:r>
              <w:rPr>
                <w:sz w:val="20"/>
              </w:rPr>
              <w:t xml:space="preserve">не менее 20%</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3</w:t>
            </w:r>
          </w:p>
        </w:tc>
        <w:tc>
          <w:tcPr>
            <w:tcW w:w="2268" w:type="dxa"/>
            <w:vMerge w:val="restart"/>
          </w:tcPr>
          <w:p>
            <w:pPr>
              <w:pStyle w:val="0"/>
              <w:jc w:val="center"/>
            </w:pPr>
            <w:r>
              <w:rPr>
                <w:sz w:val="20"/>
              </w:rPr>
              <w:t xml:space="preserve">Увеличение охвата услугами/доступа к услугам</w:t>
            </w:r>
          </w:p>
        </w:tc>
        <w:tc>
          <w:tcPr>
            <w:tcW w:w="1984" w:type="dxa"/>
          </w:tcPr>
          <w:p>
            <w:pPr>
              <w:pStyle w:val="0"/>
              <w:jc w:val="center"/>
            </w:pPr>
            <w:r>
              <w:rPr>
                <w:sz w:val="20"/>
              </w:rPr>
              <w:t xml:space="preserve">Процесс</w:t>
            </w:r>
          </w:p>
        </w:tc>
        <w:tc>
          <w:tcPr>
            <w:tcW w:w="5036"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vMerge w:val="restart"/>
          </w:tcPr>
          <w:p>
            <w:pPr>
              <w:pStyle w:val="0"/>
              <w:jc w:val="center"/>
            </w:pPr>
            <w:r>
              <w:rPr>
                <w:sz w:val="20"/>
              </w:rPr>
              <w:t xml:space="preserve">Промежуточный результат</w:t>
            </w:r>
          </w:p>
        </w:tc>
        <w:tc>
          <w:tcPr>
            <w:tcW w:w="5036"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418" w:type="dxa"/>
          </w:tcPr>
          <w:p>
            <w:pPr>
              <w:pStyle w:val="0"/>
              <w:jc w:val="center"/>
            </w:pPr>
            <w:r>
              <w:rPr>
                <w:sz w:val="20"/>
              </w:rPr>
              <w:t xml:space="preserve">5</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8" w:type="dxa"/>
          </w:tcPr>
          <w:p>
            <w:pPr>
              <w:pStyle w:val="0"/>
              <w:jc w:val="center"/>
            </w:pPr>
            <w:r>
              <w:rPr>
                <w:sz w:val="20"/>
              </w:rPr>
              <w:t xml:space="preserve">1</w:t>
            </w:r>
          </w:p>
        </w:tc>
        <w:tc>
          <w:tcPr>
            <w:tcW w:w="1486" w:type="dxa"/>
          </w:tcPr>
          <w:p>
            <w:pPr>
              <w:pStyle w:val="0"/>
              <w:jc w:val="center"/>
            </w:pPr>
            <w:r>
              <w:rPr>
                <w:sz w:val="20"/>
              </w:rPr>
              <w:t xml:space="preserve">не менее 1</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vMerge w:val="restart"/>
          </w:tcPr>
          <w:p>
            <w:pPr>
              <w:pStyle w:val="0"/>
              <w:jc w:val="center"/>
            </w:pPr>
            <w:r>
              <w:rPr>
                <w:sz w:val="20"/>
              </w:rPr>
              <w:t xml:space="preserve">Итоговый результат</w:t>
            </w:r>
          </w:p>
        </w:tc>
        <w:tc>
          <w:tcPr>
            <w:tcW w:w="5036"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418" w:type="dxa"/>
          </w:tcPr>
          <w:p>
            <w:pPr>
              <w:pStyle w:val="0"/>
              <w:jc w:val="center"/>
            </w:pPr>
            <w:r>
              <w:rPr>
                <w:sz w:val="20"/>
              </w:rPr>
              <w:t xml:space="preserve">749</w:t>
            </w:r>
          </w:p>
        </w:tc>
        <w:tc>
          <w:tcPr>
            <w:tcW w:w="1486" w:type="dxa"/>
          </w:tcPr>
          <w:p>
            <w:pPr>
              <w:pStyle w:val="0"/>
              <w:jc w:val="center"/>
            </w:pPr>
            <w:r>
              <w:rPr>
                <w:sz w:val="20"/>
              </w:rPr>
              <w:t xml:space="preserve">не менее 749</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418" w:type="dxa"/>
          </w:tcPr>
          <w:p>
            <w:pPr>
              <w:pStyle w:val="0"/>
              <w:jc w:val="center"/>
            </w:pPr>
            <w:r>
              <w:rPr>
                <w:sz w:val="20"/>
              </w:rPr>
              <w:t xml:space="preserve">273</w:t>
            </w:r>
          </w:p>
        </w:tc>
        <w:tc>
          <w:tcPr>
            <w:tcW w:w="1486" w:type="dxa"/>
          </w:tcPr>
          <w:p>
            <w:pPr>
              <w:pStyle w:val="0"/>
              <w:jc w:val="center"/>
            </w:pPr>
            <w:r>
              <w:rPr>
                <w:sz w:val="20"/>
              </w:rPr>
              <w:t xml:space="preserve">не менее 273</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4</w:t>
            </w:r>
          </w:p>
        </w:tc>
        <w:tc>
          <w:tcPr>
            <w:tcW w:w="2268" w:type="dxa"/>
            <w:vMerge w:val="restart"/>
          </w:tcPr>
          <w:p>
            <w:pPr>
              <w:pStyle w:val="0"/>
              <w:jc w:val="center"/>
            </w:pPr>
            <w:r>
              <w:rPr>
                <w:sz w:val="20"/>
              </w:rPr>
              <w:t xml:space="preserve">Повышение качества оказанных услуг</w:t>
            </w:r>
          </w:p>
        </w:tc>
        <w:tc>
          <w:tcPr>
            <w:tcW w:w="1984" w:type="dxa"/>
            <w:vMerge w:val="restart"/>
          </w:tcPr>
          <w:p>
            <w:pPr>
              <w:pStyle w:val="0"/>
              <w:jc w:val="center"/>
            </w:pPr>
            <w:r>
              <w:rPr>
                <w:sz w:val="20"/>
              </w:rPr>
              <w:t xml:space="preserve">Процесс</w:t>
            </w:r>
          </w:p>
        </w:tc>
        <w:tc>
          <w:tcPr>
            <w:tcW w:w="5036"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vMerge w:val="continue"/>
          </w:tcPr>
          <w:p/>
        </w:tc>
        <w:tc>
          <w:tcPr>
            <w:tcW w:w="5036" w:type="dxa"/>
          </w:tcPr>
          <w:p>
            <w:pPr>
              <w:pStyle w:val="0"/>
              <w:jc w:val="both"/>
            </w:pPr>
            <w:r>
              <w:rPr>
                <w:sz w:val="20"/>
              </w:rPr>
              <w:t xml:space="preserve">Наличие в Министерстве труда и социального развития Республики Саха (Якутия)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Промежуточный результат</w:t>
            </w:r>
          </w:p>
        </w:tc>
        <w:tc>
          <w:tcPr>
            <w:tcW w:w="5036"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418" w:type="dxa"/>
          </w:tcPr>
          <w:p>
            <w:pPr>
              <w:pStyle w:val="0"/>
              <w:jc w:val="center"/>
            </w:pPr>
            <w:r>
              <w:rPr>
                <w:sz w:val="20"/>
              </w:rPr>
              <w:t xml:space="preserve">5</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Итоговый результат</w:t>
            </w:r>
          </w:p>
        </w:tc>
        <w:tc>
          <w:tcPr>
            <w:tcW w:w="5036"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418" w:type="dxa"/>
          </w:tcPr>
          <w:p>
            <w:pPr>
              <w:pStyle w:val="0"/>
              <w:jc w:val="center"/>
            </w:pPr>
            <w:r>
              <w:rPr>
                <w:sz w:val="20"/>
              </w:rPr>
              <w:t xml:space="preserve">92,19%</w:t>
            </w:r>
          </w:p>
        </w:tc>
        <w:tc>
          <w:tcPr>
            <w:tcW w:w="1486" w:type="dxa"/>
          </w:tcPr>
          <w:p>
            <w:pPr>
              <w:pStyle w:val="0"/>
              <w:jc w:val="center"/>
            </w:pPr>
            <w:r>
              <w:rPr>
                <w:sz w:val="20"/>
              </w:rPr>
              <w:t xml:space="preserve">не менее 92,19%</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tcW w:w="555" w:type="dxa"/>
            <w:vMerge w:val="restart"/>
          </w:tcPr>
          <w:p>
            <w:pPr>
              <w:pStyle w:val="0"/>
              <w:jc w:val="center"/>
            </w:pPr>
            <w:r>
              <w:rPr>
                <w:sz w:val="20"/>
              </w:rPr>
              <w:t xml:space="preserve">5</w:t>
            </w:r>
          </w:p>
        </w:tc>
        <w:tc>
          <w:tcPr>
            <w:tcW w:w="2268" w:type="dxa"/>
            <w:vMerge w:val="restart"/>
          </w:tcPr>
          <w:p>
            <w:pPr>
              <w:pStyle w:val="0"/>
              <w:jc w:val="center"/>
            </w:pPr>
            <w:r>
              <w:rPr>
                <w:sz w:val="20"/>
              </w:rPr>
              <w:t xml:space="preserve">Рост удовлетворенности граждан оказанием государственных услуг в социальной сфере</w:t>
            </w:r>
          </w:p>
        </w:tc>
        <w:tc>
          <w:tcPr>
            <w:tcW w:w="1984" w:type="dxa"/>
          </w:tcPr>
          <w:p>
            <w:pPr>
              <w:pStyle w:val="0"/>
              <w:jc w:val="center"/>
            </w:pPr>
            <w:r>
              <w:rPr>
                <w:sz w:val="20"/>
              </w:rPr>
              <w:t xml:space="preserve">Процесс</w:t>
            </w:r>
          </w:p>
        </w:tc>
        <w:tc>
          <w:tcPr>
            <w:tcW w:w="5036"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418" w:type="dxa"/>
          </w:tcPr>
          <w:p>
            <w:pPr>
              <w:pStyle w:val="0"/>
              <w:jc w:val="center"/>
            </w:pPr>
            <w:r>
              <w:rPr>
                <w:sz w:val="20"/>
              </w:rPr>
              <w:t xml:space="preserve">да</w:t>
            </w:r>
          </w:p>
        </w:tc>
        <w:tc>
          <w:tcPr>
            <w:tcW w:w="1486" w:type="dxa"/>
          </w:tcPr>
          <w:p>
            <w:pPr>
              <w:pStyle w:val="0"/>
              <w:jc w:val="center"/>
            </w:pPr>
            <w:r>
              <w:rPr>
                <w:sz w:val="20"/>
              </w:rPr>
              <w:t xml:space="preserve">да</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Промежуточный результат</w:t>
            </w:r>
          </w:p>
        </w:tc>
        <w:tc>
          <w:tcPr>
            <w:tcW w:w="5036"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418" w:type="dxa"/>
          </w:tcPr>
          <w:p>
            <w:pPr>
              <w:pStyle w:val="0"/>
              <w:jc w:val="center"/>
            </w:pPr>
            <w:r>
              <w:rPr>
                <w:sz w:val="20"/>
              </w:rPr>
              <w:t xml:space="preserve">5</w:t>
            </w:r>
          </w:p>
        </w:tc>
        <w:tc>
          <w:tcPr>
            <w:tcW w:w="1486" w:type="dxa"/>
          </w:tcPr>
          <w:p>
            <w:pPr>
              <w:pStyle w:val="0"/>
              <w:jc w:val="center"/>
            </w:pPr>
            <w:r>
              <w:rPr>
                <w:sz w:val="20"/>
              </w:rPr>
              <w:t xml:space="preserve">не менее 5</w:t>
            </w:r>
          </w:p>
        </w:tc>
        <w:tc>
          <w:tcPr>
            <w:tcW w:w="2908" w:type="dxa"/>
          </w:tcPr>
          <w:p>
            <w:pPr>
              <w:pStyle w:val="0"/>
              <w:jc w:val="center"/>
            </w:pPr>
            <w:r>
              <w:rPr>
                <w:sz w:val="20"/>
              </w:rPr>
              <w:t xml:space="preserve">Министерство труда и социального развития Республики Саха (Якутия)</w:t>
            </w:r>
          </w:p>
        </w:tc>
      </w:tr>
      <w:tr>
        <w:tc>
          <w:tcPr>
            <w:vMerge w:val="continue"/>
          </w:tcPr>
          <w:p/>
        </w:tc>
        <w:tc>
          <w:tcPr>
            <w:vMerge w:val="continue"/>
          </w:tcPr>
          <w:p/>
        </w:tc>
        <w:tc>
          <w:tcPr>
            <w:tcW w:w="1984" w:type="dxa"/>
          </w:tcPr>
          <w:p>
            <w:pPr>
              <w:pStyle w:val="0"/>
              <w:jc w:val="center"/>
            </w:pPr>
            <w:r>
              <w:rPr>
                <w:sz w:val="20"/>
              </w:rPr>
              <w:t xml:space="preserve">Итоговый результат</w:t>
            </w:r>
          </w:p>
        </w:tc>
        <w:tc>
          <w:tcPr>
            <w:tcW w:w="5036"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418" w:type="dxa"/>
          </w:tcPr>
          <w:p>
            <w:pPr>
              <w:pStyle w:val="0"/>
              <w:jc w:val="center"/>
            </w:pPr>
            <w:r>
              <w:rPr>
                <w:sz w:val="20"/>
              </w:rPr>
              <w:t xml:space="preserve">92,19%</w:t>
            </w:r>
          </w:p>
        </w:tc>
        <w:tc>
          <w:tcPr>
            <w:tcW w:w="1486" w:type="dxa"/>
          </w:tcPr>
          <w:p>
            <w:pPr>
              <w:pStyle w:val="0"/>
              <w:jc w:val="center"/>
            </w:pPr>
            <w:r>
              <w:rPr>
                <w:sz w:val="20"/>
              </w:rPr>
              <w:t xml:space="preserve">не менее 92,19%</w:t>
            </w:r>
          </w:p>
        </w:tc>
        <w:tc>
          <w:tcPr>
            <w:tcW w:w="2908" w:type="dxa"/>
          </w:tcPr>
          <w:p>
            <w:pPr>
              <w:pStyle w:val="0"/>
              <w:jc w:val="center"/>
            </w:pPr>
            <w:r>
              <w:rPr>
                <w:sz w:val="20"/>
              </w:rPr>
              <w:t xml:space="preserve">Министерство труда и социального развития Республики Саха (Якутия)</w:t>
            </w:r>
          </w:p>
        </w:tc>
      </w:tr>
    </w:tbl>
    <w:p>
      <w:pPr>
        <w:pStyle w:val="0"/>
        <w:jc w:val="both"/>
      </w:pPr>
      <w:r>
        <w:rPr>
          <w:sz w:val="20"/>
        </w:rPr>
      </w:r>
    </w:p>
    <w:p>
      <w:pPr>
        <w:pStyle w:val="0"/>
        <w:outlineLvl w:val="2"/>
        <w:jc w:val="right"/>
      </w:pPr>
      <w:r>
        <w:rPr>
          <w:sz w:val="20"/>
        </w:rPr>
        <w:t xml:space="preserve">Таблица 9</w:t>
      </w:r>
    </w:p>
    <w:p>
      <w:pPr>
        <w:pStyle w:val="0"/>
        <w:jc w:val="both"/>
      </w:pPr>
      <w:r>
        <w:rPr>
          <w:sz w:val="20"/>
        </w:rPr>
      </w:r>
    </w:p>
    <w:p>
      <w:pPr>
        <w:pStyle w:val="2"/>
        <w:jc w:val="center"/>
      </w:pPr>
      <w:r>
        <w:rPr>
          <w:sz w:val="20"/>
        </w:rPr>
        <w:t xml:space="preserve">ПОКАЗАТЕЛИ</w:t>
      </w:r>
    </w:p>
    <w:p>
      <w:pPr>
        <w:pStyle w:val="2"/>
        <w:jc w:val="center"/>
      </w:pPr>
      <w:r>
        <w:rPr>
          <w:sz w:val="20"/>
        </w:rPr>
        <w:t xml:space="preserve">эффективности реализации мероприятий, проводимых</w:t>
      </w:r>
    </w:p>
    <w:p>
      <w:pPr>
        <w:pStyle w:val="2"/>
        <w:jc w:val="center"/>
      </w:pPr>
      <w:r>
        <w:rPr>
          <w:sz w:val="20"/>
        </w:rPr>
        <w:t xml:space="preserve">в рамках механизмов организации оказания государственных</w:t>
      </w:r>
    </w:p>
    <w:p>
      <w:pPr>
        <w:pStyle w:val="2"/>
        <w:jc w:val="center"/>
      </w:pPr>
      <w:r>
        <w:rPr>
          <w:sz w:val="20"/>
        </w:rPr>
        <w:t xml:space="preserve">услуг по предоставлению социальных услуг в форме</w:t>
      </w:r>
    </w:p>
    <w:p>
      <w:pPr>
        <w:pStyle w:val="2"/>
        <w:jc w:val="center"/>
      </w:pPr>
      <w:r>
        <w:rPr>
          <w:sz w:val="20"/>
        </w:rPr>
        <w:t xml:space="preserve">организации профессионального обучения и дополнительного</w:t>
      </w:r>
    </w:p>
    <w:p>
      <w:pPr>
        <w:pStyle w:val="2"/>
        <w:jc w:val="center"/>
      </w:pPr>
      <w:r>
        <w:rPr>
          <w:sz w:val="20"/>
        </w:rPr>
        <w:t xml:space="preserve">профессионального образования безработных граждан,</w:t>
      </w:r>
    </w:p>
    <w:p>
      <w:pPr>
        <w:pStyle w:val="2"/>
        <w:jc w:val="center"/>
      </w:pPr>
      <w:r>
        <w:rPr>
          <w:sz w:val="20"/>
        </w:rPr>
        <w:t xml:space="preserve">включая обучение в другой местности</w:t>
      </w:r>
    </w:p>
    <w:p>
      <w:pPr>
        <w:pStyle w:val="2"/>
        <w:jc w:val="center"/>
      </w:pPr>
      <w:r>
        <w:rPr>
          <w:sz w:val="20"/>
        </w:rPr>
        <w:t xml:space="preserve">(853000.Р.17.0.01240001000 (бесплатно))</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9"/>
        <w:gridCol w:w="2551"/>
        <w:gridCol w:w="1843"/>
        <w:gridCol w:w="4365"/>
        <w:gridCol w:w="1418"/>
        <w:gridCol w:w="1417"/>
        <w:gridCol w:w="3053"/>
      </w:tblGrid>
      <w:tr>
        <w:tc>
          <w:tcPr>
            <w:tcW w:w="589" w:type="dxa"/>
            <w:vAlign w:val="center"/>
          </w:tcPr>
          <w:p>
            <w:pPr>
              <w:pStyle w:val="0"/>
              <w:jc w:val="center"/>
            </w:pPr>
            <w:r>
              <w:rPr>
                <w:sz w:val="20"/>
              </w:rPr>
              <w:t xml:space="preserve">N п/п</w:t>
            </w:r>
          </w:p>
        </w:tc>
        <w:tc>
          <w:tcPr>
            <w:tcW w:w="2551" w:type="dxa"/>
            <w:vAlign w:val="center"/>
          </w:tcPr>
          <w:p>
            <w:pPr>
              <w:pStyle w:val="0"/>
              <w:jc w:val="center"/>
            </w:pPr>
            <w:r>
              <w:rPr>
                <w:sz w:val="20"/>
              </w:rPr>
              <w:t xml:space="preserve">Цель</w:t>
            </w:r>
          </w:p>
        </w:tc>
        <w:tc>
          <w:tcPr>
            <w:tcW w:w="1843" w:type="dxa"/>
            <w:vAlign w:val="center"/>
          </w:tcPr>
          <w:p>
            <w:pPr>
              <w:pStyle w:val="0"/>
              <w:jc w:val="center"/>
            </w:pPr>
            <w:r>
              <w:rPr>
                <w:sz w:val="20"/>
              </w:rPr>
              <w:t xml:space="preserve">Тип индикатора</w:t>
            </w:r>
          </w:p>
        </w:tc>
        <w:tc>
          <w:tcPr>
            <w:tcW w:w="4365" w:type="dxa"/>
            <w:vAlign w:val="center"/>
          </w:tcPr>
          <w:p>
            <w:pPr>
              <w:pStyle w:val="0"/>
              <w:jc w:val="center"/>
            </w:pPr>
            <w:r>
              <w:rPr>
                <w:sz w:val="20"/>
              </w:rPr>
              <w:t xml:space="preserve">Индикатор</w:t>
            </w:r>
          </w:p>
        </w:tc>
        <w:tc>
          <w:tcPr>
            <w:tcW w:w="1418" w:type="dxa"/>
            <w:vAlign w:val="center"/>
          </w:tcPr>
          <w:p>
            <w:pPr>
              <w:pStyle w:val="0"/>
              <w:jc w:val="center"/>
            </w:pPr>
            <w:r>
              <w:rPr>
                <w:sz w:val="20"/>
              </w:rPr>
              <w:t xml:space="preserve">Базовая величина на 2024 год</w:t>
            </w:r>
          </w:p>
        </w:tc>
        <w:tc>
          <w:tcPr>
            <w:tcW w:w="1417" w:type="dxa"/>
            <w:vAlign w:val="center"/>
          </w:tcPr>
          <w:p>
            <w:pPr>
              <w:pStyle w:val="0"/>
              <w:jc w:val="center"/>
            </w:pPr>
            <w:r>
              <w:rPr>
                <w:sz w:val="20"/>
              </w:rPr>
              <w:t xml:space="preserve">Целевой ориентир</w:t>
            </w:r>
          </w:p>
          <w:p>
            <w:pPr>
              <w:pStyle w:val="0"/>
              <w:jc w:val="center"/>
            </w:pPr>
            <w:r>
              <w:rPr>
                <w:sz w:val="20"/>
              </w:rPr>
              <w:t xml:space="preserve">на 2027 год</w:t>
            </w:r>
          </w:p>
        </w:tc>
        <w:tc>
          <w:tcPr>
            <w:tcW w:w="3053" w:type="dxa"/>
            <w:vAlign w:val="center"/>
          </w:tcPr>
          <w:p>
            <w:pPr>
              <w:pStyle w:val="0"/>
              <w:jc w:val="center"/>
            </w:pPr>
            <w:r>
              <w:rPr>
                <w:sz w:val="20"/>
              </w:rPr>
              <w:t xml:space="preserve">Ответственный</w:t>
            </w:r>
          </w:p>
          <w:p>
            <w:pPr>
              <w:pStyle w:val="0"/>
              <w:jc w:val="center"/>
            </w:pPr>
            <w:r>
              <w:rPr>
                <w:sz w:val="20"/>
              </w:rPr>
              <w:t xml:space="preserve">исполнитель</w:t>
            </w:r>
          </w:p>
        </w:tc>
      </w:tr>
      <w:tr>
        <w:tc>
          <w:tcPr>
            <w:tcW w:w="589" w:type="dxa"/>
            <w:vMerge w:val="restart"/>
          </w:tcPr>
          <w:p>
            <w:pPr>
              <w:pStyle w:val="0"/>
              <w:jc w:val="center"/>
            </w:pPr>
            <w:r>
              <w:rPr>
                <w:sz w:val="20"/>
              </w:rPr>
              <w:t xml:space="preserve">1</w:t>
            </w:r>
          </w:p>
        </w:tc>
        <w:tc>
          <w:tcPr>
            <w:tcW w:w="2551" w:type="dxa"/>
            <w:vMerge w:val="restart"/>
          </w:tcPr>
          <w:p>
            <w:pPr>
              <w:pStyle w:val="0"/>
              <w:jc w:val="both"/>
            </w:pPr>
            <w:r>
              <w:rPr>
                <w:sz w:val="20"/>
              </w:rPr>
              <w:t xml:space="preserve">Улучшение условий для оказания государственных услуг некоммерческими организациями</w:t>
            </w:r>
          </w:p>
        </w:tc>
        <w:tc>
          <w:tcPr>
            <w:tcW w:w="1843" w:type="dxa"/>
          </w:tcPr>
          <w:p>
            <w:pPr>
              <w:pStyle w:val="0"/>
              <w:jc w:val="center"/>
            </w:pPr>
            <w:r>
              <w:rPr>
                <w:sz w:val="20"/>
              </w:rPr>
              <w:t xml:space="preserve">Процесс</w:t>
            </w:r>
          </w:p>
        </w:tc>
        <w:tc>
          <w:tcPr>
            <w:tcW w:w="4365" w:type="dxa"/>
          </w:tcPr>
          <w:p>
            <w:pPr>
              <w:pStyle w:val="0"/>
              <w:jc w:val="both"/>
            </w:pPr>
            <w:r>
              <w:rPr>
                <w:sz w:val="20"/>
              </w:rPr>
              <w:t xml:space="preserve">Общее количество некоммерческих организаций, оказывающих государственные услуги в отраслях социальной сферы, которым предоставляется государственная поддержка (обучение, налоговые льготы и другие выгоды), единиц</w:t>
            </w:r>
          </w:p>
        </w:tc>
        <w:tc>
          <w:tcPr>
            <w:tcW w:w="1418" w:type="dxa"/>
          </w:tcPr>
          <w:p>
            <w:pPr>
              <w:pStyle w:val="0"/>
              <w:jc w:val="center"/>
            </w:pPr>
            <w:r>
              <w:rPr>
                <w:sz w:val="20"/>
              </w:rPr>
              <w:t xml:space="preserve">70</w:t>
            </w:r>
          </w:p>
        </w:tc>
        <w:tc>
          <w:tcPr>
            <w:tcW w:w="1417" w:type="dxa"/>
          </w:tcPr>
          <w:p>
            <w:pPr>
              <w:pStyle w:val="0"/>
              <w:jc w:val="center"/>
            </w:pPr>
            <w:r>
              <w:rPr>
                <w:sz w:val="20"/>
              </w:rPr>
              <w:t xml:space="preserve">не менее 78</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365" w:type="dxa"/>
          </w:tcPr>
          <w:p>
            <w:pPr>
              <w:pStyle w:val="0"/>
              <w:jc w:val="both"/>
            </w:pPr>
            <w:r>
              <w:rPr>
                <w:sz w:val="20"/>
              </w:rPr>
              <w:t xml:space="preserve">Общее количество некоммерческих организаций, оказывающих государственные услуги в социальной сфере, единиц</w:t>
            </w:r>
          </w:p>
        </w:tc>
        <w:tc>
          <w:tcPr>
            <w:tcW w:w="1418" w:type="dxa"/>
          </w:tcPr>
          <w:p>
            <w:pPr>
              <w:pStyle w:val="0"/>
              <w:jc w:val="center"/>
            </w:pPr>
            <w:r>
              <w:rPr>
                <w:sz w:val="20"/>
              </w:rPr>
              <w:t xml:space="preserve">33</w:t>
            </w:r>
          </w:p>
        </w:tc>
        <w:tc>
          <w:tcPr>
            <w:tcW w:w="1417" w:type="dxa"/>
          </w:tcPr>
          <w:p>
            <w:pPr>
              <w:pStyle w:val="0"/>
              <w:jc w:val="center"/>
            </w:pPr>
            <w:r>
              <w:rPr>
                <w:sz w:val="20"/>
              </w:rPr>
              <w:t xml:space="preserve">не менее 38</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365" w:type="dxa"/>
          </w:tcPr>
          <w:p>
            <w:pPr>
              <w:pStyle w:val="0"/>
              <w:jc w:val="both"/>
            </w:pPr>
            <w:r>
              <w:rPr>
                <w:sz w:val="20"/>
              </w:rPr>
              <w:t xml:space="preserve">Количество некоммерческих организаций, оказывающих государственные услуги в социальной сфере в соответствии с Федеральным </w:t>
            </w:r>
            <w:hyperlink w:history="0" r:id="rId5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законом</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единиц</w:t>
            </w:r>
          </w:p>
        </w:tc>
        <w:tc>
          <w:tcPr>
            <w:tcW w:w="1418" w:type="dxa"/>
          </w:tcPr>
          <w:p>
            <w:pPr>
              <w:pStyle w:val="0"/>
              <w:jc w:val="center"/>
            </w:pPr>
            <w:r>
              <w:rPr>
                <w:sz w:val="20"/>
              </w:rPr>
              <w:t xml:space="preserve">12</w:t>
            </w:r>
          </w:p>
        </w:tc>
        <w:tc>
          <w:tcPr>
            <w:tcW w:w="1417" w:type="dxa"/>
          </w:tcPr>
          <w:p>
            <w:pPr>
              <w:pStyle w:val="0"/>
              <w:jc w:val="center"/>
            </w:pPr>
            <w:r>
              <w:rPr>
                <w:sz w:val="20"/>
              </w:rPr>
              <w:t xml:space="preserve">не менее 10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из них количество некоммерческих организаций, которым предоставляется государственная поддержка (в том числе обучение, налоговые льготы и другие выгоды), единиц</w:t>
            </w:r>
          </w:p>
        </w:tc>
        <w:tc>
          <w:tcPr>
            <w:tcW w:w="1418" w:type="dxa"/>
          </w:tcPr>
          <w:p>
            <w:pPr>
              <w:pStyle w:val="0"/>
              <w:jc w:val="center"/>
            </w:pPr>
            <w:r>
              <w:rPr>
                <w:sz w:val="20"/>
              </w:rPr>
              <w:t xml:space="preserve">0</w:t>
            </w:r>
          </w:p>
        </w:tc>
        <w:tc>
          <w:tcPr>
            <w:tcW w:w="1417" w:type="dxa"/>
          </w:tcPr>
          <w:p>
            <w:pPr>
              <w:pStyle w:val="0"/>
              <w:jc w:val="center"/>
            </w:pPr>
            <w:r>
              <w:rPr>
                <w:sz w:val="20"/>
              </w:rPr>
              <w:t xml:space="preserve">не менее 2</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tcW w:w="589" w:type="dxa"/>
            <w:vMerge w:val="restart"/>
          </w:tcPr>
          <w:p>
            <w:pPr>
              <w:pStyle w:val="0"/>
              <w:jc w:val="center"/>
            </w:pPr>
            <w:r>
              <w:rPr>
                <w:sz w:val="20"/>
              </w:rPr>
              <w:t xml:space="preserve">2</w:t>
            </w:r>
          </w:p>
        </w:tc>
        <w:tc>
          <w:tcPr>
            <w:tcW w:w="2551" w:type="dxa"/>
            <w:vMerge w:val="restart"/>
          </w:tcPr>
          <w:p>
            <w:pPr>
              <w:pStyle w:val="0"/>
              <w:jc w:val="both"/>
            </w:pPr>
            <w:r>
              <w:rPr>
                <w:sz w:val="20"/>
              </w:rPr>
              <w:t xml:space="preserve">Усиление конкуренции при выборе негосударственных исполнителей услуг</w:t>
            </w:r>
          </w:p>
        </w:tc>
        <w:tc>
          <w:tcPr>
            <w:tcW w:w="1843" w:type="dxa"/>
          </w:tcPr>
          <w:p>
            <w:pPr>
              <w:pStyle w:val="0"/>
              <w:jc w:val="center"/>
            </w:pPr>
            <w:r>
              <w:rPr>
                <w:sz w:val="20"/>
              </w:rPr>
              <w:t xml:space="preserve">Процесс</w:t>
            </w:r>
          </w:p>
        </w:tc>
        <w:tc>
          <w:tcPr>
            <w:tcW w:w="4365" w:type="dxa"/>
          </w:tcPr>
          <w:p>
            <w:pPr>
              <w:pStyle w:val="0"/>
              <w:jc w:val="both"/>
            </w:pPr>
            <w:r>
              <w:rPr>
                <w:sz w:val="20"/>
              </w:rPr>
              <w:t xml:space="preserve">Уточнение/доработка актов исполнительных органов государственной власти Республики Саха (Якутия) с учетом механизмов, предусмотренных федеральным законом</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365"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получателями социальных услуг исполнителей государственных услуг в социальной сфере (далее - исполнитель услуг) в целях оказания государственных услуг в социальной сфере</w:t>
            </w:r>
          </w:p>
        </w:tc>
        <w:tc>
          <w:tcPr>
            <w:tcW w:w="1418" w:type="dxa"/>
          </w:tcPr>
          <w:p>
            <w:pPr>
              <w:pStyle w:val="0"/>
              <w:jc w:val="center"/>
            </w:pPr>
            <w:r>
              <w:rPr>
                <w:sz w:val="20"/>
              </w:rPr>
              <w:t xml:space="preserve">43</w:t>
            </w:r>
          </w:p>
        </w:tc>
        <w:tc>
          <w:tcPr>
            <w:tcW w:w="1417" w:type="dxa"/>
          </w:tcPr>
          <w:p>
            <w:pPr>
              <w:pStyle w:val="0"/>
              <w:jc w:val="center"/>
            </w:pPr>
            <w:r>
              <w:rPr>
                <w:sz w:val="20"/>
              </w:rPr>
              <w:t xml:space="preserve">не менее 35</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государственных (муниципальных) услуг в социальной сфере в соответствии с социальным сертификатом</w:t>
            </w:r>
          </w:p>
        </w:tc>
        <w:tc>
          <w:tcPr>
            <w:tcW w:w="1418" w:type="dxa"/>
          </w:tcPr>
          <w:p>
            <w:pPr>
              <w:pStyle w:val="0"/>
              <w:jc w:val="center"/>
            </w:pPr>
            <w:r>
              <w:rPr>
                <w:sz w:val="20"/>
              </w:rPr>
              <w:t xml:space="preserve">35</w:t>
            </w:r>
          </w:p>
        </w:tc>
        <w:tc>
          <w:tcPr>
            <w:tcW w:w="1417" w:type="dxa"/>
          </w:tcPr>
          <w:p>
            <w:pPr>
              <w:pStyle w:val="0"/>
              <w:jc w:val="center"/>
            </w:pPr>
            <w:r>
              <w:rPr>
                <w:sz w:val="20"/>
              </w:rPr>
              <w:t xml:space="preserve">не менее 30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365" w:type="dxa"/>
          </w:tcPr>
          <w:p>
            <w:pPr>
              <w:pStyle w:val="0"/>
              <w:jc w:val="both"/>
            </w:pPr>
            <w:r>
              <w:rPr>
                <w:sz w:val="20"/>
              </w:rPr>
              <w:t xml:space="preserve">Доля юридических лиц, не являющихся государственными 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государственными учреждениями при отборе исполнителей услуг в целях оказания государственных услуг в социальной сфере, в общем объеме организаций, оказывающих указанные услуги</w:t>
            </w:r>
          </w:p>
        </w:tc>
        <w:tc>
          <w:tcPr>
            <w:tcW w:w="1418" w:type="dxa"/>
          </w:tcPr>
          <w:p>
            <w:pPr>
              <w:pStyle w:val="0"/>
              <w:jc w:val="center"/>
            </w:pPr>
            <w:r>
              <w:rPr>
                <w:sz w:val="20"/>
              </w:rPr>
              <w:t xml:space="preserve">34,2%</w:t>
            </w:r>
          </w:p>
        </w:tc>
        <w:tc>
          <w:tcPr>
            <w:tcW w:w="1417" w:type="dxa"/>
          </w:tcPr>
          <w:p>
            <w:pPr>
              <w:pStyle w:val="0"/>
              <w:jc w:val="center"/>
            </w:pPr>
            <w:r>
              <w:rPr>
                <w:sz w:val="20"/>
              </w:rPr>
              <w:t xml:space="preserve">не менее 34,2%</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tcW w:w="589" w:type="dxa"/>
            <w:vMerge w:val="restart"/>
          </w:tcPr>
          <w:p>
            <w:pPr>
              <w:pStyle w:val="0"/>
              <w:jc w:val="center"/>
            </w:pPr>
            <w:r>
              <w:rPr>
                <w:sz w:val="20"/>
              </w:rPr>
              <w:t xml:space="preserve">3</w:t>
            </w:r>
          </w:p>
        </w:tc>
        <w:tc>
          <w:tcPr>
            <w:tcW w:w="2551" w:type="dxa"/>
            <w:vMerge w:val="restart"/>
          </w:tcPr>
          <w:p>
            <w:pPr>
              <w:pStyle w:val="0"/>
              <w:jc w:val="both"/>
            </w:pPr>
            <w:r>
              <w:rPr>
                <w:sz w:val="20"/>
              </w:rPr>
              <w:t xml:space="preserve">Увеличение охвата услугами/доступа к услугам</w:t>
            </w:r>
          </w:p>
        </w:tc>
        <w:tc>
          <w:tcPr>
            <w:tcW w:w="1843" w:type="dxa"/>
          </w:tcPr>
          <w:p>
            <w:pPr>
              <w:pStyle w:val="0"/>
              <w:jc w:val="center"/>
            </w:pPr>
            <w:r>
              <w:rPr>
                <w:sz w:val="20"/>
              </w:rPr>
              <w:t xml:space="preserve">Процесс</w:t>
            </w:r>
          </w:p>
        </w:tc>
        <w:tc>
          <w:tcPr>
            <w:tcW w:w="4365" w:type="dxa"/>
          </w:tcPr>
          <w:p>
            <w:pPr>
              <w:pStyle w:val="0"/>
              <w:jc w:val="both"/>
            </w:pPr>
            <w:r>
              <w:rPr>
                <w:sz w:val="20"/>
              </w:rPr>
              <w:t xml:space="preserve">Информационная кампания для потребителей государственных услуг в социальной сфере (далее - потребитель услуг) и исполнителей услуг</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vMerge w:val="restart"/>
          </w:tcPr>
          <w:p>
            <w:pPr>
              <w:pStyle w:val="0"/>
              <w:jc w:val="center"/>
            </w:pPr>
            <w:r>
              <w:rPr>
                <w:sz w:val="20"/>
              </w:rPr>
              <w:t xml:space="preserve">Промежуточный результат</w:t>
            </w:r>
          </w:p>
        </w:tc>
        <w:tc>
          <w:tcPr>
            <w:tcW w:w="4365" w:type="dxa"/>
          </w:tcPr>
          <w:p>
            <w:pPr>
              <w:pStyle w:val="0"/>
              <w:jc w:val="both"/>
            </w:pPr>
            <w:r>
              <w:rPr>
                <w:sz w:val="20"/>
              </w:rPr>
              <w:t xml:space="preserve">Общее 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единиц</w:t>
            </w:r>
          </w:p>
        </w:tc>
        <w:tc>
          <w:tcPr>
            <w:tcW w:w="1418" w:type="dxa"/>
          </w:tcPr>
          <w:p>
            <w:pPr>
              <w:pStyle w:val="0"/>
              <w:jc w:val="center"/>
            </w:pPr>
            <w:r>
              <w:rPr>
                <w:sz w:val="20"/>
              </w:rPr>
              <w:t xml:space="preserve">35</w:t>
            </w:r>
          </w:p>
        </w:tc>
        <w:tc>
          <w:tcPr>
            <w:tcW w:w="1417" w:type="dxa"/>
          </w:tcPr>
          <w:p>
            <w:pPr>
              <w:pStyle w:val="0"/>
              <w:jc w:val="center"/>
            </w:pPr>
            <w:r>
              <w:rPr>
                <w:sz w:val="20"/>
              </w:rPr>
              <w:t xml:space="preserve">не менее 30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из них количество юридических лиц, не являющихся государственными учреждениями, индивидуальных предпринимателей, физических лиц - производителей товаров, работ, услуг, единиц</w:t>
            </w:r>
          </w:p>
        </w:tc>
        <w:tc>
          <w:tcPr>
            <w:tcW w:w="1418" w:type="dxa"/>
          </w:tcPr>
          <w:p>
            <w:pPr>
              <w:pStyle w:val="0"/>
              <w:jc w:val="center"/>
            </w:pPr>
            <w:r>
              <w:rPr>
                <w:sz w:val="20"/>
              </w:rPr>
              <w:t xml:space="preserve">12</w:t>
            </w:r>
          </w:p>
        </w:tc>
        <w:tc>
          <w:tcPr>
            <w:tcW w:w="1417" w:type="dxa"/>
          </w:tcPr>
          <w:p>
            <w:pPr>
              <w:pStyle w:val="0"/>
              <w:jc w:val="center"/>
            </w:pPr>
            <w:r>
              <w:rPr>
                <w:sz w:val="20"/>
              </w:rPr>
              <w:t xml:space="preserve">не менее 10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vMerge w:val="restart"/>
          </w:tcPr>
          <w:p>
            <w:pPr>
              <w:pStyle w:val="0"/>
              <w:jc w:val="center"/>
            </w:pPr>
            <w:r>
              <w:rPr>
                <w:sz w:val="20"/>
              </w:rPr>
              <w:t xml:space="preserve">Итоговый результат</w:t>
            </w:r>
          </w:p>
        </w:tc>
        <w:tc>
          <w:tcPr>
            <w:tcW w:w="4365" w:type="dxa"/>
          </w:tcPr>
          <w:p>
            <w:pPr>
              <w:pStyle w:val="0"/>
              <w:jc w:val="both"/>
            </w:pPr>
            <w:r>
              <w:rPr>
                <w:sz w:val="20"/>
              </w:rPr>
              <w:t xml:space="preserve">Общее количество потребителей услуг, получивших государственные услуги в социальной сфере, человек</w:t>
            </w:r>
          </w:p>
        </w:tc>
        <w:tc>
          <w:tcPr>
            <w:tcW w:w="1418" w:type="dxa"/>
          </w:tcPr>
          <w:p>
            <w:pPr>
              <w:pStyle w:val="0"/>
              <w:jc w:val="center"/>
            </w:pPr>
            <w:r>
              <w:rPr>
                <w:sz w:val="20"/>
              </w:rPr>
              <w:t xml:space="preserve">270</w:t>
            </w:r>
          </w:p>
        </w:tc>
        <w:tc>
          <w:tcPr>
            <w:tcW w:w="1417" w:type="dxa"/>
          </w:tcPr>
          <w:p>
            <w:pPr>
              <w:pStyle w:val="0"/>
              <w:jc w:val="center"/>
            </w:pPr>
            <w:r>
              <w:rPr>
                <w:sz w:val="20"/>
              </w:rPr>
              <w:t xml:space="preserve">не менее 200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количество потребителей услуг, получивших государственные услуги в социальной сфере, у исполнителей услуг, не являющихся государственными учреждениями, человек</w:t>
            </w:r>
          </w:p>
        </w:tc>
        <w:tc>
          <w:tcPr>
            <w:tcW w:w="1418" w:type="dxa"/>
          </w:tcPr>
          <w:p>
            <w:pPr>
              <w:pStyle w:val="0"/>
              <w:jc w:val="center"/>
            </w:pPr>
            <w:r>
              <w:rPr>
                <w:sz w:val="20"/>
              </w:rPr>
              <w:t xml:space="preserve">148</w:t>
            </w:r>
          </w:p>
        </w:tc>
        <w:tc>
          <w:tcPr>
            <w:tcW w:w="1417" w:type="dxa"/>
          </w:tcPr>
          <w:p>
            <w:pPr>
              <w:pStyle w:val="0"/>
              <w:jc w:val="center"/>
            </w:pPr>
            <w:r>
              <w:rPr>
                <w:sz w:val="20"/>
              </w:rPr>
              <w:t xml:space="preserve">не менее 80</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tcW w:w="589" w:type="dxa"/>
            <w:vMerge w:val="restart"/>
          </w:tcPr>
          <w:p>
            <w:pPr>
              <w:pStyle w:val="0"/>
              <w:jc w:val="center"/>
            </w:pPr>
            <w:r>
              <w:rPr>
                <w:sz w:val="20"/>
              </w:rPr>
              <w:t xml:space="preserve">4</w:t>
            </w:r>
          </w:p>
        </w:tc>
        <w:tc>
          <w:tcPr>
            <w:tcW w:w="2551" w:type="dxa"/>
            <w:vMerge w:val="restart"/>
          </w:tcPr>
          <w:p>
            <w:pPr>
              <w:pStyle w:val="0"/>
              <w:jc w:val="both"/>
            </w:pPr>
            <w:r>
              <w:rPr>
                <w:sz w:val="20"/>
              </w:rPr>
              <w:t xml:space="preserve">Повышение качества оказанных услуг</w:t>
            </w:r>
          </w:p>
        </w:tc>
        <w:tc>
          <w:tcPr>
            <w:tcW w:w="1843" w:type="dxa"/>
            <w:vMerge w:val="restart"/>
          </w:tcPr>
          <w:p>
            <w:pPr>
              <w:pStyle w:val="0"/>
              <w:jc w:val="center"/>
            </w:pPr>
            <w:r>
              <w:rPr>
                <w:sz w:val="20"/>
              </w:rPr>
              <w:t xml:space="preserve">Процесс</w:t>
            </w:r>
          </w:p>
        </w:tc>
        <w:tc>
          <w:tcPr>
            <w:tcW w:w="4365" w:type="dxa"/>
          </w:tcPr>
          <w:p>
            <w:pPr>
              <w:pStyle w:val="0"/>
              <w:jc w:val="both"/>
            </w:pPr>
            <w:r>
              <w:rPr>
                <w:sz w:val="20"/>
              </w:rPr>
              <w:t xml:space="preserve">Определение стандартов (порядков) оказания государственных услуг в социальной сфере и минимальных требований к качеству их оказания</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Создание системы мониторинга и оценки (в том числе информационной системы при наличии возможности) качества оказания государственных услуг в социальной сфере</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vMerge w:val="continue"/>
          </w:tcPr>
          <w:p/>
        </w:tc>
        <w:tc>
          <w:tcPr>
            <w:tcW w:w="4365" w:type="dxa"/>
          </w:tcPr>
          <w:p>
            <w:pPr>
              <w:pStyle w:val="0"/>
              <w:jc w:val="both"/>
            </w:pPr>
            <w:r>
              <w:rPr>
                <w:sz w:val="20"/>
              </w:rPr>
              <w:t xml:space="preserve">Наличие в Государственном комитете Республики Саха (Якутия) по занятости населения структурного подразделения, осуществляющего мониторинг оказания таких услуг в соответствии со стандартом (порядком) их оказания (далее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365" w:type="dxa"/>
          </w:tcPr>
          <w:p>
            <w:pPr>
              <w:pStyle w:val="0"/>
              <w:jc w:val="both"/>
            </w:pPr>
            <w:r>
              <w:rPr>
                <w:sz w:val="20"/>
              </w:rPr>
              <w:t xml:space="preserve">Количество юридических лиц, индивидуальных предпринимателей, физических лиц - производителей товаров, работ, услуг, оказывающих государственные услуги в социальной сфере, проводящих мониторинг оказания таких услуг в соответствии со стандартом (порядком) оказания государственных услуг в социальной сфере, единиц</w:t>
            </w:r>
          </w:p>
        </w:tc>
        <w:tc>
          <w:tcPr>
            <w:tcW w:w="1418" w:type="dxa"/>
          </w:tcPr>
          <w:p>
            <w:pPr>
              <w:pStyle w:val="0"/>
              <w:jc w:val="center"/>
            </w:pPr>
            <w:r>
              <w:rPr>
                <w:sz w:val="20"/>
              </w:rPr>
              <w:t xml:space="preserve">1</w:t>
            </w:r>
          </w:p>
        </w:tc>
        <w:tc>
          <w:tcPr>
            <w:tcW w:w="1417" w:type="dxa"/>
          </w:tcPr>
          <w:p>
            <w:pPr>
              <w:pStyle w:val="0"/>
              <w:jc w:val="center"/>
            </w:pPr>
            <w:r>
              <w:rPr>
                <w:sz w:val="20"/>
              </w:rPr>
              <w:t xml:space="preserve">не менее 1</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365" w:type="dxa"/>
          </w:tcPr>
          <w:p>
            <w:pPr>
              <w:pStyle w:val="0"/>
              <w:jc w:val="both"/>
            </w:pPr>
            <w:r>
              <w:rPr>
                <w:sz w:val="20"/>
              </w:rPr>
              <w:t xml:space="preserve">Доля соответствия показателей, определенных в рамках мероприятий по проведению мониторинга оказания государственных услуг в социальной сфере, показателям, включенным в чек-лист, определенная в ходе указанного мониторинга, проводимого структурным подразделением, процентов</w:t>
            </w:r>
          </w:p>
        </w:tc>
        <w:tc>
          <w:tcPr>
            <w:tcW w:w="1418" w:type="dxa"/>
          </w:tcPr>
          <w:p>
            <w:pPr>
              <w:pStyle w:val="0"/>
              <w:jc w:val="center"/>
            </w:pPr>
            <w:r>
              <w:rPr>
                <w:sz w:val="20"/>
              </w:rPr>
              <w:t xml:space="preserve">88,87%</w:t>
            </w:r>
          </w:p>
        </w:tc>
        <w:tc>
          <w:tcPr>
            <w:tcW w:w="1417" w:type="dxa"/>
          </w:tcPr>
          <w:p>
            <w:pPr>
              <w:pStyle w:val="0"/>
              <w:jc w:val="center"/>
            </w:pPr>
            <w:r>
              <w:rPr>
                <w:sz w:val="20"/>
              </w:rPr>
              <w:t xml:space="preserve">не менее 88,87%</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tcW w:w="589" w:type="dxa"/>
            <w:vMerge w:val="restart"/>
          </w:tcPr>
          <w:p>
            <w:pPr>
              <w:pStyle w:val="0"/>
              <w:jc w:val="center"/>
            </w:pPr>
            <w:r>
              <w:rPr>
                <w:sz w:val="20"/>
              </w:rPr>
              <w:t xml:space="preserve">5</w:t>
            </w:r>
          </w:p>
        </w:tc>
        <w:tc>
          <w:tcPr>
            <w:tcW w:w="2551" w:type="dxa"/>
            <w:vMerge w:val="restart"/>
          </w:tcPr>
          <w:p>
            <w:pPr>
              <w:pStyle w:val="0"/>
              <w:jc w:val="both"/>
            </w:pPr>
            <w:r>
              <w:rPr>
                <w:sz w:val="20"/>
              </w:rPr>
              <w:t xml:space="preserve">Рост удовлетворенности граждан оказанием государственных услуг в социальной сфере</w:t>
            </w:r>
          </w:p>
        </w:tc>
        <w:tc>
          <w:tcPr>
            <w:tcW w:w="1843" w:type="dxa"/>
          </w:tcPr>
          <w:p>
            <w:pPr>
              <w:pStyle w:val="0"/>
              <w:jc w:val="center"/>
            </w:pPr>
            <w:r>
              <w:rPr>
                <w:sz w:val="20"/>
              </w:rPr>
              <w:t xml:space="preserve">Процесс</w:t>
            </w:r>
          </w:p>
        </w:tc>
        <w:tc>
          <w:tcPr>
            <w:tcW w:w="4365" w:type="dxa"/>
          </w:tcPr>
          <w:p>
            <w:pPr>
              <w:pStyle w:val="0"/>
              <w:jc w:val="both"/>
            </w:pPr>
            <w:r>
              <w:rPr>
                <w:sz w:val="20"/>
              </w:rPr>
              <w:t xml:space="preserve">Создание механизмов обратной связи исполнителей услуг с потребителями услуг, которым указанные исполнители услуг оказали государственные услуги в социальной сфере</w:t>
            </w:r>
          </w:p>
        </w:tc>
        <w:tc>
          <w:tcPr>
            <w:tcW w:w="1418" w:type="dxa"/>
          </w:tcPr>
          <w:p>
            <w:pPr>
              <w:pStyle w:val="0"/>
              <w:jc w:val="center"/>
            </w:pPr>
            <w:r>
              <w:rPr>
                <w:sz w:val="20"/>
              </w:rPr>
              <w:t xml:space="preserve">да</w:t>
            </w:r>
          </w:p>
        </w:tc>
        <w:tc>
          <w:tcPr>
            <w:tcW w:w="1417" w:type="dxa"/>
          </w:tcPr>
          <w:p>
            <w:pPr>
              <w:pStyle w:val="0"/>
              <w:jc w:val="center"/>
            </w:pPr>
            <w:r>
              <w:rPr>
                <w:sz w:val="20"/>
              </w:rPr>
              <w:t xml:space="preserve">да</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Промежуточный результат</w:t>
            </w:r>
          </w:p>
        </w:tc>
        <w:tc>
          <w:tcPr>
            <w:tcW w:w="4365" w:type="dxa"/>
          </w:tcPr>
          <w:p>
            <w:pPr>
              <w:pStyle w:val="0"/>
              <w:jc w:val="both"/>
            </w:pPr>
            <w:r>
              <w:rPr>
                <w:sz w:val="20"/>
              </w:rPr>
              <w:t xml:space="preserve">Количество исполнителей услуг, оказывающих государственные услуги в социальной сфере, проводящих мониторинг удовлетворенности потребителей услуг, которым указанные исполнители оказали государственные услуги в социальной сфере, качеством оказанных услуг</w:t>
            </w:r>
          </w:p>
        </w:tc>
        <w:tc>
          <w:tcPr>
            <w:tcW w:w="1418" w:type="dxa"/>
          </w:tcPr>
          <w:p>
            <w:pPr>
              <w:pStyle w:val="0"/>
              <w:jc w:val="center"/>
            </w:pPr>
            <w:r>
              <w:rPr>
                <w:sz w:val="20"/>
              </w:rPr>
              <w:t xml:space="preserve">1</w:t>
            </w:r>
          </w:p>
        </w:tc>
        <w:tc>
          <w:tcPr>
            <w:tcW w:w="1417" w:type="dxa"/>
          </w:tcPr>
          <w:p>
            <w:pPr>
              <w:pStyle w:val="0"/>
              <w:jc w:val="center"/>
            </w:pPr>
            <w:r>
              <w:rPr>
                <w:sz w:val="20"/>
              </w:rPr>
              <w:t xml:space="preserve">не менее 1</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r>
        <w:tc>
          <w:tcPr>
            <w:vMerge w:val="continue"/>
          </w:tcPr>
          <w:p/>
        </w:tc>
        <w:tc>
          <w:tcPr>
            <w:vMerge w:val="continue"/>
          </w:tcPr>
          <w:p/>
        </w:tc>
        <w:tc>
          <w:tcPr>
            <w:tcW w:w="1843" w:type="dxa"/>
          </w:tcPr>
          <w:p>
            <w:pPr>
              <w:pStyle w:val="0"/>
              <w:jc w:val="center"/>
            </w:pPr>
            <w:r>
              <w:rPr>
                <w:sz w:val="20"/>
              </w:rPr>
              <w:t xml:space="preserve">Итоговый результат</w:t>
            </w:r>
          </w:p>
        </w:tc>
        <w:tc>
          <w:tcPr>
            <w:tcW w:w="4365" w:type="dxa"/>
          </w:tcPr>
          <w:p>
            <w:pPr>
              <w:pStyle w:val="0"/>
              <w:jc w:val="both"/>
            </w:pPr>
            <w:r>
              <w:rPr>
                <w:sz w:val="20"/>
              </w:rPr>
              <w:t xml:space="preserve">Процент потребителей услуг, удовлетворенных качеством государственных услуг в социальной сфере,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418" w:type="dxa"/>
          </w:tcPr>
          <w:p>
            <w:pPr>
              <w:pStyle w:val="0"/>
              <w:jc w:val="center"/>
            </w:pPr>
            <w:r>
              <w:rPr>
                <w:sz w:val="20"/>
              </w:rPr>
              <w:t xml:space="preserve">88,87%</w:t>
            </w:r>
          </w:p>
        </w:tc>
        <w:tc>
          <w:tcPr>
            <w:tcW w:w="1417" w:type="dxa"/>
          </w:tcPr>
          <w:p>
            <w:pPr>
              <w:pStyle w:val="0"/>
              <w:jc w:val="center"/>
            </w:pPr>
            <w:r>
              <w:rPr>
                <w:sz w:val="20"/>
              </w:rPr>
              <w:t xml:space="preserve">не менее 88,87%</w:t>
            </w:r>
          </w:p>
        </w:tc>
        <w:tc>
          <w:tcPr>
            <w:tcW w:w="3053" w:type="dxa"/>
          </w:tcPr>
          <w:p>
            <w:pPr>
              <w:pStyle w:val="0"/>
              <w:jc w:val="center"/>
            </w:pPr>
            <w:r>
              <w:rPr>
                <w:sz w:val="20"/>
              </w:rPr>
              <w:t xml:space="preserve">Государственный комитет Республики Саха (Якутия) по занятости населения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постановлению Правительства</w:t>
      </w:r>
    </w:p>
    <w:p>
      <w:pPr>
        <w:pStyle w:val="0"/>
        <w:jc w:val="right"/>
      </w:pPr>
      <w:r>
        <w:rPr>
          <w:sz w:val="20"/>
        </w:rPr>
        <w:t xml:space="preserve">Республики Саха (Якутия)</w:t>
      </w:r>
    </w:p>
    <w:p>
      <w:pPr>
        <w:pStyle w:val="0"/>
        <w:jc w:val="right"/>
      </w:pPr>
      <w:r>
        <w:rPr>
          <w:sz w:val="20"/>
        </w:rPr>
        <w:t xml:space="preserve">от 30 ноября 2021 г. N 500</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8" w:tooltip="Постановление Правительства РС(Я) от 15.07.2025 N 287 &quot;О внесении изменений в постановление Правительства Республики Саха (Якутия) от 30 ноября 2021 г. N 500 &quot;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quot; {КонсультантПлюс}">
              <w:r>
                <w:rPr>
                  <w:sz w:val="20"/>
                  <w:color w:val="0000ff"/>
                </w:rPr>
                <w:t xml:space="preserve">постановления</w:t>
              </w:r>
            </w:hyperlink>
            <w:r>
              <w:rPr>
                <w:sz w:val="20"/>
                <w:color w:val="392c69"/>
              </w:rPr>
              <w:t xml:space="preserve"> Правительства РС(Я) от 15.07.2025 N 287)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608"/>
        <w:gridCol w:w="6860"/>
        <w:gridCol w:w="1644"/>
        <w:gridCol w:w="1134"/>
      </w:tblGrid>
      <w:tr>
        <w:tblPrEx>
          <w:tblBorders>
            <w:right w:val="nil"/>
          </w:tblBorders>
        </w:tblPrEx>
        <w:tc>
          <w:tcPr>
            <w:gridSpan w:val="4"/>
            <w:tcW w:w="12246" w:type="dxa"/>
            <w:tcBorders>
              <w:top w:val="nil"/>
              <w:left w:val="nil"/>
              <w:bottom w:val="nil"/>
              <w:right w:val="nil"/>
            </w:tcBorders>
          </w:tcPr>
          <w:bookmarkStart w:id="2515" w:name="P2515"/>
          <w:bookmarkEnd w:id="2515"/>
          <w:p>
            <w:pPr>
              <w:pStyle w:val="0"/>
              <w:jc w:val="center"/>
            </w:pPr>
            <w:r>
              <w:rPr>
                <w:sz w:val="20"/>
              </w:rPr>
              <w:t xml:space="preserve">ОТЧЕТ</w:t>
            </w:r>
          </w:p>
          <w:p>
            <w:pPr>
              <w:pStyle w:val="0"/>
              <w:jc w:val="center"/>
            </w:pPr>
            <w:r>
              <w:rPr>
                <w:sz w:val="20"/>
              </w:rPr>
              <w:t xml:space="preserve">об исполнении государственного социального заказа</w:t>
            </w:r>
          </w:p>
          <w:p>
            <w:pPr>
              <w:pStyle w:val="0"/>
              <w:jc w:val="center"/>
            </w:pPr>
            <w:r>
              <w:rPr>
                <w:sz w:val="20"/>
              </w:rPr>
              <w:t xml:space="preserve">на оказание государственных услуг в социальной сфере,</w:t>
            </w:r>
          </w:p>
          <w:p>
            <w:pPr>
              <w:pStyle w:val="0"/>
              <w:jc w:val="center"/>
            </w:pPr>
            <w:r>
              <w:rPr>
                <w:sz w:val="20"/>
              </w:rPr>
              <w:t xml:space="preserve">отнесенных к полномочиям исполнительных органов</w:t>
            </w:r>
          </w:p>
          <w:p>
            <w:pPr>
              <w:pStyle w:val="0"/>
              <w:jc w:val="center"/>
            </w:pPr>
            <w:r>
              <w:rPr>
                <w:sz w:val="20"/>
              </w:rPr>
              <w:t xml:space="preserve">государственной власти Республики Саха (Якутия),</w:t>
            </w:r>
          </w:p>
          <w:p>
            <w:pPr>
              <w:pStyle w:val="0"/>
              <w:jc w:val="center"/>
            </w:pPr>
            <w:r>
              <w:rPr>
                <w:sz w:val="20"/>
              </w:rPr>
              <w:t xml:space="preserve">на 20____ год и на плановый период 20____ - 20____ годов </w:t>
            </w:r>
            <w:hyperlink w:history="0" w:anchor="P3944" w:tooltip="&lt;1&gt; - формируется с использованием государственной интегрированной информационной системы управления общественными финансами &quot;Электронный бюджет&quot;, в том числе посредством информационного взаимодействия с иными информационными системами исполнительных органов государственной власти Республики Саха (Якутия), осуществляющих функции и полномочия учредителя государственного бюджетного или автономного учреждения, оказывающего государственные услуги в социальной сфере, включенные в социальный заказ Республики С...">
              <w:r>
                <w:rPr>
                  <w:sz w:val="20"/>
                  <w:color w:val="0000ff"/>
                </w:rPr>
                <w:t xml:space="preserve">&lt;1&gt;</w:t>
              </w:r>
            </w:hyperlink>
          </w:p>
        </w:tc>
      </w:tr>
      <w:tr>
        <w:tc>
          <w:tcPr>
            <w:tcW w:w="2608" w:type="dxa"/>
            <w:tcBorders>
              <w:top w:val="nil"/>
              <w:left w:val="nil"/>
              <w:bottom w:val="nil"/>
              <w:right w:val="nil"/>
            </w:tcBorders>
          </w:tcPr>
          <w:p>
            <w:pPr>
              <w:pStyle w:val="0"/>
            </w:pPr>
            <w:r>
              <w:rPr>
                <w:sz w:val="20"/>
              </w:rPr>
            </w:r>
          </w:p>
        </w:tc>
        <w:tc>
          <w:tcPr>
            <w:tcW w:w="6860" w:type="dxa"/>
            <w:tcBorders>
              <w:top w:val="nil"/>
              <w:left w:val="nil"/>
              <w:bottom w:val="nil"/>
              <w:right w:val="nil"/>
            </w:tcBorders>
          </w:tcPr>
          <w:p>
            <w:pPr>
              <w:pStyle w:val="0"/>
            </w:pPr>
            <w:r>
              <w:rPr>
                <w:sz w:val="20"/>
              </w:rPr>
            </w:r>
          </w:p>
        </w:tc>
        <w:tc>
          <w:tcPr>
            <w:tcW w:w="1644"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both"/>
            </w:pPr>
            <w:r>
              <w:rPr>
                <w:sz w:val="20"/>
              </w:rPr>
              <w:t xml:space="preserve">КОДЫ</w:t>
            </w:r>
          </w:p>
        </w:tc>
      </w:tr>
      <w:tr>
        <w:tc>
          <w:tcPr>
            <w:tcW w:w="2608" w:type="dxa"/>
            <w:tcBorders>
              <w:top w:val="nil"/>
              <w:left w:val="nil"/>
              <w:bottom w:val="nil"/>
              <w:right w:val="nil"/>
            </w:tcBorders>
          </w:tcPr>
          <w:p>
            <w:pPr>
              <w:pStyle w:val="0"/>
            </w:pPr>
            <w:r>
              <w:rPr>
                <w:sz w:val="20"/>
              </w:rPr>
            </w:r>
          </w:p>
        </w:tc>
        <w:tc>
          <w:tcPr>
            <w:tcW w:w="6860" w:type="dxa"/>
            <w:tcBorders>
              <w:top w:val="nil"/>
              <w:left w:val="nil"/>
              <w:bottom w:val="nil"/>
              <w:right w:val="nil"/>
            </w:tcBorders>
          </w:tcPr>
          <w:p>
            <w:pPr>
              <w:pStyle w:val="0"/>
            </w:pPr>
            <w:r>
              <w:rPr>
                <w:sz w:val="20"/>
              </w:rPr>
            </w:r>
          </w:p>
        </w:tc>
        <w:tc>
          <w:tcPr>
            <w:tcW w:w="1644" w:type="dxa"/>
            <w:tcBorders>
              <w:top w:val="nil"/>
              <w:left w:val="nil"/>
              <w:bottom w:val="nil"/>
              <w:right w:val="single" w:sz="4"/>
            </w:tcBorders>
          </w:tcPr>
          <w:p>
            <w:pPr>
              <w:pStyle w:val="0"/>
              <w:jc w:val="right"/>
            </w:pPr>
            <w:r>
              <w:rPr>
                <w:sz w:val="20"/>
              </w:rPr>
              <w:t xml:space="preserve">Форма </w:t>
            </w:r>
            <w:hyperlink w:history="0" r:id="rId59" w:tooltip="&quot;ОК 011-93. Общероссийский классификатор управленческой документации&quot; (утв. Постановлением Госстандарта России от 30.12.1993 N 299) (ред. от 11.09.2025) {КонсультантПлюс}">
              <w:r>
                <w:rPr>
                  <w:sz w:val="20"/>
                  <w:color w:val="0000ff"/>
                </w:rPr>
                <w:t xml:space="preserve">ОКУД</w:t>
              </w:r>
            </w:hyperlink>
          </w:p>
        </w:tc>
        <w:tc>
          <w:tcPr>
            <w:tcW w:w="1134" w:type="dxa"/>
            <w:tcBorders>
              <w:top w:val="single" w:sz="4"/>
              <w:left w:val="single" w:sz="4"/>
              <w:bottom w:val="single" w:sz="4"/>
              <w:right w:val="single" w:sz="4"/>
            </w:tcBorders>
          </w:tcPr>
          <w:p>
            <w:pPr>
              <w:pStyle w:val="0"/>
            </w:pPr>
            <w:r>
              <w:rPr>
                <w:sz w:val="20"/>
              </w:rPr>
            </w:r>
          </w:p>
        </w:tc>
      </w:tr>
      <w:tr>
        <w:tc>
          <w:tcPr>
            <w:tcW w:w="2608" w:type="dxa"/>
            <w:tcBorders>
              <w:top w:val="nil"/>
              <w:left w:val="nil"/>
              <w:bottom w:val="nil"/>
              <w:right w:val="nil"/>
            </w:tcBorders>
          </w:tcPr>
          <w:p>
            <w:pPr>
              <w:pStyle w:val="0"/>
            </w:pPr>
            <w:r>
              <w:rPr>
                <w:sz w:val="20"/>
              </w:rPr>
            </w:r>
          </w:p>
        </w:tc>
        <w:tc>
          <w:tcPr>
            <w:tcW w:w="6860" w:type="dxa"/>
            <w:tcBorders>
              <w:top w:val="nil"/>
              <w:left w:val="nil"/>
              <w:bottom w:val="nil"/>
              <w:right w:val="nil"/>
            </w:tcBorders>
          </w:tcPr>
          <w:p>
            <w:pPr>
              <w:pStyle w:val="0"/>
              <w:jc w:val="center"/>
            </w:pPr>
            <w:r>
              <w:rPr>
                <w:sz w:val="20"/>
              </w:rPr>
              <w:t xml:space="preserve">на "____" ___________ 20______ г. </w:t>
            </w:r>
            <w:hyperlink w:history="0" w:anchor="P3945" w:tooltip="&lt;2&gt; - указывается дата, на которую составляется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
              <w:r>
                <w:rPr>
                  <w:sz w:val="20"/>
                  <w:color w:val="0000ff"/>
                </w:rPr>
                <w:t xml:space="preserve">&lt;2&gt;</w:t>
              </w:r>
            </w:hyperlink>
          </w:p>
        </w:tc>
        <w:tc>
          <w:tcPr>
            <w:tcW w:w="1644"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2608" w:type="dxa"/>
            <w:tcBorders>
              <w:top w:val="nil"/>
              <w:left w:val="nil"/>
              <w:bottom w:val="nil"/>
              <w:right w:val="nil"/>
            </w:tcBorders>
          </w:tcPr>
          <w:p>
            <w:pPr>
              <w:pStyle w:val="0"/>
            </w:pPr>
            <w:r>
              <w:rPr>
                <w:sz w:val="20"/>
              </w:rPr>
            </w:r>
          </w:p>
        </w:tc>
        <w:tc>
          <w:tcPr>
            <w:tcW w:w="6860" w:type="dxa"/>
            <w:tcBorders>
              <w:top w:val="nil"/>
              <w:left w:val="nil"/>
              <w:bottom w:val="nil"/>
              <w:right w:val="nil"/>
            </w:tcBorders>
          </w:tcPr>
          <w:p>
            <w:pPr>
              <w:pStyle w:val="0"/>
            </w:pPr>
            <w:r>
              <w:rPr>
                <w:sz w:val="20"/>
              </w:rPr>
            </w:r>
          </w:p>
        </w:tc>
        <w:tc>
          <w:tcPr>
            <w:tcW w:w="1644" w:type="dxa"/>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608" w:type="dxa"/>
            <w:tcBorders>
              <w:top w:val="nil"/>
              <w:left w:val="nil"/>
              <w:bottom w:val="nil"/>
              <w:right w:val="nil"/>
            </w:tcBorders>
          </w:tcPr>
          <w:p>
            <w:pPr>
              <w:pStyle w:val="0"/>
            </w:pPr>
            <w:r>
              <w:rPr>
                <w:sz w:val="20"/>
              </w:rPr>
              <w:t xml:space="preserve">Уполномоченный орган </w:t>
            </w:r>
            <w:hyperlink w:history="0" w:anchor="P3946" w:tooltip="&lt;3&gt; - указывается полное наименование уполномоченного органа, утверждающего социальный заказ Республики Саха (Якутия);">
              <w:r>
                <w:rPr>
                  <w:sz w:val="20"/>
                  <w:color w:val="0000ff"/>
                </w:rPr>
                <w:t xml:space="preserve">&lt;3&gt;</w:t>
              </w:r>
            </w:hyperlink>
          </w:p>
        </w:tc>
        <w:tc>
          <w:tcPr>
            <w:tcW w:w="6860" w:type="dxa"/>
            <w:tcBorders>
              <w:top w:val="nil"/>
              <w:left w:val="nil"/>
              <w:bottom w:val="nil"/>
              <w:right w:val="nil"/>
            </w:tcBorders>
          </w:tcPr>
          <w:p>
            <w:pPr>
              <w:pStyle w:val="0"/>
              <w:jc w:val="center"/>
            </w:pPr>
            <w:r>
              <w:rPr>
                <w:sz w:val="20"/>
              </w:rPr>
              <w:t xml:space="preserve">_____________________________________________</w:t>
            </w:r>
          </w:p>
        </w:tc>
        <w:tc>
          <w:tcPr>
            <w:tcW w:w="1644" w:type="dxa"/>
            <w:tcBorders>
              <w:top w:val="nil"/>
              <w:left w:val="nil"/>
              <w:bottom w:val="nil"/>
              <w:right w:val="single" w:sz="4"/>
            </w:tcBorders>
          </w:tcPr>
          <w:p>
            <w:pPr>
              <w:pStyle w:val="0"/>
              <w:jc w:val="right"/>
            </w:pPr>
            <w:r>
              <w:rPr>
                <w:sz w:val="20"/>
              </w:rPr>
              <w:t xml:space="preserve">Глава БК</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608" w:type="dxa"/>
            <w:tcBorders>
              <w:top w:val="nil"/>
              <w:left w:val="nil"/>
              <w:bottom w:val="nil"/>
              <w:right w:val="nil"/>
            </w:tcBorders>
          </w:tcPr>
          <w:p>
            <w:pPr>
              <w:pStyle w:val="0"/>
            </w:pPr>
            <w:r>
              <w:rPr>
                <w:sz w:val="20"/>
              </w:rPr>
            </w:r>
          </w:p>
        </w:tc>
        <w:tc>
          <w:tcPr>
            <w:tcW w:w="6860" w:type="dxa"/>
            <w:tcBorders>
              <w:top w:val="nil"/>
              <w:left w:val="nil"/>
              <w:bottom w:val="nil"/>
              <w:right w:val="nil"/>
            </w:tcBorders>
          </w:tcPr>
          <w:p>
            <w:pPr>
              <w:pStyle w:val="0"/>
              <w:jc w:val="center"/>
            </w:pPr>
            <w:r>
              <w:rPr>
                <w:sz w:val="20"/>
              </w:rPr>
              <w:t xml:space="preserve">(указывается полное наименование уполномоченного органа)</w:t>
            </w:r>
          </w:p>
        </w:tc>
        <w:tc>
          <w:tcPr>
            <w:tcW w:w="1644"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r>
        <w:tblPrEx>
          <w:tblBorders>
            <w:right w:val="nil"/>
          </w:tblBorders>
        </w:tblPrEx>
        <w:tc>
          <w:tcPr>
            <w:tcW w:w="2608" w:type="dxa"/>
            <w:tcBorders>
              <w:top w:val="nil"/>
              <w:left w:val="nil"/>
              <w:bottom w:val="nil"/>
              <w:right w:val="nil"/>
            </w:tcBorders>
          </w:tcPr>
          <w:p>
            <w:pPr>
              <w:pStyle w:val="0"/>
            </w:pPr>
            <w:r>
              <w:rPr>
                <w:sz w:val="20"/>
              </w:rPr>
              <w:t xml:space="preserve">Отрасль социальной сферы </w:t>
            </w:r>
            <w:hyperlink w:history="0" w:anchor="P3947" w:tooltip="&lt;4&gt; - указывается отрасль социальной сферы, в которой формируется социальный заказ Республики Саха (Якутия), соответствующая отрасли социальной сферы, определенной частью 1 статьи 1 Федерального закона &quot;О государственном (муниципальном) социальном заказе на оказание государственных (муниципальных) услуг в социальной сфере&quot;;">
              <w:r>
                <w:rPr>
                  <w:sz w:val="20"/>
                  <w:color w:val="0000ff"/>
                </w:rPr>
                <w:t xml:space="preserve">&lt;4&gt;</w:t>
              </w:r>
            </w:hyperlink>
          </w:p>
        </w:tc>
        <w:tc>
          <w:tcPr>
            <w:tcW w:w="686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1134" w:type="dxa"/>
            <w:tcBorders>
              <w:top w:val="nil"/>
              <w:left w:val="nil"/>
              <w:bottom w:val="nil"/>
              <w:right w:val="nil"/>
            </w:tcBorders>
          </w:tcPr>
          <w:p>
            <w:pPr>
              <w:pStyle w:val="0"/>
            </w:pPr>
            <w:r>
              <w:rPr>
                <w:sz w:val="20"/>
              </w:rPr>
            </w:r>
          </w:p>
        </w:tc>
      </w:tr>
      <w:tr>
        <w:tblPrEx>
          <w:tblBorders>
            <w:right w:val="nil"/>
          </w:tblBorders>
        </w:tblPrEx>
        <w:tc>
          <w:tcPr>
            <w:tcW w:w="2608" w:type="dxa"/>
            <w:tcBorders>
              <w:top w:val="nil"/>
              <w:left w:val="nil"/>
              <w:bottom w:val="nil"/>
              <w:right w:val="nil"/>
            </w:tcBorders>
          </w:tcPr>
          <w:p>
            <w:pPr>
              <w:pStyle w:val="0"/>
            </w:pPr>
            <w:r>
              <w:rPr>
                <w:sz w:val="20"/>
              </w:rPr>
              <w:t xml:space="preserve">Периодичность </w:t>
            </w:r>
            <w:hyperlink w:history="0" w:anchor="P3948" w:tooltip="&lt;5&gt; - указывается 9 месяцев при формировании отчета по итогам исполнения социального заказа Республики Саха (Якутия) за 9 месяцев текущего финансового года или один год при формировании отчета по итогам исполнения социального заказа Республики Саха (Якутия) за отчетный финансовый год;">
              <w:r>
                <w:rPr>
                  <w:sz w:val="20"/>
                  <w:color w:val="0000ff"/>
                </w:rPr>
                <w:t xml:space="preserve">&lt;5&gt;</w:t>
              </w:r>
            </w:hyperlink>
          </w:p>
        </w:tc>
        <w:tc>
          <w:tcPr>
            <w:tcW w:w="686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1134" w:type="dxa"/>
            <w:tcBorders>
              <w:top w:val="nil"/>
              <w:left w:val="nil"/>
              <w:bottom w:val="nil"/>
              <w:right w:val="nil"/>
            </w:tcBorders>
          </w:tcPr>
          <w:p>
            <w:pPr>
              <w:pStyle w:val="0"/>
            </w:pPr>
            <w:r>
              <w:rPr>
                <w:sz w:val="20"/>
              </w:rPr>
            </w:r>
          </w:p>
        </w:tc>
      </w:tr>
    </w:tbl>
    <w:p>
      <w:pPr>
        <w:pStyle w:val="0"/>
        <w:jc w:val="both"/>
      </w:pPr>
      <w:r>
        <w:rPr>
          <w:sz w:val="20"/>
        </w:rPr>
      </w:r>
    </w:p>
    <w:p>
      <w:pPr>
        <w:pStyle w:val="0"/>
        <w:outlineLvl w:val="1"/>
        <w:jc w:val="center"/>
      </w:pPr>
      <w:r>
        <w:rPr>
          <w:sz w:val="20"/>
        </w:rPr>
        <w:t xml:space="preserve">I. Сведения о фактическом достижении показателей,</w:t>
      </w:r>
    </w:p>
    <w:p>
      <w:pPr>
        <w:pStyle w:val="0"/>
        <w:jc w:val="center"/>
      </w:pPr>
      <w:r>
        <w:rPr>
          <w:sz w:val="20"/>
        </w:rPr>
        <w:t xml:space="preserve">характеризующих объем оказания государственной услуги</w:t>
      </w:r>
    </w:p>
    <w:p>
      <w:pPr>
        <w:pStyle w:val="0"/>
        <w:jc w:val="center"/>
      </w:pPr>
      <w:r>
        <w:rPr>
          <w:sz w:val="20"/>
        </w:rPr>
        <w:t xml:space="preserve">в социальной сфере (укрупненной государственной услуги)</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1134"/>
        <w:gridCol w:w="1077"/>
        <w:gridCol w:w="737"/>
        <w:gridCol w:w="680"/>
        <w:gridCol w:w="794"/>
        <w:gridCol w:w="737"/>
        <w:gridCol w:w="907"/>
        <w:gridCol w:w="1247"/>
        <w:gridCol w:w="794"/>
        <w:gridCol w:w="1020"/>
        <w:gridCol w:w="1020"/>
        <w:gridCol w:w="737"/>
        <w:gridCol w:w="964"/>
        <w:gridCol w:w="1134"/>
        <w:gridCol w:w="992"/>
        <w:gridCol w:w="873"/>
        <w:gridCol w:w="907"/>
        <w:gridCol w:w="1701"/>
        <w:gridCol w:w="1701"/>
      </w:tblGrid>
      <w:tr>
        <w:tc>
          <w:tcPr>
            <w:tcW w:w="1077" w:type="dxa"/>
            <w:vMerge w:val="restart"/>
          </w:tcPr>
          <w:p>
            <w:pPr>
              <w:pStyle w:val="0"/>
              <w:jc w:val="center"/>
            </w:pPr>
            <w:r>
              <w:rPr>
                <w:sz w:val="20"/>
              </w:rPr>
              <w:t xml:space="preserve">Наименование государственной услуги (укрупненной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134" w:type="dxa"/>
            <w:vMerge w:val="restart"/>
          </w:tcPr>
          <w:p>
            <w:pPr>
              <w:pStyle w:val="0"/>
              <w:jc w:val="center"/>
            </w:pPr>
            <w:r>
              <w:rPr>
                <w:sz w:val="20"/>
              </w:rPr>
              <w:t xml:space="preserve">Год определения исполнителей государственной услуги (укрупненной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077" w:type="dxa"/>
            <w:vMerge w:val="restart"/>
          </w:tcPr>
          <w:p>
            <w:pPr>
              <w:pStyle w:val="0"/>
              <w:jc w:val="center"/>
            </w:pPr>
            <w:r>
              <w:rPr>
                <w:sz w:val="20"/>
              </w:rPr>
              <w:t xml:space="preserve">Место оказания государственной услуги (укрупненной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gridSpan w:val="3"/>
            <w:tcW w:w="2211" w:type="dxa"/>
          </w:tcPr>
          <w:p>
            <w:pPr>
              <w:pStyle w:val="0"/>
              <w:jc w:val="center"/>
            </w:pPr>
            <w:r>
              <w:rPr>
                <w:sz w:val="20"/>
              </w:rPr>
              <w:t xml:space="preserve">Показатель, характеризующий объем оказания государственной услуги (укрупненной государственной услуги)</w:t>
            </w:r>
          </w:p>
        </w:tc>
        <w:tc>
          <w:tcPr>
            <w:gridSpan w:val="5"/>
            <w:tcW w:w="4705" w:type="dxa"/>
          </w:tcPr>
          <w:p>
            <w:pPr>
              <w:pStyle w:val="0"/>
              <w:jc w:val="center"/>
            </w:pPr>
            <w:r>
              <w:rPr>
                <w:sz w:val="20"/>
              </w:rPr>
              <w:t xml:space="preserve">Значение планового показателя, характеризующего объем оказания государственной услуги (укрупненной государственной услуги)</w:t>
            </w:r>
          </w:p>
        </w:tc>
        <w:tc>
          <w:tcPr>
            <w:tcW w:w="1020" w:type="dxa"/>
            <w:vMerge w:val="restart"/>
          </w:tcPr>
          <w:p>
            <w:pPr>
              <w:pStyle w:val="0"/>
              <w:jc w:val="center"/>
            </w:pPr>
            <w:r>
              <w:rPr>
                <w:sz w:val="20"/>
              </w:rPr>
              <w:t xml:space="preserve">Значение предельного допустимого возможного отклонения от показателя, характеризующего объем оказания государственной услуги </w:t>
            </w:r>
            <w:hyperlink w:history="0" w:anchor="P3951" w:tooltip="&lt;8&gt; - указывается числовое значение предельных допустимых возможных отклонений в процентах или абсолютных величинах от показателей, характеризующих объем оказания государственной услуги (укрупненной государственной услуги), включенной в социальный заказ Республики Саха (Якутия) (при наличии). В случае если социальный заказ Республики Саха (Якутия) сформирован в отношении укрупненных государственных услуг, а предельные допустимые возможные отклонения определены в отношении включенных в социальный заказ Ре...">
              <w:r>
                <w:rPr>
                  <w:sz w:val="20"/>
                  <w:color w:val="0000ff"/>
                </w:rPr>
                <w:t xml:space="preserve">&lt;8&gt;</w:t>
              </w:r>
            </w:hyperlink>
          </w:p>
        </w:tc>
        <w:tc>
          <w:tcPr>
            <w:gridSpan w:val="5"/>
            <w:tcW w:w="4700" w:type="dxa"/>
          </w:tcPr>
          <w:p>
            <w:pPr>
              <w:pStyle w:val="0"/>
              <w:jc w:val="center"/>
            </w:pPr>
            <w:r>
              <w:rPr>
                <w:sz w:val="20"/>
              </w:rPr>
              <w:t xml:space="preserve">Значение фактического показателя, характеризующего объем оказания государственной услуги</w:t>
            </w:r>
          </w:p>
          <w:p>
            <w:pPr>
              <w:pStyle w:val="0"/>
              <w:jc w:val="center"/>
            </w:pPr>
            <w:r>
              <w:rPr>
                <w:sz w:val="20"/>
              </w:rPr>
              <w:t xml:space="preserve">(укрупненной государственной услуги), на "___" __________ 20__ г. </w:t>
            </w:r>
            <w:hyperlink w:history="0" w:anchor="P3945" w:tooltip="&lt;2&gt; - указывается дата, на которую составляется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
              <w:r>
                <w:rPr>
                  <w:sz w:val="20"/>
                  <w:color w:val="0000ff"/>
                </w:rPr>
                <w:t xml:space="preserve">&lt;2&gt;</w:t>
              </w:r>
            </w:hyperlink>
          </w:p>
        </w:tc>
        <w:tc>
          <w:tcPr>
            <w:tcW w:w="907" w:type="dxa"/>
            <w:vMerge w:val="restart"/>
          </w:tcPr>
          <w:p>
            <w:pPr>
              <w:pStyle w:val="0"/>
              <w:jc w:val="center"/>
            </w:pPr>
            <w:r>
              <w:rPr>
                <w:sz w:val="20"/>
              </w:rPr>
              <w:t xml:space="preserve">Значение фактического отклонения от показателя, характеризующего объем оказания государственной услуги (укрупненной государственной услуги) </w:t>
            </w:r>
            <w:hyperlink w:history="0" w:anchor="P3954" w:tooltip="&lt;11&gt; - указывается разница граф 13 и 7;">
              <w:r>
                <w:rPr>
                  <w:sz w:val="20"/>
                  <w:color w:val="0000ff"/>
                </w:rPr>
                <w:t xml:space="preserve">&lt;11&gt;</w:t>
              </w:r>
            </w:hyperlink>
          </w:p>
        </w:tc>
        <w:tc>
          <w:tcPr>
            <w:tcW w:w="1701" w:type="dxa"/>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 </w:t>
            </w:r>
            <w:hyperlink w:history="0" w:anchor="P3955" w:tooltip="&lt;12&gt; - указывается количество исполнителей услуг, указанных в разделе IV настоящего докумен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
              <w:r>
                <w:rPr>
                  <w:sz w:val="20"/>
                  <w:color w:val="0000ff"/>
                </w:rPr>
                <w:t xml:space="preserve">&lt;12&gt;</w:t>
              </w:r>
            </w:hyperlink>
          </w:p>
        </w:tc>
        <w:tc>
          <w:tcPr>
            <w:tcW w:w="1701" w:type="dxa"/>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объем оказания государственной услуги (укрупненной государственной услуги) </w:t>
            </w:r>
            <w:hyperlink w:history="0" w:anchor="P3956" w:tooltip="&lt;13&gt; - указывается доля в процентах исполнителей услуг, указанных в разделе IV настоящего докумен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 от общего количества исполнителей услуг, указанных в разделе IV настоящего документа;">
              <w:r>
                <w:rPr>
                  <w:sz w:val="20"/>
                  <w:color w:val="0000ff"/>
                </w:rPr>
                <w:t xml:space="preserve">&lt;13&gt;</w:t>
              </w:r>
            </w:hyperlink>
          </w:p>
        </w:tc>
      </w:tr>
      <w:tr>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gridSpan w:val="2"/>
            <w:tcW w:w="1474" w:type="dxa"/>
          </w:tcPr>
          <w:p>
            <w:pPr>
              <w:pStyle w:val="0"/>
              <w:jc w:val="center"/>
            </w:pPr>
            <w:r>
              <w:rPr>
                <w:sz w:val="20"/>
              </w:rPr>
              <w:t xml:space="preserve">единица измерения</w:t>
            </w:r>
          </w:p>
        </w:tc>
        <w:tc>
          <w:tcPr>
            <w:tcW w:w="737" w:type="dxa"/>
            <w:vMerge w:val="restart"/>
          </w:tcPr>
          <w:p>
            <w:pPr>
              <w:pStyle w:val="0"/>
              <w:jc w:val="center"/>
            </w:pPr>
            <w:r>
              <w:rPr>
                <w:sz w:val="20"/>
              </w:rPr>
              <w:t xml:space="preserve">всего </w:t>
            </w:r>
            <w:hyperlink w:history="0" w:anchor="P3950" w:tooltip="&lt;7&gt; - рассчитывается как сумма показателей граф 8, 9, 10 и 11;">
              <w:r>
                <w:rPr>
                  <w:sz w:val="20"/>
                  <w:color w:val="0000ff"/>
                </w:rPr>
                <w:t xml:space="preserve">&lt;7&gt;</w:t>
              </w:r>
            </w:hyperlink>
          </w:p>
        </w:tc>
        <w:tc>
          <w:tcPr>
            <w:gridSpan w:val="4"/>
            <w:tcW w:w="3968" w:type="dxa"/>
          </w:tcPr>
          <w:p>
            <w:pPr>
              <w:pStyle w:val="0"/>
              <w:jc w:val="center"/>
            </w:pPr>
            <w:r>
              <w:rPr>
                <w:sz w:val="20"/>
              </w:rPr>
              <w:t xml:space="preserve">в том числе</w:t>
            </w:r>
          </w:p>
        </w:tc>
        <w:tc>
          <w:tcPr>
            <w:vMerge w:val="continue"/>
          </w:tcPr>
          <w:p/>
        </w:tc>
        <w:tc>
          <w:tcPr>
            <w:tcW w:w="737" w:type="dxa"/>
            <w:vMerge w:val="restart"/>
          </w:tcPr>
          <w:p>
            <w:pPr>
              <w:pStyle w:val="0"/>
              <w:jc w:val="center"/>
            </w:pPr>
            <w:r>
              <w:rPr>
                <w:sz w:val="20"/>
              </w:rPr>
              <w:t xml:space="preserve">всего </w:t>
            </w:r>
            <w:hyperlink w:history="0" w:anchor="P3952" w:tooltip="&lt;9&gt; - рассчитывается как сумма показателей граф 14, 15, 16 и 17;">
              <w:r>
                <w:rPr>
                  <w:sz w:val="20"/>
                  <w:color w:val="0000ff"/>
                </w:rPr>
                <w:t xml:space="preserve">&lt;9&gt;</w:t>
              </w:r>
            </w:hyperlink>
          </w:p>
        </w:tc>
        <w:tc>
          <w:tcPr>
            <w:gridSpan w:val="4"/>
            <w:tcW w:w="3963" w:type="dxa"/>
          </w:tcPr>
          <w:p>
            <w:pPr>
              <w:pStyle w:val="0"/>
              <w:jc w:val="center"/>
            </w:pPr>
            <w:r>
              <w:rPr>
                <w:sz w:val="20"/>
              </w:rPr>
              <w:t xml:space="preserve">в том числе</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наименование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794" w:type="dxa"/>
          </w:tcPr>
          <w:p>
            <w:pPr>
              <w:pStyle w:val="0"/>
              <w:jc w:val="center"/>
            </w:pPr>
            <w:r>
              <w:rPr>
                <w:sz w:val="20"/>
              </w:rPr>
              <w:t xml:space="preserve">код по </w:t>
            </w:r>
            <w:hyperlink w:history="0" r:id="rId6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vMerge w:val="continue"/>
          </w:tcPr>
          <w:p/>
        </w:tc>
        <w:tc>
          <w:tcPr>
            <w:tcW w:w="907"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247"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794" w:type="dxa"/>
          </w:tcPr>
          <w:p>
            <w:pPr>
              <w:pStyle w:val="0"/>
              <w:jc w:val="center"/>
            </w:pPr>
            <w:r>
              <w:rPr>
                <w:sz w:val="20"/>
              </w:rPr>
              <w:t xml:space="preserve">оказываемой в соответствии с конкурсом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020" w:type="dxa"/>
          </w:tcPr>
          <w:p>
            <w:pPr>
              <w:pStyle w:val="0"/>
              <w:jc w:val="center"/>
            </w:pPr>
            <w:r>
              <w:rPr>
                <w:sz w:val="20"/>
              </w:rPr>
              <w:t xml:space="preserve">оказываемой в соответствии с социальными сертификатами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vMerge w:val="continue"/>
          </w:tcPr>
          <w:p/>
        </w:tc>
        <w:tc>
          <w:tcPr>
            <w:vMerge w:val="continue"/>
          </w:tcPr>
          <w:p/>
        </w:tc>
        <w:tc>
          <w:tcPr>
            <w:tcW w:w="964" w:type="dxa"/>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3953" w:tooltip="&lt;10&gt; - указывается нарастающим итогом на основании информации, включенной в раздел IV настоящего документа в соответствии с общими требованиями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
              <w:r>
                <w:rPr>
                  <w:sz w:val="20"/>
                  <w:color w:val="0000ff"/>
                </w:rPr>
                <w:t xml:space="preserve">&lt;10&gt;</w:t>
              </w:r>
            </w:hyperlink>
          </w:p>
        </w:tc>
        <w:tc>
          <w:tcPr>
            <w:tcW w:w="1134" w:type="dxa"/>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3953" w:tooltip="&lt;10&gt; - указывается нарастающим итогом на основании информации, включенной в раздел IV настоящего документа в соответствии с общими требованиями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
              <w:r>
                <w:rPr>
                  <w:sz w:val="20"/>
                  <w:color w:val="0000ff"/>
                </w:rPr>
                <w:t xml:space="preserve">&lt;10&gt;</w:t>
              </w:r>
            </w:hyperlink>
          </w:p>
        </w:tc>
        <w:tc>
          <w:tcPr>
            <w:tcW w:w="992" w:type="dxa"/>
          </w:tcPr>
          <w:p>
            <w:pPr>
              <w:pStyle w:val="0"/>
              <w:jc w:val="center"/>
            </w:pPr>
            <w:r>
              <w:rPr>
                <w:sz w:val="20"/>
              </w:rPr>
              <w:t xml:space="preserve">оказываемой в соответствии с конкурсом </w:t>
            </w:r>
            <w:hyperlink w:history="0" w:anchor="P3953" w:tooltip="&lt;10&gt; - указывается нарастающим итогом на основании информации, включенной в раздел IV настоящего документа в соответствии с общими требованиями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
              <w:r>
                <w:rPr>
                  <w:sz w:val="20"/>
                  <w:color w:val="0000ff"/>
                </w:rPr>
                <w:t xml:space="preserve">&lt;10&gt;</w:t>
              </w:r>
            </w:hyperlink>
          </w:p>
        </w:tc>
        <w:tc>
          <w:tcPr>
            <w:tcW w:w="873" w:type="dxa"/>
          </w:tcPr>
          <w:p>
            <w:pPr>
              <w:pStyle w:val="0"/>
              <w:jc w:val="center"/>
            </w:pPr>
            <w:r>
              <w:rPr>
                <w:sz w:val="20"/>
              </w:rPr>
              <w:t xml:space="preserve">оказываемой в соответствии с социальными сертификатами </w:t>
            </w:r>
            <w:hyperlink w:history="0" w:anchor="P3953" w:tooltip="&lt;10&gt; - указывается нарастающим итогом на основании информации, включенной в раздел IV настоящего документа в соответствии с общими требованиями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
              <w:r>
                <w:rPr>
                  <w:sz w:val="20"/>
                  <w:color w:val="0000ff"/>
                </w:rPr>
                <w:t xml:space="preserve">&lt;10&gt;</w:t>
              </w:r>
            </w:hyperlink>
          </w:p>
        </w:tc>
        <w:tc>
          <w:tcPr>
            <w:vMerge w:val="continue"/>
          </w:tcPr>
          <w:p/>
        </w:tc>
        <w:tc>
          <w:tcPr>
            <w:vMerge w:val="continue"/>
          </w:tcPr>
          <w:p/>
        </w:tc>
        <w:tc>
          <w:tcPr>
            <w:vMerge w:val="continue"/>
          </w:tcPr>
          <w:p/>
        </w:tc>
      </w:tr>
      <w:tr>
        <w:tc>
          <w:tcPr>
            <w:tcW w:w="1077" w:type="dxa"/>
          </w:tcPr>
          <w:p>
            <w:pPr>
              <w:pStyle w:val="0"/>
              <w:jc w:val="center"/>
            </w:pPr>
            <w:r>
              <w:rPr>
                <w:sz w:val="20"/>
              </w:rPr>
              <w:t xml:space="preserve">1</w:t>
            </w:r>
          </w:p>
        </w:tc>
        <w:tc>
          <w:tcPr>
            <w:tcW w:w="1134" w:type="dxa"/>
          </w:tcPr>
          <w:p>
            <w:pPr>
              <w:pStyle w:val="0"/>
              <w:jc w:val="center"/>
            </w:pPr>
            <w:r>
              <w:rPr>
                <w:sz w:val="20"/>
              </w:rPr>
              <w:t xml:space="preserve">2</w:t>
            </w:r>
          </w:p>
        </w:tc>
        <w:tc>
          <w:tcPr>
            <w:tcW w:w="1077" w:type="dxa"/>
          </w:tcPr>
          <w:p>
            <w:pPr>
              <w:pStyle w:val="0"/>
              <w:jc w:val="center"/>
            </w:pPr>
            <w:r>
              <w:rPr>
                <w:sz w:val="20"/>
              </w:rPr>
              <w:t xml:space="preserve">3</w:t>
            </w:r>
          </w:p>
        </w:tc>
        <w:tc>
          <w:tcPr>
            <w:tcW w:w="737" w:type="dxa"/>
          </w:tcPr>
          <w:p>
            <w:pPr>
              <w:pStyle w:val="0"/>
              <w:jc w:val="center"/>
            </w:pPr>
            <w:r>
              <w:rPr>
                <w:sz w:val="20"/>
              </w:rPr>
              <w:t xml:space="preserve">4</w:t>
            </w:r>
          </w:p>
        </w:tc>
        <w:tc>
          <w:tcPr>
            <w:tcW w:w="680" w:type="dxa"/>
          </w:tcPr>
          <w:p>
            <w:pPr>
              <w:pStyle w:val="0"/>
              <w:jc w:val="center"/>
            </w:pPr>
            <w:r>
              <w:rPr>
                <w:sz w:val="20"/>
              </w:rPr>
              <w:t xml:space="preserve">5</w:t>
            </w:r>
          </w:p>
        </w:tc>
        <w:tc>
          <w:tcPr>
            <w:tcW w:w="794" w:type="dxa"/>
          </w:tcPr>
          <w:p>
            <w:pPr>
              <w:pStyle w:val="0"/>
              <w:jc w:val="center"/>
            </w:pPr>
            <w:r>
              <w:rPr>
                <w:sz w:val="20"/>
              </w:rPr>
              <w:t xml:space="preserve">6</w:t>
            </w:r>
          </w:p>
        </w:tc>
        <w:tc>
          <w:tcPr>
            <w:tcW w:w="737" w:type="dxa"/>
          </w:tcPr>
          <w:bookmarkStart w:id="2591" w:name="P2591"/>
          <w:bookmarkEnd w:id="2591"/>
          <w:p>
            <w:pPr>
              <w:pStyle w:val="0"/>
              <w:jc w:val="center"/>
            </w:pPr>
            <w:r>
              <w:rPr>
                <w:sz w:val="20"/>
              </w:rPr>
              <w:t xml:space="preserve">7</w:t>
            </w:r>
          </w:p>
        </w:tc>
        <w:tc>
          <w:tcPr>
            <w:tcW w:w="907" w:type="dxa"/>
          </w:tcPr>
          <w:bookmarkStart w:id="2592" w:name="P2592"/>
          <w:bookmarkEnd w:id="2592"/>
          <w:p>
            <w:pPr>
              <w:pStyle w:val="0"/>
              <w:jc w:val="center"/>
            </w:pPr>
            <w:r>
              <w:rPr>
                <w:sz w:val="20"/>
              </w:rPr>
              <w:t xml:space="preserve">8</w:t>
            </w:r>
          </w:p>
        </w:tc>
        <w:tc>
          <w:tcPr>
            <w:tcW w:w="1247" w:type="dxa"/>
          </w:tcPr>
          <w:bookmarkStart w:id="2593" w:name="P2593"/>
          <w:bookmarkEnd w:id="2593"/>
          <w:p>
            <w:pPr>
              <w:pStyle w:val="0"/>
              <w:jc w:val="center"/>
            </w:pPr>
            <w:r>
              <w:rPr>
                <w:sz w:val="20"/>
              </w:rPr>
              <w:t xml:space="preserve">9</w:t>
            </w:r>
          </w:p>
        </w:tc>
        <w:tc>
          <w:tcPr>
            <w:tcW w:w="794" w:type="dxa"/>
          </w:tcPr>
          <w:bookmarkStart w:id="2594" w:name="P2594"/>
          <w:bookmarkEnd w:id="2594"/>
          <w:p>
            <w:pPr>
              <w:pStyle w:val="0"/>
              <w:jc w:val="center"/>
            </w:pPr>
            <w:r>
              <w:rPr>
                <w:sz w:val="20"/>
              </w:rPr>
              <w:t xml:space="preserve">10</w:t>
            </w:r>
          </w:p>
        </w:tc>
        <w:tc>
          <w:tcPr>
            <w:tcW w:w="1020" w:type="dxa"/>
          </w:tcPr>
          <w:bookmarkStart w:id="2595" w:name="P2595"/>
          <w:bookmarkEnd w:id="2595"/>
          <w:p>
            <w:pPr>
              <w:pStyle w:val="0"/>
              <w:jc w:val="center"/>
            </w:pPr>
            <w:r>
              <w:rPr>
                <w:sz w:val="20"/>
              </w:rPr>
              <w:t xml:space="preserve">11</w:t>
            </w:r>
          </w:p>
        </w:tc>
        <w:tc>
          <w:tcPr>
            <w:tcW w:w="1020" w:type="dxa"/>
          </w:tcPr>
          <w:bookmarkStart w:id="2596" w:name="P2596"/>
          <w:bookmarkEnd w:id="2596"/>
          <w:p>
            <w:pPr>
              <w:pStyle w:val="0"/>
              <w:jc w:val="center"/>
            </w:pPr>
            <w:r>
              <w:rPr>
                <w:sz w:val="20"/>
              </w:rPr>
              <w:t xml:space="preserve">12</w:t>
            </w:r>
          </w:p>
        </w:tc>
        <w:tc>
          <w:tcPr>
            <w:tcW w:w="737" w:type="dxa"/>
          </w:tcPr>
          <w:bookmarkStart w:id="2597" w:name="P2597"/>
          <w:bookmarkEnd w:id="2597"/>
          <w:p>
            <w:pPr>
              <w:pStyle w:val="0"/>
              <w:jc w:val="center"/>
            </w:pPr>
            <w:r>
              <w:rPr>
                <w:sz w:val="20"/>
              </w:rPr>
              <w:t xml:space="preserve">13</w:t>
            </w:r>
          </w:p>
        </w:tc>
        <w:tc>
          <w:tcPr>
            <w:tcW w:w="964" w:type="dxa"/>
          </w:tcPr>
          <w:bookmarkStart w:id="2598" w:name="P2598"/>
          <w:bookmarkEnd w:id="2598"/>
          <w:p>
            <w:pPr>
              <w:pStyle w:val="0"/>
              <w:jc w:val="center"/>
            </w:pPr>
            <w:r>
              <w:rPr>
                <w:sz w:val="20"/>
              </w:rPr>
              <w:t xml:space="preserve">14</w:t>
            </w:r>
          </w:p>
        </w:tc>
        <w:tc>
          <w:tcPr>
            <w:tcW w:w="1134" w:type="dxa"/>
          </w:tcPr>
          <w:bookmarkStart w:id="2599" w:name="P2599"/>
          <w:bookmarkEnd w:id="2599"/>
          <w:p>
            <w:pPr>
              <w:pStyle w:val="0"/>
              <w:jc w:val="center"/>
            </w:pPr>
            <w:r>
              <w:rPr>
                <w:sz w:val="20"/>
              </w:rPr>
              <w:t xml:space="preserve">15</w:t>
            </w:r>
          </w:p>
        </w:tc>
        <w:tc>
          <w:tcPr>
            <w:tcW w:w="992" w:type="dxa"/>
          </w:tcPr>
          <w:bookmarkStart w:id="2600" w:name="P2600"/>
          <w:bookmarkEnd w:id="2600"/>
          <w:p>
            <w:pPr>
              <w:pStyle w:val="0"/>
              <w:jc w:val="center"/>
            </w:pPr>
            <w:r>
              <w:rPr>
                <w:sz w:val="20"/>
              </w:rPr>
              <w:t xml:space="preserve">16</w:t>
            </w:r>
          </w:p>
        </w:tc>
        <w:tc>
          <w:tcPr>
            <w:tcW w:w="873" w:type="dxa"/>
          </w:tcPr>
          <w:bookmarkStart w:id="2601" w:name="P2601"/>
          <w:bookmarkEnd w:id="2601"/>
          <w:p>
            <w:pPr>
              <w:pStyle w:val="0"/>
              <w:jc w:val="center"/>
            </w:pPr>
            <w:r>
              <w:rPr>
                <w:sz w:val="20"/>
              </w:rPr>
              <w:t xml:space="preserve">17</w:t>
            </w:r>
          </w:p>
        </w:tc>
        <w:tc>
          <w:tcPr>
            <w:tcW w:w="907" w:type="dxa"/>
          </w:tcPr>
          <w:p>
            <w:pPr>
              <w:pStyle w:val="0"/>
              <w:jc w:val="center"/>
            </w:pPr>
            <w:r>
              <w:rPr>
                <w:sz w:val="20"/>
              </w:rPr>
              <w:t xml:space="preserve">18</w:t>
            </w:r>
          </w:p>
        </w:tc>
        <w:tc>
          <w:tcPr>
            <w:tcW w:w="1701" w:type="dxa"/>
          </w:tcPr>
          <w:p>
            <w:pPr>
              <w:pStyle w:val="0"/>
              <w:jc w:val="center"/>
            </w:pPr>
            <w:r>
              <w:rPr>
                <w:sz w:val="20"/>
              </w:rPr>
              <w:t xml:space="preserve">19</w:t>
            </w:r>
          </w:p>
        </w:tc>
        <w:tc>
          <w:tcPr>
            <w:tcW w:w="1701" w:type="dxa"/>
          </w:tcPr>
          <w:p>
            <w:pPr>
              <w:pStyle w:val="0"/>
              <w:jc w:val="center"/>
            </w:pPr>
            <w:r>
              <w:rPr>
                <w:sz w:val="20"/>
              </w:rPr>
              <w:t xml:space="preserve">20</w:t>
            </w:r>
          </w:p>
        </w:tc>
      </w:tr>
      <w:tr>
        <w:tc>
          <w:tcPr>
            <w:tcW w:w="1077"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1077"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1077"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1077" w:type="dxa"/>
            <w:vMerge w:val="restart"/>
          </w:tcPr>
          <w:p>
            <w:pPr>
              <w:pStyle w:val="0"/>
            </w:pPr>
            <w:r>
              <w:rPr>
                <w:sz w:val="20"/>
              </w:rPr>
            </w:r>
          </w:p>
        </w:tc>
        <w:tc>
          <w:tcPr>
            <w:tcW w:w="1134" w:type="dxa"/>
            <w:vMerge w:val="restart"/>
          </w:tcPr>
          <w:p>
            <w:pPr>
              <w:pStyle w:val="0"/>
            </w:pPr>
            <w:r>
              <w:rPr>
                <w:sz w:val="20"/>
              </w:rPr>
            </w: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vMerge w:val="continue"/>
          </w:tcPr>
          <w:p/>
        </w:tc>
        <w:tc>
          <w:tcPr>
            <w:vMerge w:val="continue"/>
          </w:tcPr>
          <w:p/>
        </w:tc>
        <w:tc>
          <w:tcPr>
            <w:vMerge w:val="continue"/>
          </w:tcP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992" w:type="dxa"/>
          </w:tcPr>
          <w:p>
            <w:pPr>
              <w:pStyle w:val="0"/>
            </w:pPr>
            <w:r>
              <w:rPr>
                <w:sz w:val="20"/>
              </w:rPr>
            </w:r>
          </w:p>
        </w:tc>
        <w:tc>
          <w:tcPr>
            <w:tcW w:w="873"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701" w:type="dxa"/>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p>
      <w:pPr>
        <w:pStyle w:val="0"/>
        <w:outlineLvl w:val="1"/>
        <w:jc w:val="center"/>
      </w:pPr>
      <w:r>
        <w:rPr>
          <w:sz w:val="20"/>
        </w:rPr>
        <w:t xml:space="preserve">II. Сведения о фактическом достижении показателей,</w:t>
      </w:r>
    </w:p>
    <w:p>
      <w:pPr>
        <w:pStyle w:val="0"/>
        <w:jc w:val="center"/>
      </w:pPr>
      <w:r>
        <w:rPr>
          <w:sz w:val="20"/>
        </w:rPr>
        <w:t xml:space="preserve">характеризующих качество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45"/>
        <w:gridCol w:w="1020"/>
        <w:gridCol w:w="1077"/>
        <w:gridCol w:w="907"/>
        <w:gridCol w:w="737"/>
        <w:gridCol w:w="826"/>
        <w:gridCol w:w="1361"/>
        <w:gridCol w:w="1587"/>
        <w:gridCol w:w="1644"/>
        <w:gridCol w:w="1644"/>
        <w:gridCol w:w="1757"/>
        <w:gridCol w:w="1814"/>
      </w:tblGrid>
      <w:tr>
        <w:tc>
          <w:tcPr>
            <w:tcW w:w="845" w:type="dxa"/>
            <w:vMerge w:val="restart"/>
          </w:tcPr>
          <w:p>
            <w:pPr>
              <w:pStyle w:val="0"/>
              <w:jc w:val="center"/>
            </w:pPr>
            <w:r>
              <w:rPr>
                <w:sz w:val="20"/>
              </w:rPr>
              <w:t xml:space="preserve">Наименование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020" w:type="dxa"/>
            <w:vMerge w:val="restart"/>
          </w:tcPr>
          <w:p>
            <w:pPr>
              <w:pStyle w:val="0"/>
              <w:jc w:val="center"/>
            </w:pPr>
            <w:r>
              <w:rPr>
                <w:sz w:val="20"/>
              </w:rPr>
              <w:t xml:space="preserve">Год определения исполнителей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077" w:type="dxa"/>
            <w:vMerge w:val="restart"/>
          </w:tcPr>
          <w:p>
            <w:pPr>
              <w:pStyle w:val="0"/>
              <w:jc w:val="center"/>
            </w:pPr>
            <w:r>
              <w:rPr>
                <w:sz w:val="20"/>
              </w:rPr>
              <w:t xml:space="preserve">Место оказания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gridSpan w:val="3"/>
            <w:tcW w:w="2470" w:type="dxa"/>
          </w:tcPr>
          <w:p>
            <w:pPr>
              <w:pStyle w:val="0"/>
              <w:jc w:val="center"/>
            </w:pPr>
            <w:r>
              <w:rPr>
                <w:sz w:val="20"/>
              </w:rPr>
              <w:t xml:space="preserve">Показатель, характеризующий качество оказания государственной услуги</w:t>
            </w:r>
          </w:p>
        </w:tc>
        <w:tc>
          <w:tcPr>
            <w:tcW w:w="1361" w:type="dxa"/>
            <w:vMerge w:val="restart"/>
          </w:tcPr>
          <w:p>
            <w:pPr>
              <w:pStyle w:val="0"/>
              <w:jc w:val="center"/>
            </w:pPr>
            <w:r>
              <w:rPr>
                <w:sz w:val="20"/>
              </w:rPr>
              <w:t xml:space="preserve">Значение планового показателя, характеризующего качество оказания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587" w:type="dxa"/>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 </w:t>
            </w:r>
            <w:hyperlink w:history="0" w:anchor="P3953" w:tooltip="&lt;10&gt; - указывается нарастающим итогом на основании информации, включенной в раздел IV настоящего документа в соответствии с общими требованиями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
              <w:r>
                <w:rPr>
                  <w:sz w:val="20"/>
                  <w:color w:val="0000ff"/>
                </w:rPr>
                <w:t xml:space="preserve">&lt;10&gt;</w:t>
              </w:r>
            </w:hyperlink>
          </w:p>
          <w:p>
            <w:pPr>
              <w:pStyle w:val="0"/>
              <w:jc w:val="center"/>
            </w:pPr>
            <w:r>
              <w:rPr>
                <w:sz w:val="20"/>
              </w:rPr>
              <w:t xml:space="preserve">на "___"___________ 20___ год </w:t>
            </w:r>
            <w:hyperlink w:history="0" w:anchor="P3945" w:tooltip="&lt;2&gt; - указывается дата, на которую составляется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
              <w:r>
                <w:rPr>
                  <w:sz w:val="20"/>
                  <w:color w:val="0000ff"/>
                </w:rPr>
                <w:t xml:space="preserve">&lt;2&gt;</w:t>
              </w:r>
            </w:hyperlink>
          </w:p>
        </w:tc>
        <w:tc>
          <w:tcPr>
            <w:tcW w:w="1644" w:type="dxa"/>
            <w:vMerge w:val="restart"/>
          </w:tcPr>
          <w:p>
            <w:pPr>
              <w:pStyle w:val="0"/>
              <w:jc w:val="center"/>
            </w:pPr>
            <w:r>
              <w:rPr>
                <w:sz w:val="20"/>
              </w:rPr>
              <w:t xml:space="preserve">Значение предельного допустимого возможного отклонения от показателя, характеризующего качество оказания государственной услуги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1644" w:type="dxa"/>
            <w:vMerge w:val="restart"/>
          </w:tcPr>
          <w:p>
            <w:pPr>
              <w:pStyle w:val="0"/>
              <w:jc w:val="center"/>
            </w:pPr>
            <w:r>
              <w:rPr>
                <w:sz w:val="20"/>
              </w:rPr>
              <w:t xml:space="preserve">Значение фактического отклонения от показателя, характеризующего качество оказания государственной услуги </w:t>
            </w:r>
            <w:hyperlink w:history="0" w:anchor="P3957" w:tooltip="&lt;14&gt; - рассчитывается как разница граф 8 и 7;">
              <w:r>
                <w:rPr>
                  <w:sz w:val="20"/>
                  <w:color w:val="0000ff"/>
                </w:rPr>
                <w:t xml:space="preserve">&lt;14&gt;</w:t>
              </w:r>
            </w:hyperlink>
          </w:p>
        </w:tc>
        <w:tc>
          <w:tcPr>
            <w:tcW w:w="1757" w:type="dxa"/>
            <w:vMerge w:val="restart"/>
          </w:tcPr>
          <w:p>
            <w:pPr>
              <w:pStyle w:val="0"/>
              <w:jc w:val="center"/>
            </w:pPr>
            <w:r>
              <w:rPr>
                <w:sz w:val="20"/>
              </w:rPr>
              <w:t xml:space="preserve">Количество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 </w:t>
            </w:r>
            <w:hyperlink w:history="0" w:anchor="P3958" w:tooltip="&lt;15&gt; - указывается количество исполнителей услуг, указанных в разделе IV настоящего докумен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
              <w:r>
                <w:rPr>
                  <w:sz w:val="20"/>
                  <w:color w:val="0000ff"/>
                </w:rPr>
                <w:t xml:space="preserve">&lt;15&gt;</w:t>
              </w:r>
            </w:hyperlink>
          </w:p>
        </w:tc>
        <w:tc>
          <w:tcPr>
            <w:tcW w:w="1814" w:type="dxa"/>
            <w:vMerge w:val="restart"/>
          </w:tcPr>
          <w:p>
            <w:pPr>
              <w:pStyle w:val="0"/>
              <w:jc w:val="center"/>
            </w:pPr>
            <w:r>
              <w:rPr>
                <w:sz w:val="20"/>
              </w:rPr>
              <w:t xml:space="preserve">Доля исполнителей услуг, исполнивших государственное задание, соглашение с отклонениями, превышающими предельные допустимые возможные отклонения от показателя, характеризующего качество оказания государственной услуги </w:t>
            </w:r>
            <w:hyperlink w:history="0" w:anchor="P3959" w:tooltip="&lt;16&gt; - указывается доля в процентах исполнителей услуг, указанных в разделе IV настоящего докумен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 от общего количества исполнителей услуг, указанных в разделе IV настоящего документа;">
              <w:r>
                <w:rPr>
                  <w:sz w:val="20"/>
                  <w:color w:val="0000ff"/>
                </w:rPr>
                <w:t xml:space="preserve">&lt;16&gt;</w:t>
              </w:r>
            </w:hyperlink>
          </w:p>
        </w:tc>
      </w:tr>
      <w:tr>
        <w:tc>
          <w:tcPr>
            <w:vMerge w:val="continue"/>
          </w:tcPr>
          <w:p/>
        </w:tc>
        <w:tc>
          <w:tcPr>
            <w:vMerge w:val="continue"/>
          </w:tcPr>
          <w:p/>
        </w:tc>
        <w:tc>
          <w:tcPr>
            <w:vMerge w:val="continue"/>
          </w:tcPr>
          <w:p/>
        </w:tc>
        <w:tc>
          <w:tcPr>
            <w:tcW w:w="907" w:type="dxa"/>
            <w:vMerge w:val="restart"/>
          </w:tcPr>
          <w:p>
            <w:pPr>
              <w:pStyle w:val="0"/>
              <w:jc w:val="center"/>
            </w:pPr>
            <w:r>
              <w:rPr>
                <w:sz w:val="20"/>
              </w:rPr>
              <w:t xml:space="preserve">наименование показателя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gridSpan w:val="2"/>
            <w:tcW w:w="1563" w:type="dxa"/>
          </w:tcPr>
          <w:p>
            <w:pPr>
              <w:pStyle w:val="0"/>
              <w:jc w:val="center"/>
            </w:pPr>
            <w:r>
              <w:rPr>
                <w:sz w:val="20"/>
              </w:rPr>
              <w:t xml:space="preserve">единица измерения</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tcW w:w="826" w:type="dxa"/>
          </w:tcPr>
          <w:p>
            <w:pPr>
              <w:pStyle w:val="0"/>
              <w:jc w:val="center"/>
            </w:pPr>
            <w:r>
              <w:rPr>
                <w:sz w:val="20"/>
              </w:rPr>
              <w:t xml:space="preserve">код по </w:t>
            </w:r>
            <w:hyperlink w:history="0" r:id="rId6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49" w:tooltip="&lt;6&gt; - указывается на основании информации, включенной в раздел III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постановлением Правительства Российской Федерации от 15 октября 2020 г. N 1694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
              <w:r>
                <w:rPr>
                  <w:sz w:val="20"/>
                  <w:color w:val="0000ff"/>
                </w:rPr>
                <w:t xml:space="preserve">&lt;6&gt;</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845" w:type="dxa"/>
          </w:tcPr>
          <w:p>
            <w:pPr>
              <w:pStyle w:val="0"/>
              <w:jc w:val="center"/>
            </w:pPr>
            <w:r>
              <w:rPr>
                <w:sz w:val="20"/>
              </w:rPr>
              <w:t xml:space="preserve">1</w:t>
            </w:r>
          </w:p>
        </w:tc>
        <w:tc>
          <w:tcPr>
            <w:tcW w:w="1020" w:type="dxa"/>
          </w:tcPr>
          <w:p>
            <w:pPr>
              <w:pStyle w:val="0"/>
              <w:jc w:val="center"/>
            </w:pPr>
            <w:r>
              <w:rPr>
                <w:sz w:val="20"/>
              </w:rPr>
              <w:t xml:space="preserve">2</w:t>
            </w:r>
          </w:p>
        </w:tc>
        <w:tc>
          <w:tcPr>
            <w:tcW w:w="1077" w:type="dxa"/>
          </w:tcPr>
          <w:p>
            <w:pPr>
              <w:pStyle w:val="0"/>
              <w:jc w:val="center"/>
            </w:pPr>
            <w:r>
              <w:rPr>
                <w:sz w:val="20"/>
              </w:rPr>
              <w:t xml:space="preserve">3</w:t>
            </w:r>
          </w:p>
        </w:tc>
        <w:tc>
          <w:tcPr>
            <w:tcW w:w="907" w:type="dxa"/>
          </w:tcPr>
          <w:p>
            <w:pPr>
              <w:pStyle w:val="0"/>
              <w:jc w:val="center"/>
            </w:pPr>
            <w:r>
              <w:rPr>
                <w:sz w:val="20"/>
              </w:rPr>
              <w:t xml:space="preserve">4</w:t>
            </w:r>
          </w:p>
        </w:tc>
        <w:tc>
          <w:tcPr>
            <w:tcW w:w="737" w:type="dxa"/>
          </w:tcPr>
          <w:p>
            <w:pPr>
              <w:pStyle w:val="0"/>
              <w:jc w:val="center"/>
            </w:pPr>
            <w:r>
              <w:rPr>
                <w:sz w:val="20"/>
              </w:rPr>
              <w:t xml:space="preserve">5</w:t>
            </w:r>
          </w:p>
        </w:tc>
        <w:tc>
          <w:tcPr>
            <w:tcW w:w="826" w:type="dxa"/>
          </w:tcPr>
          <w:p>
            <w:pPr>
              <w:pStyle w:val="0"/>
              <w:jc w:val="center"/>
            </w:pPr>
            <w:r>
              <w:rPr>
                <w:sz w:val="20"/>
              </w:rPr>
              <w:t xml:space="preserve">6</w:t>
            </w:r>
          </w:p>
        </w:tc>
        <w:tc>
          <w:tcPr>
            <w:tcW w:w="1361" w:type="dxa"/>
          </w:tcPr>
          <w:bookmarkStart w:id="2920" w:name="P2920"/>
          <w:bookmarkEnd w:id="2920"/>
          <w:p>
            <w:pPr>
              <w:pStyle w:val="0"/>
              <w:jc w:val="center"/>
            </w:pPr>
            <w:r>
              <w:rPr>
                <w:sz w:val="20"/>
              </w:rPr>
              <w:t xml:space="preserve">7</w:t>
            </w:r>
          </w:p>
        </w:tc>
        <w:tc>
          <w:tcPr>
            <w:tcW w:w="1587" w:type="dxa"/>
          </w:tcPr>
          <w:bookmarkStart w:id="2921" w:name="P2921"/>
          <w:bookmarkEnd w:id="2921"/>
          <w:p>
            <w:pPr>
              <w:pStyle w:val="0"/>
              <w:jc w:val="center"/>
            </w:pPr>
            <w:r>
              <w:rPr>
                <w:sz w:val="20"/>
              </w:rPr>
              <w:t xml:space="preserve">8</w:t>
            </w:r>
          </w:p>
        </w:tc>
        <w:tc>
          <w:tcPr>
            <w:tcW w:w="1644" w:type="dxa"/>
          </w:tcPr>
          <w:p>
            <w:pPr>
              <w:pStyle w:val="0"/>
              <w:jc w:val="center"/>
            </w:pPr>
            <w:r>
              <w:rPr>
                <w:sz w:val="20"/>
              </w:rPr>
              <w:t xml:space="preserve">9</w:t>
            </w:r>
          </w:p>
        </w:tc>
        <w:tc>
          <w:tcPr>
            <w:tcW w:w="1644" w:type="dxa"/>
          </w:tcPr>
          <w:p>
            <w:pPr>
              <w:pStyle w:val="0"/>
              <w:jc w:val="center"/>
            </w:pPr>
            <w:r>
              <w:rPr>
                <w:sz w:val="20"/>
              </w:rPr>
              <w:t xml:space="preserve">10</w:t>
            </w:r>
          </w:p>
        </w:tc>
        <w:tc>
          <w:tcPr>
            <w:tcW w:w="1757" w:type="dxa"/>
          </w:tcPr>
          <w:p>
            <w:pPr>
              <w:pStyle w:val="0"/>
              <w:jc w:val="center"/>
            </w:pPr>
            <w:r>
              <w:rPr>
                <w:sz w:val="20"/>
              </w:rPr>
              <w:t xml:space="preserve">11</w:t>
            </w:r>
          </w:p>
        </w:tc>
        <w:tc>
          <w:tcPr>
            <w:tcW w:w="1814" w:type="dxa"/>
          </w:tcPr>
          <w:p>
            <w:pPr>
              <w:pStyle w:val="0"/>
              <w:jc w:val="center"/>
            </w:pPr>
            <w:r>
              <w:rPr>
                <w:sz w:val="20"/>
              </w:rPr>
              <w:t xml:space="preserve">12</w:t>
            </w:r>
          </w:p>
        </w:tc>
      </w:tr>
      <w:tr>
        <w:tc>
          <w:tcPr>
            <w:tcW w:w="845" w:type="dxa"/>
            <w:vMerge w:val="restart"/>
          </w:tcPr>
          <w:p>
            <w:pPr>
              <w:pStyle w:val="0"/>
            </w:pPr>
            <w:r>
              <w:rPr>
                <w:sz w:val="20"/>
              </w:rPr>
            </w:r>
          </w:p>
        </w:tc>
        <w:tc>
          <w:tcPr>
            <w:tcW w:w="1020" w:type="dxa"/>
            <w:vMerge w:val="restart"/>
          </w:tcPr>
          <w:p>
            <w:pPr>
              <w:pStyle w:val="0"/>
            </w:pPr>
            <w:r>
              <w:rPr>
                <w:sz w:val="20"/>
              </w:rPr>
            </w:r>
          </w:p>
        </w:tc>
        <w:tc>
          <w:tcPr>
            <w:tcW w:w="1077" w:type="dxa"/>
            <w:vMerge w:val="restart"/>
          </w:tcPr>
          <w:p>
            <w:pPr>
              <w:pStyle w:val="0"/>
            </w:pPr>
            <w:r>
              <w:rPr>
                <w:sz w:val="20"/>
              </w:rPr>
            </w: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vMerge w:val="continue"/>
          </w:tcP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vMerge w:val="continue"/>
          </w:tcP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tcW w:w="845" w:type="dxa"/>
            <w:vMerge w:val="restart"/>
          </w:tcPr>
          <w:p>
            <w:pPr>
              <w:pStyle w:val="0"/>
            </w:pPr>
            <w:r>
              <w:rPr>
                <w:sz w:val="20"/>
              </w:rPr>
            </w:r>
          </w:p>
        </w:tc>
        <w:tc>
          <w:tcPr>
            <w:tcW w:w="1020" w:type="dxa"/>
            <w:vMerge w:val="restart"/>
          </w:tcPr>
          <w:p>
            <w:pPr>
              <w:pStyle w:val="0"/>
            </w:pPr>
            <w:r>
              <w:rPr>
                <w:sz w:val="20"/>
              </w:rPr>
            </w:r>
          </w:p>
        </w:tc>
        <w:tc>
          <w:tcPr>
            <w:tcW w:w="1077" w:type="dxa"/>
            <w:vMerge w:val="restart"/>
          </w:tcPr>
          <w:p>
            <w:pPr>
              <w:pStyle w:val="0"/>
            </w:pPr>
            <w:r>
              <w:rPr>
                <w:sz w:val="20"/>
              </w:rPr>
            </w: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vMerge w:val="continue"/>
          </w:tcP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tcW w:w="1077" w:type="dxa"/>
            <w:vMerge w:val="restart"/>
          </w:tcPr>
          <w:p>
            <w:pPr>
              <w:pStyle w:val="0"/>
            </w:pPr>
            <w:r>
              <w:rPr>
                <w:sz w:val="20"/>
              </w:rPr>
            </w: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r>
        <w:tc>
          <w:tcPr>
            <w:vMerge w:val="continue"/>
          </w:tcPr>
          <w:p/>
        </w:tc>
        <w:tc>
          <w:tcPr>
            <w:vMerge w:val="continue"/>
          </w:tcPr>
          <w:p/>
        </w:tc>
        <w:tc>
          <w:tcPr>
            <w:vMerge w:val="continue"/>
          </w:tcPr>
          <w:p/>
        </w:tc>
        <w:tc>
          <w:tcPr>
            <w:tcW w:w="907" w:type="dxa"/>
          </w:tcPr>
          <w:p>
            <w:pPr>
              <w:pStyle w:val="0"/>
            </w:pPr>
            <w:r>
              <w:rPr>
                <w:sz w:val="20"/>
              </w:rPr>
            </w:r>
          </w:p>
        </w:tc>
        <w:tc>
          <w:tcPr>
            <w:tcW w:w="737" w:type="dxa"/>
          </w:tcPr>
          <w:p>
            <w:pPr>
              <w:pStyle w:val="0"/>
            </w:pPr>
            <w:r>
              <w:rPr>
                <w:sz w:val="20"/>
              </w:rPr>
            </w:r>
          </w:p>
        </w:tc>
        <w:tc>
          <w:tcPr>
            <w:tcW w:w="826" w:type="dxa"/>
          </w:tcPr>
          <w:p>
            <w:pPr>
              <w:pStyle w:val="0"/>
            </w:pPr>
            <w:r>
              <w:rPr>
                <w:sz w:val="20"/>
              </w:rPr>
            </w:r>
          </w:p>
        </w:tc>
        <w:tc>
          <w:tcPr>
            <w:tcW w:w="1361" w:type="dxa"/>
          </w:tcPr>
          <w:p>
            <w:pPr>
              <w:pStyle w:val="0"/>
            </w:pPr>
            <w:r>
              <w:rPr>
                <w:sz w:val="20"/>
              </w:rPr>
            </w:r>
          </w:p>
        </w:tc>
        <w:tc>
          <w:tcPr>
            <w:tcW w:w="158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57" w:type="dxa"/>
          </w:tcPr>
          <w:p>
            <w:pPr>
              <w:pStyle w:val="0"/>
            </w:pPr>
            <w:r>
              <w:rPr>
                <w:sz w:val="20"/>
              </w:rPr>
            </w:r>
          </w:p>
        </w:tc>
        <w:tc>
          <w:tcPr>
            <w:tcW w:w="1814" w:type="dxa"/>
          </w:tcPr>
          <w:p>
            <w:pPr>
              <w:pStyle w:val="0"/>
            </w:pPr>
            <w:r>
              <w:rPr>
                <w:sz w:val="20"/>
              </w:rPr>
            </w:r>
          </w:p>
        </w:tc>
      </w:tr>
    </w:tbl>
    <w:p>
      <w:pPr>
        <w:pStyle w:val="0"/>
        <w:jc w:val="both"/>
      </w:pPr>
      <w:r>
        <w:rPr>
          <w:sz w:val="20"/>
        </w:rPr>
      </w:r>
    </w:p>
    <w:bookmarkStart w:id="3007" w:name="P3007"/>
    <w:bookmarkEnd w:id="3007"/>
    <w:p>
      <w:pPr>
        <w:pStyle w:val="0"/>
        <w:outlineLvl w:val="1"/>
        <w:jc w:val="center"/>
      </w:pPr>
      <w:r>
        <w:rPr>
          <w:sz w:val="20"/>
        </w:rPr>
        <w:t xml:space="preserve">III. Сведения о плановых показателях, характеризующих объем</w:t>
      </w:r>
    </w:p>
    <w:p>
      <w:pPr>
        <w:pStyle w:val="0"/>
        <w:jc w:val="center"/>
      </w:pPr>
      <w:r>
        <w:rPr>
          <w:sz w:val="20"/>
        </w:rPr>
        <w:t xml:space="preserve">и качество оказания государственной услуги в социальной</w:t>
      </w:r>
    </w:p>
    <w:p>
      <w:pPr>
        <w:pStyle w:val="0"/>
        <w:jc w:val="center"/>
      </w:pPr>
      <w:r>
        <w:rPr>
          <w:sz w:val="20"/>
        </w:rPr>
        <w:t xml:space="preserve">сфере (государственных услуг в социальной сфере,</w:t>
      </w:r>
    </w:p>
    <w:p>
      <w:pPr>
        <w:pStyle w:val="0"/>
        <w:jc w:val="center"/>
      </w:pPr>
      <w:r>
        <w:rPr>
          <w:sz w:val="20"/>
        </w:rPr>
        <w:t xml:space="preserve">составляющих укрупненную государственную услугу),</w:t>
      </w:r>
    </w:p>
    <w:p>
      <w:pPr>
        <w:pStyle w:val="0"/>
        <w:jc w:val="center"/>
      </w:pPr>
      <w:r>
        <w:rPr>
          <w:sz w:val="20"/>
        </w:rPr>
        <w:t xml:space="preserve">на "___" _____________ 20__ года </w:t>
      </w:r>
      <w:hyperlink w:history="0" w:anchor="P3945" w:tooltip="&lt;2&gt; - указывается дата, на которую составляется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
        <w:r>
          <w:rPr>
            <w:sz w:val="20"/>
            <w:color w:val="0000ff"/>
          </w:rPr>
          <w:t xml:space="preserve">&lt;2&gt;</w:t>
        </w:r>
      </w:hyperlink>
    </w:p>
    <w:p>
      <w:pPr>
        <w:pStyle w:val="0"/>
        <w:jc w:val="both"/>
      </w:pPr>
      <w:r>
        <w:rPr>
          <w:sz w:val="20"/>
        </w:rPr>
      </w:r>
    </w:p>
    <w:p>
      <w:pPr>
        <w:pStyle w:val="0"/>
        <w:jc w:val="center"/>
      </w:pPr>
      <w:r>
        <w:rPr>
          <w:sz w:val="20"/>
        </w:rPr>
        <w:t xml:space="preserve">Наименование укрупненной государственной услуги </w:t>
      </w:r>
      <w:hyperlink w:history="0" w:anchor="P3960" w:tooltip="&lt;17&gt; - указывается наименование укрупненной государственной услуги в случае, если социальный заказ Республики Саха (Якутия) формируется в отношении укрупненных государственных услуг;">
        <w:r>
          <w:rPr>
            <w:sz w:val="20"/>
            <w:color w:val="0000ff"/>
          </w:rPr>
          <w:t xml:space="preserve">&lt;17&gt;</w:t>
        </w:r>
      </w:hyperlink>
    </w:p>
    <w:p>
      <w:pPr>
        <w:pStyle w:val="0"/>
        <w:jc w:val="both"/>
      </w:pPr>
      <w:r>
        <w:rPr>
          <w:sz w:val="20"/>
        </w:rPr>
      </w:r>
    </w:p>
    <w:tbl>
      <w:tblPr>
        <w:tblInd w:w="0" w:type="dxa"/>
        <w:tblW w:w="5000" w:type="pct"/>
        <w:tblBorders>
          <w:top w:val="single" w:sz="4"/>
          <w:bottom w:val="single" w:sz="4"/>
          <w:insideV w:val="single" w:sz="4"/>
          <w:insideH w:val="single" w:sz="4"/>
        </w:tblBorders>
        <w:tblCellMar>
          <w:top w:w="102" w:type="dxa"/>
          <w:left w:w="62" w:type="dxa"/>
          <w:bottom w:w="102" w:type="dxa"/>
          <w:right w:w="62" w:type="dxa"/>
        </w:tblCellMar>
      </w:tblPr>
      <w:tblGrid>
        <w:gridCol w:w="737"/>
        <w:gridCol w:w="907"/>
        <w:gridCol w:w="737"/>
        <w:gridCol w:w="737"/>
        <w:gridCol w:w="850"/>
        <w:gridCol w:w="1020"/>
        <w:gridCol w:w="1077"/>
        <w:gridCol w:w="850"/>
        <w:gridCol w:w="907"/>
        <w:gridCol w:w="850"/>
        <w:gridCol w:w="737"/>
        <w:gridCol w:w="737"/>
        <w:gridCol w:w="737"/>
        <w:gridCol w:w="907"/>
        <w:gridCol w:w="1077"/>
        <w:gridCol w:w="737"/>
        <w:gridCol w:w="737"/>
        <w:gridCol w:w="794"/>
        <w:gridCol w:w="1304"/>
        <w:gridCol w:w="964"/>
        <w:gridCol w:w="964"/>
        <w:gridCol w:w="1020"/>
        <w:gridCol w:w="1757"/>
      </w:tblGrid>
      <w:tr>
        <w:tblPrEx>
          <w:tblBorders>
            <w:left w:val="single" w:sz="4"/>
            <w:right w:val="single" w:sz="4"/>
          </w:tblBorders>
        </w:tblPrEx>
        <w:tc>
          <w:tcPr>
            <w:gridSpan w:val="4"/>
            <w:tcW w:w="3118" w:type="dxa"/>
          </w:tcPr>
          <w:p>
            <w:pPr>
              <w:pStyle w:val="0"/>
              <w:jc w:val="center"/>
            </w:pPr>
            <w:r>
              <w:rPr>
                <w:sz w:val="20"/>
              </w:rPr>
              <w:t xml:space="preserve">Исполнитель государственной услуги</w:t>
            </w:r>
          </w:p>
        </w:tc>
        <w:tc>
          <w:tcPr>
            <w:tcW w:w="850" w:type="dxa"/>
            <w:vMerge w:val="restart"/>
          </w:tcPr>
          <w:p>
            <w:pPr>
              <w:pStyle w:val="0"/>
              <w:jc w:val="center"/>
            </w:pPr>
            <w:r>
              <w:rPr>
                <w:sz w:val="20"/>
              </w:rPr>
              <w:t xml:space="preserve">Уникальный номер реестровой записи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1020" w:type="dxa"/>
            <w:vMerge w:val="restart"/>
          </w:tcPr>
          <w:p>
            <w:pPr>
              <w:pStyle w:val="0"/>
              <w:jc w:val="center"/>
            </w:pPr>
            <w:r>
              <w:rPr>
                <w:sz w:val="20"/>
              </w:rPr>
              <w:t xml:space="preserve">Наименование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1077" w:type="dxa"/>
            <w:vMerge w:val="restart"/>
          </w:tcPr>
          <w:p>
            <w:pPr>
              <w:pStyle w:val="0"/>
              <w:jc w:val="center"/>
            </w:pPr>
            <w:r>
              <w:rPr>
                <w:sz w:val="20"/>
              </w:rPr>
              <w:t xml:space="preserve">Условия (формы) оказания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850" w:type="dxa"/>
            <w:vMerge w:val="restart"/>
          </w:tcPr>
          <w:p>
            <w:pPr>
              <w:pStyle w:val="0"/>
              <w:jc w:val="center"/>
            </w:pPr>
            <w:r>
              <w:rPr>
                <w:sz w:val="20"/>
              </w:rPr>
              <w:t xml:space="preserve">Категории потребителей государственных услуг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907" w:type="dxa"/>
            <w:vMerge w:val="restart"/>
          </w:tcPr>
          <w:p>
            <w:pPr>
              <w:pStyle w:val="0"/>
              <w:jc w:val="center"/>
            </w:pPr>
            <w:r>
              <w:rPr>
                <w:sz w:val="20"/>
              </w:rPr>
              <w:t xml:space="preserve">Год определения исполнителей государственных услуг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850" w:type="dxa"/>
            <w:vMerge w:val="restart"/>
          </w:tcPr>
          <w:p>
            <w:pPr>
              <w:pStyle w:val="0"/>
              <w:jc w:val="center"/>
            </w:pPr>
            <w:r>
              <w:rPr>
                <w:sz w:val="20"/>
              </w:rPr>
              <w:t xml:space="preserve">Место оказания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3"/>
            <w:tcW w:w="2211" w:type="dxa"/>
          </w:tcPr>
          <w:p>
            <w:pPr>
              <w:pStyle w:val="0"/>
              <w:jc w:val="center"/>
            </w:pPr>
            <w:r>
              <w:rPr>
                <w:sz w:val="20"/>
              </w:rPr>
              <w:t xml:space="preserve">Показатель, характеризующий качество оказания государственной услуги</w:t>
            </w:r>
          </w:p>
        </w:tc>
        <w:tc>
          <w:tcPr>
            <w:tcW w:w="907" w:type="dxa"/>
            <w:vMerge w:val="restart"/>
          </w:tcPr>
          <w:p>
            <w:pPr>
              <w:pStyle w:val="0"/>
              <w:jc w:val="center"/>
            </w:pPr>
            <w:r>
              <w:rPr>
                <w:sz w:val="20"/>
              </w:rPr>
              <w:t xml:space="preserve">Значение планового показателя, характеризующего качество оказания государственной услуги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tcW w:w="1077" w:type="dxa"/>
            <w:vMerge w:val="restart"/>
          </w:tcPr>
          <w:p>
            <w:pPr>
              <w:pStyle w:val="0"/>
              <w:jc w:val="center"/>
            </w:pPr>
            <w:r>
              <w:rPr>
                <w:sz w:val="20"/>
              </w:rPr>
              <w:t xml:space="preserve">Предельные допустимые возможные отклонения от показателя, характеризующего качество оказания государственной услуги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gridSpan w:val="3"/>
            <w:tcW w:w="2268" w:type="dxa"/>
          </w:tcPr>
          <w:p>
            <w:pPr>
              <w:pStyle w:val="0"/>
              <w:jc w:val="center"/>
            </w:pPr>
            <w:r>
              <w:rPr>
                <w:sz w:val="20"/>
              </w:rPr>
              <w:t xml:space="preserve">Показатель, характеризующий объем оказания государственной услуги</w:t>
            </w:r>
          </w:p>
        </w:tc>
        <w:tc>
          <w:tcPr>
            <w:gridSpan w:val="4"/>
            <w:tcW w:w="4252" w:type="dxa"/>
          </w:tcPr>
          <w:p>
            <w:pPr>
              <w:pStyle w:val="0"/>
              <w:jc w:val="center"/>
            </w:pPr>
            <w:r>
              <w:rPr>
                <w:sz w:val="20"/>
              </w:rPr>
              <w:t xml:space="preserve">Значение планового показателя, характеризующего объем оказания государственной услуги </w:t>
            </w:r>
            <w:hyperlink w:history="0" w:anchor="P3965" w:tooltip="&lt;22&gt; - в отношении одного исполнителя услуг может быть указана информация о значении планового показателя, характеризующего объем оказания государственной услуги, только в отношении одного способа определения услуг;">
              <w:r>
                <w:rPr>
                  <w:sz w:val="20"/>
                  <w:color w:val="0000ff"/>
                </w:rPr>
                <w:t xml:space="preserve">&lt;22&gt;</w:t>
              </w:r>
            </w:hyperlink>
          </w:p>
        </w:tc>
        <w:tc>
          <w:tcPr>
            <w:tcW w:w="1757" w:type="dxa"/>
            <w:vMerge w:val="restart"/>
          </w:tcPr>
          <w:p>
            <w:pPr>
              <w:pStyle w:val="0"/>
              <w:jc w:val="center"/>
            </w:pPr>
            <w:r>
              <w:rPr>
                <w:sz w:val="20"/>
              </w:rPr>
              <w:t xml:space="preserve">Предельные допустимые возможные отклонения от показателя, характеризующего объем оказания государственной услуги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r>
      <w:tr>
        <w:tblPrEx>
          <w:tblBorders>
            <w:left w:val="single" w:sz="4"/>
            <w:right w:val="single" w:sz="4"/>
          </w:tblBorders>
        </w:tblPrEx>
        <w:tc>
          <w:tcPr>
            <w:tcW w:w="737" w:type="dxa"/>
            <w:vMerge w:val="restart"/>
          </w:tcPr>
          <w:p>
            <w:pPr>
              <w:pStyle w:val="0"/>
              <w:jc w:val="center"/>
            </w:pPr>
            <w:r>
              <w:rPr>
                <w:sz w:val="20"/>
              </w:rPr>
              <w:t xml:space="preserve">уникальный код организации по Сводному реестру </w:t>
            </w:r>
            <w:hyperlink w:history="0" w:anchor="P3961" w:tooltip="&lt;18&gt; - указывается уникальный код организации, присвоенный исполнителю услуг, при формировании сведений о нем в реестре участников бюджетного процесса, а также юридических лиц, не являющихся участниками бюджетного процесса;">
              <w:r>
                <w:rPr>
                  <w:sz w:val="20"/>
                  <w:color w:val="0000ff"/>
                </w:rPr>
                <w:t xml:space="preserve">&lt;18&gt;</w:t>
              </w:r>
            </w:hyperlink>
          </w:p>
        </w:tc>
        <w:tc>
          <w:tcPr>
            <w:tcW w:w="907" w:type="dxa"/>
            <w:vMerge w:val="restart"/>
          </w:tcPr>
          <w:p>
            <w:pPr>
              <w:pStyle w:val="0"/>
              <w:jc w:val="center"/>
            </w:pPr>
            <w:r>
              <w:rPr>
                <w:sz w:val="20"/>
              </w:rPr>
              <w:t xml:space="preserve">наименование исполнителя государственной услуги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gridSpan w:val="2"/>
            <w:tcW w:w="1474" w:type="dxa"/>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2"/>
            <w:tcW w:w="1474" w:type="dxa"/>
          </w:tcPr>
          <w:p>
            <w:pPr>
              <w:pStyle w:val="0"/>
              <w:jc w:val="center"/>
            </w:pPr>
            <w:r>
              <w:rPr>
                <w:sz w:val="20"/>
              </w:rPr>
              <w:t xml:space="preserve">единица измерения</w:t>
            </w:r>
          </w:p>
        </w:tc>
        <w:tc>
          <w:tcPr>
            <w:vMerge w:val="continue"/>
          </w:tcPr>
          <w:p/>
        </w:tc>
        <w:tc>
          <w:tcPr>
            <w:vMerge w:val="continue"/>
          </w:tcPr>
          <w:p/>
        </w:tc>
        <w:tc>
          <w:tcPr>
            <w:tcW w:w="737" w:type="dxa"/>
            <w:vMerge w:val="restart"/>
          </w:tcPr>
          <w:p>
            <w:pPr>
              <w:pStyle w:val="0"/>
              <w:jc w:val="center"/>
            </w:pPr>
            <w:r>
              <w:rPr>
                <w:sz w:val="20"/>
              </w:rPr>
              <w:t xml:space="preserve">наименование показателя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2"/>
            <w:tcW w:w="1531" w:type="dxa"/>
          </w:tcPr>
          <w:p>
            <w:pPr>
              <w:pStyle w:val="0"/>
              <w:jc w:val="center"/>
            </w:pPr>
            <w:r>
              <w:rPr>
                <w:sz w:val="20"/>
              </w:rPr>
              <w:t xml:space="preserve">единица измерения</w:t>
            </w:r>
          </w:p>
        </w:tc>
        <w:tc>
          <w:tcPr>
            <w:tcW w:w="1304" w:type="dxa"/>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tcW w:w="964"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tcW w:w="964" w:type="dxa"/>
            <w:vMerge w:val="restart"/>
          </w:tcPr>
          <w:p>
            <w:pPr>
              <w:pStyle w:val="0"/>
              <w:jc w:val="center"/>
            </w:pPr>
            <w:r>
              <w:rPr>
                <w:sz w:val="20"/>
              </w:rPr>
              <w:t xml:space="preserve">в соответствии с конкурсом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tcW w:w="1020" w:type="dxa"/>
            <w:vMerge w:val="restart"/>
          </w:tcPr>
          <w:p>
            <w:pPr>
              <w:pStyle w:val="0"/>
              <w:jc w:val="center"/>
            </w:pPr>
            <w:r>
              <w:rPr>
                <w:sz w:val="20"/>
              </w:rPr>
              <w:t xml:space="preserve">в соответствии с социальными сертификатами </w:t>
            </w:r>
            <w:hyperlink w:history="0" w:anchor="P3964" w:tooltip="&lt;21&gt; - указывается на основании информации, включенной в государственное задание или соглашение;">
              <w:r>
                <w:rPr>
                  <w:sz w:val="20"/>
                  <w:color w:val="0000ff"/>
                </w:rPr>
                <w:t xml:space="preserve">&lt;21&gt;</w:t>
              </w:r>
            </w:hyperlink>
          </w:p>
        </w:tc>
        <w:tc>
          <w:tcPr>
            <w:vMerge w:val="continue"/>
          </w:tcPr>
          <w:p/>
        </w:tc>
      </w:tr>
      <w:tr>
        <w:tblPrEx>
          <w:tblBorders>
            <w:left w:val="single" w:sz="4"/>
            <w:right w:val="single" w:sz="4"/>
          </w:tblBorders>
        </w:tblPrEx>
        <w:tc>
          <w:tcPr>
            <w:vMerge w:val="continue"/>
          </w:tcPr>
          <w:p/>
        </w:tc>
        <w:tc>
          <w:tcPr>
            <w:vMerge w:val="continue"/>
          </w:tcPr>
          <w:p/>
        </w:tc>
        <w:tc>
          <w:tcPr>
            <w:tcW w:w="737" w:type="dxa"/>
          </w:tcPr>
          <w:p>
            <w:pPr>
              <w:pStyle w:val="0"/>
              <w:jc w:val="center"/>
            </w:pPr>
            <w:r>
              <w:rPr>
                <w:sz w:val="20"/>
              </w:rPr>
              <w:t xml:space="preserve">наименование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tcW w:w="737" w:type="dxa"/>
          </w:tcPr>
          <w:p>
            <w:pPr>
              <w:pStyle w:val="0"/>
              <w:jc w:val="center"/>
            </w:pPr>
            <w:r>
              <w:rPr>
                <w:sz w:val="20"/>
              </w:rPr>
              <w:t xml:space="preserve">код по ОКОПФ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37" w:type="dxa"/>
          </w:tcPr>
          <w:p>
            <w:pPr>
              <w:pStyle w:val="0"/>
              <w:jc w:val="center"/>
            </w:pPr>
            <w:r>
              <w:rPr>
                <w:sz w:val="20"/>
              </w:rPr>
              <w:t xml:space="preserve">код по </w:t>
            </w:r>
            <w:hyperlink w:history="0" r:id="rId6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94" w:type="dxa"/>
          </w:tcPr>
          <w:p>
            <w:pPr>
              <w:pStyle w:val="0"/>
              <w:jc w:val="center"/>
            </w:pPr>
            <w:r>
              <w:rPr>
                <w:sz w:val="20"/>
              </w:rPr>
              <w:t xml:space="preserve">код по </w:t>
            </w:r>
            <w:hyperlink w:history="0" r:id="rId6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vMerge w:val="continue"/>
          </w:tcPr>
          <w:p/>
        </w:tc>
        <w:tc>
          <w:tcPr>
            <w:vMerge w:val="continue"/>
          </w:tcPr>
          <w:p/>
        </w:tc>
        <w:tc>
          <w:tcPr>
            <w:vMerge w:val="continue"/>
          </w:tcPr>
          <w:p/>
        </w:tc>
        <w:tc>
          <w:tcPr>
            <w:vMerge w:val="continue"/>
          </w:tcPr>
          <w:p/>
        </w:tc>
        <w:tc>
          <w:tcPr>
            <w:vMerge w:val="continue"/>
          </w:tcPr>
          <w:p/>
        </w:tc>
      </w:tr>
      <w:tr>
        <w:tblPrEx>
          <w:tblBorders>
            <w:left w:val="single" w:sz="4"/>
            <w:right w:val="single" w:sz="4"/>
          </w:tblBorders>
        </w:tblPrEx>
        <w:tc>
          <w:tcPr>
            <w:tcW w:w="737" w:type="dxa"/>
          </w:tcPr>
          <w:p>
            <w:pPr>
              <w:pStyle w:val="0"/>
              <w:jc w:val="center"/>
            </w:pPr>
            <w:r>
              <w:rPr>
                <w:sz w:val="20"/>
              </w:rPr>
              <w:t xml:space="preserve">1</w:t>
            </w:r>
          </w:p>
        </w:tc>
        <w:tc>
          <w:tcPr>
            <w:tcW w:w="907"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850" w:type="dxa"/>
          </w:tcPr>
          <w:p>
            <w:pPr>
              <w:pStyle w:val="0"/>
              <w:jc w:val="center"/>
            </w:pPr>
            <w:r>
              <w:rPr>
                <w:sz w:val="20"/>
              </w:rPr>
              <w:t xml:space="preserve">5</w:t>
            </w:r>
          </w:p>
        </w:tc>
        <w:tc>
          <w:tcPr>
            <w:tcW w:w="1020" w:type="dxa"/>
          </w:tcPr>
          <w:p>
            <w:pPr>
              <w:pStyle w:val="0"/>
              <w:jc w:val="center"/>
            </w:pPr>
            <w:r>
              <w:rPr>
                <w:sz w:val="20"/>
              </w:rPr>
              <w:t xml:space="preserve">6</w:t>
            </w:r>
          </w:p>
        </w:tc>
        <w:tc>
          <w:tcPr>
            <w:tcW w:w="1077" w:type="dxa"/>
          </w:tcPr>
          <w:p>
            <w:pPr>
              <w:pStyle w:val="0"/>
              <w:jc w:val="center"/>
            </w:pPr>
            <w:r>
              <w:rPr>
                <w:sz w:val="20"/>
              </w:rPr>
              <w:t xml:space="preserve">7</w:t>
            </w:r>
          </w:p>
        </w:tc>
        <w:tc>
          <w:tcPr>
            <w:tcW w:w="850" w:type="dxa"/>
          </w:tcPr>
          <w:p>
            <w:pPr>
              <w:pStyle w:val="0"/>
              <w:jc w:val="center"/>
            </w:pPr>
            <w:r>
              <w:rPr>
                <w:sz w:val="20"/>
              </w:rPr>
              <w:t xml:space="preserve">8</w:t>
            </w:r>
          </w:p>
        </w:tc>
        <w:tc>
          <w:tcPr>
            <w:tcW w:w="907" w:type="dxa"/>
          </w:tcPr>
          <w:p>
            <w:pPr>
              <w:pStyle w:val="0"/>
              <w:jc w:val="center"/>
            </w:pPr>
            <w:r>
              <w:rPr>
                <w:sz w:val="20"/>
              </w:rPr>
              <w:t xml:space="preserve">9</w:t>
            </w:r>
          </w:p>
        </w:tc>
        <w:tc>
          <w:tcPr>
            <w:tcW w:w="850" w:type="dxa"/>
          </w:tcPr>
          <w:p>
            <w:pPr>
              <w:pStyle w:val="0"/>
              <w:jc w:val="center"/>
            </w:pPr>
            <w:r>
              <w:rPr>
                <w:sz w:val="20"/>
              </w:rPr>
              <w:t xml:space="preserve">10</w:t>
            </w:r>
          </w:p>
        </w:tc>
        <w:tc>
          <w:tcPr>
            <w:tcW w:w="737" w:type="dxa"/>
          </w:tcPr>
          <w:p>
            <w:pPr>
              <w:pStyle w:val="0"/>
              <w:jc w:val="center"/>
            </w:pPr>
            <w:r>
              <w:rPr>
                <w:sz w:val="20"/>
              </w:rPr>
              <w:t xml:space="preserve">11</w:t>
            </w:r>
          </w:p>
        </w:tc>
        <w:tc>
          <w:tcPr>
            <w:tcW w:w="737" w:type="dxa"/>
          </w:tcPr>
          <w:p>
            <w:pPr>
              <w:pStyle w:val="0"/>
              <w:jc w:val="center"/>
            </w:pPr>
            <w:r>
              <w:rPr>
                <w:sz w:val="20"/>
              </w:rPr>
              <w:t xml:space="preserve">12</w:t>
            </w:r>
          </w:p>
        </w:tc>
        <w:tc>
          <w:tcPr>
            <w:tcW w:w="737" w:type="dxa"/>
          </w:tcPr>
          <w:bookmarkStart w:id="3057" w:name="P3057"/>
          <w:bookmarkEnd w:id="3057"/>
          <w:p>
            <w:pPr>
              <w:pStyle w:val="0"/>
              <w:jc w:val="center"/>
            </w:pPr>
            <w:r>
              <w:rPr>
                <w:sz w:val="20"/>
              </w:rPr>
              <w:t xml:space="preserve">13</w:t>
            </w:r>
          </w:p>
        </w:tc>
        <w:tc>
          <w:tcPr>
            <w:tcW w:w="907" w:type="dxa"/>
          </w:tcPr>
          <w:bookmarkStart w:id="3058" w:name="P3058"/>
          <w:bookmarkEnd w:id="3058"/>
          <w:p>
            <w:pPr>
              <w:pStyle w:val="0"/>
              <w:jc w:val="center"/>
            </w:pPr>
            <w:r>
              <w:rPr>
                <w:sz w:val="20"/>
              </w:rPr>
              <w:t xml:space="preserve">14</w:t>
            </w:r>
          </w:p>
        </w:tc>
        <w:tc>
          <w:tcPr>
            <w:tcW w:w="1077" w:type="dxa"/>
          </w:tcPr>
          <w:bookmarkStart w:id="3059" w:name="P3059"/>
          <w:bookmarkEnd w:id="3059"/>
          <w:p>
            <w:pPr>
              <w:pStyle w:val="0"/>
              <w:jc w:val="center"/>
            </w:pPr>
            <w:r>
              <w:rPr>
                <w:sz w:val="20"/>
              </w:rPr>
              <w:t xml:space="preserve">15</w:t>
            </w:r>
          </w:p>
        </w:tc>
        <w:tc>
          <w:tcPr>
            <w:tcW w:w="737" w:type="dxa"/>
          </w:tcPr>
          <w:p>
            <w:pPr>
              <w:pStyle w:val="0"/>
              <w:jc w:val="center"/>
            </w:pPr>
            <w:r>
              <w:rPr>
                <w:sz w:val="20"/>
              </w:rPr>
              <w:t xml:space="preserve">16</w:t>
            </w:r>
          </w:p>
        </w:tc>
        <w:tc>
          <w:tcPr>
            <w:tcW w:w="737" w:type="dxa"/>
          </w:tcPr>
          <w:p>
            <w:pPr>
              <w:pStyle w:val="0"/>
              <w:jc w:val="center"/>
            </w:pPr>
            <w:r>
              <w:rPr>
                <w:sz w:val="20"/>
              </w:rPr>
              <w:t xml:space="preserve">17</w:t>
            </w:r>
          </w:p>
        </w:tc>
        <w:tc>
          <w:tcPr>
            <w:tcW w:w="794" w:type="dxa"/>
          </w:tcPr>
          <w:p>
            <w:pPr>
              <w:pStyle w:val="0"/>
              <w:jc w:val="center"/>
            </w:pPr>
            <w:r>
              <w:rPr>
                <w:sz w:val="20"/>
              </w:rPr>
              <w:t xml:space="preserve">18</w:t>
            </w:r>
          </w:p>
        </w:tc>
        <w:tc>
          <w:tcPr>
            <w:tcW w:w="1304" w:type="dxa"/>
          </w:tcPr>
          <w:bookmarkStart w:id="3063" w:name="P3063"/>
          <w:bookmarkEnd w:id="3063"/>
          <w:p>
            <w:pPr>
              <w:pStyle w:val="0"/>
              <w:jc w:val="center"/>
            </w:pPr>
            <w:r>
              <w:rPr>
                <w:sz w:val="20"/>
              </w:rPr>
              <w:t xml:space="preserve">19</w:t>
            </w:r>
          </w:p>
        </w:tc>
        <w:tc>
          <w:tcPr>
            <w:tcW w:w="964" w:type="dxa"/>
          </w:tcPr>
          <w:p>
            <w:pPr>
              <w:pStyle w:val="0"/>
              <w:jc w:val="center"/>
            </w:pPr>
            <w:r>
              <w:rPr>
                <w:sz w:val="20"/>
              </w:rPr>
              <w:t xml:space="preserve">20</w:t>
            </w:r>
          </w:p>
        </w:tc>
        <w:tc>
          <w:tcPr>
            <w:tcW w:w="964" w:type="dxa"/>
          </w:tcPr>
          <w:p>
            <w:pPr>
              <w:pStyle w:val="0"/>
              <w:jc w:val="center"/>
            </w:pPr>
            <w:r>
              <w:rPr>
                <w:sz w:val="20"/>
              </w:rPr>
              <w:t xml:space="preserve">21</w:t>
            </w:r>
          </w:p>
        </w:tc>
        <w:tc>
          <w:tcPr>
            <w:tcW w:w="1020" w:type="dxa"/>
          </w:tcPr>
          <w:bookmarkStart w:id="3066" w:name="P3066"/>
          <w:bookmarkEnd w:id="3066"/>
          <w:p>
            <w:pPr>
              <w:pStyle w:val="0"/>
              <w:jc w:val="center"/>
            </w:pPr>
            <w:r>
              <w:rPr>
                <w:sz w:val="20"/>
              </w:rPr>
              <w:t xml:space="preserve">22</w:t>
            </w:r>
          </w:p>
        </w:tc>
        <w:tc>
          <w:tcPr>
            <w:tcW w:w="1757" w:type="dxa"/>
          </w:tcPr>
          <w:bookmarkStart w:id="3067" w:name="P3067"/>
          <w:bookmarkEnd w:id="3067"/>
          <w:p>
            <w:pPr>
              <w:pStyle w:val="0"/>
              <w:jc w:val="center"/>
            </w:pPr>
            <w:r>
              <w:rPr>
                <w:sz w:val="20"/>
              </w:rPr>
              <w:t xml:space="preserve">23</w:t>
            </w:r>
          </w:p>
        </w:tc>
      </w:tr>
      <w:tr>
        <w:tblPrEx>
          <w:tblBorders>
            <w:left w:val="single" w:sz="4"/>
            <w:right w:val="single" w:sz="4"/>
          </w:tblBorders>
        </w:tblPrEx>
        <w:tc>
          <w:tcPr>
            <w:tcW w:w="737" w:type="dxa"/>
            <w:vMerge w:val="restart"/>
          </w:tcPr>
          <w:p>
            <w:pPr>
              <w:pStyle w:val="0"/>
            </w:pPr>
            <w:r>
              <w:rPr>
                <w:sz w:val="20"/>
              </w:rPr>
            </w:r>
          </w:p>
        </w:tc>
        <w:tc>
          <w:tcPr>
            <w:tcW w:w="907" w:type="dxa"/>
            <w:vMerge w:val="restart"/>
          </w:tcPr>
          <w:p>
            <w:pPr>
              <w:pStyle w:val="0"/>
            </w:pPr>
            <w:r>
              <w:rPr>
                <w:sz w:val="20"/>
              </w:rPr>
            </w:r>
          </w:p>
        </w:tc>
        <w:tc>
          <w:tcPr>
            <w:tcW w:w="737" w:type="dxa"/>
            <w:vMerge w:val="restart"/>
          </w:tcPr>
          <w:p>
            <w:pPr>
              <w:pStyle w:val="0"/>
            </w:pPr>
            <w:r>
              <w:rPr>
                <w:sz w:val="20"/>
              </w:rPr>
            </w:r>
          </w:p>
        </w:tc>
        <w:tc>
          <w:tcPr>
            <w:tcW w:w="737" w:type="dxa"/>
            <w:vMerge w:val="restart"/>
          </w:tcPr>
          <w:p>
            <w:pPr>
              <w:pStyle w:val="0"/>
            </w:pPr>
            <w:r>
              <w:rPr>
                <w:sz w:val="20"/>
              </w:rPr>
            </w:r>
          </w:p>
        </w:tc>
        <w:tc>
          <w:tcPr>
            <w:tcW w:w="850" w:type="dxa"/>
            <w:vMerge w:val="restart"/>
          </w:tcPr>
          <w:p>
            <w:pPr>
              <w:pStyle w:val="0"/>
            </w:pPr>
            <w:r>
              <w:rPr>
                <w:sz w:val="20"/>
              </w:rPr>
            </w:r>
          </w:p>
        </w:tc>
        <w:tc>
          <w:tcPr>
            <w:tcW w:w="1020" w:type="dxa"/>
            <w:vMerge w:val="restart"/>
          </w:tcPr>
          <w:p>
            <w:pPr>
              <w:pStyle w:val="0"/>
            </w:pPr>
            <w:r>
              <w:rPr>
                <w:sz w:val="20"/>
              </w:rPr>
            </w:r>
          </w:p>
        </w:tc>
        <w:tc>
          <w:tcPr>
            <w:tcW w:w="1077" w:type="dxa"/>
            <w:vMerge w:val="restart"/>
          </w:tcPr>
          <w:p>
            <w:pPr>
              <w:pStyle w:val="0"/>
            </w:pPr>
            <w:r>
              <w:rPr>
                <w:sz w:val="20"/>
              </w:rPr>
            </w:r>
          </w:p>
        </w:tc>
        <w:tc>
          <w:tcPr>
            <w:tcW w:w="850" w:type="dxa"/>
            <w:vMerge w:val="restart"/>
          </w:tcPr>
          <w:p>
            <w:pPr>
              <w:pStyle w:val="0"/>
            </w:pPr>
            <w:r>
              <w:rPr>
                <w:sz w:val="20"/>
              </w:rPr>
            </w: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blPrEx>
          <w:tblBorders>
            <w:left w:val="single" w:sz="4"/>
            <w:righ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Pr>
          <w:p>
            <w:pPr>
              <w:pStyle w:val="0"/>
            </w:pPr>
            <w:r>
              <w:rPr>
                <w:sz w:val="20"/>
              </w:rPr>
            </w:r>
          </w:p>
        </w:tc>
      </w:tr>
      <w:tr>
        <w:tc>
          <w:tcPr>
            <w:gridSpan w:val="3"/>
            <w:tcW w:w="2381" w:type="dxa"/>
            <w:tcBorders>
              <w:left w:val="nil"/>
              <w:bottom w:val="nil"/>
            </w:tcBorders>
            <w:vMerge w:val="restart"/>
          </w:tcPr>
          <w:p>
            <w:pPr>
              <w:pStyle w:val="0"/>
            </w:pPr>
            <w:r>
              <w:rPr>
                <w:sz w:val="20"/>
              </w:rPr>
            </w:r>
          </w:p>
        </w:tc>
        <w:tc>
          <w:tcPr>
            <w:tcW w:w="737" w:type="dxa"/>
            <w:vMerge w:val="restart"/>
          </w:tcPr>
          <w:p>
            <w:pPr>
              <w:pStyle w:val="0"/>
              <w:jc w:val="center"/>
            </w:pPr>
            <w:r>
              <w:rPr>
                <w:sz w:val="20"/>
              </w:rPr>
              <w:t xml:space="preserve">Итого по государственной услуге</w:t>
            </w:r>
          </w:p>
        </w:tc>
        <w:tc>
          <w:tcPr>
            <w:tcW w:w="850" w:type="dxa"/>
            <w:vMerge w:val="restart"/>
          </w:tcPr>
          <w:p>
            <w:pPr>
              <w:pStyle w:val="0"/>
            </w:pPr>
            <w:r>
              <w:rPr>
                <w:sz w:val="20"/>
              </w:rPr>
            </w:r>
          </w:p>
        </w:tc>
        <w:tc>
          <w:tcPr>
            <w:tcW w:w="1020" w:type="dxa"/>
            <w:vMerge w:val="restart"/>
          </w:tcPr>
          <w:p>
            <w:pPr>
              <w:pStyle w:val="0"/>
              <w:jc w:val="center"/>
            </w:pPr>
            <w:r>
              <w:rPr>
                <w:sz w:val="20"/>
              </w:rPr>
              <w:t xml:space="preserve">x</w:t>
            </w:r>
          </w:p>
        </w:tc>
        <w:tc>
          <w:tcPr>
            <w:tcW w:w="1077"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Borders>
              <w:bottom w:val="nil"/>
              <w:right w:val="nil"/>
            </w:tcBorders>
            <w:vMerge w:val="restart"/>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bottom w:val="nil"/>
              <w:right w:val="nil"/>
            </w:tcBorders>
            <w:vMerge w:val="continue"/>
          </w:tcP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Borders>
              <w:top w:val="nil"/>
              <w:bottom w:val="nil"/>
              <w:right w:val="nil"/>
            </w:tcBorders>
            <w:vMerge w:val="restart"/>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left w:val="nil"/>
              <w:bottom w:val="nil"/>
            </w:tcBorders>
            <w:vMerge w:val="continue"/>
          </w:tcPr>
          <w:p/>
        </w:tc>
        <w:tc>
          <w:tcPr>
            <w:vMerge w:val="continue"/>
          </w:tcPr>
          <w:p/>
        </w:tc>
        <w:tc>
          <w:tcPr>
            <w:tcW w:w="850" w:type="dxa"/>
            <w:vMerge w:val="restart"/>
          </w:tcPr>
          <w:p>
            <w:pPr>
              <w:pStyle w:val="0"/>
            </w:pPr>
            <w:r>
              <w:rPr>
                <w:sz w:val="20"/>
              </w:rPr>
            </w:r>
          </w:p>
        </w:tc>
        <w:tc>
          <w:tcPr>
            <w:tcW w:w="1020" w:type="dxa"/>
            <w:vMerge w:val="restart"/>
          </w:tcPr>
          <w:p>
            <w:pPr>
              <w:pStyle w:val="0"/>
              <w:jc w:val="center"/>
            </w:pPr>
            <w:r>
              <w:rPr>
                <w:sz w:val="20"/>
              </w:rPr>
              <w:t xml:space="preserve">x</w:t>
            </w:r>
          </w:p>
        </w:tc>
        <w:tc>
          <w:tcPr>
            <w:tcW w:w="1077"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W w:w="2381" w:type="dxa"/>
            <w:tcBorders>
              <w:top w:val="nil"/>
              <w:left w:val="nil"/>
              <w:bottom w:val="nil"/>
            </w:tcBorders>
            <w:vMerge w:val="restart"/>
          </w:tcPr>
          <w:p>
            <w:pPr>
              <w:pStyle w:val="0"/>
            </w:pPr>
            <w:r>
              <w:rPr>
                <w:sz w:val="20"/>
              </w:rPr>
            </w:r>
          </w:p>
        </w:tc>
        <w:tc>
          <w:tcPr>
            <w:tcW w:w="737" w:type="dxa"/>
            <w:vMerge w:val="restart"/>
          </w:tcPr>
          <w:p>
            <w:pPr>
              <w:pStyle w:val="0"/>
              <w:jc w:val="center"/>
            </w:pPr>
            <w:r>
              <w:rPr>
                <w:sz w:val="20"/>
              </w:rPr>
              <w:t xml:space="preserve">Итого по укрупненной государственной услуге</w:t>
            </w:r>
          </w:p>
        </w:tc>
        <w:tc>
          <w:tcPr>
            <w:tcW w:w="850" w:type="dxa"/>
            <w:vMerge w:val="restart"/>
          </w:tcPr>
          <w:p>
            <w:pPr>
              <w:pStyle w:val="0"/>
            </w:pPr>
            <w:r>
              <w:rPr>
                <w:sz w:val="20"/>
              </w:rPr>
            </w:r>
          </w:p>
        </w:tc>
        <w:tc>
          <w:tcPr>
            <w:tcW w:w="1020" w:type="dxa"/>
            <w:vMerge w:val="restart"/>
          </w:tcPr>
          <w:p>
            <w:pPr>
              <w:pStyle w:val="0"/>
              <w:jc w:val="center"/>
            </w:pPr>
            <w:r>
              <w:rPr>
                <w:sz w:val="20"/>
              </w:rPr>
              <w:t xml:space="preserve">x</w:t>
            </w:r>
          </w:p>
        </w:tc>
        <w:tc>
          <w:tcPr>
            <w:tcW w:w="1077"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757" w:type="dxa"/>
            <w:tcBorders>
              <w:top w:val="nil"/>
              <w:bottom w:val="nil"/>
              <w:right w:val="nil"/>
            </w:tcBorders>
            <w:vMerge w:val="restart"/>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tcW w:w="850" w:type="dxa"/>
            <w:vMerge w:val="restart"/>
          </w:tcPr>
          <w:p>
            <w:pPr>
              <w:pStyle w:val="0"/>
            </w:pPr>
            <w:r>
              <w:rPr>
                <w:sz w:val="20"/>
              </w:rPr>
            </w:r>
          </w:p>
        </w:tc>
        <w:tc>
          <w:tcPr>
            <w:tcW w:w="1020" w:type="dxa"/>
            <w:vMerge w:val="restart"/>
          </w:tcPr>
          <w:p>
            <w:pPr>
              <w:pStyle w:val="0"/>
              <w:jc w:val="center"/>
            </w:pPr>
            <w:r>
              <w:rPr>
                <w:sz w:val="20"/>
              </w:rPr>
              <w:t xml:space="preserve">x</w:t>
            </w:r>
          </w:p>
        </w:tc>
        <w:tc>
          <w:tcPr>
            <w:tcW w:w="1077"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907" w:type="dxa"/>
            <w:vMerge w:val="restart"/>
          </w:tcPr>
          <w:p>
            <w:pPr>
              <w:pStyle w:val="0"/>
            </w:pPr>
            <w:r>
              <w:rPr>
                <w:sz w:val="20"/>
              </w:rPr>
            </w:r>
          </w:p>
        </w:tc>
        <w:tc>
          <w:tcPr>
            <w:tcW w:w="850" w:type="dxa"/>
            <w:vMerge w:val="restart"/>
          </w:tcPr>
          <w:p>
            <w:pPr>
              <w:pStyle w:val="0"/>
            </w:pPr>
            <w:r>
              <w:rPr>
                <w:sz w:val="20"/>
              </w:rPr>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737" w:type="dxa"/>
          </w:tcPr>
          <w:p>
            <w:pPr>
              <w:pStyle w:val="0"/>
              <w:jc w:val="center"/>
            </w:pPr>
            <w:r>
              <w:rPr>
                <w:sz w:val="20"/>
              </w:rPr>
              <w:t xml:space="preserve">x</w:t>
            </w:r>
          </w:p>
        </w:tc>
        <w:tc>
          <w:tcPr>
            <w:tcW w:w="907" w:type="dxa"/>
          </w:tcPr>
          <w:p>
            <w:pPr>
              <w:pStyle w:val="0"/>
              <w:jc w:val="center"/>
            </w:pPr>
            <w:r>
              <w:rPr>
                <w:sz w:val="20"/>
              </w:rPr>
              <w:t xml:space="preserve">x</w:t>
            </w:r>
          </w:p>
        </w:tc>
        <w:tc>
          <w:tcPr>
            <w:tcW w:w="1077" w:type="dxa"/>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Borders>
              <w:top w:val="nil"/>
              <w:bottom w:val="nil"/>
              <w:right w:val="nil"/>
            </w:tcBorders>
            <w:vMerge w:val="continue"/>
          </w:tcP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bookmarkStart w:id="3414" w:name="P3414"/>
    <w:bookmarkEnd w:id="3414"/>
    <w:p>
      <w:pPr>
        <w:pStyle w:val="0"/>
        <w:outlineLvl w:val="1"/>
        <w:jc w:val="center"/>
      </w:pPr>
      <w:r>
        <w:rPr>
          <w:sz w:val="20"/>
        </w:rPr>
        <w:t xml:space="preserve">IV. Сведения о фактических показателях, характеризующих</w:t>
      </w:r>
    </w:p>
    <w:p>
      <w:pPr>
        <w:pStyle w:val="0"/>
        <w:jc w:val="center"/>
      </w:pPr>
      <w:r>
        <w:rPr>
          <w:sz w:val="20"/>
        </w:rPr>
        <w:t xml:space="preserve">объем и качество оказания государственной услуги</w:t>
      </w:r>
    </w:p>
    <w:p>
      <w:pPr>
        <w:pStyle w:val="0"/>
        <w:jc w:val="center"/>
      </w:pPr>
      <w:r>
        <w:rPr>
          <w:sz w:val="20"/>
        </w:rPr>
        <w:t xml:space="preserve">в социальной сфере (государственных услуг в социальной</w:t>
      </w:r>
    </w:p>
    <w:p>
      <w:pPr>
        <w:pStyle w:val="0"/>
        <w:jc w:val="center"/>
      </w:pPr>
      <w:r>
        <w:rPr>
          <w:sz w:val="20"/>
        </w:rPr>
        <w:t xml:space="preserve">сфере, составляющих укрупненную государственную услугу),</w:t>
      </w:r>
    </w:p>
    <w:p>
      <w:pPr>
        <w:pStyle w:val="0"/>
        <w:jc w:val="center"/>
      </w:pPr>
      <w:r>
        <w:rPr>
          <w:sz w:val="20"/>
        </w:rPr>
        <w:t xml:space="preserve">на "___" _____________ 20__ года</w:t>
      </w:r>
    </w:p>
    <w:p>
      <w:pPr>
        <w:pStyle w:val="0"/>
        <w:jc w:val="both"/>
      </w:pPr>
      <w:r>
        <w:rPr>
          <w:sz w:val="20"/>
        </w:rPr>
      </w:r>
    </w:p>
    <w:p>
      <w:pPr>
        <w:pStyle w:val="0"/>
        <w:jc w:val="center"/>
      </w:pPr>
      <w:r>
        <w:rPr>
          <w:sz w:val="20"/>
        </w:rPr>
        <w:t xml:space="preserve">Наименование укрупненной государственной услуги </w:t>
      </w:r>
      <w:hyperlink w:history="0" w:anchor="P3960" w:tooltip="&lt;17&gt; - указывается наименование укрупненной государственной услуги в случае, если социальный заказ Республики Саха (Якутия) формируется в отношении укрупненных государственных услуг;">
        <w:r>
          <w:rPr>
            <w:sz w:val="20"/>
            <w:color w:val="0000ff"/>
          </w:rPr>
          <w:t xml:space="preserve">&lt;17&gt;</w:t>
        </w:r>
      </w:hyperlink>
    </w:p>
    <w:p>
      <w:pPr>
        <w:pStyle w:val="0"/>
        <w:jc w:val="both"/>
      </w:pPr>
      <w:r>
        <w:rPr>
          <w:sz w:val="20"/>
        </w:rPr>
      </w:r>
    </w:p>
    <w:tbl>
      <w:tblPr>
        <w:tblInd w:w="0" w:type="dxa"/>
        <w:tblW w:w="5000" w:type="pct"/>
        <w:tblBorders>
          <w:top w:val="single" w:sz="4"/>
          <w:bottom w:val="single" w:sz="4"/>
          <w:right w:val="single" w:sz="4"/>
          <w:insideV w:val="single" w:sz="4"/>
          <w:insideH w:val="single" w:sz="4"/>
        </w:tblBorders>
        <w:tblCellMar>
          <w:top w:w="102" w:type="dxa"/>
          <w:left w:w="62" w:type="dxa"/>
          <w:bottom w:w="102" w:type="dxa"/>
          <w:right w:w="62" w:type="dxa"/>
        </w:tblCellMar>
      </w:tblPr>
      <w:tblGrid>
        <w:gridCol w:w="737"/>
        <w:gridCol w:w="737"/>
        <w:gridCol w:w="737"/>
        <w:gridCol w:w="737"/>
        <w:gridCol w:w="794"/>
        <w:gridCol w:w="794"/>
        <w:gridCol w:w="850"/>
        <w:gridCol w:w="794"/>
        <w:gridCol w:w="850"/>
        <w:gridCol w:w="850"/>
        <w:gridCol w:w="794"/>
        <w:gridCol w:w="737"/>
        <w:gridCol w:w="794"/>
        <w:gridCol w:w="907"/>
        <w:gridCol w:w="907"/>
        <w:gridCol w:w="794"/>
        <w:gridCol w:w="737"/>
        <w:gridCol w:w="794"/>
        <w:gridCol w:w="907"/>
        <w:gridCol w:w="1247"/>
        <w:gridCol w:w="737"/>
        <w:gridCol w:w="794"/>
        <w:gridCol w:w="1077"/>
        <w:gridCol w:w="1644"/>
        <w:gridCol w:w="1644"/>
        <w:gridCol w:w="737"/>
      </w:tblGrid>
      <w:tr>
        <w:tblPrEx>
          <w:tblBorders>
            <w:left w:val="single" w:sz="4"/>
          </w:tblBorders>
        </w:tblPrEx>
        <w:tc>
          <w:tcPr>
            <w:gridSpan w:val="4"/>
            <w:tcW w:w="2948" w:type="dxa"/>
          </w:tcPr>
          <w:p>
            <w:pPr>
              <w:pStyle w:val="0"/>
              <w:jc w:val="center"/>
            </w:pPr>
            <w:r>
              <w:rPr>
                <w:sz w:val="20"/>
              </w:rPr>
              <w:t xml:space="preserve">Исполнитель государственной услуги</w:t>
            </w:r>
          </w:p>
        </w:tc>
        <w:tc>
          <w:tcPr>
            <w:tcW w:w="794" w:type="dxa"/>
            <w:vMerge w:val="restart"/>
          </w:tcPr>
          <w:p>
            <w:pPr>
              <w:pStyle w:val="0"/>
              <w:jc w:val="center"/>
            </w:pPr>
            <w:r>
              <w:rPr>
                <w:sz w:val="20"/>
              </w:rPr>
              <w:t xml:space="preserve">Уникальный номер реестровой записи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94" w:type="dxa"/>
            <w:vMerge w:val="restart"/>
          </w:tcPr>
          <w:p>
            <w:pPr>
              <w:pStyle w:val="0"/>
              <w:jc w:val="center"/>
            </w:pPr>
            <w:r>
              <w:rPr>
                <w:sz w:val="20"/>
              </w:rPr>
              <w:t xml:space="preserve">Наименование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850" w:type="dxa"/>
            <w:vMerge w:val="restart"/>
          </w:tcPr>
          <w:p>
            <w:pPr>
              <w:pStyle w:val="0"/>
              <w:jc w:val="center"/>
            </w:pPr>
            <w:r>
              <w:rPr>
                <w:sz w:val="20"/>
              </w:rPr>
              <w:t xml:space="preserve">Условия (формы) оказания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94" w:type="dxa"/>
            <w:vMerge w:val="restart"/>
          </w:tcPr>
          <w:p>
            <w:pPr>
              <w:pStyle w:val="0"/>
              <w:jc w:val="center"/>
            </w:pPr>
            <w:r>
              <w:rPr>
                <w:sz w:val="20"/>
              </w:rPr>
              <w:t xml:space="preserve">Категории потребителей государственных услуг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850" w:type="dxa"/>
            <w:vMerge w:val="restart"/>
          </w:tcPr>
          <w:p>
            <w:pPr>
              <w:pStyle w:val="0"/>
              <w:jc w:val="center"/>
            </w:pPr>
            <w:r>
              <w:rPr>
                <w:sz w:val="20"/>
              </w:rPr>
              <w:t xml:space="preserve">Год определения исполнителей государственных услуг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850" w:type="dxa"/>
            <w:vMerge w:val="restart"/>
          </w:tcPr>
          <w:p>
            <w:pPr>
              <w:pStyle w:val="0"/>
              <w:jc w:val="center"/>
            </w:pPr>
            <w:r>
              <w:rPr>
                <w:sz w:val="20"/>
              </w:rPr>
              <w:t xml:space="preserve">Место оказания государственной услуги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3"/>
            <w:tcW w:w="2325" w:type="dxa"/>
          </w:tcPr>
          <w:p>
            <w:pPr>
              <w:pStyle w:val="0"/>
              <w:jc w:val="center"/>
            </w:pPr>
            <w:r>
              <w:rPr>
                <w:sz w:val="20"/>
              </w:rPr>
              <w:t xml:space="preserve">Показатель, характеризующий качество оказания государственной услуги</w:t>
            </w:r>
          </w:p>
        </w:tc>
        <w:tc>
          <w:tcPr>
            <w:tcW w:w="907" w:type="dxa"/>
            <w:vMerge w:val="restart"/>
          </w:tcPr>
          <w:p>
            <w:pPr>
              <w:pStyle w:val="0"/>
              <w:jc w:val="center"/>
            </w:pPr>
            <w:r>
              <w:rPr>
                <w:sz w:val="20"/>
              </w:rPr>
              <w:t xml:space="preserve">Значение фактического показателя, характеризующего качество оказания государственной услуги </w:t>
            </w:r>
            <w:hyperlink w:history="0" w:anchor="P3966" w:tooltip="&lt;23&gt; - формируется на основании отчетов исполнителей государственных услуг об исполнении соглашений и отчетов о выполнении государственного задания;">
              <w:r>
                <w:rPr>
                  <w:sz w:val="20"/>
                  <w:color w:val="0000ff"/>
                </w:rPr>
                <w:t xml:space="preserve">&lt;23&gt;</w:t>
              </w:r>
            </w:hyperlink>
          </w:p>
        </w:tc>
        <w:tc>
          <w:tcPr>
            <w:tcW w:w="907" w:type="dxa"/>
            <w:vMerge w:val="restart"/>
          </w:tcPr>
          <w:p>
            <w:pPr>
              <w:pStyle w:val="0"/>
              <w:jc w:val="center"/>
            </w:pPr>
            <w:r>
              <w:rPr>
                <w:sz w:val="20"/>
              </w:rPr>
              <w:t xml:space="preserve">Фактическое отклонение от показателя, характеризующего качество оказания государственной услуги </w:t>
            </w:r>
            <w:hyperlink w:history="0" w:anchor="P3967" w:tooltip="&lt;24&gt; - указывается как разница графы 14 раздела IV и графы 14 раздела III настоящего документа;">
              <w:r>
                <w:rPr>
                  <w:sz w:val="20"/>
                  <w:color w:val="0000ff"/>
                </w:rPr>
                <w:t xml:space="preserve">&lt;24&gt;</w:t>
              </w:r>
            </w:hyperlink>
          </w:p>
        </w:tc>
        <w:tc>
          <w:tcPr>
            <w:gridSpan w:val="3"/>
            <w:tcW w:w="2325" w:type="dxa"/>
          </w:tcPr>
          <w:p>
            <w:pPr>
              <w:pStyle w:val="0"/>
              <w:jc w:val="center"/>
            </w:pPr>
            <w:r>
              <w:rPr>
                <w:sz w:val="20"/>
              </w:rPr>
              <w:t xml:space="preserve">Показатель, характеризующий объем оказания государственной услуги</w:t>
            </w:r>
          </w:p>
        </w:tc>
        <w:tc>
          <w:tcPr>
            <w:gridSpan w:val="4"/>
            <w:tcW w:w="3685" w:type="dxa"/>
          </w:tcPr>
          <w:p>
            <w:pPr>
              <w:pStyle w:val="0"/>
              <w:jc w:val="center"/>
            </w:pPr>
            <w:r>
              <w:rPr>
                <w:sz w:val="20"/>
              </w:rPr>
              <w:t xml:space="preserve">Значение фактического показателя, характеризующего объем оказания государственной услуги </w:t>
            </w:r>
            <w:hyperlink w:history="0" w:anchor="P3968" w:tooltip="&lt;25&gt; - в отношении одного исполнителя услуг может быть указана информация о значении фактического показателя, характеризующего объем оказания государственной услуги, только в отношении одного способа определения услуг.">
              <w:r>
                <w:rPr>
                  <w:sz w:val="20"/>
                  <w:color w:val="0000ff"/>
                </w:rPr>
                <w:t xml:space="preserve">&lt;25&gt;</w:t>
              </w:r>
            </w:hyperlink>
          </w:p>
        </w:tc>
        <w:tc>
          <w:tcPr>
            <w:tcW w:w="1077" w:type="dxa"/>
            <w:vMerge w:val="restart"/>
          </w:tcPr>
          <w:p>
            <w:pPr>
              <w:pStyle w:val="0"/>
              <w:jc w:val="center"/>
            </w:pPr>
            <w:r>
              <w:rPr>
                <w:sz w:val="20"/>
              </w:rPr>
              <w:t xml:space="preserve">Фактическое отклонение от показателя, характеризующего объем оказания государственной услуги </w:t>
            </w:r>
            <w:hyperlink w:history="0" w:anchor="P3969" w:tooltip="&lt;26&gt; - рассчитывается как разница между фактическим показателем, характеризующим объем оказания государственной услуги, включенным в соответствии со способом определения исполнителя услуг в одну из граф 19 - 22 раздела IV настоящего документа, и плановым показателем, характеризующим объем оказания государственной услуги, включенным в соответствии со способом определения исполнителя услуг в одну из граф 19 - 22 раздела III настоящего документа;">
              <w:r>
                <w:rPr>
                  <w:sz w:val="20"/>
                  <w:color w:val="0000ff"/>
                </w:rPr>
                <w:t xml:space="preserve">&lt;26&gt;</w:t>
              </w:r>
            </w:hyperlink>
          </w:p>
        </w:tc>
        <w:tc>
          <w:tcPr>
            <w:tcW w:w="1644" w:type="dxa"/>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качество оказания государственной услуги </w:t>
            </w:r>
            <w:hyperlink w:history="0" w:anchor="P3970" w:tooltip="&lt;27&gt; - рассчитывается как разница графы 14 раздела III, графы 14 раздела IV и графы 15 раздела III настоящего документа (в случае если значение предельного допустимого возможного отклонения от показателя, характеризующего качество оказания государственной услуги, установлено в относительных величинах, значение графы 14 раздела III настоящего документа перерассчитывается в абсолютную величину путем умножения значения графы 13 раздела III настоящего документа на графу 14 раздела III настоящего документа);">
              <w:r>
                <w:rPr>
                  <w:sz w:val="20"/>
                  <w:color w:val="0000ff"/>
                </w:rPr>
                <w:t xml:space="preserve">&lt;27&gt;</w:t>
              </w:r>
            </w:hyperlink>
          </w:p>
        </w:tc>
        <w:tc>
          <w:tcPr>
            <w:tcW w:w="1644" w:type="dxa"/>
            <w:vMerge w:val="restart"/>
          </w:tcPr>
          <w:p>
            <w:pPr>
              <w:pStyle w:val="0"/>
              <w:jc w:val="center"/>
            </w:pPr>
            <w:r>
              <w:rPr>
                <w:sz w:val="20"/>
              </w:rPr>
              <w:t xml:space="preserve">Отклонение, превышающее предельные допустимые возможные отклонения от показателя, характеризующего объем оказания государственной услуги </w:t>
            </w:r>
            <w:hyperlink w:history="0" w:anchor="P3971" w:tooltip="&lt;28&gt; - рассчитывается как разница графы 23 раздела IV и графы 23 раздела III настоящего документа;">
              <w:r>
                <w:rPr>
                  <w:sz w:val="20"/>
                  <w:color w:val="0000ff"/>
                </w:rPr>
                <w:t xml:space="preserve">&lt;28&gt;</w:t>
              </w:r>
            </w:hyperlink>
          </w:p>
        </w:tc>
        <w:tc>
          <w:tcPr>
            <w:tcW w:w="737" w:type="dxa"/>
            <w:vMerge w:val="restart"/>
          </w:tcPr>
          <w:p>
            <w:pPr>
              <w:pStyle w:val="0"/>
              <w:jc w:val="center"/>
            </w:pPr>
            <w:r>
              <w:rPr>
                <w:sz w:val="20"/>
              </w:rPr>
              <w:t xml:space="preserve">Причина превышения</w:t>
            </w:r>
          </w:p>
        </w:tc>
      </w:tr>
      <w:tr>
        <w:tblPrEx>
          <w:tblBorders>
            <w:left w:val="single" w:sz="4"/>
          </w:tblBorders>
        </w:tblPrEx>
        <w:tc>
          <w:tcPr>
            <w:tcW w:w="737" w:type="dxa"/>
            <w:vMerge w:val="restart"/>
          </w:tcPr>
          <w:p>
            <w:pPr>
              <w:pStyle w:val="0"/>
              <w:jc w:val="center"/>
            </w:pPr>
            <w:r>
              <w:rPr>
                <w:sz w:val="20"/>
              </w:rPr>
              <w:t xml:space="preserve">уникальный код организации по Сводному реестру </w:t>
            </w:r>
            <w:hyperlink w:history="0" w:anchor="P3961" w:tooltip="&lt;18&gt; - указывается уникальный код организации, присвоенный исполнителю услуг, при формировании сведений о нем в реестре участников бюджетного процесса, а также юридических лиц, не являющихся участниками бюджетного процесса;">
              <w:r>
                <w:rPr>
                  <w:sz w:val="20"/>
                  <w:color w:val="0000ff"/>
                </w:rPr>
                <w:t xml:space="preserve">&lt;18&gt;</w:t>
              </w:r>
            </w:hyperlink>
          </w:p>
        </w:tc>
        <w:tc>
          <w:tcPr>
            <w:tcW w:w="737" w:type="dxa"/>
            <w:vMerge w:val="restart"/>
          </w:tcPr>
          <w:p>
            <w:pPr>
              <w:pStyle w:val="0"/>
              <w:jc w:val="center"/>
            </w:pPr>
            <w:r>
              <w:rPr>
                <w:sz w:val="20"/>
              </w:rPr>
              <w:t xml:space="preserve">наименование исполнителя государственной услуги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gridSpan w:val="2"/>
            <w:tcW w:w="1474" w:type="dxa"/>
          </w:tcPr>
          <w:p>
            <w:pPr>
              <w:pStyle w:val="0"/>
              <w:jc w:val="center"/>
            </w:pPr>
            <w:r>
              <w:rPr>
                <w:sz w:val="20"/>
              </w:rPr>
              <w:t xml:space="preserve">организационно-правовая форма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2"/>
            <w:tcW w:w="1531" w:type="dxa"/>
          </w:tcPr>
          <w:p>
            <w:pPr>
              <w:pStyle w:val="0"/>
              <w:jc w:val="center"/>
            </w:pPr>
            <w:r>
              <w:rPr>
                <w:sz w:val="20"/>
              </w:rPr>
              <w:t xml:space="preserve">единица измерения</w:t>
            </w:r>
          </w:p>
        </w:tc>
        <w:tc>
          <w:tcPr>
            <w:vMerge w:val="continue"/>
          </w:tcPr>
          <w:p/>
        </w:tc>
        <w:tc>
          <w:tcPr>
            <w:vMerge w:val="continue"/>
          </w:tcPr>
          <w:p/>
        </w:tc>
        <w:tc>
          <w:tcPr>
            <w:tcW w:w="794" w:type="dxa"/>
            <w:vMerge w:val="restart"/>
          </w:tcPr>
          <w:p>
            <w:pPr>
              <w:pStyle w:val="0"/>
              <w:jc w:val="center"/>
            </w:pPr>
            <w:r>
              <w:rPr>
                <w:sz w:val="20"/>
              </w:rPr>
              <w:t xml:space="preserve">наименование показателя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gridSpan w:val="2"/>
            <w:tcW w:w="1531" w:type="dxa"/>
          </w:tcPr>
          <w:p>
            <w:pPr>
              <w:pStyle w:val="0"/>
              <w:jc w:val="center"/>
            </w:pPr>
            <w:r>
              <w:rPr>
                <w:sz w:val="20"/>
              </w:rPr>
              <w:t xml:space="preserve">единица измерения</w:t>
            </w:r>
          </w:p>
        </w:tc>
        <w:tc>
          <w:tcPr>
            <w:tcW w:w="907" w:type="dxa"/>
            <w:vMerge w:val="restart"/>
          </w:tcPr>
          <w:p>
            <w:pPr>
              <w:pStyle w:val="0"/>
              <w:jc w:val="center"/>
            </w:pPr>
            <w:r>
              <w:rPr>
                <w:sz w:val="20"/>
              </w:rPr>
              <w:t xml:space="preserve">оказываемой государственными казенными учреждениями на основании государственного задания </w:t>
            </w:r>
            <w:hyperlink w:history="0" w:anchor="P3966" w:tooltip="&lt;23&gt; - формируется на основании отчетов исполнителей государственных услуг об исполнении соглашений и отчетов о выполнении государственного задания;">
              <w:r>
                <w:rPr>
                  <w:sz w:val="20"/>
                  <w:color w:val="0000ff"/>
                </w:rPr>
                <w:t xml:space="preserve">&lt;23&gt;</w:t>
              </w:r>
            </w:hyperlink>
          </w:p>
        </w:tc>
        <w:tc>
          <w:tcPr>
            <w:tcW w:w="1247" w:type="dxa"/>
            <w:vMerge w:val="restart"/>
          </w:tcPr>
          <w:p>
            <w:pPr>
              <w:pStyle w:val="0"/>
              <w:jc w:val="center"/>
            </w:pPr>
            <w:r>
              <w:rPr>
                <w:sz w:val="20"/>
              </w:rPr>
              <w:t xml:space="preserve">оказываемой государственными бюджетными и автономными учреждениями на основании государственного задания </w:t>
            </w:r>
            <w:hyperlink w:history="0" w:anchor="P3966" w:tooltip="&lt;23&gt; - формируется на основании отчетов исполнителей государственных услуг об исполнении соглашений и отчетов о выполнении государственного задания;">
              <w:r>
                <w:rPr>
                  <w:sz w:val="20"/>
                  <w:color w:val="0000ff"/>
                </w:rPr>
                <w:t xml:space="preserve">&lt;23&gt;</w:t>
              </w:r>
            </w:hyperlink>
          </w:p>
        </w:tc>
        <w:tc>
          <w:tcPr>
            <w:tcW w:w="737" w:type="dxa"/>
            <w:vMerge w:val="restart"/>
          </w:tcPr>
          <w:p>
            <w:pPr>
              <w:pStyle w:val="0"/>
              <w:jc w:val="center"/>
            </w:pPr>
            <w:r>
              <w:rPr>
                <w:sz w:val="20"/>
              </w:rPr>
              <w:t xml:space="preserve">в соответствии с конкурсом </w:t>
            </w:r>
            <w:hyperlink w:history="0" w:anchor="P3966" w:tooltip="&lt;23&gt; - формируется на основании отчетов исполнителей государственных услуг об исполнении соглашений и отчетов о выполнении государственного задания;">
              <w:r>
                <w:rPr>
                  <w:sz w:val="20"/>
                  <w:color w:val="0000ff"/>
                </w:rPr>
                <w:t xml:space="preserve">&lt;23&gt;</w:t>
              </w:r>
            </w:hyperlink>
          </w:p>
        </w:tc>
        <w:tc>
          <w:tcPr>
            <w:tcW w:w="794" w:type="dxa"/>
            <w:vMerge w:val="restart"/>
          </w:tcPr>
          <w:p>
            <w:pPr>
              <w:pStyle w:val="0"/>
              <w:jc w:val="center"/>
            </w:pPr>
            <w:r>
              <w:rPr>
                <w:sz w:val="20"/>
              </w:rPr>
              <w:t xml:space="preserve">в соответствии с социальными сертификатами </w:t>
            </w:r>
            <w:hyperlink w:history="0" w:anchor="P3966" w:tooltip="&lt;23&gt; - формируется на основании отчетов исполнителей государственных услуг об исполнении соглашений и отчетов о выполнении государственного задания;">
              <w:r>
                <w:rPr>
                  <w:sz w:val="20"/>
                  <w:color w:val="0000ff"/>
                </w:rPr>
                <w:t xml:space="preserve">&lt;23&gt;</w:t>
              </w:r>
            </w:hyperlink>
          </w:p>
        </w:tc>
        <w:tc>
          <w:tcPr>
            <w:vMerge w:val="continue"/>
          </w:tcPr>
          <w:p/>
        </w:tc>
        <w:tc>
          <w:tcPr>
            <w:vMerge w:val="continue"/>
          </w:tcPr>
          <w:p/>
        </w:tc>
        <w:tc>
          <w:tcPr>
            <w:vMerge w:val="continue"/>
          </w:tcPr>
          <w:p/>
        </w:tc>
        <w:tc>
          <w:tcPr>
            <w:vMerge w:val="continue"/>
          </w:tcPr>
          <w:p/>
        </w:tc>
      </w:tr>
      <w:tr>
        <w:tblPrEx>
          <w:tblBorders>
            <w:left w:val="single" w:sz="4"/>
          </w:tblBorders>
        </w:tblPrEx>
        <w:tc>
          <w:tcPr>
            <w:vMerge w:val="continue"/>
          </w:tcPr>
          <w:p/>
        </w:tc>
        <w:tc>
          <w:tcPr>
            <w:vMerge w:val="continue"/>
          </w:tcPr>
          <w:p/>
        </w:tc>
        <w:tc>
          <w:tcPr>
            <w:tcW w:w="737" w:type="dxa"/>
          </w:tcPr>
          <w:p>
            <w:pPr>
              <w:pStyle w:val="0"/>
              <w:jc w:val="center"/>
            </w:pPr>
            <w:r>
              <w:rPr>
                <w:sz w:val="20"/>
              </w:rPr>
              <w:t xml:space="preserve">наименование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tcW w:w="737" w:type="dxa"/>
          </w:tcPr>
          <w:p>
            <w:pPr>
              <w:pStyle w:val="0"/>
              <w:jc w:val="center"/>
            </w:pPr>
            <w:r>
              <w:rPr>
                <w:sz w:val="20"/>
              </w:rPr>
              <w:t xml:space="preserve">код по ОКОПФ </w:t>
            </w:r>
            <w:hyperlink w:history="0" w:anchor="P3962" w:tooltip="&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частью 6 статьи 9 Федерального закона &quot;О государственном (муниципальном) социальном заказе на оказание государственных (муниципальных) услуг в социальной сфере&quot; (далее - соглашение);">
              <w:r>
                <w:rPr>
                  <w:sz w:val="20"/>
                  <w:color w:val="0000ff"/>
                </w:rPr>
                <w:t xml:space="preserve">&lt;19&gt;</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94" w:type="dxa"/>
          </w:tcPr>
          <w:p>
            <w:pPr>
              <w:pStyle w:val="0"/>
              <w:jc w:val="center"/>
            </w:pPr>
            <w:r>
              <w:rPr>
                <w:sz w:val="20"/>
              </w:rPr>
              <w:t xml:space="preserve">код по </w:t>
            </w:r>
            <w:hyperlink w:history="0" r:id="rId6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vMerge w:val="continue"/>
          </w:tcPr>
          <w:p/>
        </w:tc>
        <w:tc>
          <w:tcPr>
            <w:vMerge w:val="continue"/>
          </w:tcPr>
          <w:p/>
        </w:tc>
        <w:tc>
          <w:tcPr>
            <w:vMerge w:val="continue"/>
          </w:tcPr>
          <w:p/>
        </w:tc>
        <w:tc>
          <w:tcPr>
            <w:tcW w:w="737" w:type="dxa"/>
          </w:tcPr>
          <w:p>
            <w:pPr>
              <w:pStyle w:val="0"/>
              <w:jc w:val="center"/>
            </w:pPr>
            <w:r>
              <w:rPr>
                <w:sz w:val="20"/>
              </w:rPr>
              <w:t xml:space="preserve">наименование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tcW w:w="794" w:type="dxa"/>
          </w:tcPr>
          <w:p>
            <w:pPr>
              <w:pStyle w:val="0"/>
              <w:jc w:val="center"/>
            </w:pPr>
            <w:r>
              <w:rPr>
                <w:sz w:val="20"/>
              </w:rPr>
              <w:t xml:space="preserve">код по </w:t>
            </w:r>
            <w:hyperlink w:history="0" r:id="rId6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3963" w:tooltip="&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
              <w:r>
                <w:rPr>
                  <w:sz w:val="20"/>
                  <w:color w:val="0000ff"/>
                </w:rPr>
                <w:t xml:space="preserve">&lt;20&gt;</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blPrEx>
          <w:tblBorders>
            <w:left w:val="single" w:sz="4"/>
          </w:tblBorders>
        </w:tblPrEx>
        <w:tc>
          <w:tcPr>
            <w:tcW w:w="737"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794" w:type="dxa"/>
          </w:tcPr>
          <w:p>
            <w:pPr>
              <w:pStyle w:val="0"/>
              <w:jc w:val="center"/>
            </w:pPr>
            <w:r>
              <w:rPr>
                <w:sz w:val="20"/>
              </w:rPr>
              <w:t xml:space="preserve">6</w:t>
            </w:r>
          </w:p>
        </w:tc>
        <w:tc>
          <w:tcPr>
            <w:tcW w:w="850" w:type="dxa"/>
          </w:tcPr>
          <w:p>
            <w:pPr>
              <w:pStyle w:val="0"/>
              <w:jc w:val="center"/>
            </w:pPr>
            <w:r>
              <w:rPr>
                <w:sz w:val="20"/>
              </w:rPr>
              <w:t xml:space="preserve">7</w:t>
            </w:r>
          </w:p>
        </w:tc>
        <w:tc>
          <w:tcPr>
            <w:tcW w:w="794" w:type="dxa"/>
          </w:tcPr>
          <w:p>
            <w:pPr>
              <w:pStyle w:val="0"/>
              <w:jc w:val="center"/>
            </w:pPr>
            <w:r>
              <w:rPr>
                <w:sz w:val="20"/>
              </w:rPr>
              <w:t xml:space="preserve">8</w:t>
            </w:r>
          </w:p>
        </w:tc>
        <w:tc>
          <w:tcPr>
            <w:tcW w:w="850" w:type="dxa"/>
          </w:tcPr>
          <w:p>
            <w:pPr>
              <w:pStyle w:val="0"/>
              <w:jc w:val="center"/>
            </w:pPr>
            <w:r>
              <w:rPr>
                <w:sz w:val="20"/>
              </w:rPr>
              <w:t xml:space="preserve">9</w:t>
            </w:r>
          </w:p>
        </w:tc>
        <w:tc>
          <w:tcPr>
            <w:tcW w:w="850" w:type="dxa"/>
          </w:tcPr>
          <w:p>
            <w:pPr>
              <w:pStyle w:val="0"/>
              <w:jc w:val="center"/>
            </w:pPr>
            <w:r>
              <w:rPr>
                <w:sz w:val="20"/>
              </w:rPr>
              <w:t xml:space="preserve">10</w:t>
            </w:r>
          </w:p>
        </w:tc>
        <w:tc>
          <w:tcPr>
            <w:tcW w:w="794" w:type="dxa"/>
          </w:tcPr>
          <w:p>
            <w:pPr>
              <w:pStyle w:val="0"/>
              <w:jc w:val="center"/>
            </w:pPr>
            <w:r>
              <w:rPr>
                <w:sz w:val="20"/>
              </w:rPr>
              <w:t xml:space="preserve">11</w:t>
            </w:r>
          </w:p>
        </w:tc>
        <w:tc>
          <w:tcPr>
            <w:tcW w:w="737" w:type="dxa"/>
          </w:tcPr>
          <w:p>
            <w:pPr>
              <w:pStyle w:val="0"/>
              <w:jc w:val="center"/>
            </w:pPr>
            <w:r>
              <w:rPr>
                <w:sz w:val="20"/>
              </w:rPr>
              <w:t xml:space="preserve">12</w:t>
            </w:r>
          </w:p>
        </w:tc>
        <w:tc>
          <w:tcPr>
            <w:tcW w:w="794" w:type="dxa"/>
          </w:tcPr>
          <w:p>
            <w:pPr>
              <w:pStyle w:val="0"/>
              <w:jc w:val="center"/>
            </w:pPr>
            <w:r>
              <w:rPr>
                <w:sz w:val="20"/>
              </w:rPr>
              <w:t xml:space="preserve">13</w:t>
            </w:r>
          </w:p>
        </w:tc>
        <w:tc>
          <w:tcPr>
            <w:tcW w:w="907" w:type="dxa"/>
          </w:tcPr>
          <w:bookmarkStart w:id="3468" w:name="P3468"/>
          <w:bookmarkEnd w:id="3468"/>
          <w:p>
            <w:pPr>
              <w:pStyle w:val="0"/>
              <w:jc w:val="center"/>
            </w:pPr>
            <w:r>
              <w:rPr>
                <w:sz w:val="20"/>
              </w:rPr>
              <w:t xml:space="preserve">14</w:t>
            </w:r>
          </w:p>
        </w:tc>
        <w:tc>
          <w:tcPr>
            <w:tcW w:w="907" w:type="dxa"/>
          </w:tcPr>
          <w:p>
            <w:pPr>
              <w:pStyle w:val="0"/>
              <w:jc w:val="center"/>
            </w:pPr>
            <w:r>
              <w:rPr>
                <w:sz w:val="20"/>
              </w:rPr>
              <w:t xml:space="preserve">15</w:t>
            </w:r>
          </w:p>
        </w:tc>
        <w:tc>
          <w:tcPr>
            <w:tcW w:w="794" w:type="dxa"/>
          </w:tcPr>
          <w:p>
            <w:pPr>
              <w:pStyle w:val="0"/>
              <w:jc w:val="center"/>
            </w:pPr>
            <w:r>
              <w:rPr>
                <w:sz w:val="20"/>
              </w:rPr>
              <w:t xml:space="preserve">16</w:t>
            </w:r>
          </w:p>
        </w:tc>
        <w:tc>
          <w:tcPr>
            <w:tcW w:w="737" w:type="dxa"/>
          </w:tcPr>
          <w:p>
            <w:pPr>
              <w:pStyle w:val="0"/>
              <w:jc w:val="center"/>
            </w:pPr>
            <w:r>
              <w:rPr>
                <w:sz w:val="20"/>
              </w:rPr>
              <w:t xml:space="preserve">17</w:t>
            </w:r>
          </w:p>
        </w:tc>
        <w:tc>
          <w:tcPr>
            <w:tcW w:w="794" w:type="dxa"/>
          </w:tcPr>
          <w:p>
            <w:pPr>
              <w:pStyle w:val="0"/>
              <w:jc w:val="center"/>
            </w:pPr>
            <w:r>
              <w:rPr>
                <w:sz w:val="20"/>
              </w:rPr>
              <w:t xml:space="preserve">18</w:t>
            </w:r>
          </w:p>
        </w:tc>
        <w:tc>
          <w:tcPr>
            <w:tcW w:w="907" w:type="dxa"/>
          </w:tcPr>
          <w:bookmarkStart w:id="3473" w:name="P3473"/>
          <w:bookmarkEnd w:id="3473"/>
          <w:p>
            <w:pPr>
              <w:pStyle w:val="0"/>
              <w:jc w:val="center"/>
            </w:pPr>
            <w:r>
              <w:rPr>
                <w:sz w:val="20"/>
              </w:rPr>
              <w:t xml:space="preserve">19</w:t>
            </w:r>
          </w:p>
        </w:tc>
        <w:tc>
          <w:tcPr>
            <w:tcW w:w="1247" w:type="dxa"/>
          </w:tcPr>
          <w:p>
            <w:pPr>
              <w:pStyle w:val="0"/>
              <w:jc w:val="center"/>
            </w:pPr>
            <w:r>
              <w:rPr>
                <w:sz w:val="20"/>
              </w:rPr>
              <w:t xml:space="preserve">20</w:t>
            </w:r>
          </w:p>
        </w:tc>
        <w:tc>
          <w:tcPr>
            <w:tcW w:w="737" w:type="dxa"/>
          </w:tcPr>
          <w:p>
            <w:pPr>
              <w:pStyle w:val="0"/>
              <w:jc w:val="center"/>
            </w:pPr>
            <w:r>
              <w:rPr>
                <w:sz w:val="20"/>
              </w:rPr>
              <w:t xml:space="preserve">21</w:t>
            </w:r>
          </w:p>
        </w:tc>
        <w:tc>
          <w:tcPr>
            <w:tcW w:w="794" w:type="dxa"/>
          </w:tcPr>
          <w:bookmarkStart w:id="3476" w:name="P3476"/>
          <w:bookmarkEnd w:id="3476"/>
          <w:p>
            <w:pPr>
              <w:pStyle w:val="0"/>
              <w:jc w:val="center"/>
            </w:pPr>
            <w:r>
              <w:rPr>
                <w:sz w:val="20"/>
              </w:rPr>
              <w:t xml:space="preserve">22</w:t>
            </w:r>
          </w:p>
        </w:tc>
        <w:tc>
          <w:tcPr>
            <w:tcW w:w="1077" w:type="dxa"/>
          </w:tcPr>
          <w:bookmarkStart w:id="3477" w:name="P3477"/>
          <w:bookmarkEnd w:id="3477"/>
          <w:p>
            <w:pPr>
              <w:pStyle w:val="0"/>
              <w:jc w:val="center"/>
            </w:pPr>
            <w:r>
              <w:rPr>
                <w:sz w:val="20"/>
              </w:rPr>
              <w:t xml:space="preserve">23</w:t>
            </w:r>
          </w:p>
        </w:tc>
        <w:tc>
          <w:tcPr>
            <w:tcW w:w="1644" w:type="dxa"/>
          </w:tcPr>
          <w:p>
            <w:pPr>
              <w:pStyle w:val="0"/>
              <w:jc w:val="center"/>
            </w:pPr>
            <w:r>
              <w:rPr>
                <w:sz w:val="20"/>
              </w:rPr>
              <w:t xml:space="preserve">24</w:t>
            </w:r>
          </w:p>
        </w:tc>
        <w:tc>
          <w:tcPr>
            <w:tcW w:w="1644" w:type="dxa"/>
          </w:tcPr>
          <w:p>
            <w:pPr>
              <w:pStyle w:val="0"/>
              <w:jc w:val="center"/>
            </w:pPr>
            <w:r>
              <w:rPr>
                <w:sz w:val="20"/>
              </w:rPr>
              <w:t xml:space="preserve">25</w:t>
            </w:r>
          </w:p>
        </w:tc>
        <w:tc>
          <w:tcPr>
            <w:tcW w:w="737" w:type="dxa"/>
          </w:tcPr>
          <w:p>
            <w:pPr>
              <w:pStyle w:val="0"/>
              <w:jc w:val="center"/>
            </w:pPr>
            <w:r>
              <w:rPr>
                <w:sz w:val="20"/>
              </w:rPr>
              <w:t xml:space="preserve">26</w:t>
            </w:r>
          </w:p>
        </w:tc>
      </w:tr>
      <w:tr>
        <w:tblPrEx>
          <w:tblBorders>
            <w:left w:val="single" w:sz="4"/>
          </w:tblBorders>
        </w:tblPrEx>
        <w:tc>
          <w:tcPr>
            <w:tcW w:w="737" w:type="dxa"/>
            <w:vMerge w:val="restart"/>
          </w:tcPr>
          <w:p>
            <w:pPr>
              <w:pStyle w:val="0"/>
            </w:pPr>
            <w:r>
              <w:rPr>
                <w:sz w:val="20"/>
              </w:rPr>
            </w:r>
          </w:p>
        </w:tc>
        <w:tc>
          <w:tcPr>
            <w:tcW w:w="737" w:type="dxa"/>
            <w:vMerge w:val="restart"/>
          </w:tcPr>
          <w:p>
            <w:pPr>
              <w:pStyle w:val="0"/>
            </w:pPr>
            <w:r>
              <w:rPr>
                <w:sz w:val="20"/>
              </w:rPr>
            </w:r>
          </w:p>
        </w:tc>
        <w:tc>
          <w:tcPr>
            <w:tcW w:w="737" w:type="dxa"/>
            <w:vMerge w:val="restart"/>
          </w:tcPr>
          <w:p>
            <w:pPr>
              <w:pStyle w:val="0"/>
            </w:pPr>
            <w:r>
              <w:rPr>
                <w:sz w:val="20"/>
              </w:rPr>
            </w:r>
          </w:p>
        </w:tc>
        <w:tc>
          <w:tcPr>
            <w:tcW w:w="737" w:type="dxa"/>
            <w:vMerge w:val="restart"/>
          </w:tcPr>
          <w:p>
            <w:pPr>
              <w:pStyle w:val="0"/>
            </w:pPr>
            <w:r>
              <w:rPr>
                <w:sz w:val="20"/>
              </w:rPr>
            </w:r>
          </w:p>
        </w:tc>
        <w:tc>
          <w:tcPr>
            <w:tcW w:w="794" w:type="dxa"/>
            <w:vMerge w:val="restart"/>
          </w:tcPr>
          <w:p>
            <w:pPr>
              <w:pStyle w:val="0"/>
            </w:pPr>
            <w:r>
              <w:rPr>
                <w:sz w:val="20"/>
              </w:rPr>
            </w:r>
          </w:p>
        </w:tc>
        <w:tc>
          <w:tcPr>
            <w:tcW w:w="794" w:type="dxa"/>
            <w:vMerge w:val="restart"/>
          </w:tcPr>
          <w:p>
            <w:pPr>
              <w:pStyle w:val="0"/>
            </w:pPr>
            <w:r>
              <w:rPr>
                <w:sz w:val="20"/>
              </w:rPr>
            </w:r>
          </w:p>
        </w:tc>
        <w:tc>
          <w:tcPr>
            <w:tcW w:w="850" w:type="dxa"/>
            <w:vMerge w:val="restart"/>
          </w:tcPr>
          <w:p>
            <w:pPr>
              <w:pStyle w:val="0"/>
            </w:pPr>
            <w:r>
              <w:rPr>
                <w:sz w:val="20"/>
              </w:rPr>
            </w:r>
          </w:p>
        </w:tc>
        <w:tc>
          <w:tcPr>
            <w:tcW w:w="794"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W w:w="2211" w:type="dxa"/>
            <w:tcBorders>
              <w:left w:val="nil"/>
              <w:bottom w:val="nil"/>
            </w:tcBorders>
            <w:vMerge w:val="restart"/>
          </w:tcPr>
          <w:p>
            <w:pPr>
              <w:pStyle w:val="0"/>
            </w:pPr>
            <w:r>
              <w:rPr>
                <w:sz w:val="20"/>
              </w:rPr>
            </w:r>
          </w:p>
        </w:tc>
        <w:tc>
          <w:tcPr>
            <w:tcW w:w="737" w:type="dxa"/>
            <w:vMerge w:val="restart"/>
          </w:tcPr>
          <w:p>
            <w:pPr>
              <w:pStyle w:val="0"/>
              <w:jc w:val="center"/>
            </w:pPr>
            <w:r>
              <w:rPr>
                <w:sz w:val="20"/>
              </w:rPr>
              <w:t xml:space="preserve">Итого &lt;29&gt;</w:t>
            </w:r>
          </w:p>
        </w:tc>
        <w:tc>
          <w:tcPr>
            <w:tcW w:w="794" w:type="dxa"/>
            <w:vMerge w:val="restart"/>
          </w:tcPr>
          <w:p>
            <w:pPr>
              <w:pStyle w:val="0"/>
            </w:pPr>
            <w:r>
              <w:rPr>
                <w:sz w:val="20"/>
              </w:rPr>
            </w:r>
          </w:p>
        </w:tc>
        <w:tc>
          <w:tcPr>
            <w:tcW w:w="794"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tcW w:w="794" w:type="dxa"/>
            <w:vMerge w:val="restart"/>
          </w:tcPr>
          <w:p>
            <w:pPr>
              <w:pStyle w:val="0"/>
            </w:pPr>
            <w:r>
              <w:rPr>
                <w:sz w:val="20"/>
              </w:rPr>
            </w:r>
          </w:p>
        </w:tc>
        <w:tc>
          <w:tcPr>
            <w:tcW w:w="794"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x</w:t>
            </w:r>
          </w:p>
        </w:tc>
        <w:tc>
          <w:tcPr>
            <w:tcW w:w="737" w:type="dxa"/>
          </w:tcPr>
          <w:p>
            <w:pPr>
              <w:pStyle w:val="0"/>
              <w:jc w:val="center"/>
            </w:pPr>
            <w:r>
              <w:rPr>
                <w:sz w:val="20"/>
              </w:rPr>
              <w:t xml:space="preserve">x</w:t>
            </w:r>
          </w:p>
        </w:tc>
        <w:tc>
          <w:tcPr>
            <w:tcW w:w="794" w:type="dxa"/>
          </w:tcPr>
          <w:p>
            <w:pPr>
              <w:pStyle w:val="0"/>
              <w:jc w:val="center"/>
            </w:pPr>
            <w:r>
              <w:rPr>
                <w:sz w:val="20"/>
              </w:rPr>
              <w:t xml:space="preserve">x</w:t>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W w:w="2211" w:type="dxa"/>
            <w:tcBorders>
              <w:top w:val="nil"/>
              <w:left w:val="nil"/>
              <w:bottom w:val="nil"/>
            </w:tcBorders>
            <w:vMerge w:val="restart"/>
          </w:tcPr>
          <w:p>
            <w:pPr>
              <w:pStyle w:val="0"/>
            </w:pPr>
            <w:r>
              <w:rPr>
                <w:sz w:val="20"/>
              </w:rPr>
            </w:r>
          </w:p>
        </w:tc>
        <w:tc>
          <w:tcPr>
            <w:tcW w:w="737" w:type="dxa"/>
            <w:vMerge w:val="restart"/>
          </w:tcPr>
          <w:p>
            <w:pPr>
              <w:pStyle w:val="0"/>
            </w:pPr>
            <w:r>
              <w:rPr>
                <w:sz w:val="20"/>
              </w:rPr>
              <w:t xml:space="preserve">Итого по государственной услуге </w:t>
            </w:r>
            <w:hyperlink w:history="0" w:anchor="P3972" w:tooltip="&lt;29&gt; - указывается суммарный объем по всем государственным услугам, входящим в состав укрупненной государственной услуги.">
              <w:r>
                <w:rPr>
                  <w:sz w:val="20"/>
                  <w:color w:val="0000ff"/>
                </w:rPr>
                <w:t xml:space="preserve">&lt;29&gt;</w:t>
              </w:r>
            </w:hyperlink>
          </w:p>
        </w:tc>
        <w:tc>
          <w:tcPr>
            <w:tcW w:w="794" w:type="dxa"/>
            <w:vMerge w:val="restart"/>
          </w:tcPr>
          <w:p>
            <w:pPr>
              <w:pStyle w:val="0"/>
            </w:pPr>
            <w:r>
              <w:rPr>
                <w:sz w:val="20"/>
              </w:rPr>
            </w:r>
          </w:p>
        </w:tc>
        <w:tc>
          <w:tcPr>
            <w:tcW w:w="794"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tcW w:w="794" w:type="dxa"/>
            <w:vMerge w:val="restart"/>
          </w:tcPr>
          <w:p>
            <w:pPr>
              <w:pStyle w:val="0"/>
            </w:pPr>
            <w:r>
              <w:rPr>
                <w:sz w:val="20"/>
              </w:rPr>
            </w:r>
          </w:p>
        </w:tc>
        <w:tc>
          <w:tcPr>
            <w:tcW w:w="794" w:type="dxa"/>
            <w:vMerge w:val="restart"/>
          </w:tcPr>
          <w:p>
            <w:pPr>
              <w:pStyle w:val="0"/>
              <w:jc w:val="center"/>
            </w:pPr>
            <w:r>
              <w:rPr>
                <w:sz w:val="20"/>
              </w:rPr>
              <w:t xml:space="preserve">x</w:t>
            </w:r>
          </w:p>
        </w:tc>
        <w:tc>
          <w:tcPr>
            <w:tcW w:w="850" w:type="dxa"/>
            <w:vMerge w:val="restart"/>
          </w:tcPr>
          <w:p>
            <w:pPr>
              <w:pStyle w:val="0"/>
              <w:jc w:val="center"/>
            </w:pPr>
            <w:r>
              <w:rPr>
                <w:sz w:val="20"/>
              </w:rPr>
              <w:t xml:space="preserve">x</w:t>
            </w:r>
          </w:p>
        </w:tc>
        <w:tc>
          <w:tcPr>
            <w:tcW w:w="794" w:type="dxa"/>
            <w:vMerge w:val="restart"/>
          </w:tcPr>
          <w:p>
            <w:pPr>
              <w:pStyle w:val="0"/>
              <w:jc w:val="center"/>
            </w:pPr>
            <w:r>
              <w:rPr>
                <w:sz w:val="20"/>
              </w:rPr>
              <w:t xml:space="preserve">x</w:t>
            </w:r>
          </w:p>
        </w:tc>
        <w:tc>
          <w:tcPr>
            <w:tcW w:w="850" w:type="dxa"/>
            <w:vMerge w:val="restart"/>
          </w:tcPr>
          <w:p>
            <w:pPr>
              <w:pStyle w:val="0"/>
            </w:pPr>
            <w:r>
              <w:rPr>
                <w:sz w:val="20"/>
              </w:rPr>
            </w: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850" w:type="dxa"/>
            <w:vMerge w:val="restart"/>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r>
        <w:tc>
          <w:tcPr>
            <w:gridSpan w:val="3"/>
            <w:tcBorders>
              <w:top w:val="nil"/>
              <w:left w:val="nil"/>
              <w:bottom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737" w:type="dxa"/>
          </w:tcPr>
          <w:p>
            <w:pPr>
              <w:pStyle w:val="0"/>
            </w:pPr>
            <w:r>
              <w:rPr>
                <w:sz w:val="20"/>
              </w:rPr>
            </w:r>
          </w:p>
        </w:tc>
      </w:tr>
    </w:tbl>
    <w:p>
      <w:pPr>
        <w:sectPr>
          <w:headerReference w:type="default" r:id="rId38"/>
          <w:headerReference w:type="first" r:id="rId38"/>
          <w:footerReference w:type="default" r:id="rId39"/>
          <w:footerReference w:type="first" r:id="rId39"/>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2551"/>
        <w:gridCol w:w="1622"/>
        <w:gridCol w:w="425"/>
        <w:gridCol w:w="1418"/>
        <w:gridCol w:w="425"/>
        <w:gridCol w:w="2629"/>
      </w:tblGrid>
      <w:tr>
        <w:tc>
          <w:tcPr>
            <w:tcW w:w="2551" w:type="dxa"/>
            <w:tcBorders>
              <w:top w:val="nil"/>
              <w:left w:val="nil"/>
              <w:bottom w:val="nil"/>
              <w:right w:val="nil"/>
            </w:tcBorders>
          </w:tcPr>
          <w:p>
            <w:pPr>
              <w:pStyle w:val="0"/>
            </w:pPr>
            <w:r>
              <w:rPr>
                <w:sz w:val="20"/>
              </w:rPr>
              <w:t xml:space="preserve">Руководитель</w:t>
            </w:r>
          </w:p>
          <w:p>
            <w:pPr>
              <w:pStyle w:val="0"/>
            </w:pPr>
            <w:r>
              <w:rPr>
                <w:sz w:val="20"/>
              </w:rPr>
              <w:t xml:space="preserve">(уполномоченное лицо)</w:t>
            </w:r>
          </w:p>
        </w:tc>
        <w:tc>
          <w:tcPr>
            <w:tcW w:w="1622" w:type="dxa"/>
            <w:vAlign w:val="bottom"/>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1418" w:type="dxa"/>
            <w:vAlign w:val="bottom"/>
            <w:tcBorders>
              <w:top w:val="nil"/>
              <w:left w:val="nil"/>
              <w:bottom w:val="single" w:sz="4"/>
              <w:right w:val="nil"/>
            </w:tcBorders>
          </w:tcPr>
          <w:p>
            <w:pPr>
              <w:pStyle w:val="0"/>
            </w:pPr>
            <w:r>
              <w:rPr>
                <w:sz w:val="20"/>
              </w:rPr>
            </w:r>
          </w:p>
        </w:tc>
        <w:tc>
          <w:tcPr>
            <w:tcW w:w="425" w:type="dxa"/>
            <w:tcBorders>
              <w:top w:val="nil"/>
              <w:left w:val="nil"/>
              <w:bottom w:val="nil"/>
              <w:right w:val="nil"/>
            </w:tcBorders>
          </w:tcPr>
          <w:p>
            <w:pPr>
              <w:pStyle w:val="0"/>
            </w:pPr>
            <w:r>
              <w:rPr>
                <w:sz w:val="20"/>
              </w:rPr>
            </w:r>
          </w:p>
        </w:tc>
        <w:tc>
          <w:tcPr>
            <w:tcW w:w="2629" w:type="dxa"/>
            <w:vAlign w:val="bottom"/>
            <w:tcBorders>
              <w:top w:val="nil"/>
              <w:left w:val="nil"/>
              <w:bottom w:val="single" w:sz="4"/>
              <w:right w:val="nil"/>
            </w:tcBorders>
          </w:tcPr>
          <w:p>
            <w:pPr>
              <w:pStyle w:val="0"/>
            </w:pPr>
            <w:r>
              <w:rPr>
                <w:sz w:val="20"/>
              </w:rPr>
            </w:r>
          </w:p>
        </w:tc>
      </w:tr>
      <w:tr>
        <w:tc>
          <w:tcPr>
            <w:tcW w:w="2551" w:type="dxa"/>
            <w:tcBorders>
              <w:top w:val="nil"/>
              <w:left w:val="nil"/>
              <w:bottom w:val="nil"/>
              <w:right w:val="nil"/>
            </w:tcBorders>
          </w:tcPr>
          <w:p>
            <w:pPr>
              <w:pStyle w:val="0"/>
            </w:pPr>
            <w:r>
              <w:rPr>
                <w:sz w:val="20"/>
              </w:rPr>
            </w:r>
          </w:p>
        </w:tc>
        <w:tc>
          <w:tcPr>
            <w:tcW w:w="1622" w:type="dxa"/>
            <w:tcBorders>
              <w:top w:val="single" w:sz="4"/>
              <w:left w:val="nil"/>
              <w:bottom w:val="nil"/>
              <w:right w:val="nil"/>
            </w:tcBorders>
          </w:tcPr>
          <w:p>
            <w:pPr>
              <w:pStyle w:val="0"/>
              <w:jc w:val="center"/>
            </w:pPr>
            <w:r>
              <w:rPr>
                <w:sz w:val="20"/>
              </w:rPr>
              <w:t xml:space="preserve">(должность)</w:t>
            </w:r>
          </w:p>
        </w:tc>
        <w:tc>
          <w:tcPr>
            <w:tcW w:w="425" w:type="dxa"/>
            <w:tcBorders>
              <w:top w:val="nil"/>
              <w:left w:val="nil"/>
              <w:bottom w:val="nil"/>
              <w:right w:val="nil"/>
            </w:tcBorders>
          </w:tcPr>
          <w:p>
            <w:pPr>
              <w:pStyle w:val="0"/>
            </w:pPr>
            <w:r>
              <w:rPr>
                <w:sz w:val="20"/>
              </w:rPr>
            </w:r>
          </w:p>
        </w:tc>
        <w:tc>
          <w:tcPr>
            <w:tcW w:w="1418" w:type="dxa"/>
            <w:tcBorders>
              <w:top w:val="single" w:sz="4"/>
              <w:left w:val="nil"/>
              <w:bottom w:val="nil"/>
              <w:right w:val="nil"/>
            </w:tcBorders>
          </w:tcPr>
          <w:p>
            <w:pPr>
              <w:pStyle w:val="0"/>
              <w:jc w:val="center"/>
            </w:pPr>
            <w:r>
              <w:rPr>
                <w:sz w:val="20"/>
              </w:rPr>
              <w:t xml:space="preserve">(подпись)</w:t>
            </w:r>
          </w:p>
        </w:tc>
        <w:tc>
          <w:tcPr>
            <w:tcW w:w="425" w:type="dxa"/>
            <w:tcBorders>
              <w:top w:val="nil"/>
              <w:left w:val="nil"/>
              <w:bottom w:val="nil"/>
              <w:right w:val="nil"/>
            </w:tcBorders>
          </w:tcPr>
          <w:p>
            <w:pPr>
              <w:pStyle w:val="0"/>
            </w:pPr>
            <w:r>
              <w:rPr>
                <w:sz w:val="20"/>
              </w:rPr>
            </w:r>
          </w:p>
        </w:tc>
        <w:tc>
          <w:tcPr>
            <w:tcW w:w="2629" w:type="dxa"/>
            <w:tcBorders>
              <w:top w:val="single" w:sz="4"/>
              <w:left w:val="nil"/>
              <w:bottom w:val="nil"/>
              <w:right w:val="nil"/>
            </w:tcBorders>
          </w:tcPr>
          <w:p>
            <w:pPr>
              <w:pStyle w:val="0"/>
              <w:jc w:val="center"/>
            </w:pPr>
            <w:r>
              <w:rPr>
                <w:sz w:val="20"/>
              </w:rPr>
              <w:t xml:space="preserve">(расшифровка подписи)</w:t>
            </w:r>
          </w:p>
        </w:tc>
      </w:tr>
      <w:tr>
        <w:tc>
          <w:tcPr>
            <w:gridSpan w:val="6"/>
            <w:tcW w:w="9070" w:type="dxa"/>
            <w:tcBorders>
              <w:top w:val="nil"/>
              <w:left w:val="nil"/>
              <w:bottom w:val="nil"/>
              <w:right w:val="nil"/>
            </w:tcBorders>
          </w:tcPr>
          <w:p>
            <w:pPr>
              <w:pStyle w:val="0"/>
              <w:jc w:val="both"/>
            </w:pPr>
            <w:r>
              <w:rPr>
                <w:sz w:val="20"/>
              </w:rPr>
              <w:t xml:space="preserve">"___" ________________ 20__ г.</w:t>
            </w:r>
          </w:p>
        </w:tc>
      </w:tr>
    </w:tbl>
    <w:p>
      <w:pPr>
        <w:pStyle w:val="0"/>
        <w:jc w:val="both"/>
      </w:pPr>
      <w:r>
        <w:rPr>
          <w:sz w:val="20"/>
        </w:rPr>
      </w:r>
    </w:p>
    <w:p>
      <w:pPr>
        <w:pStyle w:val="0"/>
        <w:ind w:firstLine="540"/>
        <w:jc w:val="both"/>
      </w:pPr>
      <w:r>
        <w:rPr>
          <w:sz w:val="20"/>
        </w:rPr>
        <w:t xml:space="preserve">--------------------------------</w:t>
      </w:r>
    </w:p>
    <w:bookmarkStart w:id="3944" w:name="P3944"/>
    <w:bookmarkEnd w:id="3944"/>
    <w:p>
      <w:pPr>
        <w:pStyle w:val="0"/>
        <w:spacing w:before="200" w:lineRule="auto"/>
        <w:ind w:firstLine="540"/>
        <w:jc w:val="both"/>
      </w:pPr>
      <w:r>
        <w:rPr>
          <w:sz w:val="20"/>
        </w:rPr>
        <w:t xml:space="preserve">&lt;1&gt; - формируется с использованием государственной интегрированной информационной системы управления общественными финансами "Электронный бюджет", в том числе посредством информационного взаимодействия с иными информационными системами исполнительных органов государственной власти Республики Саха (Якутия), осуществляющих функции и полномочия учредителя государственного бюджетного или автономного учреждения, оказывающего государственные услуги в социальной сфере, включенные в социальный заказ Республики Саха (Якутия), и главных распорядителей средств государственного бюджета Республики Саха (Якутия), в ведении которых находятся государственные казенные учреждения Республики Саха (Якутия), оказывающие государственные услуги в социальной сфере, включенные в социальный заказ Республики Саха (Якутия), и подписывается усиленной квалифицированной электронной подписью лица, имеющего право действовать от имени уполномоченного органа;</w:t>
      </w:r>
    </w:p>
    <w:bookmarkStart w:id="3945" w:name="P3945"/>
    <w:bookmarkEnd w:id="3945"/>
    <w:p>
      <w:pPr>
        <w:pStyle w:val="0"/>
        <w:spacing w:before="200" w:lineRule="auto"/>
        <w:ind w:firstLine="540"/>
        <w:jc w:val="both"/>
      </w:pPr>
      <w:r>
        <w:rPr>
          <w:sz w:val="20"/>
        </w:rPr>
        <w:t xml:space="preserve">&lt;2&gt; - указывается дата, на которую составляется отчет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государственной власти Республики Саха (Якутия);</w:t>
      </w:r>
    </w:p>
    <w:bookmarkStart w:id="3946" w:name="P3946"/>
    <w:bookmarkEnd w:id="3946"/>
    <w:p>
      <w:pPr>
        <w:pStyle w:val="0"/>
        <w:spacing w:before="200" w:lineRule="auto"/>
        <w:ind w:firstLine="540"/>
        <w:jc w:val="both"/>
      </w:pPr>
      <w:r>
        <w:rPr>
          <w:sz w:val="20"/>
        </w:rPr>
        <w:t xml:space="preserve">&lt;3&gt; - указывается полное наименование уполномоченного органа, утверждающего социальный заказ Республики Саха (Якутия);</w:t>
      </w:r>
    </w:p>
    <w:bookmarkStart w:id="3947" w:name="P3947"/>
    <w:bookmarkEnd w:id="3947"/>
    <w:p>
      <w:pPr>
        <w:pStyle w:val="0"/>
        <w:spacing w:before="200" w:lineRule="auto"/>
        <w:ind w:firstLine="540"/>
        <w:jc w:val="both"/>
      </w:pPr>
      <w:r>
        <w:rPr>
          <w:sz w:val="20"/>
        </w:rPr>
        <w:t xml:space="preserve">&lt;4&gt; - указывается отрасль социальной сферы, в которой формируется социальный заказ Республики Саха (Якутия), соответствующая отрасли социальной сферы, определенной </w:t>
      </w:r>
      <w:hyperlink w:history="0" r:id="rId6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1 статьи 1</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w:t>
      </w:r>
    </w:p>
    <w:bookmarkStart w:id="3948" w:name="P3948"/>
    <w:bookmarkEnd w:id="3948"/>
    <w:p>
      <w:pPr>
        <w:pStyle w:val="0"/>
        <w:spacing w:before="200" w:lineRule="auto"/>
        <w:ind w:firstLine="540"/>
        <w:jc w:val="both"/>
      </w:pPr>
      <w:r>
        <w:rPr>
          <w:sz w:val="20"/>
        </w:rPr>
        <w:t xml:space="preserve">&lt;5&gt; - указывается 9 месяцев при формировании отчета по итогам исполнения социального заказа Республики Саха (Якутия) за 9 месяцев текущего финансового года или один год при формировании отчета по итогам исполнения социального заказа Республики Саха (Якутия) за отчетный финансовый год;</w:t>
      </w:r>
    </w:p>
    <w:bookmarkStart w:id="3949" w:name="P3949"/>
    <w:bookmarkEnd w:id="3949"/>
    <w:p>
      <w:pPr>
        <w:pStyle w:val="0"/>
        <w:spacing w:before="200" w:lineRule="auto"/>
        <w:ind w:firstLine="540"/>
        <w:jc w:val="both"/>
      </w:pPr>
      <w:r>
        <w:rPr>
          <w:sz w:val="20"/>
        </w:rPr>
        <w:t xml:space="preserve">&lt;6&gt; - указывается на основании информации, включенной в </w:t>
      </w:r>
      <w:hyperlink w:history="0" w:anchor="P3007" w:tooltip="III. Сведения о плановых показателях, характеризующих объем">
        <w:r>
          <w:rPr>
            <w:sz w:val="20"/>
            <w:color w:val="0000ff"/>
          </w:rPr>
          <w:t xml:space="preserve">раздел III</w:t>
        </w:r>
      </w:hyperlink>
      <w:r>
        <w:rPr>
          <w:sz w:val="20"/>
        </w:rPr>
        <w:t xml:space="preserve"> настоящего документа в соответствии с формой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утвержденной </w:t>
      </w:r>
      <w:hyperlink w:history="0" r:id="rId67" w:tooltip="Постановление Правительства РФ от 15.10.2020 N 1694 (ред. от 24.03.2025)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КонсультантПлюс}">
        <w:r>
          <w:rPr>
            <w:sz w:val="20"/>
            <w:color w:val="0000ff"/>
          </w:rPr>
          <w:t xml:space="preserve">постановлением</w:t>
        </w:r>
      </w:hyperlink>
      <w:r>
        <w:rPr>
          <w:sz w:val="20"/>
        </w:rPr>
        <w:t xml:space="preserve"> Правительства Российской Федерации от 15 октября 2020 г. N 1694 "Об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услуг в социальной сфере";</w:t>
      </w:r>
    </w:p>
    <w:bookmarkStart w:id="3950" w:name="P3950"/>
    <w:bookmarkEnd w:id="3950"/>
    <w:p>
      <w:pPr>
        <w:pStyle w:val="0"/>
        <w:spacing w:before="200" w:lineRule="auto"/>
        <w:ind w:firstLine="540"/>
        <w:jc w:val="both"/>
      </w:pPr>
      <w:r>
        <w:rPr>
          <w:sz w:val="20"/>
        </w:rPr>
        <w:t xml:space="preserve">&lt;7&gt; - рассчитывается как сумма показателей </w:t>
      </w:r>
      <w:hyperlink w:history="0" w:anchor="P2592" w:tooltip="8">
        <w:r>
          <w:rPr>
            <w:sz w:val="20"/>
            <w:color w:val="0000ff"/>
          </w:rPr>
          <w:t xml:space="preserve">граф 8</w:t>
        </w:r>
      </w:hyperlink>
      <w:r>
        <w:rPr>
          <w:sz w:val="20"/>
        </w:rPr>
        <w:t xml:space="preserve">, </w:t>
      </w:r>
      <w:hyperlink w:history="0" w:anchor="P2593" w:tooltip="9">
        <w:r>
          <w:rPr>
            <w:sz w:val="20"/>
            <w:color w:val="0000ff"/>
          </w:rPr>
          <w:t xml:space="preserve">9</w:t>
        </w:r>
      </w:hyperlink>
      <w:r>
        <w:rPr>
          <w:sz w:val="20"/>
        </w:rPr>
        <w:t xml:space="preserve">, </w:t>
      </w:r>
      <w:hyperlink w:history="0" w:anchor="P2594" w:tooltip="10">
        <w:r>
          <w:rPr>
            <w:sz w:val="20"/>
            <w:color w:val="0000ff"/>
          </w:rPr>
          <w:t xml:space="preserve">10</w:t>
        </w:r>
      </w:hyperlink>
      <w:r>
        <w:rPr>
          <w:sz w:val="20"/>
        </w:rPr>
        <w:t xml:space="preserve"> и </w:t>
      </w:r>
      <w:hyperlink w:history="0" w:anchor="P2595" w:tooltip="11">
        <w:r>
          <w:rPr>
            <w:sz w:val="20"/>
            <w:color w:val="0000ff"/>
          </w:rPr>
          <w:t xml:space="preserve">11</w:t>
        </w:r>
      </w:hyperlink>
      <w:r>
        <w:rPr>
          <w:sz w:val="20"/>
        </w:rPr>
        <w:t xml:space="preserve">;</w:t>
      </w:r>
    </w:p>
    <w:bookmarkStart w:id="3951" w:name="P3951"/>
    <w:bookmarkEnd w:id="3951"/>
    <w:p>
      <w:pPr>
        <w:pStyle w:val="0"/>
        <w:spacing w:before="200" w:lineRule="auto"/>
        <w:ind w:firstLine="540"/>
        <w:jc w:val="both"/>
      </w:pPr>
      <w:r>
        <w:rPr>
          <w:sz w:val="20"/>
        </w:rPr>
        <w:t xml:space="preserve">&lt;8&gt; - указывается числовое значение предельных допустимых возможных отклонений в процентах или абсолютных величинах от показателей, характеризующих объем оказания государственной услуги (укрупненной государственной услуги), включенной в социальный заказ Республики Саха (Якутия) (при наличии). В случае если социальный заказ Республики Саха (Якутия) сформирован в отношении укрупненных государственных услуг, а предельные допустимые возможные отклонения определены в отношении включенных в социальный заказ Республики Саха (Якутия) государственных услуг, </w:t>
      </w:r>
      <w:hyperlink w:history="0" w:anchor="P2596" w:tooltip="12">
        <w:r>
          <w:rPr>
            <w:sz w:val="20"/>
            <w:color w:val="0000ff"/>
          </w:rPr>
          <w:t xml:space="preserve">графа 12</w:t>
        </w:r>
      </w:hyperlink>
      <w:r>
        <w:rPr>
          <w:sz w:val="20"/>
        </w:rPr>
        <w:t xml:space="preserve"> не заполняется;</w:t>
      </w:r>
    </w:p>
    <w:bookmarkStart w:id="3952" w:name="P3952"/>
    <w:bookmarkEnd w:id="3952"/>
    <w:p>
      <w:pPr>
        <w:pStyle w:val="0"/>
        <w:spacing w:before="200" w:lineRule="auto"/>
        <w:ind w:firstLine="540"/>
        <w:jc w:val="both"/>
      </w:pPr>
      <w:r>
        <w:rPr>
          <w:sz w:val="20"/>
        </w:rPr>
        <w:t xml:space="preserve">&lt;9&gt; - рассчитывается как сумма показателей </w:t>
      </w:r>
      <w:hyperlink w:history="0" w:anchor="P2598" w:tooltip="14">
        <w:r>
          <w:rPr>
            <w:sz w:val="20"/>
            <w:color w:val="0000ff"/>
          </w:rPr>
          <w:t xml:space="preserve">граф 14</w:t>
        </w:r>
      </w:hyperlink>
      <w:r>
        <w:rPr>
          <w:sz w:val="20"/>
        </w:rPr>
        <w:t xml:space="preserve">, </w:t>
      </w:r>
      <w:hyperlink w:history="0" w:anchor="P2599" w:tooltip="15">
        <w:r>
          <w:rPr>
            <w:sz w:val="20"/>
            <w:color w:val="0000ff"/>
          </w:rPr>
          <w:t xml:space="preserve">15</w:t>
        </w:r>
      </w:hyperlink>
      <w:r>
        <w:rPr>
          <w:sz w:val="20"/>
        </w:rPr>
        <w:t xml:space="preserve">, </w:t>
      </w:r>
      <w:hyperlink w:history="0" w:anchor="P2600" w:tooltip="16">
        <w:r>
          <w:rPr>
            <w:sz w:val="20"/>
            <w:color w:val="0000ff"/>
          </w:rPr>
          <w:t xml:space="preserve">16</w:t>
        </w:r>
      </w:hyperlink>
      <w:r>
        <w:rPr>
          <w:sz w:val="20"/>
        </w:rPr>
        <w:t xml:space="preserve"> и </w:t>
      </w:r>
      <w:hyperlink w:history="0" w:anchor="P2601" w:tooltip="17">
        <w:r>
          <w:rPr>
            <w:sz w:val="20"/>
            <w:color w:val="0000ff"/>
          </w:rPr>
          <w:t xml:space="preserve">17</w:t>
        </w:r>
      </w:hyperlink>
      <w:r>
        <w:rPr>
          <w:sz w:val="20"/>
        </w:rPr>
        <w:t xml:space="preserve">;</w:t>
      </w:r>
    </w:p>
    <w:bookmarkStart w:id="3953" w:name="P3953"/>
    <w:bookmarkEnd w:id="3953"/>
    <w:p>
      <w:pPr>
        <w:pStyle w:val="0"/>
        <w:spacing w:before="200" w:lineRule="auto"/>
        <w:ind w:firstLine="540"/>
        <w:jc w:val="both"/>
      </w:pPr>
      <w:r>
        <w:rPr>
          <w:sz w:val="20"/>
        </w:rPr>
        <w:t xml:space="preserve">&lt;10&gt; - указывается нарастающим итогом на основании информации, включенной в </w:t>
      </w:r>
      <w:hyperlink w:history="0" w:anchor="P3414" w:tooltip="IV. Сведения о фактических показателях, характеризующих">
        <w:r>
          <w:rPr>
            <w:sz w:val="20"/>
            <w:color w:val="0000ff"/>
          </w:rPr>
          <w:t xml:space="preserve">раздел IV</w:t>
        </w:r>
      </w:hyperlink>
      <w:r>
        <w:rPr>
          <w:sz w:val="20"/>
        </w:rPr>
        <w:t xml:space="preserve"> настоящего документа в соответствии с общими </w:t>
      </w:r>
      <w:hyperlink w:history="0" r:id="rId68" w:tooltip="Постановление Правительства РФ от 15.10.2020 N 1694 (ред. от 24.03.2025) &quot;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КонсультантПлюс}">
        <w:r>
          <w:rPr>
            <w:sz w:val="20"/>
            <w:color w:val="0000ff"/>
          </w:rPr>
          <w:t xml:space="preserve">требованиями</w:t>
        </w:r>
      </w:hyperlink>
      <w:r>
        <w:rPr>
          <w:sz w:val="20"/>
        </w:rPr>
        <w:t xml:space="preserve"> к форме отчета об исполнении государственных (муниципальных) социальных заказов на оказание государственных (муниципальных) услуг в социальной сфере, утвержденными постановлением Правительства Российской Федерации от 15 октября 2020 г. N 1694 "Об утверждении примерной формы государственного (муниципального) социального заказа на оказание государственных (муниципальных) услуг в социальной сфере, примерной структуры государственного (муниципального) социального заказа на оказание государственных (муниципальных) услуг в социальной сфере и общих требований к форме отчета об исполнении государственных (муниципальных) социальных заказов на оказание государственных (муниципальных) услуг в социальной сфере";</w:t>
      </w:r>
    </w:p>
    <w:bookmarkStart w:id="3954" w:name="P3954"/>
    <w:bookmarkEnd w:id="3954"/>
    <w:p>
      <w:pPr>
        <w:pStyle w:val="0"/>
        <w:spacing w:before="200" w:lineRule="auto"/>
        <w:ind w:firstLine="540"/>
        <w:jc w:val="both"/>
      </w:pPr>
      <w:r>
        <w:rPr>
          <w:sz w:val="20"/>
        </w:rPr>
        <w:t xml:space="preserve">&lt;11&gt; - указывается разница </w:t>
      </w:r>
      <w:hyperlink w:history="0" w:anchor="P2597" w:tooltip="13">
        <w:r>
          <w:rPr>
            <w:sz w:val="20"/>
            <w:color w:val="0000ff"/>
          </w:rPr>
          <w:t xml:space="preserve">граф 13</w:t>
        </w:r>
      </w:hyperlink>
      <w:r>
        <w:rPr>
          <w:sz w:val="20"/>
        </w:rPr>
        <w:t xml:space="preserve"> и </w:t>
      </w:r>
      <w:hyperlink w:history="0" w:anchor="P2591" w:tooltip="7">
        <w:r>
          <w:rPr>
            <w:sz w:val="20"/>
            <w:color w:val="0000ff"/>
          </w:rPr>
          <w:t xml:space="preserve">7</w:t>
        </w:r>
      </w:hyperlink>
      <w:r>
        <w:rPr>
          <w:sz w:val="20"/>
        </w:rPr>
        <w:t xml:space="preserve">;</w:t>
      </w:r>
    </w:p>
    <w:bookmarkStart w:id="3955" w:name="P3955"/>
    <w:bookmarkEnd w:id="3955"/>
    <w:p>
      <w:pPr>
        <w:pStyle w:val="0"/>
        <w:spacing w:before="200" w:lineRule="auto"/>
        <w:ind w:firstLine="540"/>
        <w:jc w:val="both"/>
      </w:pPr>
      <w:r>
        <w:rPr>
          <w:sz w:val="20"/>
        </w:rPr>
        <w:t xml:space="preserve">&lt;12&gt; - указывается количество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w:t>
      </w:r>
    </w:p>
    <w:bookmarkStart w:id="3956" w:name="P3956"/>
    <w:bookmarkEnd w:id="3956"/>
    <w:p>
      <w:pPr>
        <w:pStyle w:val="0"/>
        <w:spacing w:before="200" w:lineRule="auto"/>
        <w:ind w:firstLine="540"/>
        <w:jc w:val="both"/>
      </w:pPr>
      <w:r>
        <w:rPr>
          <w:sz w:val="20"/>
        </w:rPr>
        <w:t xml:space="preserve">&lt;13&gt; - указывается доля в процентах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 допустивших отклонения от показателей, характеризующих объем оказания государственной услуги, превышающие предельные допустимые возможные отклонения от указанных показателей, от общего количества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w:t>
      </w:r>
    </w:p>
    <w:bookmarkStart w:id="3957" w:name="P3957"/>
    <w:bookmarkEnd w:id="3957"/>
    <w:p>
      <w:pPr>
        <w:pStyle w:val="0"/>
        <w:spacing w:before="200" w:lineRule="auto"/>
        <w:ind w:firstLine="540"/>
        <w:jc w:val="both"/>
      </w:pPr>
      <w:r>
        <w:rPr>
          <w:sz w:val="20"/>
        </w:rPr>
        <w:t xml:space="preserve">&lt;14&gt; - рассчитывается как разница </w:t>
      </w:r>
      <w:hyperlink w:history="0" w:anchor="P2921" w:tooltip="8">
        <w:r>
          <w:rPr>
            <w:sz w:val="20"/>
            <w:color w:val="0000ff"/>
          </w:rPr>
          <w:t xml:space="preserve">граф 8</w:t>
        </w:r>
      </w:hyperlink>
      <w:r>
        <w:rPr>
          <w:sz w:val="20"/>
        </w:rPr>
        <w:t xml:space="preserve"> и </w:t>
      </w:r>
      <w:hyperlink w:history="0" w:anchor="P2920" w:tooltip="7">
        <w:r>
          <w:rPr>
            <w:sz w:val="20"/>
            <w:color w:val="0000ff"/>
          </w:rPr>
          <w:t xml:space="preserve">7</w:t>
        </w:r>
      </w:hyperlink>
      <w:r>
        <w:rPr>
          <w:sz w:val="20"/>
        </w:rPr>
        <w:t xml:space="preserve">;</w:t>
      </w:r>
    </w:p>
    <w:bookmarkStart w:id="3958" w:name="P3958"/>
    <w:bookmarkEnd w:id="3958"/>
    <w:p>
      <w:pPr>
        <w:pStyle w:val="0"/>
        <w:spacing w:before="200" w:lineRule="auto"/>
        <w:ind w:firstLine="540"/>
        <w:jc w:val="both"/>
      </w:pPr>
      <w:r>
        <w:rPr>
          <w:sz w:val="20"/>
        </w:rPr>
        <w:t xml:space="preserve">&lt;15&gt; - указывается количество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w:t>
      </w:r>
    </w:p>
    <w:bookmarkStart w:id="3959" w:name="P3959"/>
    <w:bookmarkEnd w:id="3959"/>
    <w:p>
      <w:pPr>
        <w:pStyle w:val="0"/>
        <w:spacing w:before="200" w:lineRule="auto"/>
        <w:ind w:firstLine="540"/>
        <w:jc w:val="both"/>
      </w:pPr>
      <w:r>
        <w:rPr>
          <w:sz w:val="20"/>
        </w:rPr>
        <w:t xml:space="preserve">&lt;16&gt; - указывается доля в процентах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 допустивших отклонения от показателей, характеризующих качество оказания государственной услуги, превышающие предельные допустимые возможные отклонения от указанных показателей, от общего количества исполнителей услуг, указанных в </w:t>
      </w:r>
      <w:hyperlink w:history="0" w:anchor="P3414" w:tooltip="IV. Сведения о фактических показателях, характеризующих">
        <w:r>
          <w:rPr>
            <w:sz w:val="20"/>
            <w:color w:val="0000ff"/>
          </w:rPr>
          <w:t xml:space="preserve">разделе IV</w:t>
        </w:r>
      </w:hyperlink>
      <w:r>
        <w:rPr>
          <w:sz w:val="20"/>
        </w:rPr>
        <w:t xml:space="preserve"> настоящего документа;</w:t>
      </w:r>
    </w:p>
    <w:bookmarkStart w:id="3960" w:name="P3960"/>
    <w:bookmarkEnd w:id="3960"/>
    <w:p>
      <w:pPr>
        <w:pStyle w:val="0"/>
        <w:spacing w:before="200" w:lineRule="auto"/>
        <w:ind w:firstLine="540"/>
        <w:jc w:val="both"/>
      </w:pPr>
      <w:r>
        <w:rPr>
          <w:sz w:val="20"/>
        </w:rPr>
        <w:t xml:space="preserve">&lt;17&gt; - указывается наименование укрупненной государственной услуги в случае, если социальный заказ Республики Саха (Якутия) формируется в отношении укрупненных государственных услуг;</w:t>
      </w:r>
    </w:p>
    <w:bookmarkStart w:id="3961" w:name="P3961"/>
    <w:bookmarkEnd w:id="3961"/>
    <w:p>
      <w:pPr>
        <w:pStyle w:val="0"/>
        <w:spacing w:before="200" w:lineRule="auto"/>
        <w:ind w:firstLine="540"/>
        <w:jc w:val="both"/>
      </w:pPr>
      <w:r>
        <w:rPr>
          <w:sz w:val="20"/>
        </w:rPr>
        <w:t xml:space="preserve">&lt;18&gt; - указывается уникальный код организации, присвоенный исполнителю услуг, при формировании сведений о нем в реестре участников бюджетного процесса, а также юридических лиц, не являющихся участниками бюджетного процесса;</w:t>
      </w:r>
    </w:p>
    <w:bookmarkStart w:id="3962" w:name="P3962"/>
    <w:bookmarkEnd w:id="3962"/>
    <w:p>
      <w:pPr>
        <w:pStyle w:val="0"/>
        <w:spacing w:before="200" w:lineRule="auto"/>
        <w:ind w:firstLine="540"/>
        <w:jc w:val="both"/>
      </w:pPr>
      <w:r>
        <w:rPr>
          <w:sz w:val="20"/>
        </w:rPr>
        <w:t xml:space="preserve">&lt;19&gt; - указывается на основании информации об исполнителе услуг, включенной в государственное задание на оказание государственных услуг (выполнение работ) (далее - государственное задание) либо в соглашение, заключенное по результатам отбора исполнителей услуг, предусмотренного </w:t>
      </w:r>
      <w:hyperlink w:history="0" r:id="rId6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 Недействующая редакция {КонсультантПлюс}">
        <w:r>
          <w:rPr>
            <w:sz w:val="20"/>
            <w:color w:val="0000ff"/>
          </w:rPr>
          <w:t xml:space="preserve">частью 6 статьи 9</w:t>
        </w:r>
      </w:hyperlink>
      <w:r>
        <w:rPr>
          <w:sz w:val="20"/>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(далее - соглашение);</w:t>
      </w:r>
    </w:p>
    <w:bookmarkStart w:id="3963" w:name="P3963"/>
    <w:bookmarkEnd w:id="3963"/>
    <w:p>
      <w:pPr>
        <w:pStyle w:val="0"/>
        <w:spacing w:before="200" w:lineRule="auto"/>
        <w:ind w:firstLine="540"/>
        <w:jc w:val="both"/>
      </w:pPr>
      <w:r>
        <w:rPr>
          <w:sz w:val="20"/>
        </w:rPr>
        <w:t xml:space="preserve">&lt;20&gt; - указывается на основании информации, включенной в социальный заказ Республики Саха (Якутия), об исполнении которого формируется отчет об исполнении социального заказа Республики Саха (Якутия);</w:t>
      </w:r>
    </w:p>
    <w:bookmarkStart w:id="3964" w:name="P3964"/>
    <w:bookmarkEnd w:id="3964"/>
    <w:p>
      <w:pPr>
        <w:pStyle w:val="0"/>
        <w:spacing w:before="200" w:lineRule="auto"/>
        <w:ind w:firstLine="540"/>
        <w:jc w:val="both"/>
      </w:pPr>
      <w:r>
        <w:rPr>
          <w:sz w:val="20"/>
        </w:rPr>
        <w:t xml:space="preserve">&lt;21&gt; - указывается на основании информации, включенной в государственное задание или соглашение;</w:t>
      </w:r>
    </w:p>
    <w:bookmarkStart w:id="3965" w:name="P3965"/>
    <w:bookmarkEnd w:id="3965"/>
    <w:p>
      <w:pPr>
        <w:pStyle w:val="0"/>
        <w:spacing w:before="200" w:lineRule="auto"/>
        <w:ind w:firstLine="540"/>
        <w:jc w:val="both"/>
      </w:pPr>
      <w:r>
        <w:rPr>
          <w:sz w:val="20"/>
        </w:rPr>
        <w:t xml:space="preserve">&lt;22&gt; - в отношении одного исполнителя услуг может быть указана информация о значении планового показателя, характеризующего объем оказания государственной услуги, только в отношении одного способа определения услуг;</w:t>
      </w:r>
    </w:p>
    <w:bookmarkStart w:id="3966" w:name="P3966"/>
    <w:bookmarkEnd w:id="3966"/>
    <w:p>
      <w:pPr>
        <w:pStyle w:val="0"/>
        <w:spacing w:before="200" w:lineRule="auto"/>
        <w:ind w:firstLine="540"/>
        <w:jc w:val="both"/>
      </w:pPr>
      <w:r>
        <w:rPr>
          <w:sz w:val="20"/>
        </w:rPr>
        <w:t xml:space="preserve">&lt;23&gt; - формируется на основании отчетов исполнителей государственных услуг об исполнении соглашений и отчетов о выполнении государственного задания;</w:t>
      </w:r>
    </w:p>
    <w:bookmarkStart w:id="3967" w:name="P3967"/>
    <w:bookmarkEnd w:id="3967"/>
    <w:p>
      <w:pPr>
        <w:pStyle w:val="0"/>
        <w:spacing w:before="200" w:lineRule="auto"/>
        <w:ind w:firstLine="540"/>
        <w:jc w:val="both"/>
      </w:pPr>
      <w:r>
        <w:rPr>
          <w:sz w:val="20"/>
        </w:rPr>
        <w:t xml:space="preserve">&lt;24&gt; - указывается как разница </w:t>
      </w:r>
      <w:hyperlink w:history="0" w:anchor="P3468" w:tooltip="14">
        <w:r>
          <w:rPr>
            <w:sz w:val="20"/>
            <w:color w:val="0000ff"/>
          </w:rPr>
          <w:t xml:space="preserve">графы 14 раздела IV</w:t>
        </w:r>
      </w:hyperlink>
      <w:r>
        <w:rPr>
          <w:sz w:val="20"/>
        </w:rPr>
        <w:t xml:space="preserve"> и </w:t>
      </w:r>
      <w:hyperlink w:history="0" w:anchor="P3058" w:tooltip="14">
        <w:r>
          <w:rPr>
            <w:sz w:val="20"/>
            <w:color w:val="0000ff"/>
          </w:rPr>
          <w:t xml:space="preserve">графы 14 раздела III</w:t>
        </w:r>
      </w:hyperlink>
      <w:r>
        <w:rPr>
          <w:sz w:val="20"/>
        </w:rPr>
        <w:t xml:space="preserve"> настоящего документа;</w:t>
      </w:r>
    </w:p>
    <w:bookmarkStart w:id="3968" w:name="P3968"/>
    <w:bookmarkEnd w:id="3968"/>
    <w:p>
      <w:pPr>
        <w:pStyle w:val="0"/>
        <w:spacing w:before="200" w:lineRule="auto"/>
        <w:ind w:firstLine="540"/>
        <w:jc w:val="both"/>
      </w:pPr>
      <w:r>
        <w:rPr>
          <w:sz w:val="20"/>
        </w:rPr>
        <w:t xml:space="preserve">&lt;25&gt; - в отношении одного исполнителя услуг может быть указана информация о значении фактического показателя, характеризующего объем оказания государственной услуги, только в отношении одного способа определения услуг.</w:t>
      </w:r>
    </w:p>
    <w:bookmarkStart w:id="3969" w:name="P3969"/>
    <w:bookmarkEnd w:id="3969"/>
    <w:p>
      <w:pPr>
        <w:pStyle w:val="0"/>
        <w:spacing w:before="200" w:lineRule="auto"/>
        <w:ind w:firstLine="540"/>
        <w:jc w:val="both"/>
      </w:pPr>
      <w:r>
        <w:rPr>
          <w:sz w:val="20"/>
        </w:rPr>
        <w:t xml:space="preserve">&lt;26&gt; - рассчитывается как разница между фактическим показателем, характеризующим объем оказания государственной услуги, включенным в соответствии со способом определения исполнителя услуг в одну из </w:t>
      </w:r>
      <w:hyperlink w:history="0" w:anchor="P3473" w:tooltip="19">
        <w:r>
          <w:rPr>
            <w:sz w:val="20"/>
            <w:color w:val="0000ff"/>
          </w:rPr>
          <w:t xml:space="preserve">граф 19</w:t>
        </w:r>
      </w:hyperlink>
      <w:r>
        <w:rPr>
          <w:sz w:val="20"/>
        </w:rPr>
        <w:t xml:space="preserve"> - </w:t>
      </w:r>
      <w:hyperlink w:history="0" w:anchor="P3476" w:tooltip="22">
        <w:r>
          <w:rPr>
            <w:sz w:val="20"/>
            <w:color w:val="0000ff"/>
          </w:rPr>
          <w:t xml:space="preserve">22 раздела IV</w:t>
        </w:r>
      </w:hyperlink>
      <w:r>
        <w:rPr>
          <w:sz w:val="20"/>
        </w:rPr>
        <w:t xml:space="preserve"> настоящего документа, и плановым показателем, характеризующим объем оказания государственной услуги, включенным в соответствии со способом определения исполнителя услуг в одну из </w:t>
      </w:r>
      <w:hyperlink w:history="0" w:anchor="P3063" w:tooltip="19">
        <w:r>
          <w:rPr>
            <w:sz w:val="20"/>
            <w:color w:val="0000ff"/>
          </w:rPr>
          <w:t xml:space="preserve">граф 19</w:t>
        </w:r>
      </w:hyperlink>
      <w:r>
        <w:rPr>
          <w:sz w:val="20"/>
        </w:rPr>
        <w:t xml:space="preserve"> - </w:t>
      </w:r>
      <w:hyperlink w:history="0" w:anchor="P3066" w:tooltip="22">
        <w:r>
          <w:rPr>
            <w:sz w:val="20"/>
            <w:color w:val="0000ff"/>
          </w:rPr>
          <w:t xml:space="preserve">22 раздела III</w:t>
        </w:r>
      </w:hyperlink>
      <w:r>
        <w:rPr>
          <w:sz w:val="20"/>
        </w:rPr>
        <w:t xml:space="preserve"> настоящего документа;</w:t>
      </w:r>
    </w:p>
    <w:bookmarkStart w:id="3970" w:name="P3970"/>
    <w:bookmarkEnd w:id="3970"/>
    <w:p>
      <w:pPr>
        <w:pStyle w:val="0"/>
        <w:spacing w:before="200" w:lineRule="auto"/>
        <w:ind w:firstLine="540"/>
        <w:jc w:val="both"/>
      </w:pPr>
      <w:r>
        <w:rPr>
          <w:sz w:val="20"/>
        </w:rPr>
        <w:t xml:space="preserve">&lt;27&gt; - рассчитывается как разница </w:t>
      </w:r>
      <w:hyperlink w:history="0" w:anchor="P3058" w:tooltip="14">
        <w:r>
          <w:rPr>
            <w:sz w:val="20"/>
            <w:color w:val="0000ff"/>
          </w:rPr>
          <w:t xml:space="preserve">графы 14 раздела III</w:t>
        </w:r>
      </w:hyperlink>
      <w:r>
        <w:rPr>
          <w:sz w:val="20"/>
        </w:rPr>
        <w:t xml:space="preserve">, </w:t>
      </w:r>
      <w:hyperlink w:history="0" w:anchor="P3468" w:tooltip="14">
        <w:r>
          <w:rPr>
            <w:sz w:val="20"/>
            <w:color w:val="0000ff"/>
          </w:rPr>
          <w:t xml:space="preserve">графы 14 раздела IV</w:t>
        </w:r>
      </w:hyperlink>
      <w:r>
        <w:rPr>
          <w:sz w:val="20"/>
        </w:rPr>
        <w:t xml:space="preserve"> и </w:t>
      </w:r>
      <w:hyperlink w:history="0" w:anchor="P3059" w:tooltip="15">
        <w:r>
          <w:rPr>
            <w:sz w:val="20"/>
            <w:color w:val="0000ff"/>
          </w:rPr>
          <w:t xml:space="preserve">графы 15 раздела III</w:t>
        </w:r>
      </w:hyperlink>
      <w:r>
        <w:rPr>
          <w:sz w:val="20"/>
        </w:rPr>
        <w:t xml:space="preserve"> настоящего документа (в случае если значение предельного допустимого возможного отклонения от показателя, характеризующего качество оказания государственной услуги, установлено в относительных величинах, значение </w:t>
      </w:r>
      <w:hyperlink w:history="0" w:anchor="P3058" w:tooltip="14">
        <w:r>
          <w:rPr>
            <w:sz w:val="20"/>
            <w:color w:val="0000ff"/>
          </w:rPr>
          <w:t xml:space="preserve">графы 14 раздела III</w:t>
        </w:r>
      </w:hyperlink>
      <w:r>
        <w:rPr>
          <w:sz w:val="20"/>
        </w:rPr>
        <w:t xml:space="preserve"> настоящего документа перерассчитывается в абсолютную величину путем умножения значения </w:t>
      </w:r>
      <w:hyperlink w:history="0" w:anchor="P3057" w:tooltip="13">
        <w:r>
          <w:rPr>
            <w:sz w:val="20"/>
            <w:color w:val="0000ff"/>
          </w:rPr>
          <w:t xml:space="preserve">графы 13 раздела III</w:t>
        </w:r>
      </w:hyperlink>
      <w:r>
        <w:rPr>
          <w:sz w:val="20"/>
        </w:rPr>
        <w:t xml:space="preserve"> настоящего документа на </w:t>
      </w:r>
      <w:hyperlink w:history="0" w:anchor="P3058" w:tooltip="14">
        <w:r>
          <w:rPr>
            <w:sz w:val="20"/>
            <w:color w:val="0000ff"/>
          </w:rPr>
          <w:t xml:space="preserve">графу 14 раздела III</w:t>
        </w:r>
      </w:hyperlink>
      <w:r>
        <w:rPr>
          <w:sz w:val="20"/>
        </w:rPr>
        <w:t xml:space="preserve"> настоящего документа);</w:t>
      </w:r>
    </w:p>
    <w:bookmarkStart w:id="3971" w:name="P3971"/>
    <w:bookmarkEnd w:id="3971"/>
    <w:p>
      <w:pPr>
        <w:pStyle w:val="0"/>
        <w:spacing w:before="200" w:lineRule="auto"/>
        <w:ind w:firstLine="540"/>
        <w:jc w:val="both"/>
      </w:pPr>
      <w:r>
        <w:rPr>
          <w:sz w:val="20"/>
        </w:rPr>
        <w:t xml:space="preserve">&lt;28&gt; - рассчитывается как разница </w:t>
      </w:r>
      <w:hyperlink w:history="0" w:anchor="P3477" w:tooltip="23">
        <w:r>
          <w:rPr>
            <w:sz w:val="20"/>
            <w:color w:val="0000ff"/>
          </w:rPr>
          <w:t xml:space="preserve">графы 23 раздела IV</w:t>
        </w:r>
      </w:hyperlink>
      <w:r>
        <w:rPr>
          <w:sz w:val="20"/>
        </w:rPr>
        <w:t xml:space="preserve"> и </w:t>
      </w:r>
      <w:hyperlink w:history="0" w:anchor="P3067" w:tooltip="23">
        <w:r>
          <w:rPr>
            <w:sz w:val="20"/>
            <w:color w:val="0000ff"/>
          </w:rPr>
          <w:t xml:space="preserve">графы 23 раздела III</w:t>
        </w:r>
      </w:hyperlink>
      <w:r>
        <w:rPr>
          <w:sz w:val="20"/>
        </w:rPr>
        <w:t xml:space="preserve"> настоящего документа;</w:t>
      </w:r>
    </w:p>
    <w:bookmarkStart w:id="3972" w:name="P3972"/>
    <w:bookmarkEnd w:id="3972"/>
    <w:p>
      <w:pPr>
        <w:pStyle w:val="0"/>
        <w:spacing w:before="200" w:lineRule="auto"/>
        <w:ind w:firstLine="540"/>
        <w:jc w:val="both"/>
      </w:pPr>
      <w:r>
        <w:rPr>
          <w:sz w:val="20"/>
        </w:rPr>
        <w:t xml:space="preserve">&lt;29&gt; - указывается суммарный объем по всем государственным услугам, входящим в состав укрупненной государственной услуги.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РС(Я) от 30.11.2021 N 500</w:t>
            <w:br/>
            <w:t>(ред. от 06.11.2025)</w:t>
            <w:br/>
            <w:t>"О порядке формирования государственных социа...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РС(Я) от 30.11.2021 N 500</w:t>
            <w:br/>
            <w:t>(ред. от 06.11.2025)</w:t>
            <w:br/>
            <w:t>"О порядке формирования государственных социа...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106187&amp;dst=100005" TargetMode = "External"/><Relationship Id="rId9" Type="http://schemas.openxmlformats.org/officeDocument/2006/relationships/hyperlink" Target="https://login.consultant.ru/link/?req=doc&amp;base=RLAW249&amp;n=107697&amp;dst=100016" TargetMode = "External"/><Relationship Id="rId10" Type="http://schemas.openxmlformats.org/officeDocument/2006/relationships/hyperlink" Target="https://login.consultant.ru/link/?req=doc&amp;base=LAW&amp;n=494445&amp;dst=100052" TargetMode = "External"/><Relationship Id="rId11" Type="http://schemas.openxmlformats.org/officeDocument/2006/relationships/hyperlink" Target="https://login.consultant.ru/link/?req=doc&amp;base=LAW&amp;n=494445&amp;dst=100077" TargetMode = "External"/><Relationship Id="rId12" Type="http://schemas.openxmlformats.org/officeDocument/2006/relationships/hyperlink" Target="https://login.consultant.ru/link/?req=doc&amp;base=RLAW249&amp;n=106187&amp;dst=100006" TargetMode = "External"/><Relationship Id="rId13" Type="http://schemas.openxmlformats.org/officeDocument/2006/relationships/hyperlink" Target="https://login.consultant.ru/link/?req=doc&amp;base=RLAW249&amp;n=107697&amp;dst=100016" TargetMode = "External"/><Relationship Id="rId14" Type="http://schemas.openxmlformats.org/officeDocument/2006/relationships/hyperlink" Target="https://login.consultant.ru/link/?req=doc&amp;base=RLAW249&amp;n=106187&amp;dst=100008" TargetMode = "External"/><Relationship Id="rId15" Type="http://schemas.openxmlformats.org/officeDocument/2006/relationships/hyperlink" Target="https://login.consultant.ru/link/?req=doc&amp;base=RLAW249&amp;n=106187&amp;dst=100010" TargetMode = "External"/><Relationship Id="rId16" Type="http://schemas.openxmlformats.org/officeDocument/2006/relationships/hyperlink" Target="https://login.consultant.ru/link/?req=doc&amp;base=LAW&amp;n=494445&amp;dst=100073" TargetMode = "External"/><Relationship Id="rId17" Type="http://schemas.openxmlformats.org/officeDocument/2006/relationships/hyperlink" Target="https://login.consultant.ru/link/?req=doc&amp;base=LAW&amp;n=494445&amp;dst=46" TargetMode = "External"/><Relationship Id="rId18" Type="http://schemas.openxmlformats.org/officeDocument/2006/relationships/hyperlink" Target="https://login.consultant.ru/link/?req=doc&amp;base=RLAW249&amp;n=106187&amp;dst=100012" TargetMode = "External"/><Relationship Id="rId19" Type="http://schemas.openxmlformats.org/officeDocument/2006/relationships/hyperlink" Target="https://login.consultant.ru/link/?req=doc&amp;base=LAW&amp;n=494445&amp;dst=100013" TargetMode = "External"/><Relationship Id="rId20" Type="http://schemas.openxmlformats.org/officeDocument/2006/relationships/hyperlink" Target="https://login.consultant.ru/link/?req=doc&amp;base=LAW&amp;n=494445&amp;dst=100010" TargetMode = "External"/><Relationship Id="rId21" Type="http://schemas.openxmlformats.org/officeDocument/2006/relationships/hyperlink" Target="https://login.consultant.ru/link/?req=doc&amp;base=RLAW249&amp;n=106187&amp;dst=100014" TargetMode = "External"/><Relationship Id="rId22" Type="http://schemas.openxmlformats.org/officeDocument/2006/relationships/hyperlink" Target="https://login.consultant.ru/link/?req=doc&amp;base=RLAW249&amp;n=108416&amp;dst=100017" TargetMode = "External"/><Relationship Id="rId23" Type="http://schemas.openxmlformats.org/officeDocument/2006/relationships/hyperlink" Target="https://login.consultant.ru/link/?req=doc&amp;base=LAW&amp;n=518569" TargetMode = "External"/><Relationship Id="rId24" Type="http://schemas.openxmlformats.org/officeDocument/2006/relationships/hyperlink" Target="https://login.consultant.ru/link/?req=doc&amp;base=LAW&amp;n=494445&amp;dst=100077" TargetMode = "External"/><Relationship Id="rId25" Type="http://schemas.openxmlformats.org/officeDocument/2006/relationships/hyperlink" Target="https://login.consultant.ru/link/?req=doc&amp;base=LAW&amp;n=494445&amp;dst=100091" TargetMode = "External"/><Relationship Id="rId26" Type="http://schemas.openxmlformats.org/officeDocument/2006/relationships/hyperlink" Target="https://login.consultant.ru/link/?req=doc&amp;base=LAW&amp;n=494445&amp;dst=100073" TargetMode = "External"/><Relationship Id="rId27" Type="http://schemas.openxmlformats.org/officeDocument/2006/relationships/hyperlink" Target="https://login.consultant.ru/link/?req=doc&amp;base=LAW&amp;n=518569" TargetMode = "External"/><Relationship Id="rId28" Type="http://schemas.openxmlformats.org/officeDocument/2006/relationships/hyperlink" Target="https://login.consultant.ru/link/?req=doc&amp;base=RLAW249&amp;n=108158" TargetMode = "External"/><Relationship Id="rId29" Type="http://schemas.openxmlformats.org/officeDocument/2006/relationships/hyperlink" Target="https://login.consultant.ru/link/?req=doc&amp;base=RLAW249&amp;n=106187&amp;dst=100015" TargetMode = "External"/><Relationship Id="rId30" Type="http://schemas.openxmlformats.org/officeDocument/2006/relationships/hyperlink" Target="https://login.consultant.ru/link/?req=doc&amp;base=RLAW249&amp;n=106187&amp;dst=100017" TargetMode = "External"/><Relationship Id="rId31" Type="http://schemas.openxmlformats.org/officeDocument/2006/relationships/hyperlink" Target="https://login.consultant.ru/link/?req=doc&amp;base=RLAW249&amp;n=101826&amp;dst=100781" TargetMode = "External"/><Relationship Id="rId32" Type="http://schemas.openxmlformats.org/officeDocument/2006/relationships/hyperlink" Target="https://login.consultant.ru/link/?req=doc&amp;base=LAW&amp;n=494445&amp;dst=100115" TargetMode = "External"/><Relationship Id="rId33" Type="http://schemas.openxmlformats.org/officeDocument/2006/relationships/hyperlink" Target="https://login.consultant.ru/link/?req=doc&amp;base=LAW&amp;n=494445&amp;dst=100064" TargetMode = "External"/><Relationship Id="rId34" Type="http://schemas.openxmlformats.org/officeDocument/2006/relationships/hyperlink" Target="https://login.consultant.ru/link/?req=doc&amp;base=RLAW249&amp;n=106187&amp;dst=100019" TargetMode = "External"/><Relationship Id="rId35" Type="http://schemas.openxmlformats.org/officeDocument/2006/relationships/hyperlink" Target="https://login.consultant.ru/link/?req=doc&amp;base=RLAW249&amp;n=107697&amp;dst=100017" TargetMode = "External"/><Relationship Id="rId36" Type="http://schemas.openxmlformats.org/officeDocument/2006/relationships/hyperlink" Target="https://login.consultant.ru/link/?req=doc&amp;base=RLAW249&amp;n=107697&amp;dst=100019" TargetMode = "External"/><Relationship Id="rId37" Type="http://schemas.openxmlformats.org/officeDocument/2006/relationships/hyperlink" Target="https://login.consultant.ru/link/?req=doc&amp;base=RLAW249&amp;n=106187&amp;dst=100023" TargetMode = "External"/><Relationship Id="rId38" Type="http://schemas.openxmlformats.org/officeDocument/2006/relationships/header" Target="header2.xml"/><Relationship Id="rId39" Type="http://schemas.openxmlformats.org/officeDocument/2006/relationships/footer" Target="footer2.xml"/><Relationship Id="rId40" Type="http://schemas.openxmlformats.org/officeDocument/2006/relationships/hyperlink" Target="https://login.consultant.ru/link/?req=doc&amp;base=LAW&amp;n=149911" TargetMode = "External"/><Relationship Id="rId41" Type="http://schemas.openxmlformats.org/officeDocument/2006/relationships/hyperlink" Target="https://login.consultant.ru/link/?req=doc&amp;base=LAW&amp;n=495935" TargetMode = "External"/><Relationship Id="rId42" Type="http://schemas.openxmlformats.org/officeDocument/2006/relationships/hyperlink" Target="https://login.consultant.ru/link/?req=doc&amp;base=LAW&amp;n=495935" TargetMode = "External"/><Relationship Id="rId43" Type="http://schemas.openxmlformats.org/officeDocument/2006/relationships/hyperlink" Target="https://login.consultant.ru/link/?req=doc&amp;base=LAW&amp;n=495935" TargetMode = "External"/><Relationship Id="rId44" Type="http://schemas.openxmlformats.org/officeDocument/2006/relationships/hyperlink" Target="https://login.consultant.ru/link/?req=doc&amp;base=LAW&amp;n=495935" TargetMode = "External"/><Relationship Id="rId45" Type="http://schemas.openxmlformats.org/officeDocument/2006/relationships/hyperlink" Target="https://login.consultant.ru/link/?req=doc&amp;base=LAW&amp;n=495935" TargetMode = "External"/><Relationship Id="rId46" Type="http://schemas.openxmlformats.org/officeDocument/2006/relationships/hyperlink" Target="https://login.consultant.ru/link/?req=doc&amp;base=LAW&amp;n=495935" TargetMode = "External"/><Relationship Id="rId47" Type="http://schemas.openxmlformats.org/officeDocument/2006/relationships/hyperlink" Target="https://login.consultant.ru/link/?req=doc&amp;base=LAW&amp;n=495935" TargetMode = "External"/><Relationship Id="rId48" Type="http://schemas.openxmlformats.org/officeDocument/2006/relationships/hyperlink" Target="https://login.consultant.ru/link/?req=doc&amp;base=LAW&amp;n=495935" TargetMode = "External"/><Relationship Id="rId49" Type="http://schemas.openxmlformats.org/officeDocument/2006/relationships/hyperlink" Target="https://login.consultant.ru/link/?req=doc&amp;base=LAW&amp;n=495935" TargetMode = "External"/><Relationship Id="rId50" Type="http://schemas.openxmlformats.org/officeDocument/2006/relationships/hyperlink" Target="https://login.consultant.ru/link/?req=doc&amp;base=LAW&amp;n=494445&amp;dst=100010" TargetMode = "External"/><Relationship Id="rId51" Type="http://schemas.openxmlformats.org/officeDocument/2006/relationships/hyperlink" Target="https://login.consultant.ru/link/?req=doc&amp;base=LAW&amp;n=518569" TargetMode = "External"/><Relationship Id="rId52" Type="http://schemas.openxmlformats.org/officeDocument/2006/relationships/hyperlink" Target="https://login.consultant.ru/link/?req=doc&amp;base=LAW&amp;n=494445&amp;dst=100112" TargetMode = "External"/><Relationship Id="rId53" Type="http://schemas.openxmlformats.org/officeDocument/2006/relationships/hyperlink" Target="https://login.consultant.ru/link/?req=doc&amp;base=LAW&amp;n=366062&amp;dst=100014" TargetMode = "External"/><Relationship Id="rId54" Type="http://schemas.openxmlformats.org/officeDocument/2006/relationships/hyperlink" Target="https://login.consultant.ru/link/?req=doc&amp;base=LAW&amp;n=366062&amp;dst=100014" TargetMode = "External"/><Relationship Id="rId55" Type="http://schemas.openxmlformats.org/officeDocument/2006/relationships/hyperlink" Target="https://login.consultant.ru/link/?req=doc&amp;base=RLAW249&amp;n=107697&amp;dst=100021" TargetMode = "External"/><Relationship Id="rId56" Type="http://schemas.openxmlformats.org/officeDocument/2006/relationships/hyperlink" Target="https://login.consultant.ru/link/?req=doc&amp;base=RLAW249&amp;n=107697&amp;dst=100076" TargetMode = "External"/><Relationship Id="rId57" Type="http://schemas.openxmlformats.org/officeDocument/2006/relationships/hyperlink" Target="https://login.consultant.ru/link/?req=doc&amp;base=LAW&amp;n=494445" TargetMode = "External"/><Relationship Id="rId58" Type="http://schemas.openxmlformats.org/officeDocument/2006/relationships/hyperlink" Target="https://login.consultant.ru/link/?req=doc&amp;base=RLAW249&amp;n=106187&amp;dst=100026" TargetMode = "External"/><Relationship Id="rId59" Type="http://schemas.openxmlformats.org/officeDocument/2006/relationships/hyperlink" Target="https://login.consultant.ru/link/?req=doc&amp;base=LAW&amp;n=521763" TargetMode = "External"/><Relationship Id="rId60" Type="http://schemas.openxmlformats.org/officeDocument/2006/relationships/hyperlink" Target="https://login.consultant.ru/link/?req=doc&amp;base=LAW&amp;n=495935" TargetMode = "External"/><Relationship Id="rId61" Type="http://schemas.openxmlformats.org/officeDocument/2006/relationships/hyperlink" Target="https://login.consultant.ru/link/?req=doc&amp;base=LAW&amp;n=495935" TargetMode = "External"/><Relationship Id="rId62" Type="http://schemas.openxmlformats.org/officeDocument/2006/relationships/hyperlink" Target="https://login.consultant.ru/link/?req=doc&amp;base=LAW&amp;n=495935" TargetMode = "External"/><Relationship Id="rId63" Type="http://schemas.openxmlformats.org/officeDocument/2006/relationships/hyperlink" Target="https://login.consultant.ru/link/?req=doc&amp;base=LAW&amp;n=495935" TargetMode = "External"/><Relationship Id="rId64" Type="http://schemas.openxmlformats.org/officeDocument/2006/relationships/hyperlink" Target="https://login.consultant.ru/link/?req=doc&amp;base=LAW&amp;n=495935" TargetMode = "External"/><Relationship Id="rId65" Type="http://schemas.openxmlformats.org/officeDocument/2006/relationships/hyperlink" Target="https://login.consultant.ru/link/?req=doc&amp;base=LAW&amp;n=495935" TargetMode = "External"/><Relationship Id="rId66" Type="http://schemas.openxmlformats.org/officeDocument/2006/relationships/hyperlink" Target="https://login.consultant.ru/link/?req=doc&amp;base=LAW&amp;n=494445&amp;dst=100010" TargetMode = "External"/><Relationship Id="rId67" Type="http://schemas.openxmlformats.org/officeDocument/2006/relationships/hyperlink" Target="https://login.consultant.ru/link/?req=doc&amp;base=LAW&amp;n=501702&amp;dst=100390" TargetMode = "External"/><Relationship Id="rId68" Type="http://schemas.openxmlformats.org/officeDocument/2006/relationships/hyperlink" Target="https://login.consultant.ru/link/?req=doc&amp;base=LAW&amp;n=501702&amp;dst=100390" TargetMode = "External"/><Relationship Id="rId69" Type="http://schemas.openxmlformats.org/officeDocument/2006/relationships/hyperlink" Target="https://login.consultant.ru/link/?req=doc&amp;base=LAW&amp;n=494445&amp;dst=1001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РС(Я) от 30.11.2021 N 500
(ред. от 06.11.2025)
"О порядке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государственной власти Республики Саха (Якутия), о форме и сроках формирования отчета об их исполнении"
(вместе с "Правилами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г</dc:title>
  <dcterms:created xsi:type="dcterms:W3CDTF">2026-01-04T09:55:37Z</dcterms:created>
</cp:coreProperties>
</file>