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РО от 21.01.2020 N 37</w:t>
              <w:br/>
              <w:t xml:space="preserve">(ред. от 09.03.2023)</w:t>
              <w:br/>
              <w:t xml:space="preserve">"О порядке предоставления грантов социально ориентированным некоммерческим организациям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января 2020 г. N 37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ЧАСТИ ЗАТРАТ, СВЯЗАННЫХ</w:t>
      </w:r>
    </w:p>
    <w:p>
      <w:pPr>
        <w:pStyle w:val="2"/>
        <w:jc w:val="center"/>
      </w:pPr>
      <w:r>
        <w:rPr>
          <w:sz w:val="20"/>
        </w:rPr>
        <w:t xml:space="preserve">С ОБЕСПЕЧЕНИЕМ ПОДГОТОВКИ И УЧАСТИЯ ВО ВСЕРОССИЙСКИХ</w:t>
      </w:r>
    </w:p>
    <w:p>
      <w:pPr>
        <w:pStyle w:val="2"/>
        <w:jc w:val="center"/>
      </w:pPr>
      <w:r>
        <w:rPr>
          <w:sz w:val="20"/>
        </w:rPr>
        <w:t xml:space="preserve">И МЕЖДУНАРОДНЫХ СОРЕВНОВАНИЯХ КОМАНД РОСТОВСКОЙ ОБЛАСТИ</w:t>
      </w:r>
    </w:p>
    <w:p>
      <w:pPr>
        <w:pStyle w:val="2"/>
        <w:jc w:val="center"/>
      </w:pPr>
      <w:r>
        <w:rPr>
          <w:sz w:val="20"/>
        </w:rPr>
        <w:t xml:space="preserve">В СОСТАВЕ КЛУБОВ ПО ИГРОВЫМ ВИДАМ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18.03.2020 </w:t>
            </w:r>
            <w:hyperlink w:history="0" r:id="rId7" w:tooltip="Постановление Правительства РО от 18.03.2020 N 183 &quot;О внесении изменений в постановление Правительства Ростовской области от 21.01.2020 N 37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, от 22.06.2020 </w:t>
            </w:r>
            <w:hyperlink w:history="0" r:id="rId8" w:tooltip="Постановление Правительства РО от 22.06.2020 N 564 &quot;О внесении изменений в постановление Правительства Ростовской области от 21.01.2020 N 37&quot;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 от 07.06.2021 </w:t>
            </w:r>
            <w:hyperlink w:history="0" r:id="rId9" w:tooltip="Постановление Правительства РО от 07.06.2021 N 417 &quot;О внесении изменений в постановление Правительства Ростовской области от 21.01.2020 N 37&quot; {КонсультантПлюс}">
              <w:r>
                <w:rPr>
                  <w:sz w:val="20"/>
                  <w:color w:val="0000ff"/>
                </w:rPr>
                <w:t xml:space="preserve">N 417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29.07.2021 </w:t>
            </w:r>
            <w:hyperlink w:history="0" r:id="rId10" w:tooltip="Постановление Правительства РО от 29.07.2021 N 600 &quot;О внесении изменения в постановление Правительства Ростовской области от 21.01.2020 N 37&quot; {КонсультантПлюс}">
              <w:r>
                <w:rPr>
                  <w:sz w:val="20"/>
                  <w:color w:val="0000ff"/>
                </w:rPr>
                <w:t xml:space="preserve">N 600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11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1092</w:t>
              </w:r>
            </w:hyperlink>
            <w:r>
              <w:rPr>
                <w:sz w:val="20"/>
                <w:color w:val="392c69"/>
              </w:rPr>
              <w:t xml:space="preserve">, от 09.03.2023 </w:t>
            </w:r>
            <w:hyperlink w:history="0" r:id="rId12" w:tooltip="Постановление Правительства РО от 09.03.2023 N 151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Областным </w:t>
      </w:r>
      <w:hyperlink w:history="0" r:id="rId14" w:tooltip="Областной закон Ростовской области от 11.11.2010 N 492-ЗС (ред. от 07.11.2022) &quot;О государственной поддержке социально ориентированных некоммерческих организаций в Ростовской области&quot; (принят ЗС РО 28.10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11.11.2010 N 492-ЗС "О государственной поддержке социально ориентированных некоммерческих организаций в Ростовской области", в целях развития игровых видов спорта в Ростовской области, реализации государственной </w:t>
      </w:r>
      <w:hyperlink w:history="0" r:id="rId15" w:tooltip="Постановление Правительства РО от 17.10.2018 N 648 (ред. от 27.03.2023) &quot;Об утверждении государственной программы Ростовской области &quot;Развитие физической культуры и спорт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Ростовской области "Развитие физической культуры и спорта", утвержденной постановлением Правительства Ростовской области от 17.10.2018 N 648, Правительство Ростовской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социально ориентированным некоммерческим организациям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О от 07.06.2021 N 417 &quot;О внесении изменений в постановление Правительства Ростовской области от 21.01.2020 N 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07.06.2021 N 417)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Губернатора Ростовской области Хохлова А.А.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7" w:tooltip="Постановление Правительства РО от 07.06.2021 N 417 &quot;О внесении изменений в постановление Правительства Ростовской области от 21.01.2020 N 3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07.06.2021 N 417)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Постановление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министерство</w:t>
      </w:r>
    </w:p>
    <w:p>
      <w:pPr>
        <w:pStyle w:val="0"/>
        <w:spacing w:before="200" w:line-rule="auto"/>
      </w:pPr>
      <w:r>
        <w:rPr>
          <w:sz w:val="20"/>
        </w:rPr>
        <w:t xml:space="preserve">по физической культуре и спорту</w:t>
      </w:r>
    </w:p>
    <w:p>
      <w:pPr>
        <w:pStyle w:val="0"/>
        <w:spacing w:before="200" w:line-rule="auto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21.01.2020 N 37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ЧАСТИ ЗАТРАТ, СВЯЗАННЫХ С ОБЕСПЕЧЕНИЕМ ПОДГОТОВКИ И УЧАСТИЯ</w:t>
      </w:r>
    </w:p>
    <w:p>
      <w:pPr>
        <w:pStyle w:val="2"/>
        <w:jc w:val="center"/>
      </w:pPr>
      <w:r>
        <w:rPr>
          <w:sz w:val="20"/>
        </w:rPr>
        <w:t xml:space="preserve">ВО ВСЕРОССИЙСКИХ И МЕЖДУНАРОДНЫХ СОРЕВНОВАНИЯХ КОМАНД</w:t>
      </w:r>
    </w:p>
    <w:p>
      <w:pPr>
        <w:pStyle w:val="2"/>
        <w:jc w:val="center"/>
      </w:pPr>
      <w:r>
        <w:rPr>
          <w:sz w:val="20"/>
        </w:rPr>
        <w:t xml:space="preserve">РОСТОВСКОЙ ОБЛАСТИ В СОСТАВЕ КЛУБОВ ПО ИГРОВЫМ ВИДАМ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18" w:tooltip="Постановление Правительства РО от 07.06.2021 N 417 &quot;О внесении изменений в постановление Правительства Ростовской области от 21.01.2020 N 37&quot; {КонсультантПлюс}">
              <w:r>
                <w:rPr>
                  <w:sz w:val="20"/>
                  <w:color w:val="0000ff"/>
                </w:rPr>
                <w:t xml:space="preserve">N 417</w:t>
              </w:r>
            </w:hyperlink>
            <w:r>
              <w:rPr>
                <w:sz w:val="20"/>
                <w:color w:val="392c69"/>
              </w:rPr>
              <w:t xml:space="preserve">, от 29.07.2021 </w:t>
            </w:r>
            <w:hyperlink w:history="0" r:id="rId19" w:tooltip="Постановление Правительства РО от 29.07.2021 N 600 &quot;О внесении изменения в постановление Правительства Ростовской области от 21.01.2020 N 37&quot; {КонсультантПлюс}">
              <w:r>
                <w:rPr>
                  <w:sz w:val="20"/>
                  <w:color w:val="0000ff"/>
                </w:rPr>
                <w:t xml:space="preserve">N 600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20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1092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09.03.2023 </w:t>
            </w:r>
            <w:hyperlink w:history="0" r:id="rId21" w:tooltip="Постановление Правительства РО от 09.03.2023 N 151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N 151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грантов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механизм предоставления грантов в форме субсидий социально ориентированным некоммерческим организациям (далее - СОНКО)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спорта, в рамках </w:t>
      </w:r>
      <w:hyperlink w:history="0" r:id="rId22" w:tooltip="Постановление Правительства РО от 17.10.2018 N 648 (ред. от 27.03.2023) &quot;Об утверждении государственной программы Ростовской области &quot;Развитие физической культуры и спорта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спорта высших достижений и системы подготовки спортивного резерва Ростовской области" государственной программы Ростовской области "Развитие физической культуры и спорта", утвержденной постановлением Правительства Ростовской области от 17.10.2018 N 648 (далее -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предоставления грантов является обеспечение подготовки и участия во всероссийских и международных соревнованиях команд Ростовской области в составе клубов по игровым видам спорта (основной и дублирующий составы команд, молодежные команды, детско-юношеские команды).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Гранты предоставляются министерством по физической культуре и спорту Ростовской области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Способом проведения отбора является конкурс, который проводится для определения получателя гранта, исходя из наилучших условий достижения результата, в целях достижения которого предоставляется грант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Сведения о грантах, предоставляемых СОНКО,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бюджете, областного закона о внесении изменений в областной закон об областном бюджете.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23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конкурса министерство размещает на официальном сайте министерства (</w:t>
      </w:r>
      <w:r>
        <w:rPr>
          <w:sz w:val="20"/>
        </w:rPr>
        <w:t xml:space="preserve">https://minsport.donland.ru/</w:t>
      </w:r>
      <w:r>
        <w:rPr>
          <w:sz w:val="20"/>
        </w:rPr>
        <w:t xml:space="preserve">) в сети "Интернет" объявление о проведении конкурса в срок не позднее 3 дней до даты начала приема заявок об участии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о проведении конкурса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конкурса; дата окончания приема заявок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министерства, контактные номера телефонов для получения разъяснений положений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гранта в соответствии с </w:t>
      </w:r>
      <w:hyperlink w:history="0" w:anchor="P226" w:tooltip="3.13. Результатом предоставления гранта по состоянию на 31 декабря года является участие в году предоставления гранта основных команд СОНКО в спортивных мероприятиях, в том числе в соревнованиях (первенствах, чемпионатах России) по игровым видам спорта в следующих уровнях лиг:">
        <w:r>
          <w:rPr>
            <w:sz w:val="20"/>
            <w:color w:val="0000ff"/>
          </w:rPr>
          <w:t xml:space="preserve">пунктом 3.13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СОНКО в соответствии с </w:t>
      </w:r>
      <w:hyperlink w:history="0" w:anchor="P81" w:tooltip="2.3. СОНКО должна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 и перечень документов, представляемых СОНКО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требования, предъявляемые к форме и содержанию заявок в соответствии с </w:t>
      </w:r>
      <w:hyperlink w:history="0" w:anchor="P101" w:tooltip="2.4. В срок, установленный для приема заявок, СОНКО представляет министерству заявку в одном экземпляре на бумажном носителе, содержащую следующие документы (далее - заявка)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СОНКО разъяснений положений объявления о проведении конкурса, даты начала и окончания срока предоставления таких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конкурса должен подписать договор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конкурса уклонившимся от заключения договора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конкурса на едином портале, а также на официальном сайте министерства (</w:t>
      </w:r>
      <w:r>
        <w:rPr>
          <w:sz w:val="20"/>
        </w:rPr>
        <w:t xml:space="preserve">https://minsport.donland.ru/</w:t>
      </w:r>
      <w:r>
        <w:rPr>
          <w:sz w:val="20"/>
        </w:rPr>
        <w:t xml:space="preserve">) в сети "Интернет", которая не может быть позднее 14-го дня, следующего за днем определения победителя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проведения конкурса министерство создает конкурсную комиссию по определению получателей грантов среди СОНКО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комиссии, ее состав утверждаются министерством. В состав комиссии входит не менее одного члена общественного совета при министерстве.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СОНКО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По состоянию на дату не ранее 1 числа месяца, в котором подается заявка: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находится в процессе реорганизации (за исключением реорганизации в форме присоединения к СОНКО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СОНКО имеется государственная регистрация или постановка на учет в налоговом органе на территории Ростовской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СОНКО отсутствует просроченная задолженность по возврату в областной бюджет субсидий, бюджетных инвестиций и иная просроченная (неурегулированная) задолженность по денежным обязательствам перед Ростовской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является иностранным юридическим лицом, в том числе местом регистрации которой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которой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О от 09.03.2023 N 151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09.03.2023 N 151)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 является получателем средств из областного бюджета, из которого планируется предоставление грантов в соответствии с настоящим Положением, на основании иных нормативных правовых актов Правительства Ростовской области на цели, указанные в </w:t>
      </w:r>
      <w:hyperlink w:history="0" w:anchor="P55" w:tooltip="1.1. Настоящий Порядок определяет механизм предоставления грантов в форме субсидий социально ориентированным некоммерческим организациям (далее - СОНКО)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, в рамках подпрограммы &quot;Развитие спорта высших достижений и системы подготовки спортивного резерва Ростовской области&quot; государственной программы Ростовской ...">
        <w:r>
          <w:rPr>
            <w:sz w:val="20"/>
            <w:color w:val="0000ff"/>
          </w:rPr>
          <w:t xml:space="preserve">пункте 1.1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Включающим: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опыта участия основной команды СОНКО в предыдущем игровом сезоне в следующих уровнях спортивных лиг по игровым видам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футбол - не ниже уровня лиги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волейбол - не ниже уровня лиги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пляжный волейбол - уровень лиги отсутствует (не ниже чемпионата России);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баскетбол - не ниже уровня лиги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хоккей на траве - не ниже уровня лиги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настольный теннис - не ниже уровня лиги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гандбол - не ниже уровня лиги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регби - не ниже уровня лиги N 1.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срок, установленный для приема заявок, СОНКО представляет министерству заявку в одном экземпляре на бумажном носителе, содержащую следующие документы (далее - заявка):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Заявление на участие в конкурсе и опись документов по форме, установленной министерством, содержащее в том числе согласие СОНКО на публикацию (размещение) в сети "Интернет" информации о поданной СОНКО заявке для участия в конкурсе, иной информации о СОНКО, связанной с конкурсом, а также согласие на обработку персональных данных (для физических лиц).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Копии устава СОНКО, а также всех изменений и дополнений к нему, заверенные подписью руководителя и печатью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Копии документов, подтверждающих назначение на должность руководителя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Копии документов, подтверждающих участие основной команды СОНКО в предыдущем игровом сезоне во всероссийских соревнованиях на уровне лиг, указанных в </w:t>
      </w:r>
      <w:hyperlink w:history="0" w:anchor="P91" w:tooltip="наличие опыта участия основной команды СОНКО в предыдущем игровом сезоне в следующих уровнях спортивных лиг по игровым видам спорта:">
        <w:r>
          <w:rPr>
            <w:sz w:val="20"/>
            <w:color w:val="0000ff"/>
          </w:rPr>
          <w:t xml:space="preserve">абзаце втором подпункта 2.3.2 пункта 2.3</w:t>
        </w:r>
      </w:hyperlink>
      <w:r>
        <w:rPr>
          <w:sz w:val="20"/>
        </w:rPr>
        <w:t xml:space="preserve"> настоящего раздела (итоговые турнирные таблицы или письма общероссийских спортивных федераций по игровым видам 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2.4.5. Копии документов, подтверждающих участие основного состава команды в текущем году в следующих уровнях спортивных лиг по игровым видам спорта (при наличии):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футбол - не ниже уровня лиги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волейбол - не ниже уровня лиги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пляжный волейбол - уровень лиги отсутствует (не ниже чемпионата России);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баскетбол - не ниже уровня лиги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хоккей на траве - не ниже уровня лиги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настольный теннис - не ниже уровня лиги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гандбол - не ниже уровня лиги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регби - не ниже уровня лиги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2.4.6. Список игроков основного и дублирующего составов команд.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2.4.7. Итоговые турнирные таблицы всероссийских соревнований по игровым видам спорта (чемпионатов или первенств России) за 2 предыдущих игровых сезона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2.4.8. Копии регламента спортивных соревнований и календарь игр на текущий сезон (при наличии утвержденных общероссийскими спортивными федерациями по игровым видам спорта).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2.4.9. Копии документов, подтверждающих наличие в структуре СОНКО основных, дублирующих, молодежных и детско-юношеских команд (при наличии соответствующих команд).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2.4.10. Копии положений о дублирующих, молодежных и детско-юношеских командах (при наличии соответствующих команд).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2.4.11. Смету планируемых затрат с указанием всех источников их финансирования, утвержденную руководителем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2.4.12. Сведения о привлечении СОНКО иных (бюджетных и внебюджетных) источников финансирования в предыдущем финансовом году с приложением копий заключенных соглашений и платежных документов, подтверждающих получение средств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2.4.13. Информацию об итоговых результатах деятельности команд за последние 2 игровых сезона, предшествующих дате подачи заявки, по форме, установленной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2.4.14. Программу развития команд Ростовской области в составе клуба по игровым видам спорта на четырехлетний период по форме, установленной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Документы, указанные в </w:t>
      </w:r>
      <w:hyperlink w:history="0" w:anchor="P101" w:tooltip="2.4. В срок, установленный для приема заявок, СОНКО представляет министерству заявку в одном экземпляре на бумажном носителе, содержащую следующие документы (далее - заявка)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, должны быть прошиты, пронумерованы и заверены руководителем СОНКО. Первыми должны быть подшиты заявление и опись документов с указанием страниц, на которых находятся соответствующие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СОНКО несут административную ответственность в соответствии с законодательством Ростовской области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Министерство регистрирует заявку в журнале регистрации заявок по форме, установленной министерством, в течение 1 дня с даты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Министерство запрашивает в порядке межведомственного взаимодействия, осуществляемого при предоставлении государственных услуг, по состоянию на дату не ранее 1 числа месяца, в котором подана заявка, следующие документы (сведения) в отношении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в реестре дисквалифицированных лиц руководителя, членов коллегиального исполнительного органа, лиц, исполняющих функции единоличного исполнительного органа, и главного бухгалтера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вправе представить министерству документы, указанные в настоящем пункте, по собственной инициативе. При этом сведения, указанные в настоящем пункте, должны быть представлены СОНКО на дату не ранее 1 числа месяца, в котором подается заявка.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СОНКО в составе заявки вышеуказанных документов министерство не направляет межведомственный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Заявка может быть отозвана СОНКО в срок не позднее даты окончания приема заявок по письменному заявлению СОНКО, подписанному руководителем СОНКО либо уполномоченным им лицом. Отозванные заявки не учитываются при определении общего количества заявок, представленных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об отзыве заявки министерство в течение 10 рабочих дней с даты поступления такого заявления возвращает заявку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Министерство в срок не позднее 10 рабочих дней с даты окончания приема заявок рассматривает заявки и в случае отсутствия оснований для отклонения заявки передает заявки в конкурсную комиссию для их рассмотрения и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отклонения заявки министерство письменно уведомляет СОНКО об отклонении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СОНКО требованиям, установленным </w:t>
      </w:r>
      <w:hyperlink w:history="0" w:anchor="P81" w:tooltip="2.3. СОНКО должна соответствовать следующим требования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СОНКО документов требованиям, установленным </w:t>
      </w:r>
      <w:hyperlink w:history="0" w:anchor="P101" w:tooltip="2.4. В срок, установленный для приема заявок, СОНКО представляет министерству заявку в одном экземпляре на бумажном носителе, содержащую следующие документы (далее - заявка)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в полном объеме документов, указанных в </w:t>
      </w:r>
      <w:hyperlink w:history="0" w:anchor="P101" w:tooltip="2.4. В срок, установленный для приема заявок, СОНКО представляет министерству заявку в одном экземпляре на бумажном носителе, содержащую следующие документы (далее - заявка)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СОНКО информации, в том числе информации о месте нахождения и адресе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документах исправлений, дописок, подчисток, технических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СОНКО заявки после даты и (или) времени, определенных для приема заявок об участии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техническими ошибками в целях настоящего Положения понимаются описки, опечатки, арифметические ошибки, приведшие к несоответствию сведений, которые были внесены в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Конкурсная комиссия в течение 7 рабочих дней со дня получения заявок оценивает их в соответствии с </w:t>
      </w:r>
      <w:hyperlink w:history="0" w:anchor="P292" w:tooltip="КРИТЕРИИ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отбора получателей грантов, указанными в приложении к настоящему Порядку (далее - критерии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 определяется по каждой заявке путем суммирования баллов по каждому критерию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На основании результатов оценки заявок конкурсная комиссия оформляет протокол и направляет его в министерство.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Министерство в течение 7 рабочих дней со дня получения протокола конкурсной комиссии принимает решение о предоставлении гранта СОНКО, набравшим в соответствии с критериями отбора 100 и более баллов (далее - получатели гранта), об отказе в предоставлении гранта СОНКО, набравшим в соответствии с критериями отбора менее 100 баллов, и утверждает перечень получателей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грантов каждому из получателей грантов осуществляется в соответствии с поданными заявками в пределах общего объема бюджетных ассигнований, утвержденного сводной бюджетной росписью министерства на эти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превышении общей суммы, указанной в поданных заявках получателей грантов, над общим объемом бюджетных ассигнований, утвержденным сводной бюджетной росписью министерства на соответствующий год на эти цели, гранты распределяются пропорционально количеству набранных баллов.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объема предоставляемого гранта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914400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G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грантов i-го получателя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ф</w:t>
      </w:r>
      <w:r>
        <w:rPr>
          <w:sz w:val="20"/>
        </w:rPr>
        <w:t xml:space="preserve"> - общий объем бюджетных ассигнований министерства на предоставление грантов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удельный вес количества баллов i-го получателя грантов от общего количества баллов всех получателей грантов, который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12287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y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баллов, набранное i-й СОНКО в соответствии с критериями отбора получателей грантов;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143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баллов всех участников конкурсного отбора, допущенных к распределению средств грантов по результатам конкурсной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Размер гранта не должен превышать суммы, указанной в заявке получателя гранта. Остаток средств, превышающий потребность получателя гранта, распределяется между оставшимися получателями грантов пропорционально количеству набранных баллов в соответствии с расчетом, указанным в </w:t>
      </w:r>
      <w:hyperlink w:history="0" w:anchor="P152" w:tooltip="Расчет объема предоставляемого гранта осуществляется по следующей формуле:">
        <w:r>
          <w:rPr>
            <w:sz w:val="20"/>
            <w:color w:val="0000ff"/>
          </w:rPr>
          <w:t xml:space="preserve">абзаце четвертом пункта 2.13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СОНКО, в отношении которых принято решение об отказе в предоставлении грантов, министерство письменно извещает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Министерство не позднее 14-го дня, следующего за днем принятия решений, указанных в </w:t>
      </w:r>
      <w:hyperlink w:history="0" w:anchor="P149" w:tooltip="2.13. Министерство в течение 7 рабочих дней со дня получения протокола конкурсной комиссии принимает решение о предоставлении гранта СОНКО, набравшим в соответствии с критериями отбора 100 и более баллов (далее - получатели гранта), об отказе в предоставлении гранта СОНКО, набравшим в соответствии с критериями отбора менее 100 баллов, и утверждает перечень получателей грантов.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раздела, размещает на официальном сайте министерства (</w:t>
      </w:r>
      <w:r>
        <w:rPr>
          <w:sz w:val="20"/>
        </w:rPr>
        <w:t xml:space="preserve">https://minsport.donland.ru/</w:t>
      </w:r>
      <w:r>
        <w:rPr>
          <w:sz w:val="20"/>
        </w:rPr>
        <w:t xml:space="preserve">) в информационно-телекоммуникационной сети "Интернет" информацию о результатах проведенного конкурса, содержащую в том числе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СОНКО,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СОНКО,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СОНКО, присвоенные заявкам СОНКО значения по каждому из предусмотренных критериев отбора получателей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грантов, с которым заключается договор о предоставлении гранта, и размер предоставляемого гранта.</w:t>
      </w:r>
    </w:p>
    <w:p>
      <w:pPr>
        <w:pStyle w:val="0"/>
        <w:jc w:val="both"/>
      </w:pPr>
      <w:r>
        <w:rPr>
          <w:sz w:val="20"/>
        </w:rPr>
        <w:t xml:space="preserve">(п. 2.16 в ред. </w:t>
      </w:r>
      <w:hyperlink w:history="0" r:id="rId32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177" w:name="P177"/>
    <w:bookmarkEnd w:id="177"/>
    <w:p>
      <w:pPr>
        <w:pStyle w:val="0"/>
        <w:ind w:firstLine="540"/>
        <w:jc w:val="both"/>
      </w:pPr>
      <w:r>
        <w:rPr>
          <w:sz w:val="20"/>
        </w:rPr>
        <w:t xml:space="preserve">3.1. Гранты предоставляются получателям грантов на следующие направления: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В период проведения всероссийских и международных спортивных мероприятий (соревнования, тренировочные мероприятия) за пределами Ростовской области: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заявочные, членские и вступительные взносы, в том числе взносы за проведение и участие;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участие в соревнованиях (транспортные услуги; проезд, в том числе: агентские и сервисные сборы, провоз багажа; питание; компенсационные выплаты на питание; проживание; размещение; сборы, в том числе: таможенный, визовый, страховой);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организацию и проведение тренировочных мероприятий (транспортные услуги; проезд, в том числе: агентские и сервисные сборы, провоз багажа; питание; компенсационные выплаты на питание; проживание; размещение; сборы, в том числе: таможенный, визовый, страховой; услуги по предоставлению в пользование или в аренду спортивных сооружений и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информационно-рекламное обеспечение проведения соревнований (трансляция соревнований и производство телевизионного сигнала: организация многокамерной съемки, монтаж видеоматериалов, организация работы студии, передача спутникового сигнала).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В период проведения спортивных мероприятий (соревнования, тренировочные мероприятия) на территории Ростовской области: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организацию и проведение соревнований (услуги по предоставлению в пользование или в аренду спортивных сооружений и оборудования; транспортные услуги, в том числе по перевозке членов команд соперников в соответствии с регламентом соревнований; услуги по обеспечению дежурства врачей в медицинских пунктах и бригад скорой медицинской помощи с квалифицированным медицинским персоналом, реанимационным оборудованием и автомобилями скорой медицинской помощи; питание; компенсационные выплаты на питание; оплата труда судей и персонала, обслуживающих соревнования (для иногородних судей - проезд, в том числе: агентские и сервисные сборы, провоз багажа); услуги по проживанию, питанию, компенсационные выплаты на питание для судей, обслуживающих соревнования);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информационно-рекламное обеспечение проведения соревнований (оформление мест проведения соревнований, оплата услуг ведущего, диктора, звукоусиление и музыкальное сопровождение мероприятия, выступление творческих и спортивных коллективов, видео- и фотосъемка, световое оформление, анимационное сопровождение, изготовление, размещение и монтаж баннеров, изготовление программ, афиш, растяжек, плакатов, флаеров; трансляция соревнований и производство телевизионного сигнала: организация многокамерной съемки, монтаж видеоматериалов, организация работы студии, передача спутникового сигнала;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организацию и проведение тренировочных мероприятий (питание или компенсационные выплаты на питание спортсменов и тренеров, услуги по предоставлению в пользование или в аренду спортивных сооружений, оборудования);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оказание сотрудниками частных охранных предприятий и контролерами-распорядителями (стюардами) услуг по обеспечению безопасности и организации контрольно-пропускного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Расходы на содержание СОНКО: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в пользование или в аренду жилых помещений, оборудованных мебелью и бытовой техникой, для иногородних спортсменов и тренеров команд Ростовской области в составе клубов по игровым видам спорта (далее - команды);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транспортные услуги по перевозке болельщиков;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медико-восстановительные, профилактические и оздоровительные мероприятия, операции, медико-биологическое обследование, тестирование и медицинский контроль, диспансеризация, лечение игроков, в том числе: приобретение медикаментов, расходных материалов, перевязочных средств, средств индивидуальной защиты и дезинфицирующих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связи;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закупка спортивного инвентаря и экипировка спортсменов и тренеров команд;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коммунальные услуги, в том числе компенсация (возмещение) за коммунальные услуги;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премий спортсменам и тренерам команд с учетом уплаты налога на доходы физических лиц в соответствии с </w:t>
      </w:r>
      <w:hyperlink w:history="0" w:anchor="P206" w:tooltip="3.4. Финансированию подлежат расходы на выплату премий спортсменам и тренерам команд, выплачиваемые на основании локальных актов СОНКО, за игры, окончившиеся победой или ничейным результатом в проведенных календарных матчах.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лицензий (паспортизации) спортсменов и тренеров команд;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теле- и радиороликов, размещение информации в средствах массовой информации и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Расходы на обеспечение подготовки детско-юношеских и (или) молодежных команд в составе клубов по игровым видам спорта в рамках календарного плана спортивных мероприятий, утвержденного СОНКО и согласованного с региональной спортивной федерацией по игровому виду спорта, предусмотренные </w:t>
      </w:r>
      <w:hyperlink w:history="0" w:anchor="P179" w:tooltip="заявочные, членские и вступительные взносы, в том числе взносы за проведение и участие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180" w:tooltip="расходы на участие в соревнованиях (транспортные услуги; проезд, в том числе: агентские и сервисные сборы, провоз багажа; питание; компенсационные выплаты на питание; проживание; размещение; сборы, в том числе: таможенный, визовый, страховой);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, </w:t>
      </w:r>
      <w:hyperlink w:history="0" w:anchor="P181" w:tooltip="расходы на организацию и проведение тренировочных мероприятий (транспортные услуги; проезд, в том числе: агентские и сервисные сборы, провоз багажа; питание; компенсационные выплаты на питание; проживание; размещение; сборы, в том числе: таможенный, визовый, страховой; услуги по предоставлению в пользование или в аренду спортивных сооружений и оборудования);">
        <w:r>
          <w:rPr>
            <w:sz w:val="20"/>
            <w:color w:val="0000ff"/>
          </w:rPr>
          <w:t xml:space="preserve">четвертым подпункта 3.1.1</w:t>
        </w:r>
      </w:hyperlink>
      <w:r>
        <w:rPr>
          <w:sz w:val="20"/>
        </w:rPr>
        <w:t xml:space="preserve">, </w:t>
      </w:r>
      <w:hyperlink w:history="0" w:anchor="P184" w:tooltip="расходы на организацию и проведение соревнований (услуги по предоставлению в пользование или в аренду спортивных сооружений и оборудования; транспортные услуги, в том числе по перевозке членов команд соперников в соответствии с регламентом соревнований; услуги по обеспечению дежурства врачей в медицинских пунктах и бригад скорой медицинской помощи с квалифицированным медицинским персоналом, реанимационным оборудованием и автомобилями скорой медицинской помощи; питание; компенсационные выплаты на питание;...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186" w:tooltip="расходы на организацию и проведение тренировочных мероприятий (питание или компенсационные выплаты на питание спортсменов и тренеров, услуги по предоставлению в пользование или в аренду спортивных сооружений, оборудования);">
        <w:r>
          <w:rPr>
            <w:sz w:val="20"/>
            <w:color w:val="0000ff"/>
          </w:rPr>
          <w:t xml:space="preserve">четвертым подпункта 3.1.2</w:t>
        </w:r>
      </w:hyperlink>
      <w:r>
        <w:rPr>
          <w:sz w:val="20"/>
        </w:rPr>
        <w:t xml:space="preserve">, </w:t>
      </w:r>
      <w:hyperlink w:history="0" w:anchor="P193" w:tooltip="закупка спортивного инвентаря и экипировка спортсменов и тренеров команд;">
        <w:r>
          <w:rPr>
            <w:sz w:val="20"/>
            <w:color w:val="0000ff"/>
          </w:rPr>
          <w:t xml:space="preserve">абзацем шестым подпункта 3.1.3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расходы осуществляются в отношении лиц, включенных в заявку на игровой сезон, утвержденную всероссийской спортивной федерацией или региональной спортивной федерацией по игровому виду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Финансовое обеспечение расходов, предусмотренных </w:t>
      </w:r>
      <w:hyperlink w:history="0" w:anchor="P178" w:tooltip="3.1.1. В период проведения всероссийских и международных спортивных мероприятий (соревнования, тренировочные мероприятия) за пределами Ростовской области:">
        <w:r>
          <w:rPr>
            <w:sz w:val="20"/>
            <w:color w:val="0000ff"/>
          </w:rPr>
          <w:t xml:space="preserve">подпунктами 3.1.1</w:t>
        </w:r>
      </w:hyperlink>
      <w:r>
        <w:rPr>
          <w:sz w:val="20"/>
        </w:rPr>
        <w:t xml:space="preserve">, </w:t>
      </w:r>
      <w:hyperlink w:history="0" w:anchor="P183" w:tooltip="3.1.2. В период проведения спортивных мероприятий (соревнования, тренировочные мероприятия) на территории Ростовской области:">
        <w:r>
          <w:rPr>
            <w:sz w:val="20"/>
            <w:color w:val="0000ff"/>
          </w:rPr>
          <w:t xml:space="preserve">3.1.2</w:t>
        </w:r>
      </w:hyperlink>
      <w:r>
        <w:rPr>
          <w:sz w:val="20"/>
        </w:rPr>
        <w:t xml:space="preserve"> и </w:t>
      </w:r>
      <w:hyperlink w:history="0" w:anchor="P189" w:tooltip="предоставление в пользование или в аренду жилых помещений, оборудованных мебелью и бытовой техникой, для иногородних спортсменов и тренеров команд Ростовской области в составе клубов по игровым видам спорта (далее - команды)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191" w:tooltip="медико-восстановительные, профилактические и оздоровительные мероприятия, операции, медико-биологическое обследование, тестирование и медицинский контроль, диспансеризация, лечение игроков, в том числе: приобретение медикаментов, расходных материалов, перевязочных средств, средств индивидуальной защиты и дезинфицирующих средств;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, </w:t>
      </w:r>
      <w:hyperlink w:history="0" w:anchor="P193" w:tooltip="закупка спортивного инвентаря и экипировка спортсменов и тренеров команд;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, </w:t>
      </w:r>
      <w:hyperlink w:history="0" w:anchor="P197" w:tooltip="выплата премий спортсменам и тренерам команд с учетом уплаты налога на доходы физических лиц в соответствии с пунктом 3.4 настоящего раздела;">
        <w:r>
          <w:rPr>
            <w:sz w:val="20"/>
            <w:color w:val="0000ff"/>
          </w:rPr>
          <w:t xml:space="preserve">девятым подпункта 3.1.3 пункта 3.1</w:t>
        </w:r>
      </w:hyperlink>
      <w:r>
        <w:rPr>
          <w:sz w:val="20"/>
        </w:rPr>
        <w:t xml:space="preserve"> настоящего раздела, осуществляется в отношении лиц, включенных в заявку на игровой сезон, утвержденную всероссийской спортивной федерацией по игровому виду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подготовки и участия в соревнованиях Всероссийской спартакиады между субъектами Российской Федерации по летним видам спорта среди сильнейших спортсменов финансовое обеспечение расходов, предусмотренных </w:t>
      </w:r>
      <w:hyperlink w:history="0" w:anchor="P178" w:tooltip="3.1.1. В период проведения всероссийских и международных спортивных мероприятий (соревнования, тренировочные мероприятия) за пределами Ростовской области:">
        <w:r>
          <w:rPr>
            <w:sz w:val="20"/>
            <w:color w:val="0000ff"/>
          </w:rPr>
          <w:t xml:space="preserve">подпунктами 3.1.1</w:t>
        </w:r>
      </w:hyperlink>
      <w:r>
        <w:rPr>
          <w:sz w:val="20"/>
        </w:rPr>
        <w:t xml:space="preserve">, </w:t>
      </w:r>
      <w:hyperlink w:history="0" w:anchor="P183" w:tooltip="3.1.2. В период проведения спортивных мероприятий (соревнования, тренировочные мероприятия) на территории Ростовской области:">
        <w:r>
          <w:rPr>
            <w:sz w:val="20"/>
            <w:color w:val="0000ff"/>
          </w:rPr>
          <w:t xml:space="preserve">3.1.2</w:t>
        </w:r>
      </w:hyperlink>
      <w:r>
        <w:rPr>
          <w:sz w:val="20"/>
        </w:rPr>
        <w:t xml:space="preserve"> и </w:t>
      </w:r>
      <w:hyperlink w:history="0" w:anchor="P189" w:tooltip="предоставление в пользование или в аренду жилых помещений, оборудованных мебелью и бытовой техникой, для иногородних спортсменов и тренеров команд Ростовской области в составе клубов по игровым видам спорта (далее - команды)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191" w:tooltip="медико-восстановительные, профилактические и оздоровительные мероприятия, операции, медико-биологическое обследование, тестирование и медицинский контроль, диспансеризация, лечение игроков, в том числе: приобретение медикаментов, расходных материалов, перевязочных средств, средств индивидуальной защиты и дезинфицирующих средств;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, </w:t>
      </w:r>
      <w:hyperlink w:history="0" w:anchor="P193" w:tooltip="закупка спортивного инвентаря и экипировка спортсменов и тренеров команд;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, </w:t>
      </w:r>
      <w:hyperlink w:history="0" w:anchor="P197" w:tooltip="выплата премий спортсменам и тренерам команд с учетом уплаты налога на доходы физических лиц в соответствии с пунктом 3.4 настоящего раздела;">
        <w:r>
          <w:rPr>
            <w:sz w:val="20"/>
            <w:color w:val="0000ff"/>
          </w:rPr>
          <w:t xml:space="preserve">девятым подпункта 3.1.3 пункта 3.1</w:t>
        </w:r>
      </w:hyperlink>
      <w:r>
        <w:rPr>
          <w:sz w:val="20"/>
        </w:rPr>
        <w:t xml:space="preserve"> настоящего раздела, осуществляется в отношении членов команд клубов по игровым видам спорта, включенных в состав сборной команды Ростовской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 счет грантов обеспечивается финансирование расходов СОНКО на проведение тренировочных мероприятий продолжительностью каждого не более 21 календарного дня с перерывом между тренировочными мероприятиями не менее 1 календарного дня.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Финансированию подлежат расходы на выплату премий спортсменам и тренерам команд, выплачиваемые на основании локальных актов СОНКО, за игры, окончившиеся победой или ничейным результатом в проведенных календарных матчах.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Финансированию подлежат премии спортсменам и тренерам команд, внесенным в протокол (заявку) матча.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премий спортсменам и тренерам команд подтверждается положениями о премировании, утвержденными локальными актами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течение 10 рабочих дней с даты утверждения перечня получателей грантов министерство направляет получателям грантов для подписания 2 экземпляра договора о предоставлении гранта по типовой форме, утвержденной министерством финансов Ростовской области (далее - Договор).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грантов в течение 10 рабочих дней с даты получения двух экземпляров Договора подписывают и возвращают 1 экземпляр Договора министерству.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гранта, не представивший подписанный Договор в срок, установленный </w:t>
      </w:r>
      <w:hyperlink w:history="0" w:anchor="P210" w:tooltip="Получатели грантов в течение 10 рабочих дней с даты получения двух экземпляров Договора подписывают и возвращают 1 экземпляр Договора министерству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признается уклонившимся от заключения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Договор заключается на период текущего финансового года и предусматривает согласие получателя гранта на осуществление в отношении него проверки соблюдения условий и порядка предоставления гранта министерством и органами государственного финансового контроля, а также лиц, получающих средства на основании договоров, заключенных с получателем гранта, на осуществление в отношении них министерством и уполномоченным органом государственного финансового контроля проверок соблюдения условий и порядка предоставления гранта.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35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Договор содержит смету планируемых затрат. Направления расходования средств гранта, отраженные в смете планируемых затрат, должны соответствовать направлениям, указанным в </w:t>
      </w:r>
      <w:hyperlink w:history="0" w:anchor="P177" w:tooltip="3.1. Гранты предоставляются получателям грантов на следующие направления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направлений и объемов расходов, утвержденных Договором (сметой планируемых затрат), в пределах предоставленного гранта получатель гранта направляет на рассмотрение в министерство предложения о заключении дополнительного соглашения 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письмо о внесении изменений в смету планируемых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вносимых изменений с расчетами (в случае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планируемых затрат, содержащую корректировки в соответствии с планируемыми изменениями.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30 рабочих дней с даты представления получателем гранта документов на внесение изменений в смету планируемых затрат обеспечивает заключение с получателем гранта дополнительного соглашения о внесении соответствующих изменений в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несоответствия заявляемых затрат направлениям расходования средств гранта, указанным в </w:t>
      </w:r>
      <w:hyperlink w:history="0" w:anchor="P177" w:tooltip="3.1. Гранты предоставляются получателям грантов на следующие направления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раздела, министерство в течение 30 дней отказывает получателю гранта в заключении дополнительного соглашения о внесении изменений в Договор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целях перечисления грантов министерство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области, в сроки, определенные графиком перечисления гранта, являющимся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Перечисление гранта осуществляется в соответствии с бюджетным законодательством на расчетный счет получателя гранта, открытый в российской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Получатель гранта осуществляет расходование средств гранта с расчетного счета в соответствии со сметой планируемых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снятия основной команды СОНКО с участия в первенстве или чемпионате России до 20 октября текущего финансового года Договор подлежит расторжению. Неиспользованные средства гранта в течение 15 дней подлежат возврату министерству в областной бюджет и распределению между другими СОНКО в соответствии с порядком проведения конкурса, предусмотренным разделом 2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Неиспользованные средства гранта в текущем финансовом году подлежат возврату в доход областного бюджета до 15 марта года, следующего за годом предоставления гранта.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Результатом предоставления гранта по состоянию на 31 декабря года является участие в году предоставления гранта основных команд СОНКО в спортивных мероприятиях, в том числе в соревнованиях (первенствах, чемпионатах России) по игровым видам спорта в следующих уровнях лиг: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футбол - не ниже уровня лиги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волейбол - не ниже уровня лиги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пляжный волейбол - уровень лиги отсутствует (не ниже чемпионата России);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баскетбол - не ниже уровня лиги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хоккей на траве - не ниже уровня лиги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настольный теннис - не ниже уровня лиги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гандбол - не ниже уровня лиги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регби - не ниже уровня лиги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Показателем, необходимым для достижения результата предоставления гранта (далее - характеристика), является количество спортивных мероприятий, в которых основные команды приняли участие в году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характеристики устанавливается Договором.</w:t>
      </w:r>
    </w:p>
    <w:p>
      <w:pPr>
        <w:pStyle w:val="0"/>
        <w:jc w:val="both"/>
      </w:pPr>
      <w:r>
        <w:rPr>
          <w:sz w:val="20"/>
        </w:rPr>
        <w:t xml:space="preserve">(п. 3.14 в ред. </w:t>
      </w:r>
      <w:hyperlink w:history="0" r:id="rId38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Получатель гранта обязан обеспечить на срок действия Договора размещение на своем официальном сайте в сети "Интернет" (при его наличии) информации о том, что мероприятия, проводимые в том числе за счет средств гранта, осуществляются при финансовой поддержке, предоставленной из бюджета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Получатель гранта обязан во всех случаях размещения результатов, достигнутых во всероссийских и международных соревнованиях, сопровождать указанные материалы информацией о том, что соответствующие мероприятия осуществляются им в том числе за счет средств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Требование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грантов представляют министерству ежеквартально не позднее 10-го рабочего дня месяца, следующего за отчетным кварталом, отчет о расходах получателя гранта, источником финансового обеспечения которых является грант, и в срок до 30 января года, следующего за годом предоставления гранта, отчетность о достижении результата предоставления гранта и значения его характеристики по формам, установленным Договором.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 от 19.12.2022 N 1092)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установить в Договоре сроки и формы представления получателем гранта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</w:t>
      </w:r>
    </w:p>
    <w:p>
      <w:pPr>
        <w:pStyle w:val="2"/>
        <w:jc w:val="center"/>
      </w:pPr>
      <w:r>
        <w:rPr>
          <w:sz w:val="20"/>
        </w:rPr>
        <w:t xml:space="preserve">контроля (мониторинга)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0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</w:t>
      </w:r>
    </w:p>
    <w:p>
      <w:pPr>
        <w:pStyle w:val="0"/>
        <w:jc w:val="center"/>
      </w:pPr>
      <w:r>
        <w:rPr>
          <w:sz w:val="20"/>
        </w:rPr>
        <w:t xml:space="preserve">от 19.12.2022 N 1092)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получателем гранта порядка и условий предоставления гранта, в том числе в части достижения результатов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государственного финансового контроля осуществляют проверку в соответствии со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проводит мониторинг достижения результата предоставления гранта исходя из достижения значения его характеристики, установленного Договором, и события, отражающего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нарушения условий, установленных при предоставлении гранта, выявленного в том числе по итогам проверок, проведенных министерством и (или) уполномоченным органом государственного финансового контроля, министерство в течение 10 рабочих дней со дня установления указанного факта уведомляет получателя гранта о необходимости обеспечить возврат в областной бюджет средств гранта в объеме выявленных нарушений.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обеспечивает возврат в областной бюджет средств гранта в размере, указанном в </w:t>
      </w:r>
      <w:hyperlink w:history="0" w:anchor="P258" w:tooltip="5.2. В случае нарушения условий, установленных при предоставлении гранта, выявленного в том числе по итогам проверок, проведенных министерством и (или) уполномоченным органом государственного финансового контроля, министерство в течение 10 рабочих дней со дня установления указанного факта уведомляет получателя гранта о необходимости обеспечить возврат в областной бюджет средств гранта в объеме выявленных нарушени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 случае выявления факта нарушения: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государственного финансового контроля - в сроки, предусмотренные бюджетным законодательством Российской Федерации;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в течение 30 рабочих дней со дня получения получателем гранта уведомления, указанного в </w:t>
      </w:r>
      <w:hyperlink w:history="0" w:anchor="P258" w:tooltip="5.2. В случае нарушения условий, установленных при предоставлении гранта, выявленного в том числе по итогам проверок, проведенных министерством и (или) уполномоченным органом государственного финансового контроля, министерство в течение 10 рабочих дней со дня установления указанного факта уведомляет получателя гранта о необходимости обеспечить возврат в областной бюджет средств гранта в объеме выявленных нарушени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пункта.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значения характеристики, установленного Договором, министерство в течение 10 рабочих дней со дня установления факта недостижения значения характеристики уведомляет получателя гранта о необходимости обеспечить возврат в областной бюджет средств гранта в объеме, пропорциональном степени недостижения значения характеристики.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в течение 20 рабочих дней со дня получения уведомления, указанного в </w:t>
      </w:r>
      <w:hyperlink w:history="0" w:anchor="P262" w:tooltip="В случае недостижения значения характеристики, установленного Договором, министерство в течение 10 рабочих дней со дня установления факта недостижения значения характеристики уведомляет получателя гранта о необходимости обеспечить возврат в областной бюджет средств гранта в объеме, пропорциональном степени недостижения значения характеристики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пункта, обеспечивает возврат в областной бюджет средств гранта в объеме, пропорциональном степени недостижения значения характеристики.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Подтверждением возврата в областной бюджет средств, указанных в </w:t>
      </w:r>
      <w:hyperlink w:history="0" w:anchor="P259" w:tooltip="Получатель гранта обеспечивает возврат в областной бюджет средств гранта в размере, указанном в абзаце первом настоящего пункта, в случае выявления факта нарушения: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263" w:tooltip="Получатель гранта в течение 20 рабочих дней со дня получения уведомления, указанного в абзаце пятом настоящего пункта, обеспечивает возврат в областной бюджет средств гранта в объеме, пропорциональном степени недостижения значения характеристики.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пункта, является платежный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неперечисления средств, указанных в </w:t>
      </w:r>
      <w:hyperlink w:history="0" w:anchor="P259" w:tooltip="Получатель гранта обеспечивает возврат в областной бюджет средств гранта в размере, указанном в абзаце первом настоящего пункта, в случае выявления факта нарушения: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263" w:tooltip="Получатель гранта в течение 20 рабочих дней со дня получения уведомления, указанного в абзаце пятом настоящего пункта, обеспечивает возврат в областной бюджет средств гранта в объеме, пропорциональном степени недостижения значения характеристики.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пункта, в сроки предусмотренные соответственно </w:t>
      </w:r>
      <w:hyperlink w:history="0" w:anchor="P260" w:tooltip="уполномоченным органом государственного финансового контроля - в сроки, предусмотренные бюджетным законодательством Российской Федерации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, </w:t>
      </w:r>
      <w:hyperlink w:history="0" w:anchor="P261" w:tooltip="министерством - в течение 30 рабочих дней со дня получения получателем гранта уведомления, указанного в абзаце первом настоящего пункта.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 и </w:t>
      </w:r>
      <w:hyperlink w:history="0" w:anchor="P263" w:tooltip="Получатель гранта в течение 20 рабочих дней со дня получения уведомления, указанного в абзаце пятом настоящего пункта, обеспечивает возврат в областной бюджет средств гранта в объеме, пропорциональном степени недостижения значения характеристики.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 настоящего пункта, указанные средства взыскиваются в судебном порядке.</w:t>
      </w:r>
    </w:p>
    <w:bookmarkStart w:id="266" w:name="P266"/>
    <w:bookmarkEnd w:id="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недостижения результата предоставления гранта министерство в течение 10 рабочих дней со дня установления указанного факта уведомляет получателя гранта об одностороннем отказе от исполнения Договора в соответствии со </w:t>
      </w:r>
      <w:hyperlink w:history="0" r:id="rId4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статьей 450.1</w:t>
        </w:r>
      </w:hyperlink>
      <w:r>
        <w:rPr>
          <w:sz w:val="20"/>
        </w:rPr>
        <w:t xml:space="preserve"> Гражданского кодекса Российской Федерации и о необходимости возврата в областной бюджет гранта в полном объеме.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обязан в течение 20 рабочих дней со дня получения уведомления, указанного в </w:t>
      </w:r>
      <w:hyperlink w:history="0" w:anchor="P266" w:tooltip="5.3. В случае недостижения результата предоставления гранта министерство в течение 10 рабочих дней со дня установления указанного факта уведомляет получателя гранта об одностороннем отказе от исполнения Договора в соответствии со статьей 450.1 Гражданского кодекса Российской Федерации и о необходимости возврата в областной бюджет гранта в полном объем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перечислить в областной бюджет полученный грант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Подтверждением возврата в областной бюджет средств, указанных в </w:t>
      </w:r>
      <w:hyperlink w:history="0" w:anchor="P267" w:tooltip="Получатель гранта обязан в течение 20 рабочих дней со дня получения уведомления, указанного в абзаце первом настоящего пункта, перечислить в областной бюджет полученный грант в полном объеме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является платежный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неперечисления в областной бюджет средств гранта в полном объеме в установленные </w:t>
      </w:r>
      <w:hyperlink w:history="0" w:anchor="P267" w:tooltip="Получатель гранта обязан в течение 20 рабочих дней со дня получения уведомления, указанного в абзаце первом настоящего пункта, перечислить в областной бюджет полученный грант в полном объеме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 сроки средства взыскиваются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В.В.ЛОЗИН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части</w:t>
      </w:r>
    </w:p>
    <w:p>
      <w:pPr>
        <w:pStyle w:val="0"/>
        <w:jc w:val="right"/>
      </w:pPr>
      <w:r>
        <w:rPr>
          <w:sz w:val="20"/>
        </w:rPr>
        <w:t xml:space="preserve">затрат, связанных с обеспечением</w:t>
      </w:r>
    </w:p>
    <w:p>
      <w:pPr>
        <w:pStyle w:val="0"/>
        <w:jc w:val="right"/>
      </w:pPr>
      <w:r>
        <w:rPr>
          <w:sz w:val="20"/>
        </w:rPr>
        <w:t xml:space="preserve">подготовки и участия во всероссийских</w:t>
      </w:r>
    </w:p>
    <w:p>
      <w:pPr>
        <w:pStyle w:val="0"/>
        <w:jc w:val="right"/>
      </w:pPr>
      <w:r>
        <w:rPr>
          <w:sz w:val="20"/>
        </w:rPr>
        <w:t xml:space="preserve">и международных соревнованиях команд</w:t>
      </w:r>
    </w:p>
    <w:p>
      <w:pPr>
        <w:pStyle w:val="0"/>
        <w:jc w:val="right"/>
      </w:pPr>
      <w:r>
        <w:rPr>
          <w:sz w:val="20"/>
        </w:rPr>
        <w:t xml:space="preserve">Ростовской области в составе клубов</w:t>
      </w:r>
    </w:p>
    <w:p>
      <w:pPr>
        <w:pStyle w:val="0"/>
        <w:jc w:val="right"/>
      </w:pPr>
      <w:r>
        <w:rPr>
          <w:sz w:val="20"/>
        </w:rPr>
        <w:t xml:space="preserve">по игровым видам спорта</w:t>
      </w:r>
    </w:p>
    <w:p>
      <w:pPr>
        <w:pStyle w:val="0"/>
        <w:jc w:val="both"/>
      </w:pPr>
      <w:r>
        <w:rPr>
          <w:sz w:val="20"/>
        </w:rPr>
      </w:r>
    </w:p>
    <w:bookmarkStart w:id="292" w:name="P292"/>
    <w:bookmarkEnd w:id="292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ОТБОРА ПОЛУЧАТЕЛЕЙ ГРАНТОВ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Правительства РО от 19.12.2022 N 1092 &quot;О внесении изменений в некоторые постановления Правительства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19.12.2022 N 1092)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798"/>
        <w:gridCol w:w="1190"/>
        <w:gridCol w:w="357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критериев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(количество) баллов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выступления основной команды в международных соревнованиях (Лига чемпионов, Европейская лига) по итогам предшествующего игрового сезона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150 - 500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1-е место - 500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2-е место - 450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3-е место - 400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4-е место - 350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5-е место и ниже - 300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отбор для участия в Лиге чемпионов или Европейской лиге - 150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выступления основной команды в кубке России по итогам предшествующего игрового сезона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1 - 200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1-е место - 200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2-е место - 150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3-е место - 100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4-е место - 50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5-е место и ниже - 1 балл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лиги (дивизиона) первенства или чемпионата России, в котором принимала участие основная команда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3 - 10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N 1 - 10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N 2 - 5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N 3 - 3 балла.</w:t>
            </w:r>
          </w:p>
          <w:p>
            <w:pPr>
              <w:pStyle w:val="0"/>
            </w:pPr>
            <w:r>
              <w:rPr>
                <w:sz w:val="20"/>
              </w:rPr>
              <w:t xml:space="preserve">В случае отсутствия по виду спорта уровней лиг (дивизионов) - 5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Динамика результатов выступления основной команды в первенстве или чемпионате России по игровым видам спорта по итогам предшествующего игрового сезона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5 - 50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выход в лигу более высокого уровня - 50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улучшение итогового турнирного положения основной команды по сравнению с прошлым сезоном на 5 мест и более - 40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улучшение итогового турнирного положения основной команды по сравнению с прошлым сезоном на 4 места - 30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улучшение итогового турнирного положения основной команды по сравнению с прошлым сезоном на 3 места - 20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улучшение итогового турнирного положения основной команды по сравнению с прошлым сезоном на 2 места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улучшение итогового турнирного положения основной команды по сравнению с прошлым сезоном на 1 место - 5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выступления основной команды в первенстве или чемпионате России по итогам предшествующего игрового сезона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1 - 200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1-е место - 200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2-е место - 150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3-е место - 100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4-е место - 70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5-е место - 50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6-е место - 30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7-е место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8-е место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9-е место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10-е место и ниже - 1 балл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внебюджетных средств, привлеченных в предыдущем финансовом году для подготовки и участия команд в спортивных мероприятиях (процентов от общего объема финансирования команд за предыдущий финансовый год)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10 - 100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от 5 до 10 процентов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20 процентов - 20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20 до 30 процентов - 30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30 до 40 процентов - 50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40 до 50 процентов - 65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50 до 60 процентов - 80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60 процентов и выше - 100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игроков команд в сборных командах России по данному игровому виду спорта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за каждого игрока команды, входящего в состав сборной команды России по данному игровому виду спорта, - 10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количества воспитанников детско-юношеских спортивных школ Ростовской области либо спортсменов, зарегистрированных по месту жительства в Ростовской области, в общем количестве спортсменов команд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5 - 50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до 10 процентов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20 процентов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20 до 40 процентов - 20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40 до 60 процентов - 30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60 до 80 процентов - 40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80 процентов - 50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выступления спортсменов команд в финальных этапах спартакиад России (среди учащихся, молодежи и сильнейших спортсменов), финансируемых за счет средств гранта, в предшествующем игровом сезоне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1 - 50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1-е место - 50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2-е место - 45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3-е место - 40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4-е место - 35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5-е место - 30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6-е место - 25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7-е место - 20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8-е место - 15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9-е место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10-е место и ниже - 1 балл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игроков команды, принявших участие в финальных этапах спартакиад России (среди учащихся, молодежи и сильнейших спортсменов) в предшествующем игровом сезоне за счет средств гранта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за каждого игрока команды, принявшего участие в финальных этапах спартакиад России, - 2 балла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 игрового вида спорта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15 - 30</w:t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  <w:t xml:space="preserve">базовый вид спорта - 15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олимпийский вид спорта - 15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олимпийский, базовый вид спорта - 30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РО от 21.01.2020 N 37</w:t>
            <w:br/>
            <w:t>(ред. от 09.03.2023)</w:t>
            <w:br/>
            <w:t>"О порядке предоставления грантов социально ориен...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C78C2715650F432FCD3F93671A539943EE9ED8E993DB59FB3221F7E2EB338CF7F934B61C0B50C3D85FF0362D5F919A7CC5873DCF43DDE4203C6B5BF1DEJ" TargetMode = "External"/>
	<Relationship Id="rId8" Type="http://schemas.openxmlformats.org/officeDocument/2006/relationships/hyperlink" Target="consultantplus://offline/ref=44C78C2715650F432FCD3F93671A539943EE9ED8E993DE50F63021F7E2EB338CF7F934B61C0B50C3D85FF0362D5F919A7CC5873DCF43DDE4203C6B5BF1DEJ" TargetMode = "External"/>
	<Relationship Id="rId9" Type="http://schemas.openxmlformats.org/officeDocument/2006/relationships/hyperlink" Target="consultantplus://offline/ref=44C78C2715650F432FCD3F93671A539943EE9ED8E992D850F73221F7E2EB338CF7F934B61C0B50C3D85FF0362D5F919A7CC5873DCF43DDE4203C6B5BF1DEJ" TargetMode = "External"/>
	<Relationship Id="rId10" Type="http://schemas.openxmlformats.org/officeDocument/2006/relationships/hyperlink" Target="consultantplus://offline/ref=44C78C2715650F432FCD3F93671A539943EE9ED8E992D952F53F21F7E2EB338CF7F934B61C0B50C3D85FF0362D5F919A7CC5873DCF43DDE4203C6B5BF1DEJ" TargetMode = "External"/>
	<Relationship Id="rId11" Type="http://schemas.openxmlformats.org/officeDocument/2006/relationships/hyperlink" Target="consultantplus://offline/ref=44C78C2715650F432FCD3F93671A539943EE9ED8E991DC54F53721F7E2EB338CF7F934B61C0B50C3D85FF137285F919A7CC5873DCF43DDE4203C6B5BF1DEJ" TargetMode = "External"/>
	<Relationship Id="rId12" Type="http://schemas.openxmlformats.org/officeDocument/2006/relationships/hyperlink" Target="consultantplus://offline/ref=44C78C2715650F432FCD3F93671A539943EE9ED8E991D259F33021F7E2EB338CF7F934B61C0B50C3D85FF0372F5F919A7CC5873DCF43DDE4203C6B5BF1DEJ" TargetMode = "External"/>
	<Relationship Id="rId13" Type="http://schemas.openxmlformats.org/officeDocument/2006/relationships/hyperlink" Target="consultantplus://offline/ref=44C78C2715650F432FCD219E71760C9C41E6C2D7EB93D107AF6227A0BDBB35D9B7B932E6584659C98C0EB4632554C6D53896943FCC5FFDDEJ" TargetMode = "External"/>
	<Relationship Id="rId14" Type="http://schemas.openxmlformats.org/officeDocument/2006/relationships/hyperlink" Target="consultantplus://offline/ref=44C78C2715650F432FCD3F93671A539943EE9ED8E991DF52F13E21F7E2EB338CF7F934B61C0B50C0D30BA1727D59C5C826908C23CE5DDFFED1J" TargetMode = "External"/>
	<Relationship Id="rId15" Type="http://schemas.openxmlformats.org/officeDocument/2006/relationships/hyperlink" Target="consultantplus://offline/ref=44C78C2715650F432FCD3F93671A539943EE9ED8E991D355F03E21F7E2EB338CF7F934B61C0B50C3D85FF0372A5F919A7CC5873DCF43DDE4203C6B5BF1DEJ" TargetMode = "External"/>
	<Relationship Id="rId16" Type="http://schemas.openxmlformats.org/officeDocument/2006/relationships/hyperlink" Target="consultantplus://offline/ref=44C78C2715650F432FCD3F93671A539943EE9ED8E992D850F73221F7E2EB338CF7F934B61C0B50C3D85FF0372A5F919A7CC5873DCF43DDE4203C6B5BF1DEJ" TargetMode = "External"/>
	<Relationship Id="rId17" Type="http://schemas.openxmlformats.org/officeDocument/2006/relationships/hyperlink" Target="consultantplus://offline/ref=44C78C2715650F432FCD3F93671A539943EE9ED8E992D850F73221F7E2EB338CF7F934B61C0B50C3D85FF0372B5F919A7CC5873DCF43DDE4203C6B5BF1DEJ" TargetMode = "External"/>
	<Relationship Id="rId18" Type="http://schemas.openxmlformats.org/officeDocument/2006/relationships/hyperlink" Target="consultantplus://offline/ref=44C78C2715650F432FCD3F93671A539943EE9ED8E992D850F73221F7E2EB338CF7F934B61C0B50C3D85FF0372D5F919A7CC5873DCF43DDE4203C6B5BF1DEJ" TargetMode = "External"/>
	<Relationship Id="rId19" Type="http://schemas.openxmlformats.org/officeDocument/2006/relationships/hyperlink" Target="consultantplus://offline/ref=44C78C2715650F432FCD3F93671A539943EE9ED8E992D952F53F21F7E2EB338CF7F934B61C0B50C3D85FF0372A5F919A7CC5873DCF43DDE4203C6B5BF1DEJ" TargetMode = "External"/>
	<Relationship Id="rId20" Type="http://schemas.openxmlformats.org/officeDocument/2006/relationships/hyperlink" Target="consultantplus://offline/ref=44C78C2715650F432FCD3F93671A539943EE9ED8E991DC54F53721F7E2EB338CF7F934B61C0B50C3D85FF137285F919A7CC5873DCF43DDE4203C6B5BF1DEJ" TargetMode = "External"/>
	<Relationship Id="rId21" Type="http://schemas.openxmlformats.org/officeDocument/2006/relationships/hyperlink" Target="consultantplus://offline/ref=44C78C2715650F432FCD3F93671A539943EE9ED8E991D259F33021F7E2EB338CF7F934B61C0B50C3D85FF0372F5F919A7CC5873DCF43DDE4203C6B5BF1DEJ" TargetMode = "External"/>
	<Relationship Id="rId22" Type="http://schemas.openxmlformats.org/officeDocument/2006/relationships/hyperlink" Target="consultantplus://offline/ref=44C78C2715650F432FCD3F93671A539943EE9ED8E991D355F03E21F7E2EB338CF7F934B61C0B50C3DB5DF131205F919A7CC5873DCF43DDE4203C6B5BF1DEJ" TargetMode = "External"/>
	<Relationship Id="rId23" Type="http://schemas.openxmlformats.org/officeDocument/2006/relationships/hyperlink" Target="consultantplus://offline/ref=44C78C2715650F432FCD3F93671A539943EE9ED8E991DC54F53721F7E2EB338CF7F934B61C0B50C3D85FF137295F919A7CC5873DCF43DDE4203C6B5BF1DEJ" TargetMode = "External"/>
	<Relationship Id="rId24" Type="http://schemas.openxmlformats.org/officeDocument/2006/relationships/hyperlink" Target="consultantplus://offline/ref=44C78C2715650F432FCD3F93671A539943EE9ED8E991DC54F53721F7E2EB338CF7F934B61C0B50C3D85FF1372D5F919A7CC5873DCF43DDE4203C6B5BF1DEJ" TargetMode = "External"/>
	<Relationship Id="rId25" Type="http://schemas.openxmlformats.org/officeDocument/2006/relationships/hyperlink" Target="consultantplus://offline/ref=44C78C2715650F432FCD3F93671A539943EE9ED8E991DC54F53721F7E2EB338CF7F934B61C0B50C3D85FF1372E5F919A7CC5873DCF43DDE4203C6B5BF1DEJ" TargetMode = "External"/>
	<Relationship Id="rId26" Type="http://schemas.openxmlformats.org/officeDocument/2006/relationships/hyperlink" Target="consultantplus://offline/ref=44C78C2715650F432FCD3F93671A539943EE9ED8E991D259F33021F7E2EB338CF7F934B61C0B50C3D85FF0372F5F919A7CC5873DCF43DDE4203C6B5BF1DEJ" TargetMode = "External"/>
	<Relationship Id="rId27" Type="http://schemas.openxmlformats.org/officeDocument/2006/relationships/hyperlink" Target="consultantplus://offline/ref=44C78C2715650F432FCD3F93671A539943EE9ED8E991DC54F53721F7E2EB338CF7F934B61C0B50C3D85FF137205F919A7CC5873DCF43DDE4203C6B5BF1DEJ" TargetMode = "External"/>
	<Relationship Id="rId28" Type="http://schemas.openxmlformats.org/officeDocument/2006/relationships/hyperlink" Target="consultantplus://offline/ref=44C78C2715650F432FCD3F93671A539943EE9ED8E991DC54F53721F7E2EB338CF7F934B61C0B50C3D85FF137205F919A7CC5873DCF43DDE4203C6B5BF1DEJ" TargetMode = "External"/>
	<Relationship Id="rId29" Type="http://schemas.openxmlformats.org/officeDocument/2006/relationships/image" Target="media/image2.wmf"/>
	<Relationship Id="rId30" Type="http://schemas.openxmlformats.org/officeDocument/2006/relationships/image" Target="media/image3.wmf"/>
	<Relationship Id="rId31" Type="http://schemas.openxmlformats.org/officeDocument/2006/relationships/image" Target="media/image4.wmf"/>
	<Relationship Id="rId32" Type="http://schemas.openxmlformats.org/officeDocument/2006/relationships/hyperlink" Target="consultantplus://offline/ref=44C78C2715650F432FCD3F93671A539943EE9ED8E991DC54F53721F7E2EB338CF7F934B61C0B50C3D85FF134285F919A7CC5873DCF43DDE4203C6B5BF1DEJ" TargetMode = "External"/>
	<Relationship Id="rId33" Type="http://schemas.openxmlformats.org/officeDocument/2006/relationships/hyperlink" Target="consultantplus://offline/ref=44C78C2715650F432FCD3F93671A539943EE9ED8E991DC54F53721F7E2EB338CF7F934B61C0B50C3D85FF134215F919A7CC5873DCF43DDE4203C6B5BF1DEJ" TargetMode = "External"/>
	<Relationship Id="rId34" Type="http://schemas.openxmlformats.org/officeDocument/2006/relationships/hyperlink" Target="consultantplus://offline/ref=44C78C2715650F432FCD3F93671A539943EE9ED8E991DC54F53721F7E2EB338CF7F934B61C0B50C3D85FF135295F919A7CC5873DCF43DDE4203C6B5BF1DEJ" TargetMode = "External"/>
	<Relationship Id="rId35" Type="http://schemas.openxmlformats.org/officeDocument/2006/relationships/hyperlink" Target="consultantplus://offline/ref=44C78C2715650F432FCD3F93671A539943EE9ED8E991DC54F53721F7E2EB338CF7F934B61C0B50C3D85FF1352B5F919A7CC5873DCF43DDE4203C6B5BF1DEJ" TargetMode = "External"/>
	<Relationship Id="rId36" Type="http://schemas.openxmlformats.org/officeDocument/2006/relationships/hyperlink" Target="consultantplus://offline/ref=44C78C2715650F432FCD3F93671A539943EE9ED8E991DC54F53721F7E2EB338CF7F934B61C0B50C3D85FF1352E5F919A7CC5873DCF43DDE4203C6B5BF1DEJ" TargetMode = "External"/>
	<Relationship Id="rId37" Type="http://schemas.openxmlformats.org/officeDocument/2006/relationships/hyperlink" Target="consultantplus://offline/ref=44C78C2715650F432FCD3F93671A539943EE9ED8E991DC54F53721F7E2EB338CF7F934B61C0B50C3D85FF135205F919A7CC5873DCF43DDE4203C6B5BF1DEJ" TargetMode = "External"/>
	<Relationship Id="rId38" Type="http://schemas.openxmlformats.org/officeDocument/2006/relationships/hyperlink" Target="consultantplus://offline/ref=44C78C2715650F432FCD3F93671A539943EE9ED8E991DC54F53721F7E2EB338CF7F934B61C0B50C3D85FF132285F919A7CC5873DCF43DDE4203C6B5BF1DEJ" TargetMode = "External"/>
	<Relationship Id="rId39" Type="http://schemas.openxmlformats.org/officeDocument/2006/relationships/hyperlink" Target="consultantplus://offline/ref=44C78C2715650F432FCD3F93671A539943EE9ED8E991DC54F53721F7E2EB338CF7F934B61C0B50C3D85FF1322B5F919A7CC5873DCF43DDE4203C6B5BF1DEJ" TargetMode = "External"/>
	<Relationship Id="rId40" Type="http://schemas.openxmlformats.org/officeDocument/2006/relationships/hyperlink" Target="consultantplus://offline/ref=44C78C2715650F432FCD3F93671A539943EE9ED8E991DC54F53721F7E2EB338CF7F934B61C0B50C3D85FF1322C5F919A7CC5873DCF43DDE4203C6B5BF1DEJ" TargetMode = "External"/>
	<Relationship Id="rId41" Type="http://schemas.openxmlformats.org/officeDocument/2006/relationships/hyperlink" Target="consultantplus://offline/ref=44C78C2715650F432FCD219E71760C9C41E6C2D7EB93D107AF6227A0BDBB35D9B7B932E1584F59C98C0EB4632554C6D53896943FCC5FFDDEJ" TargetMode = "External"/>
	<Relationship Id="rId42" Type="http://schemas.openxmlformats.org/officeDocument/2006/relationships/hyperlink" Target="consultantplus://offline/ref=44C78C2715650F432FCD219E71760C9C41E6C2D7EB93D107AF6227A0BDBB35D9B7B932E1584D5FC98C0EB4632554C6D53896943FCC5FFDDEJ" TargetMode = "External"/>
	<Relationship Id="rId43" Type="http://schemas.openxmlformats.org/officeDocument/2006/relationships/hyperlink" Target="consultantplus://offline/ref=44C78C2715650F432FCD219E71760C9C41E6C8D1EF92D107AF6227A0BDBB35D9B7B932E35F4759C3D30BA1727D59C5C826908C23CE5DDFFED1J" TargetMode = "External"/>
	<Relationship Id="rId44" Type="http://schemas.openxmlformats.org/officeDocument/2006/relationships/hyperlink" Target="consultantplus://offline/ref=44C78C2715650F432FCD3F93671A539943EE9ED8E991DC54F53721F7E2EB338CF7F934B61C0B50C3D85FF130295F919A7CC5873DCF43DDE4203C6B5BF1D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21.01.2020 N 37
(ред. от 09.03.2023)
"О порядке предоставления грантов социально ориентированным некоммерческим организациям на финансовое обеспечение части затрат, связанных с обеспечением подготовки и участия во всероссийских и международных соревнованиях команд Ростовской области в составе клубов по игровым видам спорта"</dc:title>
  <dcterms:created xsi:type="dcterms:W3CDTF">2023-06-03T09:03:05Z</dcterms:created>
</cp:coreProperties>
</file>