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РО от 27.03.2024 N 222</w:t>
              <w:br/>
              <w:t xml:space="preserve">"Об утверждении плана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в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марта 2024 г. N 222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РАЗВИТИЯ 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18.11.2023 N 3248-р, подпунктом 1.2 пункта 1 приложения N 1 к протоколу заседания Правительства Ростовской области от 13.12.2023 N 55: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государственной политики Российской Федерации в отношении российского казачества на 2021 - 2030 годы в Ростовской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Ростовской области и государственным учреждениям, подведомственным департаменту по делам казачества и кадетских учебных заведений Ростовской области, участвующих в реализации </w:t>
      </w:r>
      <w:hyperlink w:history="0" w:anchor="P3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в Ростовской области, обеспечить его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администраций городских округов и муниципальных районов в Ростовской области в месячный срок утвердить планы мероприятий по реализации в 2024 - 2026 годах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государственной политики Российской Федерации в отношении российского казачества на 2021 - 2030 годы на территориях соответствующих муниципальных образований и обеспечить их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Ростовской области Бодрякова С.Н.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Распоряжение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департамент по делам казачества</w:t>
      </w:r>
    </w:p>
    <w:p>
      <w:pPr>
        <w:pStyle w:val="0"/>
        <w:spacing w:before="200" w:line-rule="auto"/>
      </w:pPr>
      <w:r>
        <w:rPr>
          <w:sz w:val="20"/>
        </w:rPr>
        <w:t xml:space="preserve">и кадетских учебных заведений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27.03.2024 N 222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РАЗВИТИЯ 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948"/>
        <w:gridCol w:w="1701"/>
        <w:gridCol w:w="2778"/>
        <w:gridCol w:w="3401"/>
        <w:gridCol w:w="204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 федерального плана, направление реализации задачи Стратегии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и принятии нормативных правовых актов федеральных органов исполнительной власти, исполнительных органов Ростовской области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нормативно-правовых актов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</w:t>
              </w:r>
            </w:hyperlink>
            <w:r>
              <w:rPr>
                <w:sz w:val="20"/>
              </w:rPr>
              <w:t xml:space="preserve">, 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мероприятий, связанных с подготовкой и проведением призыва членов Всевеликого войска Донского на военную службу и направлением их для ее прохождения в соединения и воинские части Вооруженных Сил Российской Федерации, комплектуемые членами войсковых казачьих обществ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отборе кандидатов из числа членов Всевеликого войска Донского, пребывающих в запасе, для прохождения военной службы по контракту в воинских частях Вооруженных Сил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Всевеликого войска Донского, пребывающих в запасе, к заключению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мероприятий по вопросам военно-патриотического воспитания казачьей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Донского, пребывающих в запасе, в военных сборах, проводимых Вооруженными Силами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 России,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, 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первоначальной постановки на воинский учет казачьей молодежи Всевеликого войска Донского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1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мониторинга готовности и востребованности членов Всевеликого войска Донского к несению государственной и иной службы российского казачества, к которой привлекаются члены казачьих обществ, в соответствии с </w:t>
            </w:r>
            <w:hyperlink w:history="0" r:id="rId2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26.02.2020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привлечении членов Всевеликого войска Донского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войсковых казачьих обществ с исполнительными органами субъектов Российской Федерации и органами местного самоуправления муниципальных 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охране общественного порядка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соглашений оказание содействия федеральному государственному казенному учреждению "Пограничное управление Федеральной службы безопасности Российской Федерации по Ростовской области" членами Всевеликого войска Донского в осуществлении функций по защите государственной границы Российской Федерации в порядке, установленном уставом Всевеликого войска Донского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Всевеликого войска Донского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ДПЧС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Всевеликого войска Донского,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ДПЧС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Всевеликого войска Донского к проведению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минприроды Ростовской области, ДПЧС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Всевеликого войска Донского,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,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ДПЧС Ростовской области, Всевеликое войско Донское, ГКУ РО "Казаки Дона"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Всевеликого войска Донского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  <w:r>
              <w:rPr>
                <w:sz w:val="20"/>
              </w:rPr>
              <w:t xml:space="preserve">,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минприроды Ростовской области, Всевеликое войско Донское, ГКУ РО "Казаки Дона"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соглашений оказание содействия Главному управлению Министерства внутренних дел Российской Федерации по Ростовской области в проведении мероприятий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2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, 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непрерывного казачьего образования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, 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 формирование единой системы управления кадрами казачьих обществ, включая создание кадрового резерва; содействие развитию системы подготовки кадров для казачьих обществ;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 обеспечение усиления мер противодействия коррупции в казачьих обществах, иных объединениях казаков; совершенствование порядка утверждения атаманов, присвоения чинов; 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Всевеликое войско Донское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ежегодного Всероссийского семинара-совещания "Российское казачество"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совещания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, 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методических семинаров по вопросам участия казачьих обществ Всевеликого войско Донского в конкурсах для получения грантов Президента Российской Федерации и иных грантов, организуемых федеральными органами исполнительной власти, органами исполнительной власти Ростовской области, органами местного самоуправления муниципальных образований в сфере образования и культуры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23</w:t>
              </w:r>
            </w:hyperlink>
            <w:r>
              <w:rPr>
                <w:sz w:val="20"/>
              </w:rPr>
              <w:t xml:space="preserve">, 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минкультуры Ростовской области, минобразование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24</w:t>
              </w:r>
            </w:hyperlink>
            <w:r>
              <w:rPr>
                <w:sz w:val="20"/>
              </w:rPr>
              <w:t xml:space="preserve">,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минобразование Ростовской области, 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оказании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26</w:t>
              </w:r>
            </w:hyperlink>
            <w:r>
              <w:rPr>
                <w:sz w:val="20"/>
              </w:rPr>
              <w:t xml:space="preserve">,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оказании помощи семьям членов казачьих обществ и иных объединений казаков, тяжело раненых или погибших в ходе проведения специальной военной операции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27</w:t>
              </w:r>
            </w:hyperlink>
            <w:r>
              <w:rPr>
                <w:sz w:val="20"/>
              </w:rPr>
              <w:t xml:space="preserve">,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обеспечении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28</w:t>
              </w:r>
            </w:hyperlink>
            <w:r>
              <w:rPr>
                <w:sz w:val="20"/>
              </w:rPr>
              <w:t xml:space="preserve">, 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минобразование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подготовке предложений по созданию новых и совершенствованию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29</w:t>
              </w:r>
            </w:hyperlink>
            <w:r>
              <w:rPr>
                <w:sz w:val="20"/>
              </w:rPr>
              <w:t xml:space="preserve">, 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минобразование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парадных расчетов казачьих кадетских корпусов и Всевеликого войска Донского в военных парадах, проводимых на территории Ростовской области и Красной площади в г. Москве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войсковых казачьих обществ и воспитанников казачьих кадетских корпусов, принявших участие в военных парадах и прохождениях войск торжественным маршем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,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в международной научно-практической конференции "Казачество на службе Отечеству"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3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31</w:t>
              </w:r>
            </w:hyperlink>
            <w:r>
              <w:rPr>
                <w:sz w:val="20"/>
              </w:rPr>
              <w:t xml:space="preserve">,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совместных с казачьими обществами и иными объединениями казаков мероприятий, посвященных памятным датам истории России, дням славы русского оружия -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которых проведены мероприятия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32</w:t>
              </w:r>
            </w:hyperlink>
            <w:r>
              <w:rPr>
                <w:sz w:val="20"/>
              </w:rPr>
              <w:t xml:space="preserve">,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казачьей молодежи и членов Всевеликого войска Донского к проведению молодежной патриотической акции "День призывника"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33</w:t>
              </w:r>
            </w:hyperlink>
            <w:r>
              <w:rPr>
                <w:sz w:val="20"/>
              </w:rPr>
              <w:t xml:space="preserve">, 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кадетских корпусов Ростовской области в проведении Всероссийской военно-спортивной игры "Казачий сполох"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военно-спортивной игры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34</w:t>
              </w:r>
            </w:hyperlink>
            <w:r>
              <w:rPr>
                <w:sz w:val="20"/>
              </w:rPr>
              <w:t xml:space="preserve">,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физкультурных и спортивных мероприятий среди казачьей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35</w:t>
              </w:r>
            </w:hyperlink>
            <w:r>
              <w:rPr>
                <w:sz w:val="20"/>
              </w:rPr>
              <w:t xml:space="preserve">,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минспорта Ростовской области,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территориального этапа среди членов казачьих обществ Всевеликого войска Донского и обеспечение участия победителей во Всероссийском слете казачьей молодежи "Готов к труду и обороне"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36</w:t>
              </w:r>
            </w:hyperlink>
            <w:r>
              <w:rPr>
                <w:sz w:val="20"/>
              </w:rPr>
              <w:t xml:space="preserve">,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в проведении Всероссийской спартакиады допризывной казачьей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спартакиады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37</w:t>
              </w:r>
            </w:hyperlink>
            <w:r>
              <w:rPr>
                <w:sz w:val="20"/>
              </w:rPr>
              <w:t xml:space="preserve">,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в стратегической сессии "Казачество на Северном Кавказе: современное состояние и образ будущего"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стратегической сессии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38</w:t>
              </w:r>
            </w:hyperlink>
            <w:r>
              <w:rPr>
                <w:sz w:val="20"/>
              </w:rPr>
              <w:t xml:space="preserve">,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казачеством; 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со Всероссийским казачьим обществом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в проведении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41</w:t>
              </w:r>
            </w:hyperlink>
            <w:r>
              <w:rPr>
                <w:sz w:val="20"/>
              </w:rPr>
              <w:t xml:space="preserve">,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и иных объединений казаков в проведении историко-документальной выставки в рамках проекта "История казачества в истории России"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выставки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42</w:t>
              </w:r>
            </w:hyperlink>
            <w:r>
              <w:rPr>
                <w:sz w:val="20"/>
              </w:rPr>
              <w:t xml:space="preserve">,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и иных объединений казаков во всероссийской научно-практической конференции в рамках проекта "История казачества в истории России"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конференции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4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43</w:t>
              </w:r>
            </w:hyperlink>
            <w:r>
              <w:rPr>
                <w:sz w:val="20"/>
              </w:rPr>
              <w:t xml:space="preserve">,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членов казачьих обществ Всевеликого войска Донского в проведении Евразийского форума казачьей молодежи "Казачье единство"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казачьей молодежи, принявшей участие в мероприятии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44</w:t>
              </w:r>
            </w:hyperlink>
            <w:r>
              <w:rPr>
                <w:sz w:val="20"/>
              </w:rPr>
              <w:t xml:space="preserve">, содействие личностному и профессиональному развитию руководителей и лидеров казачьих молодежных организаций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участию казачьих обществ Всевеликого войска Донского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исполнительными органами Ростовской области, органами местного самоуправления муниципальных образований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45</w:t>
              </w:r>
            </w:hyperlink>
            <w:r>
              <w:rPr>
                <w:sz w:val="20"/>
              </w:rPr>
              <w:t xml:space="preserve">, 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министерство региональной политики,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казачьих кадетских корпусов Ростовской области в проведении смотра-конкурса на звание "Лучший казачий кадетский корпус"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смотре-конкурсе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46</w:t>
              </w:r>
            </w:hyperlink>
            <w:r>
              <w:rPr>
                <w:sz w:val="20"/>
              </w:rPr>
              <w:t xml:space="preserve">, 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участия казачьих кадетских корпусов Ростовской области и иных образовательных организаций в проведении конкурса на звание "Лучший казачий класс"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конкурсе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47</w:t>
              </w:r>
            </w:hyperlink>
            <w:r>
              <w:rPr>
                <w:sz w:val="20"/>
              </w:rPr>
              <w:t xml:space="preserve">, 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минобразование Ростовской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3.19.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48</w:t>
              </w:r>
            </w:hyperlink>
            <w:r>
              <w:rPr>
                <w:sz w:val="20"/>
              </w:rPr>
              <w:t xml:space="preserve">, 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комитет по молодежной политике,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3.20.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49</w:t>
              </w:r>
            </w:hyperlink>
            <w:r>
              <w:rPr>
                <w:sz w:val="20"/>
              </w:rPr>
              <w:t xml:space="preserve">, 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комитет по молодежной политике,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проведении Всероссийского форума (слета) казачьей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50</w:t>
              </w:r>
            </w:hyperlink>
            <w:r>
              <w:rPr>
                <w:sz w:val="20"/>
              </w:rPr>
              <w:t xml:space="preserve">, 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сохранению и развитию культуры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творческих коллективов о проведении Всероссийского фольклорного конкурса "Казачий круг"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53</w:t>
              </w:r>
            </w:hyperlink>
            <w:r>
              <w:rPr>
                <w:sz w:val="20"/>
              </w:rPr>
              <w:t xml:space="preserve">, 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Ростовской области,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54</w:t>
              </w:r>
            </w:hyperlink>
            <w:r>
              <w:rPr>
                <w:sz w:val="20"/>
              </w:rPr>
              <w:t xml:space="preserve">, 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Ростовской области,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5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55</w:t>
              </w:r>
            </w:hyperlink>
            <w:r>
              <w:rPr>
                <w:sz w:val="20"/>
              </w:rPr>
              <w:t xml:space="preserve">, 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Ростовской области,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частей, добровольческих формирований в составе Вооруженных Сил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56</w:t>
              </w:r>
            </w:hyperlink>
            <w:r>
              <w:rPr>
                <w:sz w:val="20"/>
              </w:rPr>
              <w:t xml:space="preserve">, 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минкультуры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на территории Ростовской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2025 г., январь 2027 г.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Федерации, в отношении которых проводится мониторинг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57</w:t>
              </w:r>
            </w:hyperlink>
            <w:r>
              <w:rPr>
                <w:sz w:val="20"/>
              </w:rPr>
              <w:t xml:space="preserve">, 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Ростовской области, департамент по казачеству, Всевеликое войско Донское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социально-экономического развития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мониторинге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59</w:t>
              </w:r>
            </w:hyperlink>
            <w:r>
              <w:rPr>
                <w:sz w:val="20"/>
              </w:rPr>
              <w:t xml:space="preserve">, 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министерство региональной политики,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информировании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 и исполнительными органами Ростовской области, в том числе по отдельным запросам казачьих обществ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60</w:t>
              </w:r>
            </w:hyperlink>
            <w:r>
              <w:rPr>
                <w:sz w:val="20"/>
              </w:rPr>
              <w:t xml:space="preserve">, 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минсельхозпрод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организации участия предприятий (хозяйствующих субъектов) казачьих обществ в Российской агропромышленной выставке "Золотая Осень"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 (хозяйствующих субъектов) казачьих обществ, принявших участие в выставке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4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62</w:t>
              </w:r>
            </w:hyperlink>
            <w:r>
              <w:rPr>
                <w:sz w:val="20"/>
              </w:rPr>
              <w:t xml:space="preserve">, 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минсельхозпрод Ростовской области,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Всевеликим войском Донским, к обеспечению охраны объектов социальной сферы различных форм собственности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63</w:t>
              </w:r>
            </w:hyperlink>
            <w:r>
              <w:rPr>
                <w:sz w:val="20"/>
              </w:rPr>
              <w:t xml:space="preserve">, 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ГКУ РО "Казаки Дона", Всевеликое войско Донское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Поддержка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мониторинга деятельности организаций казаков в государствах - участниках Содружества Независимых Государств и других государствах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6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64</w:t>
              </w:r>
            </w:hyperlink>
            <w:r>
              <w:rPr>
                <w:sz w:val="20"/>
              </w:rPr>
              <w:t xml:space="preserve">, 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привлечении членов казачьих обществ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65</w:t>
              </w:r>
            </w:hyperlink>
            <w:r>
              <w:rPr>
                <w:sz w:val="20"/>
              </w:rPr>
              <w:t xml:space="preserve">, 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поддержке российскому казачеству в расширении контактов и сотрудничества с иными объединениями казаков за рубежом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8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66</w:t>
              </w:r>
            </w:hyperlink>
            <w:r>
              <w:rPr>
                <w:sz w:val="20"/>
              </w:rPr>
              <w:t xml:space="preserve">, 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организации участия сотрудников дипломатических представительств и консульских учреждений Российской Федерации в мероприятиях, организуемых организациями казаков (как российскими, так и иностранными), в странах пребывания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69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67</w:t>
              </w:r>
            </w:hyperlink>
            <w:r>
              <w:rPr>
                <w:sz w:val="20"/>
              </w:rPr>
              <w:t xml:space="preserve">, укрепление взаимодействия российского казачества с дипломатическими представительствами России в зарубежных странах, а также с российскими центрами науки и культуры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возвращении в Российскую Федерацию казачьих регалий и исторических ценностей, а также в поисковой и мемориальной работе за рубежом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возвращенных культурных ценностей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70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68</w:t>
              </w:r>
            </w:hyperlink>
            <w:r>
              <w:rPr>
                <w:sz w:val="20"/>
              </w:rPr>
              <w:t xml:space="preserve">, 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ГКУ РО "Казаки Дона", Всевеликое войско Донское, департамент по казачеству, минкультуры Ростовской области</w:t>
            </w:r>
          </w:p>
        </w:tc>
      </w:tr>
      <w:tr>
        <w:tc>
          <w:tcPr>
            <w:gridSpan w:val="6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реализации мероприятий по развитию электронной библиотеки казачества на платформе федеральной государственной информационной системы "Национальная электронная библиотека"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оцифрованных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авторских прав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71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71</w:t>
              </w:r>
            </w:hyperlink>
            <w:r>
              <w:rPr>
                <w:sz w:val="20"/>
              </w:rPr>
              <w:t xml:space="preserve">, 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развитие этнотуризма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Ростовской области, департамент по казачеству,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организации и проведению мероприятий по популяризации деятельности российского казачества среди молодежи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72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73</w:t>
              </w:r>
            </w:hyperlink>
            <w:r>
              <w:rPr>
                <w:sz w:val="20"/>
              </w:rPr>
              <w:t xml:space="preserve">, 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казачеству, комитет по молодежной политике, ГКУ РО "Казаки Дона", Всевеликое войско Донское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Стратегии, а также проведения анализа ее реализации на территории Ростовской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июль (ежегодно), январь года, следующего за отчетным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3401" w:type="dxa"/>
          </w:tcPr>
          <w:p>
            <w:pPr>
              <w:pStyle w:val="0"/>
            </w:pPr>
            <w:hyperlink w:history="0" r:id="rId73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      <w:r>
                <w:rPr>
                  <w:sz w:val="20"/>
                  <w:color w:val="0000ff"/>
                </w:rPr>
                <w:t xml:space="preserve">пункт 74</w:t>
              </w:r>
            </w:hyperlink>
            <w:r>
              <w:rPr>
                <w:sz w:val="20"/>
              </w:rPr>
              <w:t xml:space="preserve">, 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политики, департамент по казачеству, ГКУ РО "Казаки Дона", Всевеликое войско Донское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Список используемых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Всевеликое войско Донское - войсковое казачье общество "Всевеликое войско Донское";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РО "Казаки Дона" - государственное казенное учреждение Ростовской области "Казаки Дона";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казачеству - департамент по делам казачества и кадетских учебных заведений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ДПЧС Ростовской области - департамент по предупреждению и ликвидации чрезвычайных ситуаций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региональной политики - министерство региональной политики и массовых коммуникаций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молодежной политике - комитет по молодежной политике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минкультуры Ростовской области - министерство культуры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минобразование Ростовской области - министерство образования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минприроды Ростовской области - министерство природных ресурсов и экологии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минсельхозпрод Ростовской области - министерство сельского хозяйства и продовольствия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минспорта Ростовской области - министерство по физической культуре и спорту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- </w:t>
      </w:r>
      <w:hyperlink w:history="0" r:id="rId7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утвержденная Указом Президента Российской Федерации от 09.08.2020 N 505;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план - </w:t>
      </w:r>
      <w:hyperlink w:history="0" r:id="rId75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годы, утвержденный распоряжением Правительства Российской Федерации 18.11.2023 N 3248-р.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Войсковое казачье общество "Всевеликое войско Донское" участвует в реализации плана по согласованию с 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РО от 27.03.2024 N 222</w:t>
            <w:br/>
            <w:t>"Об утверждении плана мероприятий по реализации в 2024 - 2026 годах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РО от 27.03.2024 N 222</w:t>
            <w:br/>
            <w:t>"Об утверждении плана мероприятий по реализации в 2024 - 2026 годах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06" TargetMode = "External"/>
	<Relationship Id="rId8" Type="http://schemas.openxmlformats.org/officeDocument/2006/relationships/hyperlink" Target="https://login.consultant.ru/link/?req=doc&amp;base=LAW&amp;n=359568&amp;dst=100016" TargetMode = "External"/>
	<Relationship Id="rId9" Type="http://schemas.openxmlformats.org/officeDocument/2006/relationships/hyperlink" Target="https://login.consultant.ru/link/?req=doc&amp;base=LAW&amp;n=359568&amp;dst=100016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https://login.consultant.ru/link/?req=doc&amp;base=LAW&amp;n=462469&amp;dst=100019" TargetMode = "External"/>
	<Relationship Id="rId13" Type="http://schemas.openxmlformats.org/officeDocument/2006/relationships/hyperlink" Target="https://login.consultant.ru/link/?req=doc&amp;base=LAW&amp;n=462469&amp;dst=100026" TargetMode = "External"/>
	<Relationship Id="rId14" Type="http://schemas.openxmlformats.org/officeDocument/2006/relationships/hyperlink" Target="https://login.consultant.ru/link/?req=doc&amp;base=LAW&amp;n=462469&amp;dst=100033" TargetMode = "External"/>
	<Relationship Id="rId15" Type="http://schemas.openxmlformats.org/officeDocument/2006/relationships/hyperlink" Target="https://login.consultant.ru/link/?req=doc&amp;base=LAW&amp;n=462469&amp;dst=100040" TargetMode = "External"/>
	<Relationship Id="rId16" Type="http://schemas.openxmlformats.org/officeDocument/2006/relationships/hyperlink" Target="https://login.consultant.ru/link/?req=doc&amp;base=LAW&amp;n=462469&amp;dst=100047" TargetMode = "External"/>
	<Relationship Id="rId17" Type="http://schemas.openxmlformats.org/officeDocument/2006/relationships/hyperlink" Target="https://login.consultant.ru/link/?req=doc&amp;base=LAW&amp;n=462469&amp;dst=100054" TargetMode = "External"/>
	<Relationship Id="rId18" Type="http://schemas.openxmlformats.org/officeDocument/2006/relationships/hyperlink" Target="https://login.consultant.ru/link/?req=doc&amp;base=LAW&amp;n=462469&amp;dst=100061" TargetMode = "External"/>
	<Relationship Id="rId19" Type="http://schemas.openxmlformats.org/officeDocument/2006/relationships/hyperlink" Target="https://login.consultant.ru/link/?req=doc&amp;base=LAW&amp;n=462469&amp;dst=100068" TargetMode = "External"/>
	<Relationship Id="rId20" Type="http://schemas.openxmlformats.org/officeDocument/2006/relationships/hyperlink" Target="https://login.consultant.ru/link/?req=doc&amp;base=LAW&amp;n=187242" TargetMode = "External"/>
	<Relationship Id="rId21" Type="http://schemas.openxmlformats.org/officeDocument/2006/relationships/hyperlink" Target="https://login.consultant.ru/link/?req=doc&amp;base=LAW&amp;n=462469&amp;dst=100075" TargetMode = "External"/>
	<Relationship Id="rId22" Type="http://schemas.openxmlformats.org/officeDocument/2006/relationships/hyperlink" Target="https://login.consultant.ru/link/?req=doc&amp;base=LAW&amp;n=462469&amp;dst=100083" TargetMode = "External"/>
	<Relationship Id="rId23" Type="http://schemas.openxmlformats.org/officeDocument/2006/relationships/hyperlink" Target="https://login.consultant.ru/link/?req=doc&amp;base=LAW&amp;n=462469&amp;dst=100091" TargetMode = "External"/>
	<Relationship Id="rId24" Type="http://schemas.openxmlformats.org/officeDocument/2006/relationships/hyperlink" Target="https://login.consultant.ru/link/?req=doc&amp;base=LAW&amp;n=462469&amp;dst=100099" TargetMode = "External"/>
	<Relationship Id="rId25" Type="http://schemas.openxmlformats.org/officeDocument/2006/relationships/hyperlink" Target="https://login.consultant.ru/link/?req=doc&amp;base=LAW&amp;n=462469&amp;dst=100107" TargetMode = "External"/>
	<Relationship Id="rId26" Type="http://schemas.openxmlformats.org/officeDocument/2006/relationships/hyperlink" Target="https://login.consultant.ru/link/?req=doc&amp;base=LAW&amp;n=462469&amp;dst=100115" TargetMode = "External"/>
	<Relationship Id="rId27" Type="http://schemas.openxmlformats.org/officeDocument/2006/relationships/hyperlink" Target="https://login.consultant.ru/link/?req=doc&amp;base=LAW&amp;n=462469&amp;dst=100123" TargetMode = "External"/>
	<Relationship Id="rId28" Type="http://schemas.openxmlformats.org/officeDocument/2006/relationships/hyperlink" Target="https://login.consultant.ru/link/?req=doc&amp;base=LAW&amp;n=462469&amp;dst=100131" TargetMode = "External"/>
	<Relationship Id="rId29" Type="http://schemas.openxmlformats.org/officeDocument/2006/relationships/hyperlink" Target="https://login.consultant.ru/link/?req=doc&amp;base=LAW&amp;n=462469&amp;dst=100139" TargetMode = "External"/>
	<Relationship Id="rId30" Type="http://schemas.openxmlformats.org/officeDocument/2006/relationships/hyperlink" Target="https://login.consultant.ru/link/?req=doc&amp;base=LAW&amp;n=462469&amp;dst=100146" TargetMode = "External"/>
	<Relationship Id="rId31" Type="http://schemas.openxmlformats.org/officeDocument/2006/relationships/hyperlink" Target="https://login.consultant.ru/link/?req=doc&amp;base=LAW&amp;n=462469&amp;dst=100168" TargetMode = "External"/>
	<Relationship Id="rId32" Type="http://schemas.openxmlformats.org/officeDocument/2006/relationships/hyperlink" Target="https://login.consultant.ru/link/?req=doc&amp;base=LAW&amp;n=462469&amp;dst=100182" TargetMode = "External"/>
	<Relationship Id="rId33" Type="http://schemas.openxmlformats.org/officeDocument/2006/relationships/hyperlink" Target="https://login.consultant.ru/link/?req=doc&amp;base=LAW&amp;n=462469&amp;dst=100189" TargetMode = "External"/>
	<Relationship Id="rId34" Type="http://schemas.openxmlformats.org/officeDocument/2006/relationships/hyperlink" Target="https://login.consultant.ru/link/?req=doc&amp;base=LAW&amp;n=462469&amp;dst=100203" TargetMode = "External"/>
	<Relationship Id="rId35" Type="http://schemas.openxmlformats.org/officeDocument/2006/relationships/hyperlink" Target="https://login.consultant.ru/link/?req=doc&amp;base=LAW&amp;n=462469&amp;dst=100210" TargetMode = "External"/>
	<Relationship Id="rId36" Type="http://schemas.openxmlformats.org/officeDocument/2006/relationships/hyperlink" Target="https://login.consultant.ru/link/?req=doc&amp;base=LAW&amp;n=462469&amp;dst=100218" TargetMode = "External"/>
	<Relationship Id="rId37" Type="http://schemas.openxmlformats.org/officeDocument/2006/relationships/hyperlink" Target="https://login.consultant.ru/link/?req=doc&amp;base=LAW&amp;n=462469&amp;dst=100225" TargetMode = "External"/>
	<Relationship Id="rId38" Type="http://schemas.openxmlformats.org/officeDocument/2006/relationships/hyperlink" Target="https://login.consultant.ru/link/?req=doc&amp;base=LAW&amp;n=462469&amp;dst=100232" TargetMode = "External"/>
	<Relationship Id="rId39" Type="http://schemas.openxmlformats.org/officeDocument/2006/relationships/hyperlink" Target="https://login.consultant.ru/link/?req=doc&amp;base=LAW&amp;n=462469&amp;dst=100239" TargetMode = "External"/>
	<Relationship Id="rId40" Type="http://schemas.openxmlformats.org/officeDocument/2006/relationships/hyperlink" Target="https://login.consultant.ru/link/?req=doc&amp;base=LAW&amp;n=462469&amp;dst=100246" TargetMode = "External"/>
	<Relationship Id="rId41" Type="http://schemas.openxmlformats.org/officeDocument/2006/relationships/hyperlink" Target="https://login.consultant.ru/link/?req=doc&amp;base=LAW&amp;n=462469&amp;dst=100253" TargetMode = "External"/>
	<Relationship Id="rId42" Type="http://schemas.openxmlformats.org/officeDocument/2006/relationships/hyperlink" Target="https://login.consultant.ru/link/?req=doc&amp;base=LAW&amp;n=462469&amp;dst=100260" TargetMode = "External"/>
	<Relationship Id="rId43" Type="http://schemas.openxmlformats.org/officeDocument/2006/relationships/hyperlink" Target="https://login.consultant.ru/link/?req=doc&amp;base=LAW&amp;n=462469&amp;dst=100267" TargetMode = "External"/>
	<Relationship Id="rId44" Type="http://schemas.openxmlformats.org/officeDocument/2006/relationships/hyperlink" Target="https://login.consultant.ru/link/?req=doc&amp;base=LAW&amp;n=462469&amp;dst=100274" TargetMode = "External"/>
	<Relationship Id="rId45" Type="http://schemas.openxmlformats.org/officeDocument/2006/relationships/hyperlink" Target="https://login.consultant.ru/link/?req=doc&amp;base=LAW&amp;n=462469&amp;dst=100281" TargetMode = "External"/>
	<Relationship Id="rId46" Type="http://schemas.openxmlformats.org/officeDocument/2006/relationships/hyperlink" Target="https://login.consultant.ru/link/?req=doc&amp;base=LAW&amp;n=462469&amp;dst=100288" TargetMode = "External"/>
	<Relationship Id="rId47" Type="http://schemas.openxmlformats.org/officeDocument/2006/relationships/hyperlink" Target="https://login.consultant.ru/link/?req=doc&amp;base=LAW&amp;n=462469&amp;dst=100309" TargetMode = "External"/>
	<Relationship Id="rId48" Type="http://schemas.openxmlformats.org/officeDocument/2006/relationships/hyperlink" Target="https://login.consultant.ru/link/?req=doc&amp;base=LAW&amp;n=462469&amp;dst=100316" TargetMode = "External"/>
	<Relationship Id="rId49" Type="http://schemas.openxmlformats.org/officeDocument/2006/relationships/hyperlink" Target="https://login.consultant.ru/link/?req=doc&amp;base=LAW&amp;n=462469&amp;dst=100323" TargetMode = "External"/>
	<Relationship Id="rId50" Type="http://schemas.openxmlformats.org/officeDocument/2006/relationships/hyperlink" Target="https://login.consultant.ru/link/?req=doc&amp;base=LAW&amp;n=462469&amp;dst=100330" TargetMode = "External"/>
	<Relationship Id="rId51" Type="http://schemas.openxmlformats.org/officeDocument/2006/relationships/hyperlink" Target="https://login.consultant.ru/link/?req=doc&amp;base=LAW&amp;n=462469&amp;dst=100337" TargetMode = "External"/>
	<Relationship Id="rId52" Type="http://schemas.openxmlformats.org/officeDocument/2006/relationships/hyperlink" Target="https://login.consultant.ru/link/?req=doc&amp;base=LAW&amp;n=462469&amp;dst=100344" TargetMode = "External"/>
	<Relationship Id="rId53" Type="http://schemas.openxmlformats.org/officeDocument/2006/relationships/hyperlink" Target="https://login.consultant.ru/link/?req=doc&amp;base=LAW&amp;n=462469&amp;dst=100351" TargetMode = "External"/>
	<Relationship Id="rId54" Type="http://schemas.openxmlformats.org/officeDocument/2006/relationships/hyperlink" Target="https://login.consultant.ru/link/?req=doc&amp;base=LAW&amp;n=462469&amp;dst=100358" TargetMode = "External"/>
	<Relationship Id="rId55" Type="http://schemas.openxmlformats.org/officeDocument/2006/relationships/hyperlink" Target="https://login.consultant.ru/link/?req=doc&amp;base=LAW&amp;n=462469&amp;dst=100365" TargetMode = "External"/>
	<Relationship Id="rId56" Type="http://schemas.openxmlformats.org/officeDocument/2006/relationships/hyperlink" Target="https://login.consultant.ru/link/?req=doc&amp;base=LAW&amp;n=462469&amp;dst=100372" TargetMode = "External"/>
	<Relationship Id="rId57" Type="http://schemas.openxmlformats.org/officeDocument/2006/relationships/hyperlink" Target="https://login.consultant.ru/link/?req=doc&amp;base=LAW&amp;n=462469&amp;dst=100394" TargetMode = "External"/>
	<Relationship Id="rId58" Type="http://schemas.openxmlformats.org/officeDocument/2006/relationships/hyperlink" Target="https://login.consultant.ru/link/?req=doc&amp;base=LAW&amp;n=462469&amp;dst=100401" TargetMode = "External"/>
	<Relationship Id="rId59" Type="http://schemas.openxmlformats.org/officeDocument/2006/relationships/hyperlink" Target="https://login.consultant.ru/link/?req=doc&amp;base=LAW&amp;n=462469&amp;dst=100408" TargetMode = "External"/>
	<Relationship Id="rId60" Type="http://schemas.openxmlformats.org/officeDocument/2006/relationships/hyperlink" Target="https://login.consultant.ru/link/?req=doc&amp;base=LAW&amp;n=462469&amp;dst=100415" TargetMode = "External"/>
	<Relationship Id="rId61" Type="http://schemas.openxmlformats.org/officeDocument/2006/relationships/hyperlink" Target="https://login.consultant.ru/link/?req=doc&amp;base=LAW&amp;n=462469&amp;dst=100422" TargetMode = "External"/>
	<Relationship Id="rId62" Type="http://schemas.openxmlformats.org/officeDocument/2006/relationships/hyperlink" Target="https://login.consultant.ru/link/?req=doc&amp;base=LAW&amp;n=462469&amp;dst=100437" TargetMode = "External"/>
	<Relationship Id="rId63" Type="http://schemas.openxmlformats.org/officeDocument/2006/relationships/hyperlink" Target="https://login.consultant.ru/link/?req=doc&amp;base=LAW&amp;n=462469&amp;dst=100444" TargetMode = "External"/>
	<Relationship Id="rId64" Type="http://schemas.openxmlformats.org/officeDocument/2006/relationships/hyperlink" Target="https://login.consultant.ru/link/?req=doc&amp;base=LAW&amp;n=462469&amp;dst=100458" TargetMode = "External"/>
	<Relationship Id="rId65" Type="http://schemas.openxmlformats.org/officeDocument/2006/relationships/hyperlink" Target="https://login.consultant.ru/link/?req=doc&amp;base=LAW&amp;n=462469&amp;dst=100465" TargetMode = "External"/>
	<Relationship Id="rId66" Type="http://schemas.openxmlformats.org/officeDocument/2006/relationships/hyperlink" Target="https://login.consultant.ru/link/?req=doc&amp;base=LAW&amp;n=462469&amp;dst=100473" TargetMode = "External"/>
	<Relationship Id="rId67" Type="http://schemas.openxmlformats.org/officeDocument/2006/relationships/hyperlink" Target="https://login.consultant.ru/link/?req=doc&amp;base=LAW&amp;n=462469&amp;dst=100480" TargetMode = "External"/>
	<Relationship Id="rId68" Type="http://schemas.openxmlformats.org/officeDocument/2006/relationships/hyperlink" Target="https://login.consultant.ru/link/?req=doc&amp;base=LAW&amp;n=462469&amp;dst=100487" TargetMode = "External"/>
	<Relationship Id="rId69" Type="http://schemas.openxmlformats.org/officeDocument/2006/relationships/hyperlink" Target="https://login.consultant.ru/link/?req=doc&amp;base=LAW&amp;n=462469&amp;dst=100494" TargetMode = "External"/>
	<Relationship Id="rId70" Type="http://schemas.openxmlformats.org/officeDocument/2006/relationships/hyperlink" Target="https://login.consultant.ru/link/?req=doc&amp;base=LAW&amp;n=462469&amp;dst=100501" TargetMode = "External"/>
	<Relationship Id="rId71" Type="http://schemas.openxmlformats.org/officeDocument/2006/relationships/hyperlink" Target="https://login.consultant.ru/link/?req=doc&amp;base=LAW&amp;n=462469&amp;dst=100523" TargetMode = "External"/>
	<Relationship Id="rId72" Type="http://schemas.openxmlformats.org/officeDocument/2006/relationships/hyperlink" Target="https://login.consultant.ru/link/?req=doc&amp;base=LAW&amp;n=462469&amp;dst=100537" TargetMode = "External"/>
	<Relationship Id="rId73" Type="http://schemas.openxmlformats.org/officeDocument/2006/relationships/hyperlink" Target="https://login.consultant.ru/link/?req=doc&amp;base=LAW&amp;n=462469&amp;dst=100544" TargetMode = "External"/>
	<Relationship Id="rId74" Type="http://schemas.openxmlformats.org/officeDocument/2006/relationships/hyperlink" Target="https://login.consultant.ru/link/?req=doc&amp;base=LAW&amp;n=359568&amp;dst=100016" TargetMode = "External"/>
	<Relationship Id="rId75" Type="http://schemas.openxmlformats.org/officeDocument/2006/relationships/hyperlink" Target="https://login.consultant.ru/link/?req=doc&amp;base=LAW&amp;n=462469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 от 27.03.2024 N 222
"Об утверждении плана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в Ростовской области"</dc:title>
  <dcterms:created xsi:type="dcterms:W3CDTF">2024-05-20T17:43:30Z</dcterms:created>
</cp:coreProperties>
</file>