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07.04.2026 N 212</w:t>
              <w:br/>
              <w:t xml:space="preserve">"О Порядке предоставления в 2026 году субсидий социально ориентированным некоммерческим организациям на организацию и проведение в Санкт-Петербурге конгрессно-выставочных мероприятий"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7 апреля 2026 г. N 212</w:t>
      </w:r>
    </w:p>
    <w:p>
      <w:pPr>
        <w:pStyle w:val="2"/>
        <w:jc w:val="center"/>
      </w:pPr>
      <w:r>
        <w:rPr>
          <w:sz w:val="20"/>
        </w:rPr>
      </w:r>
    </w:p>
    <w:p>
      <w:pPr>
        <w:pStyle w:val="2"/>
        <w:jc w:val="center"/>
      </w:pPr>
      <w:r>
        <w:rPr>
          <w:sz w:val="20"/>
        </w:rPr>
        <w:t xml:space="preserve">О ПОРЯДКЕ ПРЕДОСТАВЛЕНИЯ В 2026 ГОДУ СУБСИДИЙ СОЦИАЛЬНО</w:t>
      </w:r>
    </w:p>
    <w:p>
      <w:pPr>
        <w:pStyle w:val="2"/>
        <w:jc w:val="center"/>
      </w:pPr>
      <w:r>
        <w:rPr>
          <w:sz w:val="20"/>
        </w:rPr>
        <w:t xml:space="preserve">ОРИЕНТИРОВАННЫМ НЕКОММЕРЧЕСКИМ ОРГАНИЗАЦИЯМ</w:t>
      </w:r>
    </w:p>
    <w:p>
      <w:pPr>
        <w:pStyle w:val="2"/>
        <w:jc w:val="center"/>
      </w:pPr>
      <w:r>
        <w:rPr>
          <w:sz w:val="20"/>
        </w:rPr>
        <w:t xml:space="preserve">НА ОРГАНИЗАЦИЮ И ПРОВЕДЕНИЕ В САНКТ-ПЕТЕРБУРГЕ</w:t>
      </w:r>
    </w:p>
    <w:p>
      <w:pPr>
        <w:pStyle w:val="2"/>
        <w:jc w:val="center"/>
      </w:pPr>
      <w:r>
        <w:rPr>
          <w:sz w:val="20"/>
        </w:rPr>
        <w:t xml:space="preserve">КОНГРЕССНО-ВЫСТАВОЧНЫХ МЕРОПРИЯТИЙ</w:t>
      </w:r>
    </w:p>
    <w:p>
      <w:pPr>
        <w:pStyle w:val="0"/>
        <w:ind w:firstLine="540"/>
        <w:jc w:val="both"/>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w:t>
      </w:r>
      <w:hyperlink w:history="0" r:id="rId11"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и </w:t>
      </w:r>
      <w:hyperlink w:history="0" r:id="rId12" w:tooltip="Постановление Правительства Санкт-Петербурга от 14.11.2017 N 936 (ред. от 20.04.2026) &quot;О государственной программе Санкт-Петербурга &quot;Развитие сферы туризма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14.11.2017 N 936 "О государственной программе Санкт-Петербурга "Развитие сферы туризма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40" w:tooltip="ПОРЯДОК">
        <w:r>
          <w:rPr>
            <w:sz w:val="20"/>
            <w:color w:val="0000ff"/>
          </w:rPr>
          <w:t xml:space="preserve">Порядок</w:t>
        </w:r>
      </w:hyperlink>
      <w:r>
        <w:rPr>
          <w:sz w:val="20"/>
        </w:rPr>
        <w:t xml:space="preserve"> предоставления в 2026 году субсидий социально ориентированным некоммерческим организациям на организацию и проведение в Санкт-Петербурге конгрессно-выставочных мероприятий (далее - Порядок) согласно приложению.</w:t>
      </w:r>
    </w:p>
    <w:p>
      <w:pPr>
        <w:pStyle w:val="0"/>
        <w:spacing w:before="200" w:lineRule="auto"/>
        <w:ind w:firstLine="540"/>
        <w:jc w:val="both"/>
      </w:pPr>
      <w:r>
        <w:rPr>
          <w:sz w:val="20"/>
        </w:rPr>
        <w:t xml:space="preserve">2. Комитету по развитию туризма Санкт-Петербурга (далее - Комитет) в месячный срок в соответствии с </w:t>
      </w:r>
      <w:hyperlink w:history="0" r:id="rId13"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и общими требованиями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устанавливающий (утверждающий):</w:t>
      </w:r>
    </w:p>
    <w:p>
      <w:pPr>
        <w:pStyle w:val="0"/>
        <w:spacing w:before="200" w:lineRule="auto"/>
        <w:ind w:firstLine="540"/>
        <w:jc w:val="both"/>
      </w:pPr>
      <w:r>
        <w:rPr>
          <w:sz w:val="20"/>
        </w:rPr>
        <w:t xml:space="preserve">2.1. Перечень документов, представляемых участниками конкурсного отбора на право получения субсидий, для подтверждения соответствия их требованиям к участникам отбора, установленным в Порядке (далее - документы), в том числе документов, подтверждающих фактически произведенные участниками отбора затраты при проведении ими в период с 01.07.2025 по 14.06.2026 конгрессно-выставочных мероприятий в Санкт-Петербурге, а также требования к указанным документам.</w:t>
      </w:r>
    </w:p>
    <w:p>
      <w:pPr>
        <w:pStyle w:val="0"/>
        <w:spacing w:before="200" w:lineRule="auto"/>
        <w:ind w:firstLine="540"/>
        <w:jc w:val="both"/>
      </w:pPr>
      <w:r>
        <w:rPr>
          <w:sz w:val="20"/>
        </w:rPr>
        <w:t xml:space="preserve">2.2. Дату размещения на веб-странице Комитета на официальном сайте Администрации Санкт-Петербурга в информационно-телекоммуникационной сети "Интернет" (далее - сеть "Интернет"), а также дату публикации посредством Автоматизированной информационной системы бюджетного процесса - электронного казначейства (далее - АИС БП-ЭК) в подсистеме "Площадка отбора получателей субсидий" в сети "Интернет" объявления о проведении отбора (далее - объявление) с указанием в объявлении информации в соответствии с </w:t>
      </w:r>
      <w:hyperlink w:history="0" w:anchor="P103" w:tooltip="3.4. Размещение объявления на официальном сайте Комитета и в АИС БП-ЭК осуществляется в сроки, устанавливаемые Комитетом, с указанием сведений, перечисленных в пункте 21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
        <w:r>
          <w:rPr>
            <w:sz w:val="20"/>
            <w:color w:val="0000ff"/>
          </w:rPr>
          <w:t xml:space="preserve">пунктом 3.4</w:t>
        </w:r>
      </w:hyperlink>
      <w:r>
        <w:rPr>
          <w:sz w:val="20"/>
        </w:rPr>
        <w:t xml:space="preserve"> Порядка.</w:t>
      </w:r>
    </w:p>
    <w:p>
      <w:pPr>
        <w:pStyle w:val="0"/>
        <w:spacing w:before="200" w:lineRule="auto"/>
        <w:ind w:firstLine="540"/>
        <w:jc w:val="both"/>
      </w:pPr>
      <w:r>
        <w:rPr>
          <w:sz w:val="20"/>
        </w:rPr>
        <w:t xml:space="preserve">2.3. Форму заявки на участие в конкурсном отборе (далее - заявка) и сроки проведения отбора.</w:t>
      </w:r>
    </w:p>
    <w:p>
      <w:pPr>
        <w:pStyle w:val="0"/>
        <w:spacing w:before="200" w:lineRule="auto"/>
        <w:ind w:firstLine="540"/>
        <w:jc w:val="both"/>
      </w:pPr>
      <w:r>
        <w:rPr>
          <w:sz w:val="20"/>
        </w:rPr>
        <w:t xml:space="preserve">2.4. Порядок подачи заявок и документов, отзыва и возврата заявок, порядок возврата заявок (документов) на доработку, а также порядок внесения изменений в представленные заявки (документы).</w:t>
      </w:r>
    </w:p>
    <w:p>
      <w:pPr>
        <w:pStyle w:val="0"/>
        <w:spacing w:before="200" w:lineRule="auto"/>
        <w:ind w:firstLine="540"/>
        <w:jc w:val="both"/>
      </w:pPr>
      <w:r>
        <w:rPr>
          <w:sz w:val="20"/>
        </w:rPr>
        <w:t xml:space="preserve">2.5. Положение о конкурсной комиссии и ее состав.</w:t>
      </w:r>
    </w:p>
    <w:p>
      <w:pPr>
        <w:pStyle w:val="0"/>
        <w:spacing w:before="200" w:lineRule="auto"/>
        <w:ind w:firstLine="540"/>
        <w:jc w:val="both"/>
      </w:pPr>
      <w:r>
        <w:rPr>
          <w:sz w:val="20"/>
        </w:rPr>
        <w:t xml:space="preserve">2.6. Положение о рабочей группе по рассмотрению заявок и ее состав.</w:t>
      </w:r>
    </w:p>
    <w:p>
      <w:pPr>
        <w:pStyle w:val="0"/>
        <w:spacing w:before="200" w:lineRule="auto"/>
        <w:ind w:firstLine="540"/>
        <w:jc w:val="both"/>
      </w:pPr>
      <w:r>
        <w:rPr>
          <w:sz w:val="20"/>
        </w:rPr>
        <w:t xml:space="preserve">2.7. Порядок взаимодействия участников конкурсного отбора и Комитета по вопросам, связанным с конкурсным отбором, в том числе способ такого взаимодействия.</w:t>
      </w:r>
    </w:p>
    <w:p>
      <w:pPr>
        <w:pStyle w:val="0"/>
        <w:spacing w:before="200" w:lineRule="auto"/>
        <w:ind w:firstLine="540"/>
        <w:jc w:val="both"/>
      </w:pPr>
      <w:r>
        <w:rPr>
          <w:sz w:val="20"/>
        </w:rPr>
        <w:t xml:space="preserve">2.8. Порядок оценки конкурсной комиссией заявок и документов, правила присвоения рассматриваемым заявкам порядковых номеров, порядок оценки заявок и документов, а также порядок расчета баллов.</w:t>
      </w:r>
    </w:p>
    <w:p>
      <w:pPr>
        <w:pStyle w:val="0"/>
        <w:spacing w:before="200" w:lineRule="auto"/>
        <w:ind w:firstLine="540"/>
        <w:jc w:val="both"/>
      </w:pPr>
      <w:r>
        <w:rPr>
          <w:sz w:val="20"/>
        </w:rPr>
        <w:t xml:space="preserve">2.9. Порядок и сроки представления получателем субсидии отчетов о достижении значений результата предоставления субсидии (далее - результат) и их характеристик (дополнительных количественных параметров, которым должен соответствовать результат), а также принятия и проверки Комитетом указанных отчетов.</w:t>
      </w:r>
    </w:p>
    <w:p>
      <w:pPr>
        <w:pStyle w:val="0"/>
        <w:spacing w:before="200" w:lineRule="auto"/>
        <w:ind w:firstLine="540"/>
        <w:jc w:val="both"/>
      </w:pPr>
      <w:r>
        <w:rPr>
          <w:sz w:val="20"/>
        </w:rPr>
        <w:t xml:space="preserve">2.10. Порядок и сроки проведения Комитетом проверок соблюдения получателями субсидий условий и порядка предоставления субсидий, в том числе в части достижения результата.</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Пиотровского Б.М.</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07.04.2026 N 212</w:t>
      </w:r>
    </w:p>
    <w:p>
      <w:pPr>
        <w:pStyle w:val="0"/>
        <w:jc w:val="right"/>
      </w:pPr>
      <w:r>
        <w:rPr>
          <w:sz w:val="20"/>
        </w:rPr>
      </w:r>
    </w:p>
    <w:bookmarkStart w:id="40" w:name="P40"/>
    <w:bookmarkEnd w:id="40"/>
    <w:p>
      <w:pPr>
        <w:pStyle w:val="2"/>
        <w:jc w:val="center"/>
      </w:pPr>
      <w:r>
        <w:rPr>
          <w:sz w:val="20"/>
        </w:rPr>
        <w:t xml:space="preserve">ПОРЯДОК</w:t>
      </w:r>
    </w:p>
    <w:p>
      <w:pPr>
        <w:pStyle w:val="2"/>
        <w:jc w:val="center"/>
      </w:pPr>
      <w:r>
        <w:rPr>
          <w:sz w:val="20"/>
        </w:rPr>
        <w:t xml:space="preserve">ПРЕДОСТАВЛЕНИЯ В 2026 ГОДУ СУБСИДИЙ</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ОРГАНИЗАЦИЮ И ПРОВЕДЕНИЕ В САНКТ-ПЕТЕРБУРГЕ</w:t>
      </w:r>
    </w:p>
    <w:p>
      <w:pPr>
        <w:pStyle w:val="2"/>
        <w:jc w:val="center"/>
      </w:pPr>
      <w:r>
        <w:rPr>
          <w:sz w:val="20"/>
        </w:rPr>
        <w:t xml:space="preserve">КОНГРЕССНО-ВЫСТАВОЧНЫХ МЕРОПРИЯТИЙ</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bookmarkStart w:id="48" w:name="P48"/>
    <w:bookmarkEnd w:id="48"/>
    <w:p>
      <w:pPr>
        <w:pStyle w:val="0"/>
        <w:ind w:firstLine="540"/>
        <w:jc w:val="both"/>
      </w:pPr>
      <w:r>
        <w:rPr>
          <w:sz w:val="20"/>
        </w:rPr>
        <w:t xml:space="preserve">1.1. Настоящий Порядок устанавливает правила предоставления в 2026 году субсидий, предусмотренных Комитету по развитию туризма Санкт-Петербурга (далее - Комитет) </w:t>
      </w:r>
      <w:hyperlink w:history="0" r:id="rId14"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некоммерческим организациям на организацию и проведение в Санкт-Петербурге конгрессно-выставочных мероприятий" (код целевой статьи 1850076150) в приложении 2 к Закону Санкт-Петербурга от 26.11.2025 N 659-124 "О бюджете Санкт-Петербурга на 2026 год и на плановый период 2027 и 2028 годов" (далее - Закон о бюджете) и государственной </w:t>
      </w:r>
      <w:hyperlink w:history="0" r:id="rId15" w:tooltip="Постановление Правительства Санкт-Петербурга от 14.11.2017 N 936 (ред. от 20.04.2026) &quot;О государственной программе Санкт-Петербурга &quot;Развитие сферы туризма в Санкт-Петербурге&quot; {КонсультантПлюс}">
        <w:r>
          <w:rPr>
            <w:sz w:val="20"/>
            <w:color w:val="0000ff"/>
          </w:rPr>
          <w:t xml:space="preserve">программой</w:t>
        </w:r>
      </w:hyperlink>
      <w:r>
        <w:rPr>
          <w:sz w:val="20"/>
        </w:rPr>
        <w:t xml:space="preserve"> Санкт-Петербурга "Развитие сферы туризма в Санкт-Петербурге", утвержденной постановлением Правительства Санкт-Петербурга от 14.11.2017 N 936 (далее соответственно - субсидии, Государственная программа).</w:t>
      </w:r>
    </w:p>
    <w:p>
      <w:pPr>
        <w:pStyle w:val="0"/>
        <w:spacing w:before="200" w:lineRule="auto"/>
        <w:ind w:firstLine="540"/>
        <w:jc w:val="both"/>
      </w:pPr>
      <w:r>
        <w:rPr>
          <w:sz w:val="20"/>
        </w:rPr>
        <w:t xml:space="preserve">1.2. В настоящем Порядке применяются следующие понятия (сокращенные понятия), а также их определения:</w:t>
      </w:r>
    </w:p>
    <w:bookmarkStart w:id="50" w:name="P50"/>
    <w:bookmarkEnd w:id="50"/>
    <w:p>
      <w:pPr>
        <w:pStyle w:val="0"/>
        <w:spacing w:before="200" w:lineRule="auto"/>
        <w:ind w:firstLine="540"/>
        <w:jc w:val="both"/>
      </w:pPr>
      <w:r>
        <w:rPr>
          <w:sz w:val="20"/>
        </w:rPr>
        <w:t xml:space="preserve">СОНКО - российские социально ориентированные некоммерческие организации (за исключением государственных (муниципальных) учреждений), зарегистрированные и осуществляющие на территории Санкт-Петербурга в соответствии с учредительными документами виды деятельности, указанные в </w:t>
      </w:r>
      <w:hyperlink w:history="0" r:id="rId16"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w:t>
      </w:r>
    </w:p>
    <w:p>
      <w:pPr>
        <w:pStyle w:val="0"/>
        <w:spacing w:before="200" w:lineRule="auto"/>
        <w:ind w:firstLine="540"/>
        <w:jc w:val="both"/>
      </w:pPr>
      <w:r>
        <w:rPr>
          <w:sz w:val="20"/>
        </w:rPr>
        <w:t xml:space="preserve">конгрессно-выставочные мероприятия - организованные мероприятия представителей стран, отраслей, профессий или учреждений, организаций для обмена знаниями и опытом, поиска необходимых решений, проводимые СОНКО отдельно или сопровождаемые выставочно-ярмарочными мероприятиями (конгресс, съезд, форум, саммит, ассамблея, конференция, симпозиум, круглый стол), а также выставочно-ярмарочные мероприятия, проводимые СОНКО отдельно;</w:t>
      </w:r>
    </w:p>
    <w:p>
      <w:pPr>
        <w:pStyle w:val="0"/>
        <w:spacing w:before="200" w:lineRule="auto"/>
        <w:ind w:firstLine="540"/>
        <w:jc w:val="both"/>
      </w:pPr>
      <w:r>
        <w:rPr>
          <w:sz w:val="20"/>
        </w:rPr>
        <w:t xml:space="preserve">конкурсный отбор - отборочные процедуры, проводимые в форме конкурса в соответствии с настоящим Порядком, в целях определения среди участвующих в данном отборе СОНКО победителей, исходя из предложенных ими наилучших условий достижения результата предоставления субсидий, и принятия в связи с этим решения о предоставлении им субсидий;</w:t>
      </w:r>
    </w:p>
    <w:p>
      <w:pPr>
        <w:pStyle w:val="0"/>
        <w:spacing w:before="200" w:lineRule="auto"/>
        <w:ind w:firstLine="540"/>
        <w:jc w:val="both"/>
      </w:pPr>
      <w:r>
        <w:rPr>
          <w:sz w:val="20"/>
        </w:rPr>
        <w:t xml:space="preserve">заявка - представляемое в Комитет в соответствии с настоящим Порядком заявление СОНКО на участие в конкурсном отборе в целях получения субсидии;</w:t>
      </w:r>
    </w:p>
    <w:p>
      <w:pPr>
        <w:pStyle w:val="0"/>
        <w:spacing w:before="200" w:lineRule="auto"/>
        <w:ind w:firstLine="540"/>
        <w:jc w:val="both"/>
      </w:pPr>
      <w:r>
        <w:rPr>
          <w:sz w:val="20"/>
        </w:rPr>
        <w:t xml:space="preserve">документы - представляемые СОНКО в составе заявки материалы и документы, подтверждающие их соответствие требованиям к участникам конкурсного отбора, установленным в настоящем Порядке, перечень которых и требования к которым утверждаются Комитетом (далее - Перечень), с учетом того, что указанный перечень должен включать в том числе документы, подтверждающие фактически произведенные СОНКО затраты, возникшие у них при проведении в период с 01.07.2025 по 14.06.2026 конгрессно-выставочных мероприятий в Санкт-Петербурге, а также расчет размера субсидии;</w:t>
      </w:r>
    </w:p>
    <w:p>
      <w:pPr>
        <w:pStyle w:val="0"/>
        <w:spacing w:before="200" w:lineRule="auto"/>
        <w:ind w:firstLine="540"/>
        <w:jc w:val="both"/>
      </w:pPr>
      <w:r>
        <w:rPr>
          <w:sz w:val="20"/>
        </w:rPr>
        <w:t xml:space="preserve">конкурсная комиссия - временный коллегиальный совещательный орган, созданный Комитетом в целях принятия решения о допуске СОНКО к участию в конкурсном отборе, определения победителей конкурсного отбора и принятия решения, носящего рекомендательный характер, о предоставлении субсидии и размерах предоставляемой субсидии конкретному победителю конкурсного отбора. Положение о конкурсной комиссии и ее состав утверждаются Комитетом;</w:t>
      </w:r>
    </w:p>
    <w:p>
      <w:pPr>
        <w:pStyle w:val="0"/>
        <w:spacing w:before="200" w:lineRule="auto"/>
        <w:ind w:firstLine="540"/>
        <w:jc w:val="both"/>
      </w:pPr>
      <w:r>
        <w:rPr>
          <w:sz w:val="20"/>
        </w:rPr>
        <w:t xml:space="preserve">рабочая группа - временный коллегиальный орган, созданный Комитетом для рассмотрения заявок и приложенных к ним документов, представленных в Комитет СОНКО, претендующими на получение субсидии, в целях формирования заключения, носящего рекомендательный характер. Положение о рабочей группе и ее состав утверждаются Комитетом;</w:t>
      </w:r>
    </w:p>
    <w:p>
      <w:pPr>
        <w:pStyle w:val="0"/>
        <w:spacing w:before="200" w:lineRule="auto"/>
        <w:ind w:firstLine="540"/>
        <w:jc w:val="both"/>
      </w:pPr>
      <w:r>
        <w:rPr>
          <w:sz w:val="20"/>
        </w:rPr>
        <w:t xml:space="preserve">Площадка отбора - подсистема "Площадка отбора получателей субсидии" Автоматизированной информационной системы бюджетного процесса - электронного казначейства (далее - АИС БП-ЭК), посредством которой осуществляется конкурсный отбор;</w:t>
      </w:r>
    </w:p>
    <w:p>
      <w:pPr>
        <w:pStyle w:val="0"/>
        <w:spacing w:before="200" w:lineRule="auto"/>
        <w:ind w:firstLine="540"/>
        <w:jc w:val="both"/>
      </w:pPr>
      <w:r>
        <w:rPr>
          <w:sz w:val="20"/>
        </w:rPr>
        <w:t xml:space="preserve">Соглашение - соглашение на предоставление субсидии, заключаемое в соответствии с настоящим Порядком с участником отбора, признанным победителем отбора, в отношении которого принято решение о предоставлении субсидии.</w:t>
      </w:r>
    </w:p>
    <w:bookmarkStart w:id="59" w:name="P59"/>
    <w:bookmarkEnd w:id="59"/>
    <w:p>
      <w:pPr>
        <w:pStyle w:val="0"/>
        <w:spacing w:before="200" w:lineRule="auto"/>
        <w:ind w:firstLine="540"/>
        <w:jc w:val="both"/>
      </w:pPr>
      <w:r>
        <w:rPr>
          <w:sz w:val="20"/>
        </w:rPr>
        <w:t xml:space="preserve">1.3. Субсидии предоставляются на безвозмездной и безвозвратной основе СОНКО, признанным победителями конкурсного отбора (далее - получатели субсидий), в целях возмещения затрат, возникших у них при проведении в период с 01.07.2025 по 14.06.2026 конгрессно-выставочных мероприятий в Санкт-Петербурге (далее - затраты), в соответствии с направлениями, которые установлены в </w:t>
      </w:r>
      <w:hyperlink w:history="0" w:anchor="P264" w:tooltip="НАПРАВЛЕНИЯ">
        <w:r>
          <w:rPr>
            <w:sz w:val="20"/>
            <w:color w:val="0000ff"/>
          </w:rPr>
          <w:t xml:space="preserve">приложении N 1</w:t>
        </w:r>
      </w:hyperlink>
      <w:r>
        <w:rPr>
          <w:sz w:val="20"/>
        </w:rPr>
        <w:t xml:space="preserve"> к настоящему Порядку (далее - направления затрат), в рамках достижения целевых показателей Государственной программы при реализации Комитетом соответствующего мероприятия, предусмотренного в </w:t>
      </w:r>
      <w:hyperlink w:history="0" r:id="rId17" w:tooltip="Постановление Правительства Санкт-Петербурга от 14.11.2017 N 936 (ред. от 20.04.2026) &quot;О государственной программе Санкт-Петербурга &quot;Развитие сферы туризма в Санкт-Петербурге&quot; {КонсультантПлюс}">
        <w:r>
          <w:rPr>
            <w:sz w:val="20"/>
            <w:color w:val="0000ff"/>
          </w:rPr>
          <w:t xml:space="preserve">процессной части подраздела 10.3 раздела 10</w:t>
        </w:r>
      </w:hyperlink>
      <w:r>
        <w:rPr>
          <w:sz w:val="20"/>
        </w:rPr>
        <w:t xml:space="preserve"> Государственной программы.</w:t>
      </w:r>
    </w:p>
    <w:p>
      <w:pPr>
        <w:pStyle w:val="0"/>
        <w:spacing w:before="200" w:lineRule="auto"/>
        <w:ind w:firstLine="540"/>
        <w:jc w:val="both"/>
      </w:pPr>
      <w:r>
        <w:rPr>
          <w:sz w:val="20"/>
        </w:rPr>
        <w:t xml:space="preserve">1.4. Проведение конкурсного отбора получателей субсидий проводится на Площадке отбора. Руководство пользователя по проведению процедуры конкурсного отбора размещено в разделе "Поддержка" </w:t>
      </w:r>
      <w:hyperlink w:history="0" r:id="rId18">
        <w:r>
          <w:rPr>
            <w:sz w:val="20"/>
            <w:color w:val="0000ff"/>
          </w:rPr>
          <w:t xml:space="preserve">edo.fincom.gov.spb.ru/subsidy-lk/navigator</w:t>
        </w:r>
      </w:hyperlink>
      <w:r>
        <w:rPr>
          <w:sz w:val="20"/>
        </w:rPr>
        <w:t xml:space="preserve">.</w:t>
      </w:r>
    </w:p>
    <w:bookmarkStart w:id="61" w:name="P61"/>
    <w:bookmarkEnd w:id="61"/>
    <w:p>
      <w:pPr>
        <w:pStyle w:val="0"/>
        <w:spacing w:before="200" w:lineRule="auto"/>
        <w:ind w:firstLine="540"/>
        <w:jc w:val="both"/>
      </w:pPr>
      <w:r>
        <w:rPr>
          <w:sz w:val="20"/>
        </w:rPr>
        <w:t xml:space="preserve">1.5. Сведения о субсидиях размещаются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главных распорядителей бюджетных средств.</w:t>
      </w:r>
    </w:p>
    <w:p>
      <w:pPr>
        <w:pStyle w:val="0"/>
        <w:spacing w:before="200" w:lineRule="auto"/>
        <w:ind w:firstLine="540"/>
        <w:jc w:val="both"/>
      </w:pPr>
      <w:r>
        <w:rPr>
          <w:sz w:val="20"/>
        </w:rPr>
        <w:t xml:space="preserve">1.6. Субсидии предоставляются по результатам проводимого Комитетом конкурсного отбора в пределах средств бюджетных ассигнований, предусмотренных Законом о бюджете по статье расходов, указанной в </w:t>
      </w:r>
      <w:hyperlink w:history="0" w:anchor="P48" w:tooltip="1.1. Настоящий Порядок устанавливает правила предоставления в 2026 году субсидий, предусмотренных Комитету по развитию туризма Санкт-Петербурга (далее - Комитет) статьей расходов &quot;Субсидии некоммерческим организациям на организацию и проведение в Санкт-Петербурге конгрессно-выставочных мероприятий&quot; (код целевой статьи 1850076150) в приложении 2 к Закону Санкт-Петербурга от 26.11.2025 N 659-124 &quot;О бюджете Санкт-Петербурга на 2026 год и на плановый период 2027 и 2028 годов&quot; (далее - Закон о бюджете) и госу...">
        <w:r>
          <w:rPr>
            <w:sz w:val="20"/>
            <w:color w:val="0000ff"/>
          </w:rPr>
          <w:t xml:space="preserve">пункте 1.1</w:t>
        </w:r>
      </w:hyperlink>
      <w:r>
        <w:rPr>
          <w:sz w:val="20"/>
        </w:rPr>
        <w:t xml:space="preserve"> настоящего Порядка.</w:t>
      </w:r>
    </w:p>
    <w:p>
      <w:pPr>
        <w:pStyle w:val="0"/>
        <w:ind w:firstLine="540"/>
        <w:jc w:val="both"/>
      </w:pPr>
      <w:r>
        <w:rPr>
          <w:sz w:val="20"/>
        </w:rPr>
      </w:r>
    </w:p>
    <w:p>
      <w:pPr>
        <w:pStyle w:val="2"/>
        <w:outlineLvl w:val="1"/>
        <w:jc w:val="center"/>
      </w:pPr>
      <w:r>
        <w:rPr>
          <w:sz w:val="20"/>
        </w:rPr>
        <w:t xml:space="preserve">2. Условия предоставления субсидий и требования</w:t>
      </w:r>
    </w:p>
    <w:p>
      <w:pPr>
        <w:pStyle w:val="2"/>
        <w:jc w:val="center"/>
      </w:pPr>
      <w:r>
        <w:rPr>
          <w:sz w:val="20"/>
        </w:rPr>
        <w:t xml:space="preserve">к участникам конкурсного отбора</w:t>
      </w:r>
    </w:p>
    <w:p>
      <w:pPr>
        <w:pStyle w:val="0"/>
        <w:ind w:firstLine="540"/>
        <w:jc w:val="both"/>
      </w:pPr>
      <w:r>
        <w:rPr>
          <w:sz w:val="20"/>
        </w:rPr>
      </w:r>
    </w:p>
    <w:p>
      <w:pPr>
        <w:pStyle w:val="0"/>
        <w:ind w:firstLine="540"/>
        <w:jc w:val="both"/>
      </w:pPr>
      <w:r>
        <w:rPr>
          <w:sz w:val="20"/>
        </w:rPr>
        <w:t xml:space="preserve">2.1. Условиями предоставления субсидий являются:</w:t>
      </w:r>
    </w:p>
    <w:p>
      <w:pPr>
        <w:pStyle w:val="0"/>
        <w:spacing w:before="200" w:lineRule="auto"/>
        <w:ind w:firstLine="540"/>
        <w:jc w:val="both"/>
      </w:pPr>
      <w:r>
        <w:rPr>
          <w:sz w:val="20"/>
        </w:rPr>
        <w:t xml:space="preserve">2.1.1. Предоставление субсидии на цели, установленные в </w:t>
      </w:r>
      <w:hyperlink w:history="0" w:anchor="P59" w:tooltip="1.3. Субсидии предоставляются на безвозмездной и безвозвратной основе СОНКО, признанным победителями конкурсного отбора (далее - получатели субсидий), в целях возмещения затрат, возникших у них при проведении в период с 01.07.2025 по 14.06.2026 конгрессно-выставочных мероприятий в Санкт-Петербурге (далее - затраты), в соответствии с направлениями, которые установлены в приложении N 1 к настоящему Порядку (далее - направления затрат), в рамках достижения целевых показателей Государственной программы при р...">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2.1.2. Полное соответствие участника конкурсного отбора определению понятия СОНКО, приведенному в </w:t>
      </w:r>
      <w:hyperlink w:history="0" w:anchor="P50" w:tooltip="СОНКО - российские социально ориентированные некоммерческие организации (за исключением государственных (муниципальных) учреждений), зарегистрированные и осуществляющие на территории Санкт-Петербурга в соответствии с учредительными документами виды деятельности, указанные в статье 3 Закона Санкт-Петербурга от 23.03.2011 N 153-41 &quot;О поддержке социально ориентированных некоммерческих организаций в Санкт-Петербурге&quot;;">
        <w:r>
          <w:rPr>
            <w:sz w:val="20"/>
            <w:color w:val="0000ff"/>
          </w:rPr>
          <w:t xml:space="preserve">абзаце втором пункта 1.2</w:t>
        </w:r>
      </w:hyperlink>
      <w:r>
        <w:rPr>
          <w:sz w:val="20"/>
        </w:rPr>
        <w:t xml:space="preserve"> настоящего Порядка.</w:t>
      </w:r>
    </w:p>
    <w:p>
      <w:pPr>
        <w:pStyle w:val="0"/>
        <w:spacing w:before="200" w:lineRule="auto"/>
        <w:ind w:firstLine="540"/>
        <w:jc w:val="both"/>
      </w:pPr>
      <w:r>
        <w:rPr>
          <w:sz w:val="20"/>
        </w:rPr>
        <w:t xml:space="preserve">2.1.3. Проведение участником конкурсного отбора на территории Санкт-Петербурга конгрессно-выставочных мероприятий в период с 01.07.2025 по 14.06.2026.</w:t>
      </w:r>
    </w:p>
    <w:p>
      <w:pPr>
        <w:pStyle w:val="0"/>
        <w:spacing w:before="200" w:lineRule="auto"/>
        <w:ind w:firstLine="540"/>
        <w:jc w:val="both"/>
      </w:pPr>
      <w:r>
        <w:rPr>
          <w:sz w:val="20"/>
        </w:rPr>
        <w:t xml:space="preserve">2.1.4. Общее количество участников (делегатов) конгрессно-выставочного мероприятия составляет не менее 20 человек, при этом доля иностранных делегатов (участников) и(или) делегатов из иных субъектов Российской Федерации от общего количества участников (делегатов) конгрессно-выставочного мероприятия составляет не менее 10 человек.</w:t>
      </w:r>
    </w:p>
    <w:p>
      <w:pPr>
        <w:pStyle w:val="0"/>
        <w:spacing w:before="200" w:lineRule="auto"/>
        <w:ind w:firstLine="540"/>
        <w:jc w:val="both"/>
      </w:pPr>
      <w:r>
        <w:rPr>
          <w:sz w:val="20"/>
        </w:rPr>
        <w:t xml:space="preserve">2.1.5. Принятие конкурсной комиссией решения о признании участника конкурсного отбора победителем отбора.</w:t>
      </w:r>
    </w:p>
    <w:p>
      <w:pPr>
        <w:pStyle w:val="0"/>
        <w:spacing w:before="200" w:lineRule="auto"/>
        <w:ind w:firstLine="540"/>
        <w:jc w:val="both"/>
      </w:pPr>
      <w:r>
        <w:rPr>
          <w:sz w:val="20"/>
        </w:rPr>
        <w:t xml:space="preserve">2.1.6. Документальное подтверждение участником конкурсного отбора понесенных им затрат, предъявленных к возмещению за счет средств субсидии.</w:t>
      </w:r>
    </w:p>
    <w:p>
      <w:pPr>
        <w:pStyle w:val="0"/>
        <w:spacing w:before="200" w:lineRule="auto"/>
        <w:ind w:firstLine="540"/>
        <w:jc w:val="both"/>
      </w:pPr>
      <w:r>
        <w:rPr>
          <w:sz w:val="20"/>
        </w:rPr>
        <w:t xml:space="preserve">2.1.7. Соответствие затрат, предъявленных к возмещению за счет средств субсидии, направлениям затрат, установленным в </w:t>
      </w:r>
      <w:hyperlink w:history="0" w:anchor="P264" w:tooltip="НАПРАВЛЕНИЯ">
        <w:r>
          <w:rPr>
            <w:sz w:val="20"/>
            <w:color w:val="0000ff"/>
          </w:rPr>
          <w:t xml:space="preserve">приложении N 1</w:t>
        </w:r>
      </w:hyperlink>
      <w:r>
        <w:rPr>
          <w:sz w:val="20"/>
        </w:rPr>
        <w:t xml:space="preserve"> к настоящему Порядку.</w:t>
      </w:r>
    </w:p>
    <w:p>
      <w:pPr>
        <w:pStyle w:val="0"/>
        <w:spacing w:before="200" w:lineRule="auto"/>
        <w:ind w:firstLine="540"/>
        <w:jc w:val="both"/>
      </w:pPr>
      <w:r>
        <w:rPr>
          <w:sz w:val="20"/>
        </w:rPr>
        <w:t xml:space="preserve">2.1.8. Достижение получателем субсидии результата предоставления субсидии (далее - результат) в соответствии с его характеристиками (дополнительными количественными параметрами, которым должен соответствовать результат) (далее - характеристики), которые установлены в </w:t>
      </w:r>
      <w:hyperlink w:history="0" w:anchor="P208" w:tooltip="6.5. Результатом является проведение конгрессно-выставочного мероприятия на территории Санкт-Петербурга в период с 01.07.2025 по 14.06.2026.">
        <w:r>
          <w:rPr>
            <w:sz w:val="20"/>
            <w:color w:val="0000ff"/>
          </w:rPr>
          <w:t xml:space="preserve">пункте 6.5</w:t>
        </w:r>
      </w:hyperlink>
      <w:r>
        <w:rPr>
          <w:sz w:val="20"/>
        </w:rPr>
        <w:t xml:space="preserve"> настоящего Порядка.</w:t>
      </w:r>
    </w:p>
    <w:p>
      <w:pPr>
        <w:pStyle w:val="0"/>
        <w:spacing w:before="200" w:lineRule="auto"/>
        <w:ind w:firstLine="540"/>
        <w:jc w:val="both"/>
      </w:pPr>
      <w:r>
        <w:rPr>
          <w:sz w:val="20"/>
        </w:rPr>
        <w:t xml:space="preserve">2.1.9. Наличие согласия участника конкурсного отбора:</w:t>
      </w:r>
    </w:p>
    <w:p>
      <w:pPr>
        <w:pStyle w:val="0"/>
        <w:spacing w:before="200" w:lineRule="auto"/>
        <w:ind w:firstLine="540"/>
        <w:jc w:val="both"/>
      </w:pPr>
      <w:r>
        <w:rPr>
          <w:sz w:val="20"/>
        </w:rPr>
        <w:t xml:space="preserve">на проведение в отношении него Комитетом проверок соблюдения порядка и условий предоставления субсидий, в том числе в части достижения результата (далее - проверки соблюдения порядка и условий предоставления субсидий), а также на осуществление проведения проверок органами государственного финансового контроля в соответствии со </w:t>
      </w:r>
      <w:hyperlink w:history="0" r:id="rId1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условий в Соглашение;</w:t>
      </w:r>
    </w:p>
    <w:p>
      <w:pPr>
        <w:pStyle w:val="0"/>
        <w:spacing w:before="200" w:lineRule="auto"/>
        <w:ind w:firstLine="540"/>
        <w:jc w:val="both"/>
      </w:pPr>
      <w:r>
        <w:rPr>
          <w:sz w:val="20"/>
        </w:rPr>
        <w:t xml:space="preserve">на публикацию в отношении него на веб-странице Комитета на официальном сайте Администрации Санкт-Петербурга в сети "Интернет" (</w:t>
      </w:r>
      <w:hyperlink w:history="0" r:id="rId21">
        <w:r>
          <w:rPr>
            <w:sz w:val="20"/>
            <w:color w:val="0000ff"/>
          </w:rPr>
          <w:t xml:space="preserve">www.gov.spb.ru</w:t>
        </w:r>
      </w:hyperlink>
      <w:r>
        <w:rPr>
          <w:sz w:val="20"/>
        </w:rPr>
        <w:t xml:space="preserve">) (далее - официальный сайт Комитета) и Площадке отбора информации, связанной с конкурсным отбором и предоставлением субсидии.</w:t>
      </w:r>
    </w:p>
    <w:p>
      <w:pPr>
        <w:pStyle w:val="0"/>
        <w:spacing w:before="200" w:lineRule="auto"/>
        <w:ind w:firstLine="540"/>
        <w:jc w:val="both"/>
      </w:pPr>
      <w:r>
        <w:rPr>
          <w:sz w:val="20"/>
        </w:rPr>
        <w:t xml:space="preserve">2.1.10. Обеспечение участником конкурсного отбора как получателем субсидии размера средней заработной платы каждого своего работника (включая работников обособленных подразделений, находящихся на территории Санкт-Петербурга), рассчитываемого в соответствии со </w:t>
      </w:r>
      <w:hyperlink w:history="0" r:id="rId22"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 даты принятия решения о предоставлении субсидии до даты, по состоянию на которую таким участником конкурсного отбора будут формироваться отчеты о достижении значений результата и их характеристик,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соответствующий период.</w:t>
      </w:r>
    </w:p>
    <w:p>
      <w:pPr>
        <w:pStyle w:val="0"/>
        <w:spacing w:before="200" w:lineRule="auto"/>
        <w:ind w:firstLine="540"/>
        <w:jc w:val="both"/>
      </w:pPr>
      <w:r>
        <w:rPr>
          <w:sz w:val="20"/>
        </w:rPr>
        <w:t xml:space="preserve">2.1.11. Соответствие участника конкурсного отбора требованиям, установленным в </w:t>
      </w:r>
      <w:hyperlink w:history="0" w:anchor="P92" w:tooltip="2.2.2.1. На дату не ранее 30 календарных дней до даты подачи заявки в Комитет на едином налоговом счете участника конкурсного отбора отсутствует задолженность по уплате налогов, сборов и страховых взносов в бюджеты бюджетной системы Российской Федерации либо размер указанной задолженности не превышает размера, определенного в пункте 3 статьи 47 Налогового кодекса Российской Федерации.">
        <w:r>
          <w:rPr>
            <w:sz w:val="20"/>
            <w:color w:val="0000ff"/>
          </w:rPr>
          <w:t xml:space="preserve">пунктах 2.2.2.1</w:t>
        </w:r>
      </w:hyperlink>
      <w:r>
        <w:rPr>
          <w:sz w:val="20"/>
        </w:rPr>
        <w:t xml:space="preserve"> и </w:t>
      </w:r>
      <w:hyperlink w:history="0" w:anchor="P93" w:tooltip="2.2.2.2. На дату не ранее 30 календарных дней до 1 числа месяца, в котором планируется проведение конкурсного отбора, у участника конкурсного отбора отсутствует просроченная задолженность по возврату в бюджет Санкт-Петербурга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бюджетом Санкт-Петербурга.">
        <w:r>
          <w:rPr>
            <w:sz w:val="20"/>
            <w:color w:val="0000ff"/>
          </w:rPr>
          <w:t xml:space="preserve">2.2.2.2</w:t>
        </w:r>
      </w:hyperlink>
      <w:r>
        <w:rPr>
          <w:sz w:val="20"/>
        </w:rPr>
        <w:t xml:space="preserve"> на дату принятия решения о перечислении ему как победителю конкурсного отбора субсидии.</w:t>
      </w:r>
    </w:p>
    <w:p>
      <w:pPr>
        <w:pStyle w:val="0"/>
        <w:spacing w:before="200" w:lineRule="auto"/>
        <w:ind w:firstLine="540"/>
        <w:jc w:val="both"/>
      </w:pPr>
      <w:r>
        <w:rPr>
          <w:sz w:val="20"/>
        </w:rPr>
        <w:t xml:space="preserve">2.2. Требования, которым должны соответствовать участники конкурсного отбора:</w:t>
      </w:r>
    </w:p>
    <w:p>
      <w:pPr>
        <w:pStyle w:val="0"/>
        <w:spacing w:before="200" w:lineRule="auto"/>
        <w:ind w:firstLine="540"/>
        <w:jc w:val="both"/>
      </w:pPr>
      <w:r>
        <w:rPr>
          <w:sz w:val="20"/>
        </w:rPr>
        <w:t xml:space="preserve">2.2.1. По состоянию на дату не менее 1 числа месяца, предшествующего месяцу, в котором планируется проведение конкурсного отбора (далее - объявление):</w:t>
      </w:r>
    </w:p>
    <w:p>
      <w:pPr>
        <w:pStyle w:val="0"/>
        <w:spacing w:before="200" w:lineRule="auto"/>
        <w:ind w:firstLine="540"/>
        <w:jc w:val="both"/>
      </w:pPr>
      <w:r>
        <w:rPr>
          <w:sz w:val="20"/>
        </w:rPr>
        <w:t xml:space="preserve">2.2.1.1. Участник конкурсного отбора не находится в процессе реорганизации (за исключением реорганизации в форме присоединения к нему другого юридического лица), ликвидации, в отношении него не введена процедура банкротства, деятельность его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2.2.1.2. Участник конкурсного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2.2.1.3. Участник конкурсного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2.2.1.4. Участник конкурсного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2.2.1.5. Участник конкурсного отбора не получал и не получает средства из бюджета Санкт-Петербурга на основании иных нормативных правовых актов Санкт-Петербурга на цели, установленные в </w:t>
      </w:r>
      <w:hyperlink w:history="0" w:anchor="P59" w:tooltip="1.3. Субсидии предоставляются на безвозмездной и безвозвратной основе СОНКО, признанным победителями конкурсного отбора (далее - получатели субсидий), в целях возмещения затрат, возникших у них при проведении в период с 01.07.2025 по 14.06.2026 конгрессно-выставочных мероприятий в Санкт-Петербурге (далее - затраты), в соответствии с направлениями, которые установлены в приложении N 1 к настоящему Порядку (далее - направления затрат), в рамках достижения целевых показателей Государственной программы при р...">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2.2.1.6.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конкурсного отбора.</w:t>
      </w:r>
    </w:p>
    <w:p>
      <w:pPr>
        <w:pStyle w:val="0"/>
        <w:spacing w:before="200" w:lineRule="auto"/>
        <w:ind w:firstLine="540"/>
        <w:jc w:val="both"/>
      </w:pPr>
      <w:r>
        <w:rPr>
          <w:sz w:val="20"/>
        </w:rPr>
        <w:t xml:space="preserve">2.2.1.7. Участник конкурсного отбора не является иностранным агентом в соответствии с Федеральным </w:t>
      </w:r>
      <w:hyperlink w:history="0" r:id="rId23"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2.2.1.8. В реестре недобросовестных поставщиков (подрядчиков, исполнителей), ведение которого осуществляется в соответствии с Федеральным </w:t>
      </w:r>
      <w:hyperlink w:history="0" r:id="rId2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 отсутствует информация об участнике конкурсного отбора.</w:t>
      </w:r>
    </w:p>
    <w:p>
      <w:pPr>
        <w:pStyle w:val="0"/>
        <w:spacing w:before="200" w:lineRule="auto"/>
        <w:ind w:firstLine="540"/>
        <w:jc w:val="both"/>
      </w:pPr>
      <w:r>
        <w:rPr>
          <w:sz w:val="20"/>
        </w:rPr>
        <w:t xml:space="preserve">2.2.2. По состоянию на другие даты (сроки):</w:t>
      </w:r>
    </w:p>
    <w:bookmarkStart w:id="92" w:name="P92"/>
    <w:bookmarkEnd w:id="92"/>
    <w:p>
      <w:pPr>
        <w:pStyle w:val="0"/>
        <w:spacing w:before="200" w:lineRule="auto"/>
        <w:ind w:firstLine="540"/>
        <w:jc w:val="both"/>
      </w:pPr>
      <w:r>
        <w:rPr>
          <w:sz w:val="20"/>
        </w:rPr>
        <w:t xml:space="preserve">2.2.2.1. На дату не ранее 30 календарных дней до даты подачи заявки в Комитет на едином налоговом счете участника конкурсного отбора отсутствует задолженность по уплате налогов, сборов и страховых взносов в бюджеты бюджетной системы Российской Федерации либо размер указанной задолженности не превышает размера, определенного в </w:t>
      </w:r>
      <w:hyperlink w:history="0" r:id="rId25"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w:t>
      </w:r>
    </w:p>
    <w:bookmarkStart w:id="93" w:name="P93"/>
    <w:bookmarkEnd w:id="93"/>
    <w:p>
      <w:pPr>
        <w:pStyle w:val="0"/>
        <w:spacing w:before="200" w:lineRule="auto"/>
        <w:ind w:firstLine="540"/>
        <w:jc w:val="both"/>
      </w:pPr>
      <w:r>
        <w:rPr>
          <w:sz w:val="20"/>
        </w:rPr>
        <w:t xml:space="preserve">2.2.2.2. На дату не ранее 30 календарных дней до 1 числа месяца, в котором планируется проведение конкурсного отбора, у участника конкурсного отбора отсутствует просроченная задолженность по возврату в бюджет Санкт-Петербурга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бюджетом Санкт-Петербурга.</w:t>
      </w:r>
    </w:p>
    <w:p>
      <w:pPr>
        <w:pStyle w:val="0"/>
        <w:spacing w:before="200" w:lineRule="auto"/>
        <w:ind w:firstLine="540"/>
        <w:jc w:val="both"/>
      </w:pPr>
      <w:r>
        <w:rPr>
          <w:sz w:val="20"/>
        </w:rPr>
        <w:t xml:space="preserve">2.2.2.3. У участника конкурсного отбора отсутствуют нарушения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при использовании денежных средств, предоставляемых из бюджета Санкт-Петербурга, за период не менее одного календарного года, предшествующего году получения субсидии.</w:t>
      </w:r>
    </w:p>
    <w:p>
      <w:pPr>
        <w:pStyle w:val="0"/>
        <w:spacing w:before="200" w:lineRule="auto"/>
        <w:ind w:firstLine="540"/>
        <w:jc w:val="both"/>
      </w:pPr>
      <w:r>
        <w:rPr>
          <w:sz w:val="20"/>
        </w:rPr>
        <w:t xml:space="preserve">2.2.2.4. Размер средней заработной платы каждого работника участника конкурсного отбора (включая работников обособленных подразделений, находящихся на территории Санкт-Петербурга), рассчитываемый в соответствии со </w:t>
      </w:r>
      <w:hyperlink w:history="0" r:id="rId26"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на 2025 год.</w:t>
      </w:r>
    </w:p>
    <w:p>
      <w:pPr>
        <w:pStyle w:val="0"/>
        <w:ind w:firstLine="540"/>
        <w:jc w:val="both"/>
      </w:pPr>
      <w:r>
        <w:rPr>
          <w:sz w:val="20"/>
        </w:rPr>
      </w:r>
    </w:p>
    <w:p>
      <w:pPr>
        <w:pStyle w:val="2"/>
        <w:outlineLvl w:val="1"/>
        <w:jc w:val="center"/>
      </w:pPr>
      <w:r>
        <w:rPr>
          <w:sz w:val="20"/>
        </w:rPr>
        <w:t xml:space="preserve">3. Порядок представления заявок</w:t>
      </w:r>
    </w:p>
    <w:p>
      <w:pPr>
        <w:pStyle w:val="0"/>
        <w:ind w:firstLine="540"/>
        <w:jc w:val="both"/>
      </w:pPr>
      <w:r>
        <w:rPr>
          <w:sz w:val="20"/>
        </w:rPr>
      </w:r>
    </w:p>
    <w:p>
      <w:pPr>
        <w:pStyle w:val="0"/>
        <w:ind w:firstLine="540"/>
        <w:jc w:val="both"/>
      </w:pPr>
      <w:r>
        <w:rPr>
          <w:sz w:val="20"/>
        </w:rPr>
        <w:t xml:space="preserve">3.1. Информация о проведении конкурсного отбора получателей субсидий размещается Комитетом на официальном сайте Комитета в разделе "Сведения о бюджете" и на Площадке отбора.</w:t>
      </w:r>
    </w:p>
    <w:p>
      <w:pPr>
        <w:pStyle w:val="0"/>
        <w:spacing w:before="200" w:lineRule="auto"/>
        <w:ind w:firstLine="540"/>
        <w:jc w:val="both"/>
      </w:pPr>
      <w:r>
        <w:rPr>
          <w:sz w:val="20"/>
        </w:rPr>
        <w:t xml:space="preserve">3.2. Прием заявок осуществляется в электронном виде посредством АИС БП-ЭК. Проведение отбора получателей субсидий проводится на Площадке отбора в АИС БП-ЭК. Руководство пользователя по проведению процедуры отбора размещено в разделе "Поддержка" </w:t>
      </w:r>
      <w:hyperlink w:history="0" r:id="rId27">
        <w:r>
          <w:rPr>
            <w:sz w:val="20"/>
            <w:color w:val="0000ff"/>
          </w:rPr>
          <w:t xml:space="preserve">edo.fincom.gov.spb.ru/subsidy-lk/navigator/</w:t>
        </w:r>
      </w:hyperlink>
      <w:r>
        <w:rPr>
          <w:sz w:val="20"/>
        </w:rPr>
        <w:t xml:space="preserve">.</w:t>
      </w:r>
    </w:p>
    <w:p>
      <w:pPr>
        <w:pStyle w:val="0"/>
        <w:spacing w:before="200" w:lineRule="auto"/>
        <w:ind w:firstLine="540"/>
        <w:jc w:val="both"/>
      </w:pPr>
      <w:r>
        <w:rPr>
          <w:sz w:val="20"/>
        </w:rPr>
        <w:t xml:space="preserve">3.3. Информация об веб-странице официального сайта Комитета, на которой размещается объявление, о его отмене и извещение о ходе и результатах конкурсного отбора публикуется на едином портале.</w:t>
      </w:r>
    </w:p>
    <w:p>
      <w:pPr>
        <w:pStyle w:val="0"/>
        <w:spacing w:before="200" w:lineRule="auto"/>
        <w:ind w:firstLine="540"/>
        <w:jc w:val="both"/>
      </w:pPr>
      <w:r>
        <w:rPr>
          <w:sz w:val="20"/>
        </w:rPr>
        <w:t xml:space="preserve">Размещение объявления на официальном сайте Комитета и в АИС БП-ЭК осуществляется не ранее размещения сведений о субсидии на едином портале в соответствии с </w:t>
      </w:r>
      <w:hyperlink w:history="0" w:anchor="P61" w:tooltip="1.5. Сведения о субсидиях размещаются на едином портале бюджетной системы Российской Федерации в информационно-телекоммуникационной сети &quot;Интернет&quot; (далее соответственно - сеть &quot;Интернет&quot;, единый портал)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главных распорядителей бюджетных средств.">
        <w:r>
          <w:rPr>
            <w:sz w:val="20"/>
            <w:color w:val="0000ff"/>
          </w:rPr>
          <w:t xml:space="preserve">пунктом 1.5</w:t>
        </w:r>
      </w:hyperlink>
      <w:r>
        <w:rPr>
          <w:sz w:val="20"/>
        </w:rPr>
        <w:t xml:space="preserve"> настоящего Порядка.</w:t>
      </w:r>
    </w:p>
    <w:bookmarkStart w:id="103" w:name="P103"/>
    <w:bookmarkEnd w:id="103"/>
    <w:p>
      <w:pPr>
        <w:pStyle w:val="0"/>
        <w:spacing w:before="200" w:lineRule="auto"/>
        <w:ind w:firstLine="540"/>
        <w:jc w:val="both"/>
      </w:pPr>
      <w:r>
        <w:rPr>
          <w:sz w:val="20"/>
        </w:rPr>
        <w:t xml:space="preserve">3.4. Размещение объявления на официальном сайте Комитета и в АИС БП-ЭК осуществляется в сроки, устанавливаемые Комитетом, с указанием сведений, перечисленных в </w:t>
      </w:r>
      <w:hyperlink w:history="0" r:id="rId2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 определенных в соответствии с положениями настоящего Порядка и нормативного правового акта Комитета, регулирующего отдельные вопросы предоставления субсидий. Порядок предоставления участникам конкурсного отбора разъяснения положений объявления утверждается Комитетом.</w:t>
      </w:r>
    </w:p>
    <w:p>
      <w:pPr>
        <w:pStyle w:val="0"/>
        <w:spacing w:before="200" w:lineRule="auto"/>
        <w:ind w:firstLine="540"/>
        <w:jc w:val="both"/>
      </w:pPr>
      <w:r>
        <w:rPr>
          <w:sz w:val="20"/>
        </w:rPr>
        <w:t xml:space="preserve">Заявка представляется СОНКО, претендующей на получение субсидии, в сроки и в порядке, которые указаны в объявлении.</w:t>
      </w:r>
    </w:p>
    <w:p>
      <w:pPr>
        <w:pStyle w:val="0"/>
        <w:spacing w:before="200" w:lineRule="auto"/>
        <w:ind w:firstLine="540"/>
        <w:jc w:val="both"/>
      </w:pPr>
      <w:r>
        <w:rPr>
          <w:sz w:val="20"/>
        </w:rPr>
        <w:t xml:space="preserve">Порядок подачи заявок и документов, отзыва и возврата заявок, порядок возврата заявок на доработку, а также порядок внесения изменений в представленные заявки и документы утверждаются Комитетом.</w:t>
      </w:r>
    </w:p>
    <w:p>
      <w:pPr>
        <w:pStyle w:val="0"/>
        <w:spacing w:before="200" w:lineRule="auto"/>
        <w:ind w:firstLine="540"/>
        <w:jc w:val="both"/>
      </w:pPr>
      <w:r>
        <w:rPr>
          <w:sz w:val="20"/>
        </w:rPr>
        <w:t xml:space="preserve">СОНКО, претендующие на получение субсидий, несут ответственность за сведения и информацию, которые содержатся в поданных ими в Комитет заявках и документах.</w:t>
      </w:r>
    </w:p>
    <w:p>
      <w:pPr>
        <w:pStyle w:val="0"/>
        <w:spacing w:before="200" w:lineRule="auto"/>
        <w:ind w:firstLine="540"/>
        <w:jc w:val="both"/>
      </w:pPr>
      <w:r>
        <w:rPr>
          <w:sz w:val="20"/>
        </w:rPr>
        <w:t xml:space="preserve">3.5. Форма заявки утверждается Комитетом.</w:t>
      </w:r>
    </w:p>
    <w:p>
      <w:pPr>
        <w:pStyle w:val="0"/>
        <w:spacing w:before="200" w:lineRule="auto"/>
        <w:ind w:firstLine="540"/>
        <w:jc w:val="both"/>
      </w:pPr>
      <w:r>
        <w:rPr>
          <w:sz w:val="20"/>
        </w:rPr>
        <w:t xml:space="preserve">Заявки и документы, представленные по истечении срока, указанного в </w:t>
      </w:r>
      <w:hyperlink w:history="0" w:anchor="P103" w:tooltip="3.4. Размещение объявления на официальном сайте Комитета и в АИС БП-ЭК осуществляется в сроки, устанавливаемые Комитетом, с указанием сведений, перечисленных в пункте 21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
        <w:r>
          <w:rPr>
            <w:sz w:val="20"/>
            <w:color w:val="0000ff"/>
          </w:rPr>
          <w:t xml:space="preserve">пункте 3.4</w:t>
        </w:r>
      </w:hyperlink>
      <w:r>
        <w:rPr>
          <w:sz w:val="20"/>
        </w:rPr>
        <w:t xml:space="preserve"> настоящего Порядка, не принимаются и не рассматриваются Комитетом. Датой подачи заявки является дата ее автоматической регистрации.</w:t>
      </w:r>
    </w:p>
    <w:p>
      <w:pPr>
        <w:pStyle w:val="0"/>
        <w:spacing w:before="200" w:lineRule="auto"/>
        <w:ind w:firstLine="540"/>
        <w:jc w:val="both"/>
      </w:pPr>
      <w:r>
        <w:rPr>
          <w:sz w:val="20"/>
        </w:rPr>
        <w:t xml:space="preserve">3.6. СОНКО, претендующие на получение субсидий, в случае необходимости направляют в письменной форме в Комитет запрос, продублировав его направление в электронной форме на адрес электронной почты info@krt.gov.spb.ru, о представлении разъяснений положений, содержащихся в объявлении. В течение трех рабочих дней с даты поступления указанного запроса Комитет направляет в письменной форме или в форме электронного документа разъяснения положений, содержащихся в объявлении, если указанный запрос поступил в Комитет не позднее чем за семь рабочих дней до даты окончания срока подачи заявок.</w:t>
      </w:r>
    </w:p>
    <w:p>
      <w:pPr>
        <w:pStyle w:val="0"/>
        <w:ind w:firstLine="540"/>
        <w:jc w:val="both"/>
      </w:pPr>
      <w:r>
        <w:rPr>
          <w:sz w:val="20"/>
        </w:rPr>
      </w:r>
    </w:p>
    <w:p>
      <w:pPr>
        <w:pStyle w:val="2"/>
        <w:outlineLvl w:val="1"/>
        <w:jc w:val="center"/>
      </w:pPr>
      <w:r>
        <w:rPr>
          <w:sz w:val="20"/>
        </w:rPr>
        <w:t xml:space="preserve">4. Порядок рассмотрения заявок и документов</w:t>
      </w:r>
    </w:p>
    <w:p>
      <w:pPr>
        <w:pStyle w:val="0"/>
        <w:ind w:firstLine="540"/>
        <w:jc w:val="both"/>
      </w:pPr>
      <w:r>
        <w:rPr>
          <w:sz w:val="20"/>
        </w:rPr>
      </w:r>
    </w:p>
    <w:bookmarkStart w:id="113" w:name="P113"/>
    <w:bookmarkEnd w:id="113"/>
    <w:p>
      <w:pPr>
        <w:pStyle w:val="0"/>
        <w:ind w:firstLine="540"/>
        <w:jc w:val="both"/>
      </w:pPr>
      <w:r>
        <w:rPr>
          <w:sz w:val="20"/>
        </w:rPr>
        <w:t xml:space="preserve">4.1. Заявки и прилагаемые к ним в соответствии с Перечнем документы, поданные СОНКО, претендующими на получение субсидий, в течение 15 рабочих дней после даты окончания подачи заявок подлежат рассмотрению рабочей группой в целях формирования заключения, содержащего рекомендации к допуску таких СОНКО к участию в конкурсном отборе.</w:t>
      </w:r>
    </w:p>
    <w:p>
      <w:pPr>
        <w:pStyle w:val="0"/>
        <w:spacing w:before="200" w:lineRule="auto"/>
        <w:ind w:firstLine="540"/>
        <w:jc w:val="both"/>
      </w:pPr>
      <w:r>
        <w:rPr>
          <w:sz w:val="20"/>
        </w:rPr>
        <w:t xml:space="preserve">4.2. По результатам рассмотрения заявок и документов рабочая группа оформляет заключение о результатах рассмотрения заявок и документов (далее - заключение). Заключение носит рекомендательный характер.</w:t>
      </w:r>
    </w:p>
    <w:p>
      <w:pPr>
        <w:pStyle w:val="0"/>
        <w:spacing w:before="200" w:lineRule="auto"/>
        <w:ind w:firstLine="540"/>
        <w:jc w:val="both"/>
      </w:pPr>
      <w:r>
        <w:rPr>
          <w:sz w:val="20"/>
        </w:rPr>
        <w:t xml:space="preserve">В заключении указываются:</w:t>
      </w:r>
    </w:p>
    <w:p>
      <w:pPr>
        <w:pStyle w:val="0"/>
        <w:spacing w:before="200" w:lineRule="auto"/>
        <w:ind w:firstLine="540"/>
        <w:jc w:val="both"/>
      </w:pPr>
      <w:r>
        <w:rPr>
          <w:sz w:val="20"/>
        </w:rPr>
        <w:t xml:space="preserve">соблюдение (несоблюдение) условий предоставления субсидий, а также требований к участникам конкурсного отбора, установленных настоящим Порядком;</w:t>
      </w:r>
    </w:p>
    <w:p>
      <w:pPr>
        <w:pStyle w:val="0"/>
        <w:spacing w:before="200" w:lineRule="auto"/>
        <w:ind w:firstLine="540"/>
        <w:jc w:val="both"/>
      </w:pPr>
      <w:r>
        <w:rPr>
          <w:sz w:val="20"/>
        </w:rPr>
        <w:t xml:space="preserve">достоверность (недостоверность) сведений и информации, содержащихся в заявках и документах, рассмотрение которых проводится рабочей группой в соответствии с </w:t>
      </w:r>
      <w:hyperlink w:history="0" w:anchor="P113" w:tooltip="4.1. Заявки и прилагаемые к ним в соответствии с Перечнем документы, поданные СОНКО, претендующими на получение субсидий, в течение 15 рабочих дней после даты окончания подачи заявок подлежат рассмотрению рабочей группой в целях формирования заключения, содержащего рекомендации к допуску таких СОНКО к участию в конкурсном отборе.">
        <w:r>
          <w:rPr>
            <w:sz w:val="20"/>
            <w:color w:val="0000ff"/>
          </w:rPr>
          <w:t xml:space="preserve">пунктом 4.1</w:t>
        </w:r>
      </w:hyperlink>
      <w:r>
        <w:rPr>
          <w:sz w:val="20"/>
        </w:rPr>
        <w:t xml:space="preserve"> настоящего Порядка;</w:t>
      </w:r>
    </w:p>
    <w:p>
      <w:pPr>
        <w:pStyle w:val="0"/>
        <w:spacing w:before="200" w:lineRule="auto"/>
        <w:ind w:firstLine="540"/>
        <w:jc w:val="both"/>
      </w:pPr>
      <w:r>
        <w:rPr>
          <w:sz w:val="20"/>
        </w:rPr>
        <w:t xml:space="preserve">соответствие (несоответствие) представленного комплекта документов Перечню;</w:t>
      </w:r>
    </w:p>
    <w:p>
      <w:pPr>
        <w:pStyle w:val="0"/>
        <w:spacing w:before="200" w:lineRule="auto"/>
        <w:ind w:firstLine="540"/>
        <w:jc w:val="both"/>
      </w:pPr>
      <w:r>
        <w:rPr>
          <w:sz w:val="20"/>
        </w:rPr>
        <w:t xml:space="preserve">наличие (отсутствие) бюджетных ассигнований на предоставление субсидий на день рассмотрения заявок и документов.</w:t>
      </w:r>
    </w:p>
    <w:p>
      <w:pPr>
        <w:pStyle w:val="0"/>
        <w:spacing w:before="200" w:lineRule="auto"/>
        <w:ind w:firstLine="540"/>
        <w:jc w:val="both"/>
      </w:pPr>
      <w:r>
        <w:rPr>
          <w:sz w:val="20"/>
        </w:rPr>
        <w:t xml:space="preserve">В случае обнаружения арифметических ошибок в расчете размера субсидии рабочая группа отражает указанную информацию в заключении.</w:t>
      </w:r>
    </w:p>
    <w:p>
      <w:pPr>
        <w:pStyle w:val="0"/>
        <w:spacing w:before="200" w:lineRule="auto"/>
        <w:ind w:firstLine="540"/>
        <w:jc w:val="both"/>
      </w:pPr>
      <w:r>
        <w:rPr>
          <w:sz w:val="20"/>
        </w:rPr>
        <w:t xml:space="preserve">Общая сумма фактически понесенных документально подтвержденных затрат, в том числе по направлениям затрат, не подлежащим возмещению в соответствии с настоящим Порядком (далее - общая сумма подтвержденных затрат), определяется рабочей группой на основании представленных СОНКО документов, подтверждающих фактически произведенные им затраты.</w:t>
      </w:r>
    </w:p>
    <w:p>
      <w:pPr>
        <w:pStyle w:val="0"/>
        <w:spacing w:before="200" w:lineRule="auto"/>
        <w:ind w:firstLine="540"/>
        <w:jc w:val="both"/>
      </w:pPr>
      <w:r>
        <w:rPr>
          <w:sz w:val="20"/>
        </w:rPr>
        <w:t xml:space="preserve">Предельный размер затрат, подлежащих возмещению за счет средств субсидии, рассчитывается рабочей группой, в соответствии с </w:t>
      </w:r>
      <w:hyperlink w:history="0" w:anchor="P147" w:tooltip="5.5. Размер субсидии, предоставляемой конкретному получателю субсидии (Ритог), рассчитывается на основании набранного участниками конкурсного отбора количества баллов по каждой заявке, суммы затрат, понесенных участниками отбора в соответствии с направлениями затрат, подлежащими возмещению за счет средств субсидии, и предельными объемами их возмещения, установленными в приложении N 1 к настоящему Порядку, по следующим формулам:">
        <w:r>
          <w:rPr>
            <w:sz w:val="20"/>
            <w:color w:val="0000ff"/>
          </w:rPr>
          <w:t xml:space="preserve">пунктом 5.5</w:t>
        </w:r>
      </w:hyperlink>
      <w:r>
        <w:rPr>
          <w:sz w:val="20"/>
        </w:rPr>
        <w:t xml:space="preserve"> настоящего Порядка и не может составлять более 50 процентов от общей суммы подтвержденных затрат.</w:t>
      </w:r>
    </w:p>
    <w:p>
      <w:pPr>
        <w:pStyle w:val="0"/>
        <w:spacing w:before="200" w:lineRule="auto"/>
        <w:ind w:firstLine="540"/>
        <w:jc w:val="both"/>
      </w:pPr>
      <w:r>
        <w:rPr>
          <w:sz w:val="20"/>
        </w:rPr>
        <w:t xml:space="preserve">В заключении указывается рекомендательное решение рабочей группы о допуске (недопуске) СОНКО к участию в конкурсном отборе и о предельном размере возмещения затрат, понесенных СОНКО и подлежащих возмещению за счет средств субсидии.</w:t>
      </w:r>
    </w:p>
    <w:p>
      <w:pPr>
        <w:pStyle w:val="0"/>
        <w:spacing w:before="200" w:lineRule="auto"/>
        <w:ind w:firstLine="540"/>
        <w:jc w:val="both"/>
      </w:pPr>
      <w:r>
        <w:rPr>
          <w:sz w:val="20"/>
        </w:rPr>
        <w:t xml:space="preserve">4.3. Рабочая группа в течение трех рабочих дней со дня подписания заключения обеспечивает его передачу конкурсной комиссии вместе с заявками и документами в целях рассмотрения их на основании заключений и принятия решения о допуске (недопуске) к участию в конкурсном отборе.</w:t>
      </w:r>
    </w:p>
    <w:p>
      <w:pPr>
        <w:pStyle w:val="0"/>
        <w:ind w:firstLine="540"/>
        <w:jc w:val="both"/>
      </w:pPr>
      <w:r>
        <w:rPr>
          <w:sz w:val="20"/>
        </w:rPr>
      </w:r>
    </w:p>
    <w:p>
      <w:pPr>
        <w:pStyle w:val="2"/>
        <w:outlineLvl w:val="1"/>
        <w:jc w:val="center"/>
      </w:pPr>
      <w:r>
        <w:rPr>
          <w:sz w:val="20"/>
        </w:rPr>
        <w:t xml:space="preserve">5. Порядок проведения конкурсного отбора</w:t>
      </w:r>
    </w:p>
    <w:p>
      <w:pPr>
        <w:pStyle w:val="0"/>
        <w:ind w:firstLine="540"/>
        <w:jc w:val="both"/>
      </w:pPr>
      <w:r>
        <w:rPr>
          <w:sz w:val="20"/>
        </w:rPr>
      </w:r>
    </w:p>
    <w:p>
      <w:pPr>
        <w:pStyle w:val="0"/>
        <w:ind w:firstLine="540"/>
        <w:jc w:val="both"/>
      </w:pPr>
      <w:r>
        <w:rPr>
          <w:sz w:val="20"/>
        </w:rPr>
        <w:t xml:space="preserve">5.1. В течение 20 рабочих дней с даты получения направленных рабочей группой заявок и заключения конкурсная комиссия рассматривает их и на своем заседании принимает решение о допуске (недопуске) СОНКО, претендующих на получение субсидий, к участию в конкурсном отборе.</w:t>
      </w:r>
    </w:p>
    <w:p>
      <w:pPr>
        <w:pStyle w:val="0"/>
        <w:spacing w:before="200" w:lineRule="auto"/>
        <w:ind w:firstLine="540"/>
        <w:jc w:val="both"/>
      </w:pPr>
      <w:r>
        <w:rPr>
          <w:sz w:val="20"/>
        </w:rPr>
        <w:t xml:space="preserve">В рамках принятия решения о допуске СОНКО, претендующего на получение субсидии, к участию в конкурсном отборе конкурсной комиссией может быть принято решение об отклонении заявки по следующим основаниям:</w:t>
      </w:r>
    </w:p>
    <w:p>
      <w:pPr>
        <w:pStyle w:val="0"/>
        <w:spacing w:before="200" w:lineRule="auto"/>
        <w:ind w:firstLine="540"/>
        <w:jc w:val="both"/>
      </w:pPr>
      <w:r>
        <w:rPr>
          <w:sz w:val="20"/>
        </w:rPr>
        <w:t xml:space="preserve">несоответствие СОНКО требованиям, установленным настоящим Порядком;</w:t>
      </w:r>
    </w:p>
    <w:p>
      <w:pPr>
        <w:pStyle w:val="0"/>
        <w:spacing w:before="200" w:lineRule="auto"/>
        <w:ind w:firstLine="540"/>
        <w:jc w:val="both"/>
      </w:pPr>
      <w:r>
        <w:rPr>
          <w:sz w:val="20"/>
        </w:rPr>
        <w:t xml:space="preserve">несоответствие представленных СОНКО заявки и(или) документов требованиям, указанным в объявлении;</w:t>
      </w:r>
    </w:p>
    <w:p>
      <w:pPr>
        <w:pStyle w:val="0"/>
        <w:spacing w:before="200" w:lineRule="auto"/>
        <w:ind w:firstLine="540"/>
        <w:jc w:val="both"/>
      </w:pPr>
      <w:r>
        <w:rPr>
          <w:sz w:val="20"/>
        </w:rPr>
        <w:t xml:space="preserve">непредставление (представление не в полном объеме) документов, указанных в объявлении;</w:t>
      </w:r>
    </w:p>
    <w:p>
      <w:pPr>
        <w:pStyle w:val="0"/>
        <w:spacing w:before="200" w:lineRule="auto"/>
        <w:ind w:firstLine="540"/>
        <w:jc w:val="both"/>
      </w:pPr>
      <w:r>
        <w:rPr>
          <w:sz w:val="20"/>
        </w:rPr>
        <w:t xml:space="preserve">подачу участником конкурсного отбора после даты и(или) времени, определенных для подачи заявок;</w:t>
      </w:r>
    </w:p>
    <w:p>
      <w:pPr>
        <w:pStyle w:val="0"/>
        <w:spacing w:before="200" w:lineRule="auto"/>
        <w:ind w:firstLine="540"/>
        <w:jc w:val="both"/>
      </w:pPr>
      <w:r>
        <w:rPr>
          <w:sz w:val="20"/>
        </w:rPr>
        <w:t xml:space="preserve">недостоверность информации, содержащейся в документах, представленных СОНКО в целях подтверждения соответствия требованиям, установленным в настоящем Порядке.</w:t>
      </w:r>
    </w:p>
    <w:p>
      <w:pPr>
        <w:pStyle w:val="0"/>
        <w:spacing w:before="200" w:lineRule="auto"/>
        <w:ind w:firstLine="540"/>
        <w:jc w:val="both"/>
      </w:pPr>
      <w:r>
        <w:rPr>
          <w:sz w:val="20"/>
        </w:rPr>
        <w:t xml:space="preserve">Отклонение заявки осуществляется посредством Площадки отбора в АИС БП-ЭК с указанием основания для отклонения.</w:t>
      </w:r>
    </w:p>
    <w:p>
      <w:pPr>
        <w:pStyle w:val="0"/>
        <w:spacing w:before="200" w:lineRule="auto"/>
        <w:ind w:firstLine="540"/>
        <w:jc w:val="both"/>
      </w:pPr>
      <w:r>
        <w:rPr>
          <w:sz w:val="20"/>
        </w:rPr>
        <w:t xml:space="preserve">Решение конкурсной комиссии о допуске СОНКО к участию в конкурсе оформляется посредством Площадки отбора в АИС БП-ЭК протоколом конкурсной комиссии (далее - протокол допуска) в соответствии с правилами, установленными Комитетом.</w:t>
      </w:r>
    </w:p>
    <w:p>
      <w:pPr>
        <w:pStyle w:val="0"/>
        <w:spacing w:before="200" w:lineRule="auto"/>
        <w:ind w:firstLine="540"/>
        <w:jc w:val="both"/>
      </w:pPr>
      <w:r>
        <w:rPr>
          <w:sz w:val="20"/>
        </w:rPr>
        <w:t xml:space="preserve">В протоколе допуска в том числе отражается информация о сроке рассмотрения заявок, последовательности их оценки, допуске или недопуске к конкурсному отбору.</w:t>
      </w:r>
    </w:p>
    <w:p>
      <w:pPr>
        <w:pStyle w:val="0"/>
        <w:spacing w:before="200" w:lineRule="auto"/>
        <w:ind w:firstLine="540"/>
        <w:jc w:val="both"/>
      </w:pPr>
      <w:r>
        <w:rPr>
          <w:sz w:val="20"/>
        </w:rPr>
        <w:t xml:space="preserve">Допущенное к участию в конкурсном отборе СОНКО становится участником конкурсного отбора.</w:t>
      </w:r>
    </w:p>
    <w:p>
      <w:pPr>
        <w:pStyle w:val="0"/>
        <w:spacing w:before="200" w:lineRule="auto"/>
        <w:ind w:firstLine="540"/>
        <w:jc w:val="both"/>
      </w:pPr>
      <w:r>
        <w:rPr>
          <w:sz w:val="20"/>
        </w:rPr>
        <w:t xml:space="preserve">5.2. В случае отсутствия заявок или при несоответствии всех СОНКО, подавших заявки, условиям предоставления субсидий и(или) требованиям к участникам конкурсного отбора, конкурсный отбор признается несостоявшимся.</w:t>
      </w:r>
    </w:p>
    <w:p>
      <w:pPr>
        <w:pStyle w:val="0"/>
        <w:spacing w:before="200" w:lineRule="auto"/>
        <w:ind w:firstLine="540"/>
        <w:jc w:val="both"/>
      </w:pPr>
      <w:r>
        <w:rPr>
          <w:sz w:val="20"/>
        </w:rPr>
        <w:t xml:space="preserve">Объявление о признании отбора несостоявшимся подписывается руководителем Комитета или иным уполномоченным лицом и размещается на Площадке отбора в АИС БП-ЭК и на официальном сайте Комитета в течение трех рабочих дней со дня принятия решения о признании отбора несостоявшимся.</w:t>
      </w:r>
    </w:p>
    <w:p>
      <w:pPr>
        <w:pStyle w:val="0"/>
        <w:spacing w:before="200" w:lineRule="auto"/>
        <w:ind w:firstLine="540"/>
        <w:jc w:val="both"/>
      </w:pPr>
      <w:r>
        <w:rPr>
          <w:sz w:val="20"/>
        </w:rPr>
        <w:t xml:space="preserve">5.3. Конкурсная комиссия может отменить конкурсный отбор в случае возникновения обстоятельств непреодолимой силы в соответствии с </w:t>
      </w:r>
      <w:hyperlink w:history="0" r:id="rId29"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0"/>
            <w:color w:val="0000ff"/>
          </w:rPr>
          <w:t xml:space="preserve">пунктом 3 статьи 401</w:t>
        </w:r>
      </w:hyperlink>
      <w:r>
        <w:rPr>
          <w:sz w:val="20"/>
        </w:rPr>
        <w:t xml:space="preserve"> Гражданского кодекса Российской Федерации, в случае уменьшения Комитету ранее доведенных лимитов бюджетных обязательств, приводящего к невозможности предоставления субсидии.</w:t>
      </w:r>
    </w:p>
    <w:p>
      <w:pPr>
        <w:pStyle w:val="0"/>
        <w:spacing w:before="200" w:lineRule="auto"/>
        <w:ind w:firstLine="540"/>
        <w:jc w:val="both"/>
      </w:pPr>
      <w:r>
        <w:rPr>
          <w:sz w:val="20"/>
        </w:rPr>
        <w:t xml:space="preserve">Участники конкурсного отбора, подавшие заявки, информируются об отмене проведения отбора в АИС БП-ЭК и на официальном сайте Комитета.</w:t>
      </w:r>
    </w:p>
    <w:p>
      <w:pPr>
        <w:pStyle w:val="0"/>
        <w:spacing w:before="200" w:lineRule="auto"/>
        <w:ind w:firstLine="540"/>
        <w:jc w:val="both"/>
      </w:pPr>
      <w:r>
        <w:rPr>
          <w:sz w:val="20"/>
        </w:rPr>
        <w:t xml:space="preserve">Отбор считается отмененным со дня размещения объявления о его отмене в АИС БП-ЭК и на официальном сайте Комитета.</w:t>
      </w:r>
    </w:p>
    <w:p>
      <w:pPr>
        <w:pStyle w:val="0"/>
        <w:spacing w:before="200" w:lineRule="auto"/>
        <w:ind w:firstLine="540"/>
        <w:jc w:val="both"/>
      </w:pPr>
      <w:r>
        <w:rPr>
          <w:sz w:val="20"/>
        </w:rPr>
        <w:t xml:space="preserve">5.4. Определение победителей конкурсного отбора среди участников конкурсного отбора производится конкурсной комиссией в соответствии с </w:t>
      </w:r>
      <w:hyperlink w:history="0" w:anchor="P330" w:tooltip="КРИТЕРИИ">
        <w:r>
          <w:rPr>
            <w:sz w:val="20"/>
            <w:color w:val="0000ff"/>
          </w:rPr>
          <w:t xml:space="preserve">критериями</w:t>
        </w:r>
      </w:hyperlink>
      <w:r>
        <w:rPr>
          <w:sz w:val="20"/>
        </w:rPr>
        <w:t xml:space="preserve"> оценки, установленными в приложении N 2 к настоящему Порядку.</w:t>
      </w:r>
    </w:p>
    <w:p>
      <w:pPr>
        <w:pStyle w:val="0"/>
        <w:spacing w:before="200" w:lineRule="auto"/>
        <w:ind w:firstLine="540"/>
        <w:jc w:val="both"/>
      </w:pPr>
      <w:r>
        <w:rPr>
          <w:sz w:val="20"/>
        </w:rPr>
        <w:t xml:space="preserve">Решение конкурсной комиссии оформляется посредством Площадки отбора в АИС БП-ЭК в виде протокола подведения итогов конкурсной комиссии (далее - протокол подведения итогов), который размещается на едином портале и на официальном сайте Комитета не позднее 14-го календарного дня, следующего за днем определения победителя конкурсного отбора.</w:t>
      </w:r>
    </w:p>
    <w:p>
      <w:pPr>
        <w:pStyle w:val="0"/>
        <w:spacing w:before="200" w:lineRule="auto"/>
        <w:ind w:firstLine="540"/>
        <w:jc w:val="both"/>
      </w:pPr>
      <w:r>
        <w:rPr>
          <w:sz w:val="20"/>
        </w:rPr>
        <w:t xml:space="preserve">В протоколе подведения итогов в том числе отражается информация о сроке рассмотрения заявок, последовательности их оценки, присвоенных заявкам значений по каждому из предусмотренных критериев оценки, а также о принятом на основании результатов оценки заявок решении о присвоении заявкам порядковых номеров в соответствии с правилами, установленными Комитетом.</w:t>
      </w:r>
    </w:p>
    <w:bookmarkStart w:id="147" w:name="P147"/>
    <w:bookmarkEnd w:id="147"/>
    <w:p>
      <w:pPr>
        <w:pStyle w:val="0"/>
        <w:spacing w:before="200" w:lineRule="auto"/>
        <w:ind w:firstLine="540"/>
        <w:jc w:val="both"/>
      </w:pPr>
      <w:r>
        <w:rPr>
          <w:sz w:val="20"/>
        </w:rPr>
        <w:t xml:space="preserve">5.5. Размер субсидии, предоставляемой конкретному получателю субсидии (Ритог), рассчитывается на основании набранного участниками конкурсного отбора количества баллов по каждой заявке, суммы затрат, понесенных участниками отбора в соответствии с направлениями затрат, подлежащими возмещению за счет средств субсидии, и предельными объемами их возмещения, установленными в </w:t>
      </w:r>
      <w:hyperlink w:history="0" w:anchor="P264" w:tooltip="НАПРАВЛЕНИЯ">
        <w:r>
          <w:rPr>
            <w:sz w:val="20"/>
            <w:color w:val="0000ff"/>
          </w:rPr>
          <w:t xml:space="preserve">приложении N 1</w:t>
        </w:r>
      </w:hyperlink>
      <w:r>
        <w:rPr>
          <w:sz w:val="20"/>
        </w:rPr>
        <w:t xml:space="preserve"> к настоящему Порядку, по следующим формулам:</w:t>
      </w:r>
    </w:p>
    <w:p>
      <w:pPr>
        <w:pStyle w:val="0"/>
        <w:ind w:firstLine="540"/>
        <w:jc w:val="both"/>
      </w:pPr>
      <w:r>
        <w:rPr>
          <w:sz w:val="20"/>
        </w:rPr>
      </w:r>
    </w:p>
    <w:p>
      <w:pPr>
        <w:pStyle w:val="0"/>
        <w:jc w:val="center"/>
      </w:pPr>
      <w:r>
        <w:rPr>
          <w:sz w:val="20"/>
        </w:rPr>
        <w:t xml:space="preserve">Ритог = Р сзб x К,</w:t>
      </w:r>
    </w:p>
    <w:p>
      <w:pPr>
        <w:pStyle w:val="0"/>
        <w:jc w:val="center"/>
      </w:pPr>
      <w:r>
        <w:rPr>
          <w:sz w:val="20"/>
        </w:rPr>
      </w:r>
    </w:p>
    <w:p>
      <w:pPr>
        <w:pStyle w:val="0"/>
        <w:ind w:firstLine="540"/>
        <w:jc w:val="both"/>
      </w:pPr>
      <w:r>
        <w:rPr>
          <w:sz w:val="20"/>
        </w:rPr>
        <w:t xml:space="preserve">где:</w:t>
      </w:r>
    </w:p>
    <w:p>
      <w:pPr>
        <w:pStyle w:val="0"/>
        <w:ind w:firstLine="540"/>
        <w:jc w:val="both"/>
      </w:pPr>
      <w:r>
        <w:rPr>
          <w:sz w:val="20"/>
        </w:rPr>
      </w:r>
    </w:p>
    <w:p>
      <w:pPr>
        <w:pStyle w:val="0"/>
        <w:jc w:val="center"/>
      </w:pPr>
      <w:r>
        <w:rPr>
          <w:position w:val="-20"/>
        </w:rPr>
        <w:drawing>
          <wp:inline distT="0" distB="0" distL="0" distR="0">
            <wp:extent cx="113347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1133475" cy="390525"/>
                    </a:xfrm>
                    <a:prstGeom prst="rect">
                      <a:avLst/>
                    </a:prstGeom>
                    <a:noFill/>
                    <a:ln>
                      <a:noFill/>
                    </a:ln>
                  </pic:spPr>
                </pic:pic>
              </a:graphicData>
            </a:graphic>
          </wp:inline>
        </w:drawing>
      </w:r>
    </w:p>
    <w:p>
      <w:pPr>
        <w:pStyle w:val="0"/>
        <w:ind w:firstLine="540"/>
        <w:jc w:val="both"/>
      </w:pPr>
      <w:r>
        <w:rPr>
          <w:sz w:val="20"/>
        </w:rPr>
      </w:r>
    </w:p>
    <w:p>
      <w:pPr>
        <w:pStyle w:val="0"/>
        <w:jc w:val="center"/>
      </w:pPr>
      <w:r>
        <w:rPr>
          <w:position w:val="-25"/>
        </w:rPr>
        <w:drawing>
          <wp:inline distT="0" distB="0" distL="0" distR="0">
            <wp:extent cx="866775"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866775" cy="447675"/>
                    </a:xfrm>
                    <a:prstGeom prst="rect">
                      <a:avLst/>
                    </a:prstGeom>
                    <a:noFill/>
                    <a:ln>
                      <a:noFill/>
                    </a:ln>
                  </pic:spPr>
                </pic:pic>
              </a:graphicData>
            </a:graphic>
          </wp:inline>
        </w:drawing>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Рсзб - расчетный размер субсидии в соответствии с набранными баллами, руб.;</w:t>
      </w:r>
    </w:p>
    <w:p>
      <w:pPr>
        <w:pStyle w:val="0"/>
        <w:spacing w:before="200" w:lineRule="auto"/>
        <w:ind w:firstLine="540"/>
        <w:jc w:val="both"/>
      </w:pPr>
      <w:r>
        <w:rPr>
          <w:sz w:val="20"/>
        </w:rPr>
        <w:t xml:space="preserve">Нб - количество набранных баллов;</w:t>
      </w:r>
    </w:p>
    <w:p>
      <w:pPr>
        <w:pStyle w:val="0"/>
        <w:spacing w:before="200" w:lineRule="auto"/>
        <w:ind w:firstLine="540"/>
        <w:jc w:val="both"/>
      </w:pPr>
      <w:r>
        <w:rPr>
          <w:sz w:val="20"/>
        </w:rPr>
        <w:t xml:space="preserve">Рпд - запрашиваемый размер субсидии, подтвержденный первичными учетными документами, представленными организацией - победителем конкурсного отбора, по направлениям затрат, подлежащим возмещению за счет средств субсидии, и в соответствии с предельными объемами их возмещения, установленными в </w:t>
      </w:r>
      <w:hyperlink w:history="0" w:anchor="P264" w:tooltip="НАПРАВЛЕНИЯ">
        <w:r>
          <w:rPr>
            <w:sz w:val="20"/>
            <w:color w:val="0000ff"/>
          </w:rPr>
          <w:t xml:space="preserve">приложении N 1</w:t>
        </w:r>
      </w:hyperlink>
      <w:r>
        <w:rPr>
          <w:sz w:val="20"/>
        </w:rPr>
        <w:t xml:space="preserve"> к настоящему Порядку, руб.;</w:t>
      </w:r>
    </w:p>
    <w:p>
      <w:pPr>
        <w:pStyle w:val="0"/>
        <w:spacing w:before="200" w:lineRule="auto"/>
        <w:ind w:firstLine="540"/>
        <w:jc w:val="both"/>
      </w:pPr>
      <w:r>
        <w:rPr>
          <w:sz w:val="20"/>
        </w:rPr>
        <w:t xml:space="preserve">К - коэффициент, устанавливаемый в случае, если совокупный размер субсидии без учета указанного коэффициента </w:t>
      </w:r>
      <w:r>
        <w:rPr>
          <w:position w:val="-10"/>
        </w:rPr>
        <w:drawing>
          <wp:inline distT="0" distB="0" distL="0" distR="0">
            <wp:extent cx="6191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619125" cy="257175"/>
                    </a:xfrm>
                    <a:prstGeom prst="rect">
                      <a:avLst/>
                    </a:prstGeom>
                    <a:noFill/>
                    <a:ln>
                      <a:noFill/>
                    </a:ln>
                  </pic:spPr>
                </pic:pic>
              </a:graphicData>
            </a:graphic>
          </wp:inline>
        </w:drawing>
      </w:r>
      <w:r>
        <w:rPr>
          <w:sz w:val="20"/>
        </w:rPr>
        <w:t xml:space="preserve"> превышает остаток бюджетных ассигнований;</w:t>
      </w:r>
    </w:p>
    <w:p>
      <w:pPr>
        <w:pStyle w:val="0"/>
        <w:spacing w:before="200" w:lineRule="auto"/>
        <w:ind w:firstLine="540"/>
        <w:jc w:val="both"/>
      </w:pPr>
      <w:r>
        <w:rPr>
          <w:sz w:val="20"/>
        </w:rPr>
        <w:t xml:space="preserve">Б - размер бюджетных ассигнований, предусмотренных сводной бюджетной росписью расходов бюджета Санкт-Петербурга.</w:t>
      </w:r>
    </w:p>
    <w:p>
      <w:pPr>
        <w:pStyle w:val="0"/>
        <w:ind w:firstLine="540"/>
        <w:jc w:val="both"/>
      </w:pPr>
      <w:r>
        <w:rPr>
          <w:sz w:val="20"/>
        </w:rPr>
      </w:r>
    </w:p>
    <w:p>
      <w:pPr>
        <w:pStyle w:val="0"/>
        <w:ind w:firstLine="540"/>
        <w:jc w:val="both"/>
      </w:pPr>
      <w:r>
        <w:rPr>
          <w:sz w:val="20"/>
        </w:rPr>
        <w:t xml:space="preserve">В случае если совокупный размер субсидии </w:t>
      </w:r>
      <w:r>
        <w:rPr>
          <w:position w:val="-10"/>
        </w:rPr>
        <w:drawing>
          <wp:inline distT="0" distB="0" distL="0" distR="0">
            <wp:extent cx="6191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619125" cy="257175"/>
                    </a:xfrm>
                    <a:prstGeom prst="rect">
                      <a:avLst/>
                    </a:prstGeom>
                    <a:noFill/>
                    <a:ln>
                      <a:noFill/>
                    </a:ln>
                  </pic:spPr>
                </pic:pic>
              </a:graphicData>
            </a:graphic>
          </wp:inline>
        </w:drawing>
      </w:r>
      <w:r>
        <w:rPr>
          <w:sz w:val="20"/>
        </w:rPr>
        <w:t xml:space="preserve"> превышает остаток бюджетных ассигнований, субсидии выплачиваются всем получателям субсидий с учетом единого понижающего коэффициента (К), рассчитанного как отношение объема остатка бюджетных ассигнований к совокупному размеру субсидий по всем получателям субсидий.</w:t>
      </w:r>
    </w:p>
    <w:p>
      <w:pPr>
        <w:pStyle w:val="0"/>
        <w:spacing w:before="200" w:lineRule="auto"/>
        <w:ind w:firstLine="540"/>
        <w:jc w:val="both"/>
      </w:pPr>
      <w:r>
        <w:rPr>
          <w:sz w:val="20"/>
        </w:rPr>
        <w:t xml:space="preserve">Размер предоставляемой субсидии не может превышать размера понесенных затрат без учета НДС, подтвержденного первичными учетными документами, представленными претендентом на получение субсидии.</w:t>
      </w:r>
    </w:p>
    <w:p>
      <w:pPr>
        <w:pStyle w:val="0"/>
        <w:spacing w:before="200" w:lineRule="auto"/>
        <w:ind w:firstLine="540"/>
        <w:jc w:val="both"/>
      </w:pPr>
      <w:r>
        <w:rPr>
          <w:sz w:val="20"/>
        </w:rPr>
        <w:t xml:space="preserve">Размер субсидии, предоставляемой за одно мероприятие, не может превышать 10 млн руб., при этом не может быть более 50 процентов от общей суммы подтвержденных затрат.</w:t>
      </w:r>
    </w:p>
    <w:p>
      <w:pPr>
        <w:pStyle w:val="0"/>
        <w:spacing w:before="200" w:lineRule="auto"/>
        <w:ind w:firstLine="540"/>
        <w:jc w:val="both"/>
      </w:pPr>
      <w:r>
        <w:rPr>
          <w:sz w:val="20"/>
        </w:rPr>
        <w:t xml:space="preserve">5.6. Решение конкурсной комиссии принимается простым большинством голосов присутствующих на заседании конкурсной комиссии членов конкурсной комиссии. При равенстве голосов решающим является голос председательствующего на заседании конкурсной комиссии. Заседание конкурсной комиссии считается правомочным, если на нем присутствует не менее половины ее членов. При отсутствии необходимого количества числа членов конкурсной комиссии заседание конкурсной комиссии переносится на дату не позднее трех дней после первого назначенного заседания.</w:t>
      </w:r>
    </w:p>
    <w:p>
      <w:pPr>
        <w:pStyle w:val="0"/>
        <w:spacing w:before="200" w:lineRule="auto"/>
        <w:ind w:firstLine="540"/>
        <w:jc w:val="both"/>
      </w:pPr>
      <w:r>
        <w:rPr>
          <w:sz w:val="20"/>
        </w:rPr>
        <w:t xml:space="preserve">5.7. Решение конкурсной комиссии оформляется протоколом подведения итогов конкурсного отбора, который не позднее 1 рабочего дня, следующего за днем определения победителей отбора, размещается на Площадке отбора и официальном сайте Комитета.</w:t>
      </w:r>
    </w:p>
    <w:p>
      <w:pPr>
        <w:pStyle w:val="0"/>
        <w:spacing w:before="200" w:lineRule="auto"/>
        <w:ind w:firstLine="540"/>
        <w:jc w:val="both"/>
      </w:pPr>
      <w:r>
        <w:rPr>
          <w:sz w:val="20"/>
        </w:rPr>
        <w:t xml:space="preserve">Протокол подведения итогов конкурсного отбора включает в себя следующие сведения:</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дата, время и место оценки заявок;</w:t>
      </w:r>
    </w:p>
    <w:p>
      <w:pPr>
        <w:pStyle w:val="0"/>
        <w:spacing w:before="200" w:lineRule="auto"/>
        <w:ind w:firstLine="540"/>
        <w:jc w:val="both"/>
      </w:pPr>
      <w:r>
        <w:rPr>
          <w:sz w:val="20"/>
        </w:rPr>
        <w:t xml:space="preserve">информация об участниках конкурсного отбора, заявки которых были рассмотрены;</w:t>
      </w:r>
    </w:p>
    <w:p>
      <w:pPr>
        <w:pStyle w:val="0"/>
        <w:spacing w:before="200" w:lineRule="auto"/>
        <w:ind w:firstLine="540"/>
        <w:jc w:val="both"/>
      </w:pPr>
      <w:r>
        <w:rPr>
          <w:sz w:val="20"/>
        </w:rPr>
        <w:t xml:space="preserve">информация об участниках конкурсного отбора, заявки которых были отклонены, с указанием причин их отклонения, в том числе положений объявления, которым не соответствуют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наименование получателя субсидии, с которым заключается Соглашение, размер предоставляемой ему субсидии.</w:t>
      </w:r>
    </w:p>
    <w:p>
      <w:pPr>
        <w:pStyle w:val="0"/>
        <w:spacing w:before="200" w:lineRule="auto"/>
        <w:ind w:firstLine="540"/>
        <w:jc w:val="both"/>
      </w:pPr>
      <w:r>
        <w:rPr>
          <w:sz w:val="20"/>
        </w:rPr>
        <w:t xml:space="preserve">5.8. В случае несогласия с решением конкурсной комиссии любой из членов конкурсной комиссии вправе выразить особое мнение, которое отражается в протоколе либо приобщается к протоколу в виде отдельного документа.</w:t>
      </w:r>
    </w:p>
    <w:p>
      <w:pPr>
        <w:pStyle w:val="0"/>
        <w:spacing w:before="200" w:lineRule="auto"/>
        <w:ind w:firstLine="540"/>
        <w:jc w:val="both"/>
      </w:pPr>
      <w:r>
        <w:rPr>
          <w:sz w:val="20"/>
        </w:rPr>
        <w:t xml:space="preserve">5.9. С участником отбора, признанным победителем отбора в соответствии с настоящим Порядком, заключается Соглашение.</w:t>
      </w:r>
    </w:p>
    <w:p>
      <w:pPr>
        <w:pStyle w:val="0"/>
        <w:spacing w:before="200" w:lineRule="auto"/>
        <w:ind w:firstLine="540"/>
        <w:jc w:val="both"/>
      </w:pPr>
      <w:r>
        <w:rPr>
          <w:sz w:val="20"/>
        </w:rPr>
        <w:t xml:space="preserve">В течение 10 рабочих дней со дня подписания протокола секретарь конкурсной комиссии уведомляет в электронном виде участников конкурсного отбора:</w:t>
      </w:r>
    </w:p>
    <w:p>
      <w:pPr>
        <w:pStyle w:val="0"/>
        <w:spacing w:before="200" w:lineRule="auto"/>
        <w:ind w:firstLine="540"/>
        <w:jc w:val="both"/>
      </w:pPr>
      <w:r>
        <w:rPr>
          <w:sz w:val="20"/>
        </w:rPr>
        <w:t xml:space="preserve">о непризнании победителем конкурсного отбора и непредоставлении субсидии с указанием причин отказа;</w:t>
      </w:r>
    </w:p>
    <w:p>
      <w:pPr>
        <w:pStyle w:val="0"/>
        <w:spacing w:before="200" w:lineRule="auto"/>
        <w:ind w:firstLine="540"/>
        <w:jc w:val="both"/>
      </w:pPr>
      <w:r>
        <w:rPr>
          <w:sz w:val="20"/>
        </w:rPr>
        <w:t xml:space="preserve">о признании победителем конкурсного отбора и предоставлении субсидии с указанием размера предоставляемой субсидии.</w:t>
      </w:r>
    </w:p>
    <w:p>
      <w:pPr>
        <w:pStyle w:val="0"/>
        <w:spacing w:before="200" w:lineRule="auto"/>
        <w:ind w:firstLine="540"/>
        <w:jc w:val="both"/>
      </w:pPr>
      <w:r>
        <w:rPr>
          <w:sz w:val="20"/>
        </w:rPr>
        <w:t xml:space="preserve">Основанием для непризнания участника отбора победителем отбора является суммарная доля баллов, набранных им при оценке его заявки, менее 40 баллов.</w:t>
      </w:r>
    </w:p>
    <w:p>
      <w:pPr>
        <w:pStyle w:val="0"/>
        <w:spacing w:before="200" w:lineRule="auto"/>
        <w:ind w:firstLine="540"/>
        <w:jc w:val="both"/>
      </w:pPr>
      <w:r>
        <w:rPr>
          <w:sz w:val="20"/>
        </w:rPr>
        <w:t xml:space="preserve">Основаниями для отказа в предоставлении субсидии являются:</w:t>
      </w:r>
    </w:p>
    <w:p>
      <w:pPr>
        <w:pStyle w:val="0"/>
        <w:spacing w:before="200" w:lineRule="auto"/>
        <w:ind w:firstLine="540"/>
        <w:jc w:val="both"/>
      </w:pPr>
      <w:r>
        <w:rPr>
          <w:sz w:val="20"/>
        </w:rPr>
        <w:t xml:space="preserve">непризнание участника конкурсного отбора победителем конкурсного отбора;</w:t>
      </w:r>
    </w:p>
    <w:p>
      <w:pPr>
        <w:pStyle w:val="0"/>
        <w:spacing w:before="200" w:lineRule="auto"/>
        <w:ind w:firstLine="540"/>
        <w:jc w:val="both"/>
      </w:pPr>
      <w:r>
        <w:rPr>
          <w:sz w:val="20"/>
        </w:rPr>
        <w:t xml:space="preserve">отсутствие бюджетных ассигнований на предоставление субсидий.</w:t>
      </w:r>
    </w:p>
    <w:bookmarkStart w:id="185" w:name="P185"/>
    <w:bookmarkEnd w:id="185"/>
    <w:p>
      <w:pPr>
        <w:pStyle w:val="0"/>
        <w:spacing w:before="200" w:lineRule="auto"/>
        <w:ind w:firstLine="540"/>
        <w:jc w:val="both"/>
      </w:pPr>
      <w:r>
        <w:rPr>
          <w:sz w:val="20"/>
        </w:rPr>
        <w:t xml:space="preserve">5.10. В случае если по решению конкурсной комиссии размер предоставляемой субсидии отличается от размера субсидии, заявленного участником конкурсного отбора, секретарь конкурсной комиссии уведомляет об этом получателей субсидий.</w:t>
      </w:r>
    </w:p>
    <w:p>
      <w:pPr>
        <w:pStyle w:val="0"/>
        <w:spacing w:before="200" w:lineRule="auto"/>
        <w:ind w:firstLine="540"/>
        <w:jc w:val="both"/>
      </w:pPr>
      <w:r>
        <w:rPr>
          <w:sz w:val="20"/>
        </w:rPr>
        <w:t xml:space="preserve">5.11. Участник конкурсного отбора в случае, указанном в </w:t>
      </w:r>
      <w:hyperlink w:history="0" w:anchor="P185" w:tooltip="5.10. В случае если по решению конкурсной комиссии размер предоставляемой субсидии отличается от размера субсидии, заявленного участником конкурсного отбора, секретарь конкурсной комиссии уведомляет об этом получателей субсидий.">
        <w:r>
          <w:rPr>
            <w:sz w:val="20"/>
            <w:color w:val="0000ff"/>
          </w:rPr>
          <w:t xml:space="preserve">пункте 5.10</w:t>
        </w:r>
      </w:hyperlink>
      <w:r>
        <w:rPr>
          <w:sz w:val="20"/>
        </w:rPr>
        <w:t xml:space="preserve"> настоящего Порядка, может выбрать один из следующих вариантов:</w:t>
      </w:r>
    </w:p>
    <w:p>
      <w:pPr>
        <w:pStyle w:val="0"/>
        <w:spacing w:before="200" w:lineRule="auto"/>
        <w:ind w:firstLine="540"/>
        <w:jc w:val="both"/>
      </w:pPr>
      <w:r>
        <w:rPr>
          <w:sz w:val="20"/>
        </w:rPr>
        <w:t xml:space="preserve">согласиться с суммой предоставляемой субсидии;</w:t>
      </w:r>
    </w:p>
    <w:p>
      <w:pPr>
        <w:pStyle w:val="0"/>
        <w:spacing w:before="200" w:lineRule="auto"/>
        <w:ind w:firstLine="540"/>
        <w:jc w:val="both"/>
      </w:pPr>
      <w:r>
        <w:rPr>
          <w:sz w:val="20"/>
        </w:rPr>
        <w:t xml:space="preserve">отказаться от предоставления субсидии.</w:t>
      </w:r>
    </w:p>
    <w:p>
      <w:pPr>
        <w:pStyle w:val="0"/>
        <w:spacing w:before="200" w:lineRule="auto"/>
        <w:ind w:firstLine="540"/>
        <w:jc w:val="both"/>
      </w:pPr>
      <w:r>
        <w:rPr>
          <w:sz w:val="20"/>
        </w:rPr>
        <w:t xml:space="preserve">О принятом решении участник конкурсного отбора обязан проинформировать Комитет в письменном виде или посредством электронной почты на адрес info@krt.gov.spb.ru в течение трех рабочих дней со дня уведомления, указанного в </w:t>
      </w:r>
      <w:hyperlink w:history="0" w:anchor="P185" w:tooltip="5.10. В случае если по решению конкурсной комиссии размер предоставляемой субсидии отличается от размера субсидии, заявленного участником конкурсного отбора, секретарь конкурсной комиссии уведомляет об этом получателей субсидий.">
        <w:r>
          <w:rPr>
            <w:sz w:val="20"/>
            <w:color w:val="0000ff"/>
          </w:rPr>
          <w:t xml:space="preserve">пункте 5.10</w:t>
        </w:r>
      </w:hyperlink>
      <w:r>
        <w:rPr>
          <w:sz w:val="20"/>
        </w:rPr>
        <w:t xml:space="preserve"> настоящего Порядка.</w:t>
      </w:r>
    </w:p>
    <w:p>
      <w:pPr>
        <w:pStyle w:val="0"/>
        <w:spacing w:before="200" w:lineRule="auto"/>
        <w:ind w:firstLine="540"/>
        <w:jc w:val="both"/>
      </w:pPr>
      <w:r>
        <w:rPr>
          <w:sz w:val="20"/>
        </w:rPr>
        <w:t xml:space="preserve">В случае отказа претендента от предоставления субсидии данная сумма субсидии подлежит возврату в бюджет Санкт-Петербурга.</w:t>
      </w:r>
    </w:p>
    <w:p>
      <w:pPr>
        <w:pStyle w:val="0"/>
        <w:spacing w:before="200" w:lineRule="auto"/>
        <w:ind w:firstLine="540"/>
        <w:jc w:val="both"/>
      </w:pPr>
      <w:r>
        <w:rPr>
          <w:sz w:val="20"/>
        </w:rPr>
        <w:t xml:space="preserve">5.12. В течение 15 рабочих дней со дня подписания конкурсной комиссией протокола Комитет принимает решение о предоставлении субсидий путем издания распоряжения о предоставлении субсидий (далее - распоряжение Комитета), в котором указываются получатели субсидий и размеры предоставляемых им субсидий.</w:t>
      </w:r>
    </w:p>
    <w:p>
      <w:pPr>
        <w:pStyle w:val="0"/>
        <w:spacing w:before="200" w:lineRule="auto"/>
        <w:ind w:firstLine="540"/>
        <w:jc w:val="both"/>
      </w:pPr>
      <w:r>
        <w:rPr>
          <w:sz w:val="20"/>
        </w:rPr>
        <w:t xml:space="preserve">5.13. Порядок взаимодействия Комитета с участниками конкурсного отбора по вопросам, связанным с конкурсным отбором, в том числе способы такого взаимодействия, устанавливается Комитетом.</w:t>
      </w:r>
    </w:p>
    <w:p>
      <w:pPr>
        <w:pStyle w:val="0"/>
        <w:ind w:firstLine="540"/>
        <w:jc w:val="both"/>
      </w:pPr>
      <w:r>
        <w:rPr>
          <w:sz w:val="20"/>
        </w:rPr>
      </w:r>
    </w:p>
    <w:p>
      <w:pPr>
        <w:pStyle w:val="2"/>
        <w:outlineLvl w:val="1"/>
        <w:jc w:val="center"/>
      </w:pPr>
      <w:r>
        <w:rPr>
          <w:sz w:val="20"/>
        </w:rPr>
        <w:t xml:space="preserve">6. Порядок заключения Соглашения</w:t>
      </w:r>
    </w:p>
    <w:p>
      <w:pPr>
        <w:pStyle w:val="0"/>
        <w:ind w:firstLine="540"/>
        <w:jc w:val="both"/>
      </w:pPr>
      <w:r>
        <w:rPr>
          <w:sz w:val="20"/>
        </w:rPr>
      </w:r>
    </w:p>
    <w:p>
      <w:pPr>
        <w:pStyle w:val="0"/>
        <w:ind w:firstLine="540"/>
        <w:jc w:val="both"/>
      </w:pPr>
      <w:r>
        <w:rPr>
          <w:sz w:val="20"/>
        </w:rPr>
        <w:t xml:space="preserve">6.1. В соответствии с распоряжением Комитета между Комитетом и конкретным получателем субсидии заключается Соглашение в соответствии с типовой формой, утвержденной Комитетом финансов Санкт-Петербурга (далее - Типовая форма).</w:t>
      </w:r>
    </w:p>
    <w:bookmarkStart w:id="197" w:name="P197"/>
    <w:bookmarkEnd w:id="197"/>
    <w:p>
      <w:pPr>
        <w:pStyle w:val="0"/>
        <w:spacing w:before="200" w:lineRule="auto"/>
        <w:ind w:firstLine="540"/>
        <w:jc w:val="both"/>
      </w:pPr>
      <w:r>
        <w:rPr>
          <w:sz w:val="20"/>
        </w:rPr>
        <w:t xml:space="preserve">6.2. Соглашение формируется в форме электронного документа и подписывается усиленными квалифицированными электронными подписями (далее - УКЭП) лиц, имеющих право действовать от имени каждой из сторон Соглашения, в АИС БП-ЭК.</w:t>
      </w:r>
    </w:p>
    <w:p>
      <w:pPr>
        <w:pStyle w:val="0"/>
        <w:spacing w:before="200" w:lineRule="auto"/>
        <w:ind w:firstLine="540"/>
        <w:jc w:val="both"/>
      </w:pPr>
      <w:r>
        <w:rPr>
          <w:sz w:val="20"/>
        </w:rPr>
        <w:t xml:space="preserve">Комитет не позднее трех рабочих дней с даты издания распоряжения Комитета направляет получателю субсидии посредством АИС БП-ЭК проект Соглашения, который подлежит подписанию в АИС БП-ЭК со стороны получателя субсидии в течение трех рабочих дней с даты его получения. В случае неподписания проекта Соглашения со стороны получателя субсидии в срок, установленный в настоящем абзаце, получатель субсидии признается уклонившимся от заключения Соглашения, а распоряжение Комитета подлежит признанию утратившим силу полностью или в соответствующей части (если распоряжение Комитета издано в отношении нескольких получателей субсидий).</w:t>
      </w:r>
    </w:p>
    <w:p>
      <w:pPr>
        <w:pStyle w:val="0"/>
        <w:spacing w:before="200" w:lineRule="auto"/>
        <w:ind w:firstLine="540"/>
        <w:jc w:val="both"/>
      </w:pPr>
      <w:r>
        <w:rPr>
          <w:sz w:val="20"/>
        </w:rPr>
        <w:t xml:space="preserve">Подписанный со стороны получателя субсидии проект Соглашения подлежит подписанию в АИС БП-ЭК со стороны Комитета, после чего Соглашение считается заключенным.</w:t>
      </w:r>
    </w:p>
    <w:p>
      <w:pPr>
        <w:pStyle w:val="0"/>
        <w:spacing w:before="200" w:lineRule="auto"/>
        <w:ind w:firstLine="540"/>
        <w:jc w:val="both"/>
      </w:pPr>
      <w:r>
        <w:rPr>
          <w:sz w:val="20"/>
        </w:rPr>
        <w:t xml:space="preserve">Срок заключения Соглашения не должен превышать семи рабочих дней с даты издания распоряжения Комитета.</w:t>
      </w:r>
    </w:p>
    <w:p>
      <w:pPr>
        <w:pStyle w:val="0"/>
        <w:spacing w:before="200" w:lineRule="auto"/>
        <w:ind w:firstLine="540"/>
        <w:jc w:val="both"/>
      </w:pPr>
      <w:r>
        <w:rPr>
          <w:sz w:val="20"/>
        </w:rPr>
        <w:t xml:space="preserve">6.3. В Соглашение подлежат включению следующие условия, информация:</w:t>
      </w:r>
    </w:p>
    <w:p>
      <w:pPr>
        <w:pStyle w:val="0"/>
        <w:spacing w:before="200" w:lineRule="auto"/>
        <w:ind w:firstLine="540"/>
        <w:jc w:val="both"/>
      </w:pPr>
      <w:r>
        <w:rPr>
          <w:sz w:val="20"/>
        </w:rPr>
        <w:t xml:space="preserve">результат, характеристики и их значения;</w:t>
      </w:r>
    </w:p>
    <w:p>
      <w:pPr>
        <w:pStyle w:val="0"/>
        <w:spacing w:before="200" w:lineRule="auto"/>
        <w:ind w:firstLine="540"/>
        <w:jc w:val="both"/>
      </w:pPr>
      <w:r>
        <w:rPr>
          <w:sz w:val="20"/>
        </w:rPr>
        <w:t xml:space="preserve">условие о согласии получателя субсидии на проведение в отношении него Комитетом проверок соблюдения порядка и условий предоставления субсидии со стороны Комитета, а также проверок со стороны органов государственного финансового контроля в соответствии со </w:t>
      </w:r>
      <w:hyperlink w:history="0" r:id="rId33"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4"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условие о достижении результата;</w:t>
      </w:r>
    </w:p>
    <w:p>
      <w:pPr>
        <w:pStyle w:val="0"/>
        <w:spacing w:before="200" w:lineRule="auto"/>
        <w:ind w:firstLine="540"/>
        <w:jc w:val="both"/>
      </w:pPr>
      <w:r>
        <w:rPr>
          <w:sz w:val="20"/>
        </w:rPr>
        <w:t xml:space="preserve">условие о том, что в случае уменьшения бюджетных ассигнований и лимитов бюджетных обязательств, ранее доведенных Комитету на предоставление субсидии, приводящего к невозможности предоставления субсидии в размере, определенном в Соглашении, получатель субсидии обязуется заключить дополнительное соглашение к Соглашению, предусматривающее изменение размера субсидии или расторжение Соглашения при недостижении согласия по новым условиям, которое подлежит подписанию в порядке и сроки, которые установлены для подписания Соглашения в </w:t>
      </w:r>
      <w:hyperlink w:history="0" w:anchor="P197" w:tooltip="6.2. Соглашение формируется в форме электронного документа и подписывается усиленными квалифицированными электронными подписями (далее - УКЭП) лиц, имеющих право действовать от имени каждой из сторон Соглашения, в АИС БП-ЭК.">
        <w:r>
          <w:rPr>
            <w:sz w:val="20"/>
            <w:color w:val="0000ff"/>
          </w:rPr>
          <w:t xml:space="preserve">пункте 6.2</w:t>
        </w:r>
      </w:hyperlink>
      <w:r>
        <w:rPr>
          <w:sz w:val="20"/>
        </w:rPr>
        <w:t xml:space="preserve"> настоящего Порядка. В случае неподписания со стороны получателя субсидии проекта указанного дополнительного соглашения в установленный срок Соглашение подлежит расторжению.</w:t>
      </w:r>
    </w:p>
    <w:p>
      <w:pPr>
        <w:pStyle w:val="0"/>
        <w:spacing w:before="200" w:lineRule="auto"/>
        <w:ind w:firstLine="540"/>
        <w:jc w:val="both"/>
      </w:pPr>
      <w:r>
        <w:rPr>
          <w:sz w:val="20"/>
        </w:rPr>
        <w:t xml:space="preserve">6.4.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возмещения которых является субсидия.</w:t>
      </w:r>
    </w:p>
    <w:bookmarkStart w:id="208" w:name="P208"/>
    <w:bookmarkEnd w:id="208"/>
    <w:p>
      <w:pPr>
        <w:pStyle w:val="0"/>
        <w:spacing w:before="200" w:lineRule="auto"/>
        <w:ind w:firstLine="540"/>
        <w:jc w:val="both"/>
      </w:pPr>
      <w:r>
        <w:rPr>
          <w:sz w:val="20"/>
        </w:rPr>
        <w:t xml:space="preserve">6.5. Результатом является проведение конгрессно-выставочного мероприятия на территории Санкт-Петербурга в период с 01.07.2025 по 14.06.2026.</w:t>
      </w:r>
    </w:p>
    <w:p>
      <w:pPr>
        <w:pStyle w:val="0"/>
        <w:spacing w:before="200" w:lineRule="auto"/>
        <w:ind w:firstLine="540"/>
        <w:jc w:val="both"/>
      </w:pPr>
      <w:r>
        <w:rPr>
          <w:sz w:val="20"/>
        </w:rPr>
        <w:t xml:space="preserve">Типом результата предоставления субсидии в соответствии с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утвержденным Министерством финансов Российской Федерации, является оказание услуг (выполнение работ).</w:t>
      </w:r>
    </w:p>
    <w:p>
      <w:pPr>
        <w:pStyle w:val="0"/>
        <w:spacing w:before="200" w:lineRule="auto"/>
        <w:ind w:firstLine="540"/>
        <w:jc w:val="both"/>
      </w:pPr>
      <w:r>
        <w:rPr>
          <w:sz w:val="20"/>
        </w:rPr>
        <w:t xml:space="preserve">Характеристиками являются:</w:t>
      </w:r>
    </w:p>
    <w:p>
      <w:pPr>
        <w:pStyle w:val="0"/>
        <w:spacing w:before="200" w:lineRule="auto"/>
        <w:ind w:firstLine="540"/>
        <w:jc w:val="both"/>
      </w:pPr>
      <w:r>
        <w:rPr>
          <w:sz w:val="20"/>
        </w:rPr>
        <w:t xml:space="preserve">количество принявших участие в конгрессно-выставочном мероприятии иностранных делегатов (участников) и(или) делегатов из субъектов Российской Федерации, за исключением Санкт-Петербурга;</w:t>
      </w:r>
    </w:p>
    <w:p>
      <w:pPr>
        <w:pStyle w:val="0"/>
        <w:spacing w:before="200" w:lineRule="auto"/>
        <w:ind w:firstLine="540"/>
        <w:jc w:val="both"/>
      </w:pPr>
      <w:r>
        <w:rPr>
          <w:sz w:val="20"/>
        </w:rPr>
        <w:t xml:space="preserve">количество публикаций о конгрессно-выставочном мероприятии на отечественных и(или) зарубежных информационных ресурсах в сети "Интернет" (за исключением социальных сетей) и(или) в средствах массовой информации.</w:t>
      </w:r>
    </w:p>
    <w:p>
      <w:pPr>
        <w:pStyle w:val="0"/>
        <w:spacing w:before="200" w:lineRule="auto"/>
        <w:ind w:firstLine="540"/>
        <w:jc w:val="both"/>
      </w:pPr>
      <w:r>
        <w:rPr>
          <w:sz w:val="20"/>
        </w:rPr>
        <w:t xml:space="preserve">Значения характеристик указываются в Соглашении.</w:t>
      </w:r>
    </w:p>
    <w:p>
      <w:pPr>
        <w:pStyle w:val="0"/>
        <w:spacing w:before="200" w:lineRule="auto"/>
        <w:ind w:firstLine="540"/>
        <w:jc w:val="both"/>
      </w:pPr>
      <w:r>
        <w:rPr>
          <w:sz w:val="20"/>
        </w:rPr>
        <w:t xml:space="preserve">Порядок и сроки представления получателем субсидии отчетов о достижении значений результата и характеристик, порядок и сроки проверки и принятия Комитетом указанных отчетов утверждаются Комитетом.</w:t>
      </w:r>
    </w:p>
    <w:p>
      <w:pPr>
        <w:pStyle w:val="0"/>
        <w:spacing w:before="200" w:lineRule="auto"/>
        <w:ind w:firstLine="540"/>
        <w:jc w:val="both"/>
      </w:pPr>
      <w:r>
        <w:rPr>
          <w:sz w:val="20"/>
        </w:rPr>
        <w:t xml:space="preserve">6.6. Субсидия перечисляется на основании распоряжения Комитета и заключенного Соглашения единовременно на указанный в Соглашении счет получателя субсидии, открытый получателем субсидии в учреждениях Центрального банка Российской Федерации или кредитной организации, не позднее 15 рабочих дней с даты издания распоряжения Комитета, но не позднее 25.12.2026.</w:t>
      </w:r>
    </w:p>
    <w:p>
      <w:pPr>
        <w:pStyle w:val="0"/>
        <w:spacing w:before="200" w:lineRule="auto"/>
        <w:ind w:firstLine="540"/>
        <w:jc w:val="both"/>
      </w:pPr>
      <w:r>
        <w:rPr>
          <w:sz w:val="20"/>
        </w:rPr>
        <w:t xml:space="preserve">Средства субсидии не подлежат казначейскому сопровождению.</w:t>
      </w:r>
    </w:p>
    <w:p>
      <w:pPr>
        <w:pStyle w:val="0"/>
        <w:spacing w:before="200" w:lineRule="auto"/>
        <w:ind w:firstLine="540"/>
        <w:jc w:val="both"/>
      </w:pPr>
      <w:r>
        <w:rPr>
          <w:sz w:val="20"/>
        </w:rPr>
        <w:t xml:space="preserve">6.7. В случае уменьшения Комитету ранее доведенных лимитов бюджетных обязательств, приводящего к невозможности предоставления субсидии в размере, определенном в Соглашении, Комитет принимает решение об установлении новых условий, которые подлежат согласованию с получателем субсидии. При этом заключается дополнительное соглашение к Соглашению об уменьшении размера субсидии (далее - дополнительное соглашение) или дополнительное соглашение о расторжении Соглашения при недостижении согласия по новым условиям.</w:t>
      </w:r>
    </w:p>
    <w:p>
      <w:pPr>
        <w:pStyle w:val="0"/>
        <w:spacing w:before="200" w:lineRule="auto"/>
        <w:ind w:firstLine="540"/>
        <w:jc w:val="both"/>
      </w:pPr>
      <w:r>
        <w:rPr>
          <w:sz w:val="20"/>
        </w:rPr>
        <w:t xml:space="preserve">Комитет в течение пяти рабочих дней после уменьшения указанных лимитов бюджетных обязательств направляет получателю субсидий проект дополнительного соглашения (проект дополнительного соглашения о расторжении Соглашения) при достижении (недостижении) согласия по новым условиям посредством электронной почты, указанной в заявке. Получатель субсидий подписывает дополнительное соглашение (дополнительное соглашение о расторжении Соглашения) и направляет его в Комитет в течение пяти рабочих дней со дня его получения.</w:t>
      </w:r>
    </w:p>
    <w:p>
      <w:pPr>
        <w:pStyle w:val="0"/>
        <w:spacing w:before="200" w:lineRule="auto"/>
        <w:ind w:firstLine="540"/>
        <w:jc w:val="both"/>
      </w:pPr>
      <w:r>
        <w:rPr>
          <w:sz w:val="20"/>
        </w:rPr>
        <w:t xml:space="preserve">Проекты дополнительного соглашения и соглашения о расторжении Соглашения составляются в соответствии с Типовой формой.</w:t>
      </w:r>
    </w:p>
    <w:p>
      <w:pPr>
        <w:pStyle w:val="0"/>
        <w:ind w:firstLine="540"/>
        <w:jc w:val="both"/>
      </w:pPr>
      <w:r>
        <w:rPr>
          <w:sz w:val="20"/>
        </w:rPr>
      </w:r>
    </w:p>
    <w:p>
      <w:pPr>
        <w:pStyle w:val="2"/>
        <w:outlineLvl w:val="1"/>
        <w:jc w:val="center"/>
      </w:pPr>
      <w:r>
        <w:rPr>
          <w:sz w:val="20"/>
        </w:rPr>
        <w:t xml:space="preserve">7. Требования об осуществлении контроля за достижением</w:t>
      </w:r>
    </w:p>
    <w:p>
      <w:pPr>
        <w:pStyle w:val="2"/>
        <w:jc w:val="center"/>
      </w:pPr>
      <w:r>
        <w:rPr>
          <w:sz w:val="20"/>
        </w:rPr>
        <w:t xml:space="preserve">результата и характеристик, за соблюдением условий и порядка</w:t>
      </w:r>
    </w:p>
    <w:p>
      <w:pPr>
        <w:pStyle w:val="2"/>
        <w:jc w:val="center"/>
      </w:pPr>
      <w:r>
        <w:rPr>
          <w:sz w:val="20"/>
        </w:rPr>
        <w:t xml:space="preserve">предоставления субсидий и ответственность за их нарушение</w:t>
      </w:r>
    </w:p>
    <w:p>
      <w:pPr>
        <w:pStyle w:val="0"/>
        <w:ind w:firstLine="540"/>
        <w:jc w:val="both"/>
      </w:pPr>
      <w:r>
        <w:rPr>
          <w:sz w:val="20"/>
        </w:rPr>
      </w:r>
    </w:p>
    <w:p>
      <w:pPr>
        <w:pStyle w:val="0"/>
        <w:ind w:firstLine="540"/>
        <w:jc w:val="both"/>
      </w:pPr>
      <w:r>
        <w:rPr>
          <w:sz w:val="20"/>
        </w:rPr>
        <w:t xml:space="preserve">7.1. Комитет в установленный им срок осуществляет проверки соблюдения порядка и условий предоставления субсидий, в том числе в части достижения результатов предоставления субсидий, по результатам которых составляются акты проведения проверок (далее - акты).</w:t>
      </w:r>
    </w:p>
    <w:p>
      <w:pPr>
        <w:pStyle w:val="0"/>
        <w:spacing w:before="200" w:lineRule="auto"/>
        <w:ind w:firstLine="540"/>
        <w:jc w:val="both"/>
      </w:pPr>
      <w:r>
        <w:rPr>
          <w:sz w:val="20"/>
        </w:rPr>
        <w:t xml:space="preserve">Копия акта в течение пяти рабочих дней после его подписания направляется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7.2. В случае выявления при проведении проверок нарушений получателем субсидии условий и(или) порядка предоставления субсидии Комитет одновременно с подписанием акта направляет получателю субсидии уведомление о нарушениях условий предоставления субсидии (далее - уведомление), в котором указываются выявленные нарушения и сроки их устранения получателями субсидий (не менее трех и не более 10 рабочих дней).</w:t>
      </w:r>
    </w:p>
    <w:p>
      <w:pPr>
        <w:pStyle w:val="0"/>
        <w:spacing w:before="200" w:lineRule="auto"/>
        <w:ind w:firstLine="540"/>
        <w:jc w:val="both"/>
      </w:pPr>
      <w:r>
        <w:rPr>
          <w:sz w:val="20"/>
        </w:rPr>
        <w:t xml:space="preserve">Копия уведомления в течение пяти рабочих дней после его подписания направляется Комитетом в КГФК.</w:t>
      </w:r>
    </w:p>
    <w:p>
      <w:pPr>
        <w:pStyle w:val="0"/>
        <w:spacing w:before="200" w:lineRule="auto"/>
        <w:ind w:firstLine="540"/>
        <w:jc w:val="both"/>
      </w:pPr>
      <w:r>
        <w:rPr>
          <w:sz w:val="20"/>
        </w:rPr>
        <w:t xml:space="preserve">7.3. При устранении получателем субсидии нарушений в установленные в уведомлении сроки Комитет направляет в КГФК информацию об устранении нарушений в течение 15 рабочих дней после направления уведомления.</w:t>
      </w:r>
    </w:p>
    <w:bookmarkStart w:id="230" w:name="P230"/>
    <w:bookmarkEnd w:id="230"/>
    <w:p>
      <w:pPr>
        <w:pStyle w:val="0"/>
        <w:spacing w:before="200" w:lineRule="auto"/>
        <w:ind w:firstLine="540"/>
        <w:jc w:val="both"/>
      </w:pPr>
      <w:r>
        <w:rPr>
          <w:sz w:val="20"/>
        </w:rPr>
        <w:t xml:space="preserve">7.4. В случае неустранения получателем субсидии нарушений в установленные в уведомлении сроки Комитет в течение пяти рабочих дней со дня истечения указанных сроков принимает решение о возврате в бюджет Санкт-Петербурга средств субсидии в форме распоряжения и направляет копии указанного распоряжения получателю субсидии и в КГФК вместе с требованием к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bookmarkStart w:id="233" w:name="P233"/>
    <w:bookmarkEnd w:id="233"/>
    <w:p>
      <w:pPr>
        <w:pStyle w:val="0"/>
        <w:spacing w:before="200" w:lineRule="auto"/>
        <w:ind w:firstLine="540"/>
        <w:jc w:val="both"/>
      </w:pPr>
      <w:r>
        <w:rPr>
          <w:sz w:val="20"/>
        </w:rPr>
        <w:t xml:space="preserve">7.5. В случае выявления при проведении проверки недостижения получателем субсидии значений результата исходя из характеристик Комитет в течение пяти рабочих дней со дня подписания акта принимает решение о возврате в бюджет Санкт-Петербурга части средств субсидии в сумме, пропорциональной объему не достигнутых получателями субсидий характеристик, в форме распоряжения и направляет копии указанного распоряжения получателям субсидий и в КГФК вместе с требованием,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p>
      <w:pPr>
        <w:pStyle w:val="0"/>
        <w:spacing w:before="200" w:lineRule="auto"/>
        <w:ind w:firstLine="540"/>
        <w:jc w:val="both"/>
      </w:pPr>
      <w:r>
        <w:rPr>
          <w:sz w:val="20"/>
        </w:rPr>
        <w:t xml:space="preserve">Размер средств субсидии, подлежащих возврату (Р), ограничивается размером средств, в отношении которых были установлены факты нарушений, и рассчитывается по формуле:</w:t>
      </w:r>
    </w:p>
    <w:p>
      <w:pPr>
        <w:pStyle w:val="0"/>
        <w:ind w:firstLine="540"/>
        <w:jc w:val="both"/>
      </w:pPr>
      <w:r>
        <w:rPr>
          <w:sz w:val="20"/>
        </w:rPr>
      </w:r>
    </w:p>
    <w:p>
      <w:pPr>
        <w:pStyle w:val="0"/>
        <w:jc w:val="center"/>
      </w:pPr>
      <w:r>
        <w:rPr>
          <w:position w:val="-20"/>
        </w:rPr>
        <w:drawing>
          <wp:inline distT="0" distB="0" distL="0" distR="0">
            <wp:extent cx="134302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1343025" cy="3905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Fi - фактическое значение i-й характеристики;</w:t>
      </w:r>
    </w:p>
    <w:p>
      <w:pPr>
        <w:pStyle w:val="0"/>
        <w:spacing w:before="200" w:lineRule="auto"/>
        <w:ind w:firstLine="540"/>
        <w:jc w:val="both"/>
      </w:pPr>
      <w:r>
        <w:rPr>
          <w:sz w:val="20"/>
        </w:rPr>
        <w:t xml:space="preserve">Pi - плановое значение i-й характеристики согласно Соглашению;</w:t>
      </w:r>
    </w:p>
    <w:p>
      <w:pPr>
        <w:pStyle w:val="0"/>
        <w:spacing w:before="200" w:lineRule="auto"/>
        <w:ind w:firstLine="540"/>
        <w:jc w:val="both"/>
      </w:pPr>
      <w:r>
        <w:rPr>
          <w:sz w:val="20"/>
        </w:rPr>
        <w:t xml:space="preserve">V - размер субсидии, предоставленной получателю субсидии.</w:t>
      </w:r>
    </w:p>
    <w:p>
      <w:pPr>
        <w:pStyle w:val="0"/>
        <w:ind w:firstLine="540"/>
        <w:jc w:val="both"/>
      </w:pPr>
      <w:r>
        <w:rPr>
          <w:sz w:val="20"/>
        </w:rPr>
      </w:r>
    </w:p>
    <w:bookmarkStart w:id="246" w:name="P246"/>
    <w:bookmarkEnd w:id="246"/>
    <w:p>
      <w:pPr>
        <w:pStyle w:val="0"/>
        <w:ind w:firstLine="540"/>
        <w:jc w:val="both"/>
      </w:pPr>
      <w:r>
        <w:rPr>
          <w:sz w:val="20"/>
        </w:rPr>
        <w:t xml:space="preserve">7.6. Получатели субсидий обязаны осуществить возврат средств субсидий в течение семи рабочих дней со дня получения требования и копии распоряжения, указанных в </w:t>
      </w:r>
      <w:hyperlink w:history="0" w:anchor="P230" w:tooltip="7.4. В случае неустранения получателем субсидии нарушений в установленные в уведомлении сроки Комитет в течение пяти рабочих дней со дня истечения указанных сроков принимает решение о возврате в бюджет Санкт-Петербурга средств субсидии в форме распоряжения и направляет копии указанного распоряжения получателю субсидии и в КГФК вместе с требованием к получателю субсидии, в котором предусматриваются:">
        <w:r>
          <w:rPr>
            <w:sz w:val="20"/>
            <w:color w:val="0000ff"/>
          </w:rPr>
          <w:t xml:space="preserve">пунктах 7.4</w:t>
        </w:r>
      </w:hyperlink>
      <w:r>
        <w:rPr>
          <w:sz w:val="20"/>
        </w:rPr>
        <w:t xml:space="preserve"> и </w:t>
      </w:r>
      <w:hyperlink w:history="0" w:anchor="P233" w:tooltip="7.5. В случае выявления при проведении проверки недостижения получателем субсидии значений результата исходя из характеристик Комитет в течение пяти рабочих дней со дня подписания акта принимает решение о возврате в бюджет Санкт-Петербурга части средств субсидии в сумме, пропорциональной объему не достигнутых получателями субсидий характеристик, в форме распоряжения и направляет копии указанного распоряжения получателям субсидий и в КГФК вместе с требованием, в котором предусматриваются:">
        <w:r>
          <w:rPr>
            <w:sz w:val="20"/>
            <w:color w:val="0000ff"/>
          </w:rPr>
          <w:t xml:space="preserve">7.5</w:t>
        </w:r>
      </w:hyperlink>
      <w:r>
        <w:rPr>
          <w:sz w:val="20"/>
        </w:rPr>
        <w:t xml:space="preserve"> настоящего Порядка.</w:t>
      </w:r>
    </w:p>
    <w:p>
      <w:pPr>
        <w:pStyle w:val="0"/>
        <w:spacing w:before="200" w:lineRule="auto"/>
        <w:ind w:firstLine="540"/>
        <w:jc w:val="both"/>
      </w:pPr>
      <w:r>
        <w:rPr>
          <w:sz w:val="20"/>
        </w:rPr>
        <w:t xml:space="preserve">7.7. Проверка органами государственного финансового контроля осуществляется в соответствии со </w:t>
      </w:r>
      <w:hyperlink w:history="0" r:id="rId3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7.8. В случае если средства субсидии не возвращены получателем субсидии в бюджет Санкт-Петербурга в установленный в </w:t>
      </w:r>
      <w:hyperlink w:history="0" w:anchor="P246" w:tooltip="7.6. Получатели субсидий обязаны осуществить возврат средств субсидий в течение семи рабочих дней со дня получения требования и копии распоряжения, указанных в пунктах 7.4 и 7.5 настоящего Порядка.">
        <w:r>
          <w:rPr>
            <w:sz w:val="20"/>
            <w:color w:val="0000ff"/>
          </w:rPr>
          <w:t xml:space="preserve">пункте 7.6</w:t>
        </w:r>
      </w:hyperlink>
      <w:r>
        <w:rPr>
          <w:sz w:val="20"/>
        </w:rPr>
        <w:t xml:space="preserve"> настоящего Порядка срок, Комитет в течение 15 рабочих дней со дня истечения указанного срока направляет в суд исковое заявление о возврате средств субсидий в бюджет Санкт-Петербурга.</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настоящему Порядку, при отсутствии в них собственной терминологии (в том числе сокращенных понятий) используются в значениях, определенных настоящим Порядком.</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субсидий 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на организацию и проведение</w:t>
      </w:r>
    </w:p>
    <w:p>
      <w:pPr>
        <w:pStyle w:val="0"/>
        <w:jc w:val="right"/>
      </w:pPr>
      <w:r>
        <w:rPr>
          <w:sz w:val="20"/>
        </w:rPr>
        <w:t xml:space="preserve">в Санкт-Петербурге</w:t>
      </w:r>
    </w:p>
    <w:p>
      <w:pPr>
        <w:pStyle w:val="0"/>
        <w:jc w:val="right"/>
      </w:pPr>
      <w:r>
        <w:rPr>
          <w:sz w:val="20"/>
        </w:rPr>
        <w:t xml:space="preserve">конгрессно-выставочных мероприятий</w:t>
      </w:r>
    </w:p>
    <w:p>
      <w:pPr>
        <w:pStyle w:val="0"/>
        <w:jc w:val="right"/>
      </w:pPr>
      <w:r>
        <w:rPr>
          <w:sz w:val="20"/>
        </w:rPr>
      </w:r>
    </w:p>
    <w:bookmarkStart w:id="264" w:name="P264"/>
    <w:bookmarkEnd w:id="264"/>
    <w:p>
      <w:pPr>
        <w:pStyle w:val="2"/>
        <w:jc w:val="center"/>
      </w:pPr>
      <w:r>
        <w:rPr>
          <w:sz w:val="20"/>
        </w:rPr>
        <w:t xml:space="preserve">НАПРАВЛЕНИЯ</w:t>
      </w:r>
    </w:p>
    <w:p>
      <w:pPr>
        <w:pStyle w:val="2"/>
        <w:jc w:val="center"/>
      </w:pPr>
      <w:r>
        <w:rPr>
          <w:sz w:val="20"/>
        </w:rPr>
        <w:t xml:space="preserve">ЗАТРАТ, ПОДЛЕЖАЩИХ ВОЗМЕЩЕНИЮ ЗА СЧЕТ СРЕДСТВ СУБСИДИЙ</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ОРГАНИЗАЦИЮ И ПРОВЕДЕНИЕ В САНКТ-ПЕТЕРБУРГЕ</w:t>
      </w:r>
    </w:p>
    <w:p>
      <w:pPr>
        <w:pStyle w:val="2"/>
        <w:jc w:val="center"/>
      </w:pPr>
      <w:r>
        <w:rPr>
          <w:sz w:val="20"/>
        </w:rPr>
        <w:t xml:space="preserve">КОНГРЕССНО-ВЫСТАВОЧНЫХ МЕРОПРИЯТИЙ, И ПРЕДЕЛЬНЫЕ</w:t>
      </w:r>
    </w:p>
    <w:p>
      <w:pPr>
        <w:pStyle w:val="2"/>
        <w:jc w:val="center"/>
      </w:pPr>
      <w:r>
        <w:rPr>
          <w:sz w:val="20"/>
        </w:rPr>
        <w:t xml:space="preserve">ОБЪЕМЫ ИХ ВОЗМЕЩЕНИЯ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783"/>
        <w:gridCol w:w="2721"/>
      </w:tblGrid>
      <w:tr>
        <w:tc>
          <w:tcPr>
            <w:tcW w:w="567" w:type="dxa"/>
          </w:tcPr>
          <w:p>
            <w:pPr>
              <w:pStyle w:val="0"/>
              <w:jc w:val="center"/>
            </w:pPr>
            <w:r>
              <w:rPr>
                <w:sz w:val="20"/>
              </w:rPr>
              <w:t xml:space="preserve">N п/п</w:t>
            </w:r>
          </w:p>
        </w:tc>
        <w:tc>
          <w:tcPr>
            <w:tcW w:w="5783" w:type="dxa"/>
          </w:tcPr>
          <w:p>
            <w:pPr>
              <w:pStyle w:val="0"/>
              <w:jc w:val="center"/>
            </w:pPr>
            <w:r>
              <w:rPr>
                <w:sz w:val="20"/>
              </w:rPr>
              <w:t xml:space="preserve">Направление затрат</w:t>
            </w:r>
          </w:p>
        </w:tc>
        <w:tc>
          <w:tcPr>
            <w:tcW w:w="2721" w:type="dxa"/>
          </w:tcPr>
          <w:p>
            <w:pPr>
              <w:pStyle w:val="0"/>
              <w:jc w:val="center"/>
            </w:pPr>
            <w:r>
              <w:rPr>
                <w:sz w:val="20"/>
              </w:rPr>
              <w:t xml:space="preserve">Предельный объем возмещения документально подтвержденных затрат</w:t>
            </w:r>
          </w:p>
        </w:tc>
      </w:tr>
      <w:tr>
        <w:tc>
          <w:tcPr>
            <w:tcW w:w="567" w:type="dxa"/>
          </w:tcPr>
          <w:p>
            <w:pPr>
              <w:pStyle w:val="0"/>
              <w:jc w:val="center"/>
            </w:pPr>
            <w:r>
              <w:rPr>
                <w:sz w:val="20"/>
              </w:rPr>
              <w:t xml:space="preserve">1</w:t>
            </w:r>
          </w:p>
        </w:tc>
        <w:tc>
          <w:tcPr>
            <w:tcW w:w="5783" w:type="dxa"/>
          </w:tcPr>
          <w:p>
            <w:pPr>
              <w:pStyle w:val="0"/>
              <w:jc w:val="center"/>
            </w:pPr>
            <w:r>
              <w:rPr>
                <w:sz w:val="20"/>
              </w:rPr>
              <w:t xml:space="preserve">2</w:t>
            </w:r>
          </w:p>
        </w:tc>
        <w:tc>
          <w:tcPr>
            <w:tcW w:w="2721" w:type="dxa"/>
          </w:tcPr>
          <w:p>
            <w:pPr>
              <w:pStyle w:val="0"/>
              <w:jc w:val="center"/>
            </w:pPr>
            <w:r>
              <w:rPr>
                <w:sz w:val="20"/>
              </w:rPr>
              <w:t xml:space="preserve">3</w:t>
            </w:r>
          </w:p>
        </w:tc>
      </w:tr>
      <w:tr>
        <w:tc>
          <w:tcPr>
            <w:tcW w:w="567" w:type="dxa"/>
          </w:tcPr>
          <w:p>
            <w:pPr>
              <w:pStyle w:val="0"/>
              <w:jc w:val="center"/>
            </w:pPr>
            <w:r>
              <w:rPr>
                <w:sz w:val="20"/>
              </w:rPr>
              <w:t xml:space="preserve">1</w:t>
            </w:r>
          </w:p>
        </w:tc>
        <w:tc>
          <w:tcPr>
            <w:tcW w:w="5783" w:type="dxa"/>
          </w:tcPr>
          <w:p>
            <w:pPr>
              <w:pStyle w:val="0"/>
            </w:pPr>
            <w:r>
              <w:rPr>
                <w:sz w:val="20"/>
              </w:rPr>
              <w:t xml:space="preserve">Затраты на аренду территорий и помещений для проведения конгрессно-выставочных мероприятий</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2</w:t>
            </w:r>
          </w:p>
        </w:tc>
        <w:tc>
          <w:tcPr>
            <w:tcW w:w="5783" w:type="dxa"/>
          </w:tcPr>
          <w:p>
            <w:pPr>
              <w:pStyle w:val="0"/>
            </w:pPr>
            <w:r>
              <w:rPr>
                <w:sz w:val="20"/>
              </w:rPr>
              <w:t xml:space="preserve">Затраты на оплату услуг по организации конгрессно-выставочного пространства (аренда, монтаж и демонтаж, доставка, обслуживание необходимой мебели, конструкций и оборудования для технического оснащения территорий для проведения конгрессно-выставочных мероприятий, услуги связи и информационно-телекоммуникационной сети "Интернет")</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3</w:t>
            </w:r>
          </w:p>
        </w:tc>
        <w:tc>
          <w:tcPr>
            <w:tcW w:w="5783" w:type="dxa"/>
          </w:tcPr>
          <w:p>
            <w:pPr>
              <w:pStyle w:val="0"/>
            </w:pPr>
            <w:r>
              <w:rPr>
                <w:sz w:val="20"/>
              </w:rPr>
              <w:t xml:space="preserve">Затраты на оплату услуг по обеспечению конгрессно-выставочных мероприятий выставочными стендами и другими конструкциями (аренда, изготовление, монтаж и демонтаж, доставка, обслуживание)</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4</w:t>
            </w:r>
          </w:p>
        </w:tc>
        <w:tc>
          <w:tcPr>
            <w:tcW w:w="5783" w:type="dxa"/>
          </w:tcPr>
          <w:p>
            <w:pPr>
              <w:pStyle w:val="0"/>
            </w:pPr>
            <w:r>
              <w:rPr>
                <w:sz w:val="20"/>
              </w:rPr>
              <w:t xml:space="preserve">Затраты на оплату услуг по художественно-декорационному оформлению территорий и помещений в связи с проведением конгрессно-выставочных мероприятий</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5</w:t>
            </w:r>
          </w:p>
        </w:tc>
        <w:tc>
          <w:tcPr>
            <w:tcW w:w="5783" w:type="dxa"/>
          </w:tcPr>
          <w:p>
            <w:pPr>
              <w:pStyle w:val="0"/>
            </w:pPr>
            <w:r>
              <w:rPr>
                <w:sz w:val="20"/>
              </w:rPr>
              <w:t xml:space="preserve">Затраты на оплату услуг по размещению информации рекламного характера о проводимом мероприятии</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6</w:t>
            </w:r>
          </w:p>
        </w:tc>
        <w:tc>
          <w:tcPr>
            <w:tcW w:w="5783" w:type="dxa"/>
          </w:tcPr>
          <w:p>
            <w:pPr>
              <w:pStyle w:val="0"/>
            </w:pPr>
            <w:r>
              <w:rPr>
                <w:sz w:val="20"/>
              </w:rPr>
              <w:t xml:space="preserve">Затраты на оплату услуг приглашенных спикеров, административно-хозяйственного, технического персонала и специалистов, привлекаемых в связи с проведением конгрессно-выставочных мероприятий</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7</w:t>
            </w:r>
          </w:p>
        </w:tc>
        <w:tc>
          <w:tcPr>
            <w:tcW w:w="5783" w:type="dxa"/>
          </w:tcPr>
          <w:p>
            <w:pPr>
              <w:pStyle w:val="0"/>
            </w:pPr>
            <w:r>
              <w:rPr>
                <w:sz w:val="20"/>
              </w:rPr>
              <w:t xml:space="preserve">Затраты на оплату транспортных услуг, проезда специалистов и участников конгрессно-выставочных мероприятий (оплата проезда не выше уровня экономкласса)</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8</w:t>
            </w:r>
          </w:p>
        </w:tc>
        <w:tc>
          <w:tcPr>
            <w:tcW w:w="5783" w:type="dxa"/>
          </w:tcPr>
          <w:p>
            <w:pPr>
              <w:pStyle w:val="0"/>
            </w:pPr>
            <w:r>
              <w:rPr>
                <w:sz w:val="20"/>
              </w:rPr>
              <w:t xml:space="preserve">Затраты на оплату проживания специалистов и участников конгрессно-выставочных мероприятий (из расчета проживания в коллективных средствах размещения, классифицированных категорией не выше категории "три звезды")</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9</w:t>
            </w:r>
          </w:p>
        </w:tc>
        <w:tc>
          <w:tcPr>
            <w:tcW w:w="5783" w:type="dxa"/>
          </w:tcPr>
          <w:p>
            <w:pPr>
              <w:pStyle w:val="0"/>
            </w:pPr>
            <w:r>
              <w:rPr>
                <w:sz w:val="20"/>
              </w:rPr>
              <w:t xml:space="preserve">Затраты на организацию питания участников конгрессно-выставочных мероприятий</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10</w:t>
            </w:r>
          </w:p>
        </w:tc>
        <w:tc>
          <w:tcPr>
            <w:tcW w:w="5783" w:type="dxa"/>
          </w:tcPr>
          <w:p>
            <w:pPr>
              <w:pStyle w:val="0"/>
            </w:pPr>
            <w:r>
              <w:rPr>
                <w:sz w:val="20"/>
              </w:rPr>
              <w:t xml:space="preserve">Затраты на иные расходы из следующего перечня:</w:t>
            </w:r>
          </w:p>
          <w:p>
            <w:pPr>
              <w:pStyle w:val="0"/>
            </w:pPr>
            <w:r>
              <w:rPr>
                <w:sz w:val="20"/>
              </w:rPr>
              <w:t xml:space="preserve">затраты на оплату услуг по обеспечению безопасности проведения конгрессно-выставочных мероприятий;</w:t>
            </w:r>
          </w:p>
          <w:p>
            <w:pPr>
              <w:pStyle w:val="0"/>
            </w:pPr>
            <w:r>
              <w:rPr>
                <w:sz w:val="20"/>
              </w:rPr>
              <w:t xml:space="preserve">затраты на оплату услуг по уборке территорий, помещений, используемых при проведении конгрессно-выставочных мероприятий;</w:t>
            </w:r>
          </w:p>
          <w:p>
            <w:pPr>
              <w:pStyle w:val="0"/>
            </w:pPr>
            <w:r>
              <w:rPr>
                <w:sz w:val="20"/>
              </w:rPr>
              <w:t xml:space="preserve">затраты на оплату арендной платы за аренду биотуалетов;</w:t>
            </w:r>
          </w:p>
          <w:p>
            <w:pPr>
              <w:pStyle w:val="0"/>
            </w:pPr>
            <w:r>
              <w:rPr>
                <w:sz w:val="20"/>
              </w:rPr>
              <w:t xml:space="preserve">затраты на оплату услуг (работ) по организации дежурства бригады скорой медицинской помощи при проведении конгрессно-выставочных мероприятий</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11</w:t>
            </w:r>
          </w:p>
        </w:tc>
        <w:tc>
          <w:tcPr>
            <w:tcW w:w="5783" w:type="dxa"/>
          </w:tcPr>
          <w:p>
            <w:pPr>
              <w:pStyle w:val="0"/>
            </w:pPr>
            <w:r>
              <w:rPr>
                <w:sz w:val="20"/>
              </w:rPr>
              <w:t xml:space="preserve">Затраты на оплату услуг по обеспечению фото- и видеосъемки конгрессно-выставочных мероприятий</w:t>
            </w:r>
          </w:p>
        </w:tc>
        <w:tc>
          <w:tcPr>
            <w:tcW w:w="2721" w:type="dxa"/>
          </w:tcPr>
          <w:p>
            <w:pPr>
              <w:pStyle w:val="0"/>
              <w:jc w:val="center"/>
            </w:pPr>
            <w:r>
              <w:rPr>
                <w:sz w:val="20"/>
              </w:rPr>
              <w:t xml:space="preserve">до 100%</w:t>
            </w:r>
          </w:p>
        </w:tc>
      </w:tr>
      <w:tr>
        <w:tc>
          <w:tcPr>
            <w:tcW w:w="567" w:type="dxa"/>
          </w:tcPr>
          <w:p>
            <w:pPr>
              <w:pStyle w:val="0"/>
              <w:jc w:val="center"/>
            </w:pPr>
            <w:r>
              <w:rPr>
                <w:sz w:val="20"/>
              </w:rPr>
              <w:t xml:space="preserve">12</w:t>
            </w:r>
          </w:p>
        </w:tc>
        <w:tc>
          <w:tcPr>
            <w:tcW w:w="5783" w:type="dxa"/>
          </w:tcPr>
          <w:p>
            <w:pPr>
              <w:pStyle w:val="0"/>
              <w:jc w:val="both"/>
            </w:pPr>
            <w:r>
              <w:rPr>
                <w:sz w:val="20"/>
              </w:rPr>
              <w:t xml:space="preserve">Затраты на культурно-развлекательную программу для участников конгрессно-выставочных мероприятий</w:t>
            </w:r>
          </w:p>
        </w:tc>
        <w:tc>
          <w:tcPr>
            <w:tcW w:w="2721" w:type="dxa"/>
          </w:tcPr>
          <w:p>
            <w:pPr>
              <w:pStyle w:val="0"/>
              <w:jc w:val="center"/>
            </w:pPr>
            <w:r>
              <w:rPr>
                <w:sz w:val="20"/>
              </w:rPr>
              <w:t xml:space="preserve">до 100%</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субсидий 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на организацию и проведение</w:t>
      </w:r>
    </w:p>
    <w:p>
      <w:pPr>
        <w:pStyle w:val="0"/>
        <w:jc w:val="right"/>
      </w:pPr>
      <w:r>
        <w:rPr>
          <w:sz w:val="20"/>
        </w:rPr>
        <w:t xml:space="preserve">в Санкт-Петербурге</w:t>
      </w:r>
    </w:p>
    <w:p>
      <w:pPr>
        <w:pStyle w:val="0"/>
        <w:jc w:val="right"/>
      </w:pPr>
      <w:r>
        <w:rPr>
          <w:sz w:val="20"/>
        </w:rPr>
        <w:t xml:space="preserve">конгрессно-выставочных мероприятий</w:t>
      </w:r>
    </w:p>
    <w:p>
      <w:pPr>
        <w:pStyle w:val="0"/>
        <w:jc w:val="right"/>
      </w:pPr>
      <w:r>
        <w:rPr>
          <w:sz w:val="20"/>
        </w:rPr>
      </w:r>
    </w:p>
    <w:bookmarkStart w:id="330" w:name="P330"/>
    <w:bookmarkEnd w:id="330"/>
    <w:p>
      <w:pPr>
        <w:pStyle w:val="2"/>
        <w:jc w:val="center"/>
      </w:pPr>
      <w:r>
        <w:rPr>
          <w:sz w:val="20"/>
        </w:rPr>
        <w:t xml:space="preserve">КРИТЕРИИ</w:t>
      </w:r>
    </w:p>
    <w:p>
      <w:pPr>
        <w:pStyle w:val="2"/>
        <w:jc w:val="center"/>
      </w:pPr>
      <w:r>
        <w:rPr>
          <w:sz w:val="20"/>
        </w:rPr>
        <w:t xml:space="preserve">ОЦЕНКИ ОПРЕДЕЛЕНИЯ ПОБЕДИТЕЛЕЙ КОНКУРСНОГО ОТБОРА</w:t>
      </w:r>
    </w:p>
    <w:p>
      <w:pPr>
        <w:pStyle w:val="2"/>
        <w:jc w:val="center"/>
      </w:pPr>
      <w:r>
        <w:rPr>
          <w:sz w:val="20"/>
        </w:rPr>
        <w:t xml:space="preserve">СРЕДИ УЧАСТНИКОВ КОНКУРСНОГО ОТБОРА НА ПРАВО ПОЛУЧЕНИЯ</w:t>
      </w:r>
    </w:p>
    <w:p>
      <w:pPr>
        <w:pStyle w:val="2"/>
        <w:jc w:val="center"/>
      </w:pPr>
      <w:r>
        <w:rPr>
          <w:sz w:val="20"/>
        </w:rPr>
        <w:t xml:space="preserve">СУБСИДИЙ СОЦИАЛЬНО ОРИЕНТИРОВАННЫМ НЕКОММЕРЧЕСКИМ</w:t>
      </w:r>
    </w:p>
    <w:p>
      <w:pPr>
        <w:pStyle w:val="2"/>
        <w:jc w:val="center"/>
      </w:pPr>
      <w:r>
        <w:rPr>
          <w:sz w:val="20"/>
        </w:rPr>
        <w:t xml:space="preserve">ОРГАНИЗАЦИЯМ НА ОРГАНИЗАЦИЮ И ПРОВЕДЕНИЕ В САНКТ-ПЕТЕРБУРГЕ</w:t>
      </w:r>
    </w:p>
    <w:p>
      <w:pPr>
        <w:pStyle w:val="2"/>
        <w:jc w:val="center"/>
      </w:pPr>
      <w:r>
        <w:rPr>
          <w:sz w:val="20"/>
        </w:rPr>
        <w:t xml:space="preserve">КОНГРЕССНО-ВЫСТАВОЧНЫХ МЕРОПРИЯТИЙ</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5953"/>
        <w:gridCol w:w="1077"/>
        <w:gridCol w:w="1417"/>
      </w:tblGrid>
      <w:tr>
        <w:tc>
          <w:tcPr>
            <w:tcW w:w="624" w:type="dxa"/>
          </w:tcPr>
          <w:p>
            <w:pPr>
              <w:pStyle w:val="0"/>
              <w:jc w:val="center"/>
            </w:pPr>
            <w:r>
              <w:rPr>
                <w:sz w:val="20"/>
              </w:rPr>
              <w:t xml:space="preserve">N п/п</w:t>
            </w:r>
          </w:p>
        </w:tc>
        <w:tc>
          <w:tcPr>
            <w:tcW w:w="5953" w:type="dxa"/>
          </w:tcPr>
          <w:p>
            <w:pPr>
              <w:pStyle w:val="0"/>
              <w:jc w:val="center"/>
            </w:pPr>
            <w:r>
              <w:rPr>
                <w:sz w:val="20"/>
              </w:rPr>
              <w:t xml:space="preserve">Наименование критерия</w:t>
            </w:r>
          </w:p>
        </w:tc>
        <w:tc>
          <w:tcPr>
            <w:tcW w:w="1077" w:type="dxa"/>
          </w:tcPr>
          <w:p>
            <w:pPr>
              <w:pStyle w:val="0"/>
              <w:jc w:val="center"/>
            </w:pPr>
            <w:r>
              <w:rPr>
                <w:sz w:val="20"/>
              </w:rPr>
              <w:t xml:space="preserve">Баллы</w:t>
            </w:r>
          </w:p>
        </w:tc>
        <w:tc>
          <w:tcPr>
            <w:tcW w:w="1417" w:type="dxa"/>
          </w:tcPr>
          <w:p>
            <w:pPr>
              <w:pStyle w:val="0"/>
              <w:jc w:val="center"/>
            </w:pPr>
            <w:r>
              <w:rPr>
                <w:sz w:val="20"/>
              </w:rPr>
              <w:t xml:space="preserve">Доля от общей оценки, %</w:t>
            </w:r>
          </w:p>
        </w:tc>
      </w:tr>
      <w:tr>
        <w:tc>
          <w:tcPr>
            <w:tcW w:w="624" w:type="dxa"/>
          </w:tcPr>
          <w:p>
            <w:pPr>
              <w:pStyle w:val="0"/>
              <w:jc w:val="center"/>
            </w:pPr>
            <w:r>
              <w:rPr>
                <w:sz w:val="20"/>
              </w:rPr>
              <w:t xml:space="preserve">1</w:t>
            </w:r>
          </w:p>
        </w:tc>
        <w:tc>
          <w:tcPr>
            <w:tcW w:w="5953" w:type="dxa"/>
          </w:tcPr>
          <w:p>
            <w:pPr>
              <w:pStyle w:val="0"/>
              <w:jc w:val="center"/>
            </w:pPr>
            <w:r>
              <w:rPr>
                <w:sz w:val="20"/>
              </w:rPr>
              <w:t xml:space="preserve">2</w:t>
            </w:r>
          </w:p>
        </w:tc>
        <w:tc>
          <w:tcPr>
            <w:tcW w:w="1077" w:type="dxa"/>
          </w:tcPr>
          <w:p>
            <w:pPr>
              <w:pStyle w:val="0"/>
              <w:jc w:val="center"/>
            </w:pPr>
            <w:r>
              <w:rPr>
                <w:sz w:val="20"/>
              </w:rPr>
              <w:t xml:space="preserve">3</w:t>
            </w:r>
          </w:p>
        </w:tc>
        <w:tc>
          <w:tcPr>
            <w:tcW w:w="1417" w:type="dxa"/>
          </w:tcPr>
          <w:p>
            <w:pPr>
              <w:pStyle w:val="0"/>
              <w:jc w:val="center"/>
            </w:pPr>
            <w:r>
              <w:rPr>
                <w:sz w:val="20"/>
              </w:rPr>
              <w:t xml:space="preserve">4</w:t>
            </w:r>
          </w:p>
        </w:tc>
      </w:tr>
      <w:tr>
        <w:tc>
          <w:tcPr>
            <w:tcW w:w="624" w:type="dxa"/>
          </w:tcPr>
          <w:p>
            <w:pPr>
              <w:pStyle w:val="0"/>
              <w:jc w:val="center"/>
            </w:pPr>
            <w:r>
              <w:rPr>
                <w:sz w:val="20"/>
              </w:rPr>
              <w:t xml:space="preserve">1</w:t>
            </w:r>
          </w:p>
        </w:tc>
        <w:tc>
          <w:tcPr>
            <w:tcW w:w="5953" w:type="dxa"/>
          </w:tcPr>
          <w:p>
            <w:pPr>
              <w:pStyle w:val="0"/>
            </w:pPr>
            <w:r>
              <w:rPr>
                <w:sz w:val="20"/>
              </w:rPr>
              <w:t xml:space="preserve">Соответствие тематики конгрессно-выставочного мероприятия целям и задачам социально-экономической политики Санкт-Петербурга, определенным в </w:t>
            </w:r>
            <w:hyperlink w:history="0" r:id="rId38" w:tooltip="Закон Санкт-Петербурга от 19.12.2018 N 771-164 (ред. от 15.12.2025) &quot;О Стратегии социально-экономического развития Санкт-Петербурга на период до 2035 года&quot; (принят ЗС СПб 19.12.2018) {КонсультантПлюс}">
              <w:r>
                <w:rPr>
                  <w:sz w:val="20"/>
                  <w:color w:val="0000ff"/>
                </w:rPr>
                <w:t xml:space="preserve">Стратегии</w:t>
              </w:r>
            </w:hyperlink>
            <w:r>
              <w:rPr>
                <w:sz w:val="20"/>
              </w:rPr>
              <w:t xml:space="preserve"> социально-экономического развития Санкт-Петербурга на период до 2035 года, утвержденной Законом Санкт-Петербурга от 19.12.2018 N 771-164</w:t>
            </w:r>
          </w:p>
        </w:tc>
        <w:tc>
          <w:tcPr>
            <w:tcW w:w="1077" w:type="dxa"/>
          </w:tcPr>
          <w:p>
            <w:pPr>
              <w:pStyle w:val="0"/>
              <w:jc w:val="center"/>
            </w:pPr>
            <w:r>
              <w:rPr>
                <w:sz w:val="20"/>
              </w:rPr>
            </w:r>
          </w:p>
        </w:tc>
        <w:tc>
          <w:tcPr>
            <w:tcW w:w="1417" w:type="dxa"/>
            <w:vMerge w:val="restart"/>
          </w:tcPr>
          <w:p>
            <w:pPr>
              <w:pStyle w:val="0"/>
              <w:jc w:val="center"/>
            </w:pPr>
            <w:r>
              <w:rPr>
                <w:sz w:val="20"/>
              </w:rPr>
              <w:t xml:space="preserve">10</w:t>
            </w:r>
          </w:p>
        </w:tc>
      </w:tr>
      <w:tr>
        <w:tc>
          <w:tcPr>
            <w:tcW w:w="624" w:type="dxa"/>
          </w:tcPr>
          <w:p>
            <w:pPr>
              <w:pStyle w:val="0"/>
              <w:jc w:val="center"/>
            </w:pPr>
            <w:r>
              <w:rPr>
                <w:sz w:val="20"/>
              </w:rPr>
              <w:t xml:space="preserve">1.1</w:t>
            </w:r>
          </w:p>
        </w:tc>
        <w:tc>
          <w:tcPr>
            <w:tcW w:w="5953" w:type="dxa"/>
          </w:tcPr>
          <w:p>
            <w:pPr>
              <w:pStyle w:val="0"/>
            </w:pPr>
            <w:r>
              <w:rPr>
                <w:sz w:val="20"/>
              </w:rPr>
              <w:t xml:space="preserve">Тематика не соответствует</w:t>
            </w:r>
          </w:p>
        </w:tc>
        <w:tc>
          <w:tcPr>
            <w:tcW w:w="1077" w:type="dxa"/>
          </w:tcPr>
          <w:p>
            <w:pPr>
              <w:pStyle w:val="0"/>
              <w:jc w:val="center"/>
            </w:pPr>
            <w:r>
              <w:rPr>
                <w:sz w:val="20"/>
              </w:rPr>
              <w:t xml:space="preserve">0</w:t>
            </w:r>
          </w:p>
        </w:tc>
        <w:tc>
          <w:tcPr>
            <w:vMerge w:val="continue"/>
          </w:tcPr>
          <w:p/>
        </w:tc>
      </w:tr>
      <w:tr>
        <w:tc>
          <w:tcPr>
            <w:tcW w:w="624" w:type="dxa"/>
          </w:tcPr>
          <w:p>
            <w:pPr>
              <w:pStyle w:val="0"/>
              <w:jc w:val="center"/>
            </w:pPr>
            <w:r>
              <w:rPr>
                <w:sz w:val="20"/>
              </w:rPr>
              <w:t xml:space="preserve">1.2</w:t>
            </w:r>
          </w:p>
        </w:tc>
        <w:tc>
          <w:tcPr>
            <w:tcW w:w="5953" w:type="dxa"/>
          </w:tcPr>
          <w:p>
            <w:pPr>
              <w:pStyle w:val="0"/>
            </w:pPr>
            <w:r>
              <w:rPr>
                <w:sz w:val="20"/>
              </w:rPr>
              <w:t xml:space="preserve">Тематика соответствует</w:t>
            </w:r>
          </w:p>
        </w:tc>
        <w:tc>
          <w:tcPr>
            <w:tcW w:w="1077" w:type="dxa"/>
          </w:tcPr>
          <w:p>
            <w:pPr>
              <w:pStyle w:val="0"/>
              <w:jc w:val="center"/>
            </w:pPr>
            <w:r>
              <w:rPr>
                <w:sz w:val="20"/>
              </w:rPr>
              <w:t xml:space="preserve">100</w:t>
            </w:r>
          </w:p>
        </w:tc>
        <w:tc>
          <w:tcPr>
            <w:vMerge w:val="continue"/>
          </w:tcPr>
          <w:p/>
        </w:tc>
      </w:tr>
      <w:tr>
        <w:tc>
          <w:tcPr>
            <w:tcW w:w="624" w:type="dxa"/>
          </w:tcPr>
          <w:p>
            <w:pPr>
              <w:pStyle w:val="0"/>
              <w:jc w:val="center"/>
            </w:pPr>
            <w:r>
              <w:rPr>
                <w:sz w:val="20"/>
              </w:rPr>
              <w:t xml:space="preserve">2</w:t>
            </w:r>
          </w:p>
        </w:tc>
        <w:tc>
          <w:tcPr>
            <w:tcW w:w="5953" w:type="dxa"/>
          </w:tcPr>
          <w:p>
            <w:pPr>
              <w:pStyle w:val="0"/>
            </w:pPr>
            <w:r>
              <w:rPr>
                <w:sz w:val="20"/>
              </w:rPr>
              <w:t xml:space="preserve">Сезонность проведения конгрессно-выставочного мероприятия:</w:t>
            </w:r>
          </w:p>
        </w:tc>
        <w:tc>
          <w:tcPr>
            <w:tcW w:w="1077" w:type="dxa"/>
          </w:tcPr>
          <w:p>
            <w:pPr>
              <w:pStyle w:val="0"/>
              <w:jc w:val="center"/>
            </w:pPr>
            <w:r>
              <w:rPr>
                <w:sz w:val="20"/>
              </w:rPr>
            </w:r>
          </w:p>
        </w:tc>
        <w:tc>
          <w:tcPr>
            <w:tcW w:w="1417" w:type="dxa"/>
            <w:vMerge w:val="restart"/>
          </w:tcPr>
          <w:p>
            <w:pPr>
              <w:pStyle w:val="0"/>
              <w:jc w:val="center"/>
            </w:pPr>
            <w:r>
              <w:rPr>
                <w:sz w:val="20"/>
              </w:rPr>
              <w:t xml:space="preserve">10</w:t>
            </w:r>
          </w:p>
        </w:tc>
      </w:tr>
      <w:tr>
        <w:tc>
          <w:tcPr>
            <w:tcW w:w="624" w:type="dxa"/>
          </w:tcPr>
          <w:p>
            <w:pPr>
              <w:pStyle w:val="0"/>
              <w:jc w:val="center"/>
            </w:pPr>
            <w:r>
              <w:rPr>
                <w:sz w:val="20"/>
              </w:rPr>
              <w:t xml:space="preserve">2.1</w:t>
            </w:r>
          </w:p>
        </w:tc>
        <w:tc>
          <w:tcPr>
            <w:tcW w:w="5953" w:type="dxa"/>
          </w:tcPr>
          <w:p>
            <w:pPr>
              <w:pStyle w:val="0"/>
            </w:pPr>
            <w:r>
              <w:rPr>
                <w:sz w:val="20"/>
              </w:rPr>
              <w:t xml:space="preserve">Ноябрь-март</w:t>
            </w:r>
          </w:p>
        </w:tc>
        <w:tc>
          <w:tcPr>
            <w:tcW w:w="1077" w:type="dxa"/>
          </w:tcPr>
          <w:p>
            <w:pPr>
              <w:pStyle w:val="0"/>
              <w:jc w:val="center"/>
            </w:pPr>
            <w:r>
              <w:rPr>
                <w:sz w:val="20"/>
              </w:rPr>
              <w:t xml:space="preserve">100</w:t>
            </w:r>
          </w:p>
        </w:tc>
        <w:tc>
          <w:tcPr>
            <w:vMerge w:val="continue"/>
          </w:tcPr>
          <w:p/>
        </w:tc>
      </w:tr>
      <w:tr>
        <w:tc>
          <w:tcPr>
            <w:tcW w:w="624" w:type="dxa"/>
          </w:tcPr>
          <w:p>
            <w:pPr>
              <w:pStyle w:val="0"/>
              <w:jc w:val="center"/>
            </w:pPr>
            <w:r>
              <w:rPr>
                <w:sz w:val="20"/>
              </w:rPr>
              <w:t xml:space="preserve">2.2</w:t>
            </w:r>
          </w:p>
        </w:tc>
        <w:tc>
          <w:tcPr>
            <w:tcW w:w="5953" w:type="dxa"/>
          </w:tcPr>
          <w:p>
            <w:pPr>
              <w:pStyle w:val="0"/>
            </w:pPr>
            <w:r>
              <w:rPr>
                <w:sz w:val="20"/>
              </w:rPr>
              <w:t xml:space="preserve">Апрель, сентябрь-октябрь</w:t>
            </w:r>
          </w:p>
        </w:tc>
        <w:tc>
          <w:tcPr>
            <w:tcW w:w="1077" w:type="dxa"/>
          </w:tcPr>
          <w:p>
            <w:pPr>
              <w:pStyle w:val="0"/>
              <w:jc w:val="center"/>
            </w:pPr>
            <w:r>
              <w:rPr>
                <w:sz w:val="20"/>
              </w:rPr>
              <w:t xml:space="preserve">90</w:t>
            </w:r>
          </w:p>
        </w:tc>
        <w:tc>
          <w:tcPr>
            <w:vMerge w:val="continue"/>
          </w:tcPr>
          <w:p/>
        </w:tc>
      </w:tr>
      <w:tr>
        <w:tc>
          <w:tcPr>
            <w:tcW w:w="624" w:type="dxa"/>
          </w:tcPr>
          <w:p>
            <w:pPr>
              <w:pStyle w:val="0"/>
              <w:jc w:val="center"/>
            </w:pPr>
            <w:r>
              <w:rPr>
                <w:sz w:val="20"/>
              </w:rPr>
              <w:t xml:space="preserve">2.3</w:t>
            </w:r>
          </w:p>
        </w:tc>
        <w:tc>
          <w:tcPr>
            <w:tcW w:w="5953" w:type="dxa"/>
          </w:tcPr>
          <w:p>
            <w:pPr>
              <w:pStyle w:val="0"/>
            </w:pPr>
            <w:r>
              <w:rPr>
                <w:sz w:val="20"/>
              </w:rPr>
              <w:t xml:space="preserve">Май-август</w:t>
            </w:r>
          </w:p>
        </w:tc>
        <w:tc>
          <w:tcPr>
            <w:tcW w:w="1077" w:type="dxa"/>
          </w:tcPr>
          <w:p>
            <w:pPr>
              <w:pStyle w:val="0"/>
              <w:jc w:val="center"/>
            </w:pPr>
            <w:r>
              <w:rPr>
                <w:sz w:val="20"/>
              </w:rPr>
              <w:t xml:space="preserve">70</w:t>
            </w:r>
          </w:p>
        </w:tc>
        <w:tc>
          <w:tcPr>
            <w:vMerge w:val="continue"/>
          </w:tcPr>
          <w:p/>
        </w:tc>
      </w:tr>
      <w:tr>
        <w:tc>
          <w:tcPr>
            <w:tcW w:w="624" w:type="dxa"/>
          </w:tcPr>
          <w:p>
            <w:pPr>
              <w:pStyle w:val="0"/>
              <w:jc w:val="center"/>
            </w:pPr>
            <w:r>
              <w:rPr>
                <w:sz w:val="20"/>
              </w:rPr>
              <w:t xml:space="preserve">3</w:t>
            </w:r>
          </w:p>
        </w:tc>
        <w:tc>
          <w:tcPr>
            <w:tcW w:w="5953" w:type="dxa"/>
          </w:tcPr>
          <w:p>
            <w:pPr>
              <w:pStyle w:val="0"/>
            </w:pPr>
            <w:r>
              <w:rPr>
                <w:sz w:val="20"/>
              </w:rPr>
              <w:t xml:space="preserve">Длительность конгрессно-выставочного мероприятия:</w:t>
            </w:r>
          </w:p>
        </w:tc>
        <w:tc>
          <w:tcPr>
            <w:tcW w:w="1077" w:type="dxa"/>
          </w:tcPr>
          <w:p>
            <w:pPr>
              <w:pStyle w:val="0"/>
              <w:jc w:val="center"/>
            </w:pPr>
            <w:r>
              <w:rPr>
                <w:sz w:val="20"/>
              </w:rPr>
            </w:r>
          </w:p>
        </w:tc>
        <w:tc>
          <w:tcPr>
            <w:tcW w:w="1417" w:type="dxa"/>
            <w:vMerge w:val="restart"/>
          </w:tcPr>
          <w:p>
            <w:pPr>
              <w:pStyle w:val="0"/>
              <w:jc w:val="center"/>
            </w:pPr>
            <w:r>
              <w:rPr>
                <w:sz w:val="20"/>
              </w:rPr>
              <w:t xml:space="preserve">10</w:t>
            </w:r>
          </w:p>
        </w:tc>
      </w:tr>
      <w:tr>
        <w:tc>
          <w:tcPr>
            <w:tcW w:w="624" w:type="dxa"/>
          </w:tcPr>
          <w:p>
            <w:pPr>
              <w:pStyle w:val="0"/>
              <w:jc w:val="center"/>
            </w:pPr>
            <w:r>
              <w:rPr>
                <w:sz w:val="20"/>
              </w:rPr>
              <w:t xml:space="preserve">3.1</w:t>
            </w:r>
          </w:p>
        </w:tc>
        <w:tc>
          <w:tcPr>
            <w:tcW w:w="5953" w:type="dxa"/>
          </w:tcPr>
          <w:p>
            <w:pPr>
              <w:pStyle w:val="0"/>
            </w:pPr>
            <w:r>
              <w:rPr>
                <w:sz w:val="20"/>
              </w:rPr>
              <w:t xml:space="preserve">Три и более дней</w:t>
            </w:r>
          </w:p>
        </w:tc>
        <w:tc>
          <w:tcPr>
            <w:tcW w:w="1077" w:type="dxa"/>
          </w:tcPr>
          <w:p>
            <w:pPr>
              <w:pStyle w:val="0"/>
              <w:jc w:val="center"/>
            </w:pPr>
            <w:r>
              <w:rPr>
                <w:sz w:val="20"/>
              </w:rPr>
              <w:t xml:space="preserve">100</w:t>
            </w:r>
          </w:p>
        </w:tc>
        <w:tc>
          <w:tcPr>
            <w:vMerge w:val="continue"/>
          </w:tcPr>
          <w:p/>
        </w:tc>
      </w:tr>
      <w:tr>
        <w:tc>
          <w:tcPr>
            <w:tcW w:w="624" w:type="dxa"/>
          </w:tcPr>
          <w:p>
            <w:pPr>
              <w:pStyle w:val="0"/>
              <w:jc w:val="center"/>
            </w:pPr>
            <w:r>
              <w:rPr>
                <w:sz w:val="20"/>
              </w:rPr>
              <w:t xml:space="preserve">3.2</w:t>
            </w:r>
          </w:p>
        </w:tc>
        <w:tc>
          <w:tcPr>
            <w:tcW w:w="5953" w:type="dxa"/>
          </w:tcPr>
          <w:p>
            <w:pPr>
              <w:pStyle w:val="0"/>
            </w:pPr>
            <w:r>
              <w:rPr>
                <w:sz w:val="20"/>
              </w:rPr>
              <w:t xml:space="preserve">Два дня</w:t>
            </w:r>
          </w:p>
        </w:tc>
        <w:tc>
          <w:tcPr>
            <w:tcW w:w="1077" w:type="dxa"/>
          </w:tcPr>
          <w:p>
            <w:pPr>
              <w:pStyle w:val="0"/>
              <w:jc w:val="center"/>
            </w:pPr>
            <w:r>
              <w:rPr>
                <w:sz w:val="20"/>
              </w:rPr>
              <w:t xml:space="preserve">90</w:t>
            </w:r>
          </w:p>
        </w:tc>
        <w:tc>
          <w:tcPr>
            <w:vMerge w:val="continue"/>
          </w:tcPr>
          <w:p/>
        </w:tc>
      </w:tr>
      <w:tr>
        <w:tc>
          <w:tcPr>
            <w:tcW w:w="624" w:type="dxa"/>
          </w:tcPr>
          <w:p>
            <w:pPr>
              <w:pStyle w:val="0"/>
              <w:jc w:val="center"/>
            </w:pPr>
            <w:r>
              <w:rPr>
                <w:sz w:val="20"/>
              </w:rPr>
              <w:t xml:space="preserve">3.3</w:t>
            </w:r>
          </w:p>
        </w:tc>
        <w:tc>
          <w:tcPr>
            <w:tcW w:w="5953" w:type="dxa"/>
          </w:tcPr>
          <w:p>
            <w:pPr>
              <w:pStyle w:val="0"/>
            </w:pPr>
            <w:r>
              <w:rPr>
                <w:sz w:val="20"/>
              </w:rPr>
              <w:t xml:space="preserve">Один день</w:t>
            </w:r>
          </w:p>
        </w:tc>
        <w:tc>
          <w:tcPr>
            <w:tcW w:w="1077" w:type="dxa"/>
          </w:tcPr>
          <w:p>
            <w:pPr>
              <w:pStyle w:val="0"/>
              <w:jc w:val="center"/>
            </w:pPr>
            <w:r>
              <w:rPr>
                <w:sz w:val="20"/>
              </w:rPr>
              <w:t xml:space="preserve">80</w:t>
            </w:r>
          </w:p>
        </w:tc>
        <w:tc>
          <w:tcPr>
            <w:vMerge w:val="continue"/>
          </w:tcPr>
          <w:p/>
        </w:tc>
      </w:tr>
      <w:tr>
        <w:tc>
          <w:tcPr>
            <w:tcW w:w="624" w:type="dxa"/>
          </w:tcPr>
          <w:p>
            <w:pPr>
              <w:pStyle w:val="0"/>
              <w:jc w:val="center"/>
            </w:pPr>
            <w:r>
              <w:rPr>
                <w:sz w:val="20"/>
              </w:rPr>
              <w:t xml:space="preserve">4</w:t>
            </w:r>
          </w:p>
        </w:tc>
        <w:tc>
          <w:tcPr>
            <w:tcW w:w="5953" w:type="dxa"/>
          </w:tcPr>
          <w:p>
            <w:pPr>
              <w:pStyle w:val="0"/>
            </w:pPr>
            <w:r>
              <w:rPr>
                <w:sz w:val="20"/>
              </w:rPr>
              <w:t xml:space="preserve">Количество участников (делегатов) конгрессно-выставочного мероприятия:</w:t>
            </w:r>
          </w:p>
        </w:tc>
        <w:tc>
          <w:tcPr>
            <w:tcW w:w="1077" w:type="dxa"/>
          </w:tcPr>
          <w:p>
            <w:pPr>
              <w:pStyle w:val="0"/>
              <w:jc w:val="center"/>
            </w:pPr>
            <w:r>
              <w:rPr>
                <w:sz w:val="20"/>
              </w:rPr>
            </w:r>
          </w:p>
        </w:tc>
        <w:tc>
          <w:tcPr>
            <w:tcW w:w="1417" w:type="dxa"/>
            <w:vMerge w:val="restart"/>
          </w:tcPr>
          <w:p>
            <w:pPr>
              <w:pStyle w:val="0"/>
              <w:jc w:val="center"/>
            </w:pPr>
            <w:r>
              <w:rPr>
                <w:sz w:val="20"/>
              </w:rPr>
              <w:t xml:space="preserve">10</w:t>
            </w:r>
          </w:p>
        </w:tc>
      </w:tr>
      <w:tr>
        <w:tc>
          <w:tcPr>
            <w:tcW w:w="624" w:type="dxa"/>
          </w:tcPr>
          <w:p>
            <w:pPr>
              <w:pStyle w:val="0"/>
              <w:jc w:val="center"/>
            </w:pPr>
            <w:r>
              <w:rPr>
                <w:sz w:val="20"/>
              </w:rPr>
              <w:t xml:space="preserve">4.1</w:t>
            </w:r>
          </w:p>
        </w:tc>
        <w:tc>
          <w:tcPr>
            <w:tcW w:w="5953" w:type="dxa"/>
          </w:tcPr>
          <w:p>
            <w:pPr>
              <w:pStyle w:val="0"/>
            </w:pPr>
            <w:r>
              <w:rPr>
                <w:sz w:val="20"/>
              </w:rPr>
              <w:t xml:space="preserve">От 1000 человек</w:t>
            </w:r>
          </w:p>
        </w:tc>
        <w:tc>
          <w:tcPr>
            <w:tcW w:w="1077" w:type="dxa"/>
          </w:tcPr>
          <w:p>
            <w:pPr>
              <w:pStyle w:val="0"/>
              <w:jc w:val="center"/>
            </w:pPr>
            <w:r>
              <w:rPr>
                <w:sz w:val="20"/>
              </w:rPr>
              <w:t xml:space="preserve">100</w:t>
            </w:r>
          </w:p>
        </w:tc>
        <w:tc>
          <w:tcPr>
            <w:vMerge w:val="continue"/>
          </w:tcPr>
          <w:p/>
        </w:tc>
      </w:tr>
      <w:tr>
        <w:tc>
          <w:tcPr>
            <w:tcW w:w="624" w:type="dxa"/>
          </w:tcPr>
          <w:p>
            <w:pPr>
              <w:pStyle w:val="0"/>
              <w:jc w:val="center"/>
            </w:pPr>
            <w:r>
              <w:rPr>
                <w:sz w:val="20"/>
              </w:rPr>
              <w:t xml:space="preserve">4.2</w:t>
            </w:r>
          </w:p>
        </w:tc>
        <w:tc>
          <w:tcPr>
            <w:tcW w:w="5953" w:type="dxa"/>
          </w:tcPr>
          <w:p>
            <w:pPr>
              <w:pStyle w:val="0"/>
            </w:pPr>
            <w:r>
              <w:rPr>
                <w:sz w:val="20"/>
              </w:rPr>
              <w:t xml:space="preserve">От 300 до 1000 человек</w:t>
            </w:r>
          </w:p>
        </w:tc>
        <w:tc>
          <w:tcPr>
            <w:tcW w:w="1077" w:type="dxa"/>
          </w:tcPr>
          <w:p>
            <w:pPr>
              <w:pStyle w:val="0"/>
              <w:jc w:val="center"/>
            </w:pPr>
            <w:r>
              <w:rPr>
                <w:sz w:val="20"/>
              </w:rPr>
              <w:t xml:space="preserve">80</w:t>
            </w:r>
          </w:p>
        </w:tc>
        <w:tc>
          <w:tcPr>
            <w:vMerge w:val="continue"/>
          </w:tcPr>
          <w:p/>
        </w:tc>
      </w:tr>
      <w:tr>
        <w:tc>
          <w:tcPr>
            <w:tcW w:w="624" w:type="dxa"/>
          </w:tcPr>
          <w:p>
            <w:pPr>
              <w:pStyle w:val="0"/>
              <w:jc w:val="center"/>
            </w:pPr>
            <w:r>
              <w:rPr>
                <w:sz w:val="20"/>
              </w:rPr>
              <w:t xml:space="preserve">4.3</w:t>
            </w:r>
          </w:p>
        </w:tc>
        <w:tc>
          <w:tcPr>
            <w:tcW w:w="5953" w:type="dxa"/>
          </w:tcPr>
          <w:p>
            <w:pPr>
              <w:pStyle w:val="0"/>
            </w:pPr>
            <w:r>
              <w:rPr>
                <w:sz w:val="20"/>
              </w:rPr>
              <w:t xml:space="preserve">До 300 человек, но не менее 20 человек</w:t>
            </w:r>
          </w:p>
        </w:tc>
        <w:tc>
          <w:tcPr>
            <w:tcW w:w="1077" w:type="dxa"/>
          </w:tcPr>
          <w:p>
            <w:pPr>
              <w:pStyle w:val="0"/>
              <w:jc w:val="center"/>
            </w:pPr>
            <w:r>
              <w:rPr>
                <w:sz w:val="20"/>
              </w:rPr>
              <w:t xml:space="preserve">60</w:t>
            </w:r>
          </w:p>
        </w:tc>
        <w:tc>
          <w:tcPr>
            <w:tcW w:w="1417" w:type="dxa"/>
          </w:tcPr>
          <w:p>
            <w:pPr>
              <w:pStyle w:val="0"/>
              <w:jc w:val="center"/>
            </w:pPr>
            <w:r>
              <w:rPr>
                <w:sz w:val="20"/>
              </w:rPr>
            </w:r>
          </w:p>
        </w:tc>
      </w:tr>
      <w:tr>
        <w:tc>
          <w:tcPr>
            <w:tcW w:w="624" w:type="dxa"/>
          </w:tcPr>
          <w:p>
            <w:pPr>
              <w:pStyle w:val="0"/>
              <w:jc w:val="center"/>
            </w:pPr>
            <w:r>
              <w:rPr>
                <w:sz w:val="20"/>
              </w:rPr>
              <w:t xml:space="preserve">5</w:t>
            </w:r>
          </w:p>
        </w:tc>
        <w:tc>
          <w:tcPr>
            <w:tcW w:w="5953" w:type="dxa"/>
          </w:tcPr>
          <w:p>
            <w:pPr>
              <w:pStyle w:val="0"/>
            </w:pPr>
            <w:r>
              <w:rPr>
                <w:sz w:val="20"/>
              </w:rPr>
              <w:t xml:space="preserve">Доля иностранных делегатов (участников) и(или) делегатов из иных субъектов Российской Федерации от общего количества участников (делегатов) конгрессно-выставочного мероприятия</w:t>
            </w:r>
          </w:p>
        </w:tc>
        <w:tc>
          <w:tcPr>
            <w:tcW w:w="1077" w:type="dxa"/>
          </w:tcPr>
          <w:p>
            <w:pPr>
              <w:pStyle w:val="0"/>
              <w:jc w:val="center"/>
            </w:pPr>
            <w:r>
              <w:rPr>
                <w:sz w:val="20"/>
              </w:rPr>
            </w:r>
          </w:p>
        </w:tc>
        <w:tc>
          <w:tcPr>
            <w:tcW w:w="1417" w:type="dxa"/>
            <w:vMerge w:val="restart"/>
          </w:tcPr>
          <w:p>
            <w:pPr>
              <w:pStyle w:val="0"/>
              <w:jc w:val="center"/>
            </w:pPr>
            <w:r>
              <w:rPr>
                <w:sz w:val="20"/>
              </w:rPr>
              <w:t xml:space="preserve">20</w:t>
            </w:r>
          </w:p>
        </w:tc>
      </w:tr>
      <w:tr>
        <w:tc>
          <w:tcPr>
            <w:tcW w:w="624" w:type="dxa"/>
          </w:tcPr>
          <w:p>
            <w:pPr>
              <w:pStyle w:val="0"/>
              <w:jc w:val="center"/>
            </w:pPr>
            <w:r>
              <w:rPr>
                <w:sz w:val="20"/>
              </w:rPr>
              <w:t xml:space="preserve">5.1</w:t>
            </w:r>
          </w:p>
        </w:tc>
        <w:tc>
          <w:tcPr>
            <w:tcW w:w="5953" w:type="dxa"/>
          </w:tcPr>
          <w:p>
            <w:pPr>
              <w:pStyle w:val="0"/>
            </w:pPr>
            <w:r>
              <w:rPr>
                <w:sz w:val="20"/>
              </w:rPr>
              <w:t xml:space="preserve">Более 10%</w:t>
            </w:r>
          </w:p>
        </w:tc>
        <w:tc>
          <w:tcPr>
            <w:tcW w:w="1077" w:type="dxa"/>
          </w:tcPr>
          <w:p>
            <w:pPr>
              <w:pStyle w:val="0"/>
              <w:jc w:val="center"/>
            </w:pPr>
            <w:r>
              <w:rPr>
                <w:sz w:val="20"/>
              </w:rPr>
              <w:t xml:space="preserve">100</w:t>
            </w:r>
          </w:p>
        </w:tc>
        <w:tc>
          <w:tcPr>
            <w:vMerge w:val="continue"/>
          </w:tcPr>
          <w:p/>
        </w:tc>
      </w:tr>
      <w:tr>
        <w:tc>
          <w:tcPr>
            <w:tcW w:w="624" w:type="dxa"/>
          </w:tcPr>
          <w:p>
            <w:pPr>
              <w:pStyle w:val="0"/>
              <w:jc w:val="center"/>
            </w:pPr>
            <w:r>
              <w:rPr>
                <w:sz w:val="20"/>
              </w:rPr>
              <w:t xml:space="preserve">5.2</w:t>
            </w:r>
          </w:p>
        </w:tc>
        <w:tc>
          <w:tcPr>
            <w:tcW w:w="5953" w:type="dxa"/>
          </w:tcPr>
          <w:p>
            <w:pPr>
              <w:pStyle w:val="0"/>
            </w:pPr>
            <w:r>
              <w:rPr>
                <w:sz w:val="20"/>
              </w:rPr>
              <w:t xml:space="preserve">От 5 до 10%</w:t>
            </w:r>
          </w:p>
        </w:tc>
        <w:tc>
          <w:tcPr>
            <w:tcW w:w="1077" w:type="dxa"/>
          </w:tcPr>
          <w:p>
            <w:pPr>
              <w:pStyle w:val="0"/>
              <w:jc w:val="center"/>
            </w:pPr>
            <w:r>
              <w:rPr>
                <w:sz w:val="20"/>
              </w:rPr>
              <w:t xml:space="preserve">80</w:t>
            </w:r>
          </w:p>
        </w:tc>
        <w:tc>
          <w:tcPr>
            <w:vMerge w:val="continue"/>
          </w:tcPr>
          <w:p/>
        </w:tc>
      </w:tr>
      <w:tr>
        <w:tc>
          <w:tcPr>
            <w:tcW w:w="624" w:type="dxa"/>
          </w:tcPr>
          <w:p>
            <w:pPr>
              <w:pStyle w:val="0"/>
              <w:jc w:val="center"/>
            </w:pPr>
            <w:r>
              <w:rPr>
                <w:sz w:val="20"/>
              </w:rPr>
              <w:t xml:space="preserve">5.3</w:t>
            </w:r>
          </w:p>
        </w:tc>
        <w:tc>
          <w:tcPr>
            <w:tcW w:w="5953" w:type="dxa"/>
          </w:tcPr>
          <w:p>
            <w:pPr>
              <w:pStyle w:val="0"/>
            </w:pPr>
            <w:r>
              <w:rPr>
                <w:sz w:val="20"/>
              </w:rPr>
              <w:t xml:space="preserve">До 5%, но не менее 10 человек</w:t>
            </w:r>
          </w:p>
        </w:tc>
        <w:tc>
          <w:tcPr>
            <w:tcW w:w="1077" w:type="dxa"/>
          </w:tcPr>
          <w:p>
            <w:pPr>
              <w:pStyle w:val="0"/>
              <w:jc w:val="center"/>
            </w:pPr>
            <w:r>
              <w:rPr>
                <w:sz w:val="20"/>
              </w:rPr>
              <w:t xml:space="preserve">60</w:t>
            </w:r>
          </w:p>
        </w:tc>
        <w:tc>
          <w:tcPr>
            <w:vMerge w:val="continue"/>
          </w:tcPr>
          <w:p/>
        </w:tc>
      </w:tr>
      <w:tr>
        <w:tc>
          <w:tcPr>
            <w:tcW w:w="624" w:type="dxa"/>
          </w:tcPr>
          <w:p>
            <w:pPr>
              <w:pStyle w:val="0"/>
              <w:jc w:val="center"/>
            </w:pPr>
            <w:r>
              <w:rPr>
                <w:sz w:val="20"/>
              </w:rPr>
              <w:t xml:space="preserve">6</w:t>
            </w:r>
          </w:p>
        </w:tc>
        <w:tc>
          <w:tcPr>
            <w:tcW w:w="5953" w:type="dxa"/>
          </w:tcPr>
          <w:p>
            <w:pPr>
              <w:pStyle w:val="0"/>
            </w:pPr>
            <w:r>
              <w:rPr>
                <w:sz w:val="20"/>
              </w:rPr>
              <w:t xml:space="preserve">Наличие у участника конкурсного отбора в прошлом опыта реализации аналогичных по направлению и(или) масштабу конгрессно-выставочных мероприятий</w:t>
            </w:r>
          </w:p>
        </w:tc>
        <w:tc>
          <w:tcPr>
            <w:tcW w:w="1077" w:type="dxa"/>
          </w:tcPr>
          <w:p>
            <w:pPr>
              <w:pStyle w:val="0"/>
              <w:jc w:val="center"/>
            </w:pPr>
            <w:r>
              <w:rPr>
                <w:sz w:val="20"/>
              </w:rPr>
            </w:r>
          </w:p>
        </w:tc>
        <w:tc>
          <w:tcPr>
            <w:tcW w:w="1417" w:type="dxa"/>
            <w:vMerge w:val="restart"/>
          </w:tcPr>
          <w:p>
            <w:pPr>
              <w:pStyle w:val="0"/>
              <w:jc w:val="center"/>
            </w:pPr>
            <w:r>
              <w:rPr>
                <w:sz w:val="20"/>
              </w:rPr>
              <w:t xml:space="preserve">10</w:t>
            </w:r>
          </w:p>
        </w:tc>
      </w:tr>
      <w:tr>
        <w:tc>
          <w:tcPr>
            <w:tcW w:w="624" w:type="dxa"/>
          </w:tcPr>
          <w:p>
            <w:pPr>
              <w:pStyle w:val="0"/>
              <w:jc w:val="center"/>
            </w:pPr>
            <w:r>
              <w:rPr>
                <w:sz w:val="20"/>
              </w:rPr>
              <w:t xml:space="preserve">6.1</w:t>
            </w:r>
          </w:p>
        </w:tc>
        <w:tc>
          <w:tcPr>
            <w:tcW w:w="5953" w:type="dxa"/>
          </w:tcPr>
          <w:p>
            <w:pPr>
              <w:pStyle w:val="0"/>
            </w:pPr>
            <w:r>
              <w:rPr>
                <w:sz w:val="20"/>
              </w:rPr>
              <w:t xml:space="preserve">Более трех проведенных аналогичных конгрессно-выставочных мероприятий</w:t>
            </w:r>
          </w:p>
        </w:tc>
        <w:tc>
          <w:tcPr>
            <w:tcW w:w="1077" w:type="dxa"/>
          </w:tcPr>
          <w:p>
            <w:pPr>
              <w:pStyle w:val="0"/>
              <w:jc w:val="center"/>
            </w:pPr>
            <w:r>
              <w:rPr>
                <w:sz w:val="20"/>
              </w:rPr>
              <w:t xml:space="preserve">100</w:t>
            </w:r>
          </w:p>
        </w:tc>
        <w:tc>
          <w:tcPr>
            <w:vMerge w:val="continue"/>
          </w:tcPr>
          <w:p/>
        </w:tc>
      </w:tr>
      <w:tr>
        <w:tc>
          <w:tcPr>
            <w:tcW w:w="624" w:type="dxa"/>
          </w:tcPr>
          <w:p>
            <w:pPr>
              <w:pStyle w:val="0"/>
              <w:jc w:val="center"/>
            </w:pPr>
            <w:r>
              <w:rPr>
                <w:sz w:val="20"/>
              </w:rPr>
              <w:t xml:space="preserve">6.2</w:t>
            </w:r>
          </w:p>
        </w:tc>
        <w:tc>
          <w:tcPr>
            <w:tcW w:w="5953" w:type="dxa"/>
          </w:tcPr>
          <w:p>
            <w:pPr>
              <w:pStyle w:val="0"/>
            </w:pPr>
            <w:r>
              <w:rPr>
                <w:sz w:val="20"/>
              </w:rPr>
              <w:t xml:space="preserve">До трех проведенных аналогичных конгрессно-выставочных мероприятий</w:t>
            </w:r>
          </w:p>
        </w:tc>
        <w:tc>
          <w:tcPr>
            <w:tcW w:w="1077" w:type="dxa"/>
          </w:tcPr>
          <w:p>
            <w:pPr>
              <w:pStyle w:val="0"/>
              <w:jc w:val="center"/>
            </w:pPr>
            <w:r>
              <w:rPr>
                <w:sz w:val="20"/>
              </w:rPr>
              <w:t xml:space="preserve">80</w:t>
            </w:r>
          </w:p>
        </w:tc>
        <w:tc>
          <w:tcPr>
            <w:vMerge w:val="continue"/>
          </w:tcPr>
          <w:p/>
        </w:tc>
      </w:tr>
      <w:tr>
        <w:tc>
          <w:tcPr>
            <w:tcW w:w="624" w:type="dxa"/>
          </w:tcPr>
          <w:p>
            <w:pPr>
              <w:pStyle w:val="0"/>
              <w:jc w:val="center"/>
            </w:pPr>
            <w:r>
              <w:rPr>
                <w:sz w:val="20"/>
              </w:rPr>
              <w:t xml:space="preserve">7</w:t>
            </w:r>
          </w:p>
        </w:tc>
        <w:tc>
          <w:tcPr>
            <w:tcW w:w="5953" w:type="dxa"/>
          </w:tcPr>
          <w:p>
            <w:pPr>
              <w:pStyle w:val="0"/>
            </w:pPr>
            <w:r>
              <w:rPr>
                <w:sz w:val="20"/>
              </w:rPr>
              <w:t xml:space="preserve">Наличие информации о конгрессно-выставочном мероприятии в информационно-телекоммуникационной сети "Интернет" (за исключением социальных сетей) и(или) средствах массовой информации</w:t>
            </w:r>
          </w:p>
        </w:tc>
        <w:tc>
          <w:tcPr>
            <w:tcW w:w="1077" w:type="dxa"/>
          </w:tcPr>
          <w:p>
            <w:pPr>
              <w:pStyle w:val="0"/>
              <w:jc w:val="center"/>
            </w:pPr>
            <w:r>
              <w:rPr>
                <w:sz w:val="20"/>
              </w:rPr>
            </w:r>
          </w:p>
        </w:tc>
        <w:tc>
          <w:tcPr>
            <w:tcW w:w="1417" w:type="dxa"/>
            <w:vMerge w:val="restart"/>
          </w:tcPr>
          <w:p>
            <w:pPr>
              <w:pStyle w:val="0"/>
              <w:jc w:val="center"/>
            </w:pPr>
            <w:r>
              <w:rPr>
                <w:sz w:val="20"/>
              </w:rPr>
              <w:t xml:space="preserve">20</w:t>
            </w:r>
          </w:p>
        </w:tc>
      </w:tr>
      <w:tr>
        <w:tc>
          <w:tcPr>
            <w:tcW w:w="624" w:type="dxa"/>
          </w:tcPr>
          <w:p>
            <w:pPr>
              <w:pStyle w:val="0"/>
              <w:jc w:val="center"/>
            </w:pPr>
            <w:r>
              <w:rPr>
                <w:sz w:val="20"/>
              </w:rPr>
              <w:t xml:space="preserve">7.1</w:t>
            </w:r>
          </w:p>
        </w:tc>
        <w:tc>
          <w:tcPr>
            <w:tcW w:w="5953" w:type="dxa"/>
          </w:tcPr>
          <w:p>
            <w:pPr>
              <w:pStyle w:val="0"/>
            </w:pPr>
            <w:r>
              <w:rPr>
                <w:sz w:val="20"/>
              </w:rPr>
              <w:t xml:space="preserve">Более 10 упоминаний</w:t>
            </w:r>
          </w:p>
        </w:tc>
        <w:tc>
          <w:tcPr>
            <w:tcW w:w="1077" w:type="dxa"/>
          </w:tcPr>
          <w:p>
            <w:pPr>
              <w:pStyle w:val="0"/>
              <w:jc w:val="center"/>
            </w:pPr>
            <w:r>
              <w:rPr>
                <w:sz w:val="20"/>
              </w:rPr>
              <w:t xml:space="preserve">100</w:t>
            </w:r>
          </w:p>
        </w:tc>
        <w:tc>
          <w:tcPr>
            <w:vMerge w:val="continue"/>
          </w:tcPr>
          <w:p/>
        </w:tc>
      </w:tr>
      <w:tr>
        <w:tc>
          <w:tcPr>
            <w:tcW w:w="624" w:type="dxa"/>
          </w:tcPr>
          <w:p>
            <w:pPr>
              <w:pStyle w:val="0"/>
              <w:jc w:val="center"/>
            </w:pPr>
            <w:r>
              <w:rPr>
                <w:sz w:val="20"/>
              </w:rPr>
              <w:t xml:space="preserve">7.2</w:t>
            </w:r>
          </w:p>
        </w:tc>
        <w:tc>
          <w:tcPr>
            <w:tcW w:w="5953" w:type="dxa"/>
          </w:tcPr>
          <w:p>
            <w:pPr>
              <w:pStyle w:val="0"/>
            </w:pPr>
            <w:r>
              <w:rPr>
                <w:sz w:val="20"/>
              </w:rPr>
              <w:t xml:space="preserve">От 5 до 10 упоминаний</w:t>
            </w:r>
          </w:p>
        </w:tc>
        <w:tc>
          <w:tcPr>
            <w:tcW w:w="1077" w:type="dxa"/>
          </w:tcPr>
          <w:p>
            <w:pPr>
              <w:pStyle w:val="0"/>
              <w:jc w:val="center"/>
            </w:pPr>
            <w:r>
              <w:rPr>
                <w:sz w:val="20"/>
              </w:rPr>
              <w:t xml:space="preserve">80</w:t>
            </w:r>
          </w:p>
        </w:tc>
        <w:tc>
          <w:tcPr>
            <w:vMerge w:val="continue"/>
          </w:tcPr>
          <w:p/>
        </w:tc>
      </w:tr>
      <w:tr>
        <w:tc>
          <w:tcPr>
            <w:tcW w:w="624" w:type="dxa"/>
          </w:tcPr>
          <w:p>
            <w:pPr>
              <w:pStyle w:val="0"/>
              <w:jc w:val="center"/>
            </w:pPr>
            <w:r>
              <w:rPr>
                <w:sz w:val="20"/>
              </w:rPr>
              <w:t xml:space="preserve">7.3</w:t>
            </w:r>
          </w:p>
        </w:tc>
        <w:tc>
          <w:tcPr>
            <w:tcW w:w="5953" w:type="dxa"/>
          </w:tcPr>
          <w:p>
            <w:pPr>
              <w:pStyle w:val="0"/>
            </w:pPr>
            <w:r>
              <w:rPr>
                <w:sz w:val="20"/>
              </w:rPr>
              <w:t xml:space="preserve">Менее 5 упоминаний</w:t>
            </w:r>
          </w:p>
        </w:tc>
        <w:tc>
          <w:tcPr>
            <w:tcW w:w="1077" w:type="dxa"/>
          </w:tcPr>
          <w:p>
            <w:pPr>
              <w:pStyle w:val="0"/>
              <w:jc w:val="center"/>
            </w:pPr>
            <w:r>
              <w:rPr>
                <w:sz w:val="20"/>
              </w:rPr>
              <w:t xml:space="preserve">60</w:t>
            </w:r>
          </w:p>
        </w:tc>
        <w:tc>
          <w:tcPr>
            <w:vMerge w:val="continue"/>
          </w:tcPr>
          <w:p/>
        </w:tc>
      </w:tr>
      <w:tr>
        <w:tc>
          <w:tcPr>
            <w:tcW w:w="624" w:type="dxa"/>
          </w:tcPr>
          <w:p>
            <w:pPr>
              <w:pStyle w:val="0"/>
              <w:jc w:val="center"/>
            </w:pPr>
            <w:r>
              <w:rPr>
                <w:sz w:val="20"/>
              </w:rPr>
              <w:t xml:space="preserve">8</w:t>
            </w:r>
          </w:p>
        </w:tc>
        <w:tc>
          <w:tcPr>
            <w:tcW w:w="5953" w:type="dxa"/>
          </w:tcPr>
          <w:p>
            <w:pPr>
              <w:pStyle w:val="0"/>
            </w:pPr>
            <w:r>
              <w:rPr>
                <w:sz w:val="20"/>
              </w:rPr>
              <w:t xml:space="preserve">Наличие информации о конгрессно-выставочном мероприятии в информационных ресурсах информационно-телекоммуникационной сети "Интернет", за исключением социальных сетей, размещенных на сайтах, доменное имя которых не входит в российскую национальную доменную зону, или в средствах массовой информации, продукция которых создается и(или) распространяется за пределами Российской Федерации</w:t>
            </w:r>
          </w:p>
        </w:tc>
        <w:tc>
          <w:tcPr>
            <w:tcW w:w="1077" w:type="dxa"/>
          </w:tcPr>
          <w:p>
            <w:pPr>
              <w:pStyle w:val="0"/>
              <w:jc w:val="center"/>
            </w:pPr>
            <w:r>
              <w:rPr>
                <w:sz w:val="20"/>
              </w:rPr>
            </w:r>
          </w:p>
        </w:tc>
        <w:tc>
          <w:tcPr>
            <w:tcW w:w="1417" w:type="dxa"/>
            <w:vMerge w:val="restart"/>
          </w:tcPr>
          <w:p>
            <w:pPr>
              <w:pStyle w:val="0"/>
              <w:jc w:val="center"/>
            </w:pPr>
            <w:r>
              <w:rPr>
                <w:sz w:val="20"/>
              </w:rPr>
              <w:t xml:space="preserve">10</w:t>
            </w:r>
          </w:p>
        </w:tc>
      </w:tr>
      <w:tr>
        <w:tc>
          <w:tcPr>
            <w:tcW w:w="624" w:type="dxa"/>
          </w:tcPr>
          <w:p>
            <w:pPr>
              <w:pStyle w:val="0"/>
              <w:jc w:val="center"/>
            </w:pPr>
            <w:r>
              <w:rPr>
                <w:sz w:val="20"/>
              </w:rPr>
              <w:t xml:space="preserve">8.1</w:t>
            </w:r>
          </w:p>
        </w:tc>
        <w:tc>
          <w:tcPr>
            <w:tcW w:w="5953" w:type="dxa"/>
          </w:tcPr>
          <w:p>
            <w:pPr>
              <w:pStyle w:val="0"/>
            </w:pPr>
            <w:r>
              <w:rPr>
                <w:sz w:val="20"/>
              </w:rPr>
              <w:t xml:space="preserve">Наличие одного и более упоминаний</w:t>
            </w:r>
          </w:p>
        </w:tc>
        <w:tc>
          <w:tcPr>
            <w:tcW w:w="1077" w:type="dxa"/>
          </w:tcPr>
          <w:p>
            <w:pPr>
              <w:pStyle w:val="0"/>
              <w:jc w:val="center"/>
            </w:pPr>
            <w:r>
              <w:rPr>
                <w:sz w:val="20"/>
              </w:rPr>
              <w:t xml:space="preserve">100</w:t>
            </w:r>
          </w:p>
        </w:tc>
        <w:tc>
          <w:tcPr>
            <w:vMerge w:val="continue"/>
          </w:tcPr>
          <w:p/>
        </w:tc>
      </w:tr>
      <w:tr>
        <w:tc>
          <w:tcPr>
            <w:tcW w:w="624" w:type="dxa"/>
          </w:tcPr>
          <w:p>
            <w:pPr>
              <w:pStyle w:val="0"/>
              <w:jc w:val="center"/>
            </w:pPr>
            <w:r>
              <w:rPr>
                <w:sz w:val="20"/>
              </w:rPr>
              <w:t xml:space="preserve">8.2</w:t>
            </w:r>
          </w:p>
        </w:tc>
        <w:tc>
          <w:tcPr>
            <w:tcW w:w="5953" w:type="dxa"/>
          </w:tcPr>
          <w:p>
            <w:pPr>
              <w:pStyle w:val="0"/>
            </w:pPr>
            <w:r>
              <w:rPr>
                <w:sz w:val="20"/>
              </w:rPr>
              <w:t xml:space="preserve">Отсутствует</w:t>
            </w:r>
          </w:p>
        </w:tc>
        <w:tc>
          <w:tcPr>
            <w:tcW w:w="1077" w:type="dxa"/>
          </w:tcPr>
          <w:p>
            <w:pPr>
              <w:pStyle w:val="0"/>
              <w:jc w:val="center"/>
            </w:pPr>
            <w:r>
              <w:rPr>
                <w:sz w:val="20"/>
              </w:rPr>
              <w:t xml:space="preserve">0</w:t>
            </w:r>
          </w:p>
        </w:tc>
        <w:tc>
          <w:tcPr>
            <w:vMerge w:val="continue"/>
          </w:tcPr>
          <w:p/>
        </w:tc>
      </w:tr>
    </w:tbl>
    <w:p>
      <w:pPr>
        <w:pStyle w:val="0"/>
        <w:ind w:firstLine="540"/>
        <w:jc w:val="both"/>
      </w:pPr>
      <w:r>
        <w:rPr>
          <w:sz w:val="20"/>
        </w:rPr>
      </w:r>
    </w:p>
    <w:p>
      <w:pPr>
        <w:pStyle w:val="0"/>
        <w:ind w:firstLine="540"/>
        <w:jc w:val="both"/>
      </w:pPr>
      <w:r>
        <w:rPr>
          <w:sz w:val="20"/>
        </w:rPr>
        <w:t xml:space="preserve">Примечание.</w:t>
      </w:r>
    </w:p>
    <w:p>
      <w:pPr>
        <w:pStyle w:val="0"/>
        <w:spacing w:before="200" w:lineRule="auto"/>
        <w:ind w:firstLine="540"/>
        <w:jc w:val="both"/>
      </w:pPr>
      <w:r>
        <w:rPr>
          <w:sz w:val="20"/>
        </w:rPr>
        <w:t xml:space="preserve">Расчет количества набранных баллов по каждой заявке на предоставление субсидии определяется как сумма произведений значения оценки (баллов) по каждому критерию и значения соответствующей доли от общей оценки.</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07.04.2026 N 212</w:t>
            <w:br/>
            <w:t>"О Порядке предоставления в 2026 году субсидий социальн...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9737&amp;dst=100074" TargetMode = "External"/><Relationship Id="rId11" Type="http://schemas.openxmlformats.org/officeDocument/2006/relationships/hyperlink" Target="https://login.consultant.ru/link/?req=doc&amp;base=SPB&amp;n=320743" TargetMode = "External"/><Relationship Id="rId12" Type="http://schemas.openxmlformats.org/officeDocument/2006/relationships/hyperlink" Target="https://login.consultant.ru/link/?req=doc&amp;base=SPB&amp;n=329332&amp;dst=132132" TargetMode = "External"/><Relationship Id="rId13" Type="http://schemas.openxmlformats.org/officeDocument/2006/relationships/hyperlink" Target="https://login.consultant.ru/link/?req=doc&amp;base=LAW&amp;n=535012&amp;dst=7460" TargetMode = "External"/><Relationship Id="rId14" Type="http://schemas.openxmlformats.org/officeDocument/2006/relationships/hyperlink" Target="https://login.consultant.ru/link/?req=doc&amp;base=SPB&amp;n=320743&amp;dst=113503" TargetMode = "External"/><Relationship Id="rId15" Type="http://schemas.openxmlformats.org/officeDocument/2006/relationships/hyperlink" Target="https://login.consultant.ru/link/?req=doc&amp;base=SPB&amp;n=329332&amp;dst=132132" TargetMode = "External"/><Relationship Id="rId16" Type="http://schemas.openxmlformats.org/officeDocument/2006/relationships/hyperlink" Target="https://login.consultant.ru/link/?req=doc&amp;base=SPB&amp;n=329737&amp;dst=100050" TargetMode = "External"/><Relationship Id="rId17" Type="http://schemas.openxmlformats.org/officeDocument/2006/relationships/hyperlink" Target="https://login.consultant.ru/link/?req=doc&amp;base=SPB&amp;n=329332&amp;dst=133319" TargetMode = "External"/><Relationship Id="rId18" Type="http://schemas.openxmlformats.org/officeDocument/2006/relationships/hyperlink" Target="https://edo.fincom.gov.spb.ru/subsidy-lk/navigator" TargetMode = "External"/><Relationship Id="rId19" Type="http://schemas.openxmlformats.org/officeDocument/2006/relationships/hyperlink" Target="https://login.consultant.ru/link/?req=doc&amp;base=LAW&amp;n=535012&amp;dst=3704" TargetMode = "External"/><Relationship Id="rId20" Type="http://schemas.openxmlformats.org/officeDocument/2006/relationships/hyperlink" Target="https://login.consultant.ru/link/?req=doc&amp;base=LAW&amp;n=535012&amp;dst=3722" TargetMode = "External"/><Relationship Id="rId21" Type="http://schemas.openxmlformats.org/officeDocument/2006/relationships/hyperlink" Target="www.gov.spb.ru" TargetMode = "External"/><Relationship Id="rId22" Type="http://schemas.openxmlformats.org/officeDocument/2006/relationships/hyperlink" Target="https://login.consultant.ru/link/?req=doc&amp;base=LAW&amp;n=519026&amp;dst=100948" TargetMode = "External"/><Relationship Id="rId23" Type="http://schemas.openxmlformats.org/officeDocument/2006/relationships/hyperlink" Target="https://login.consultant.ru/link/?req=doc&amp;base=LAW&amp;n=503698" TargetMode = "External"/><Relationship Id="rId24" Type="http://schemas.openxmlformats.org/officeDocument/2006/relationships/hyperlink" Target="https://login.consultant.ru/link/?req=doc&amp;base=LAW&amp;n=495181" TargetMode = "External"/><Relationship Id="rId25" Type="http://schemas.openxmlformats.org/officeDocument/2006/relationships/hyperlink" Target="https://login.consultant.ru/link/?req=doc&amp;base=LAW&amp;n=532255&amp;dst=5769" TargetMode = "External"/><Relationship Id="rId26" Type="http://schemas.openxmlformats.org/officeDocument/2006/relationships/hyperlink" Target="https://login.consultant.ru/link/?req=doc&amp;base=LAW&amp;n=519026&amp;dst=100948" TargetMode = "External"/><Relationship Id="rId27" Type="http://schemas.openxmlformats.org/officeDocument/2006/relationships/hyperlink" Target="https://edo.fincom.gov.spb.ru/subsidy-lk/navigator/" TargetMode = "External"/><Relationship Id="rId28" Type="http://schemas.openxmlformats.org/officeDocument/2006/relationships/hyperlink" Target="https://login.consultant.ru/link/?req=doc&amp;base=LAW&amp;n=528132&amp;dst=100157" TargetMode = "External"/><Relationship Id="rId29" Type="http://schemas.openxmlformats.org/officeDocument/2006/relationships/hyperlink" Target="https://login.consultant.ru/link/?req=doc&amp;base=LAW&amp;n=508490&amp;dst=101922" TargetMode = "External"/><Relationship Id="rId30" Type="http://schemas.openxmlformats.org/officeDocument/2006/relationships/image" Target="media/image2.wmf"/><Relationship Id="rId31" Type="http://schemas.openxmlformats.org/officeDocument/2006/relationships/image" Target="media/image3.wmf"/><Relationship Id="rId32" Type="http://schemas.openxmlformats.org/officeDocument/2006/relationships/image" Target="media/image4.wmf"/><Relationship Id="rId33" Type="http://schemas.openxmlformats.org/officeDocument/2006/relationships/hyperlink" Target="https://login.consultant.ru/link/?req=doc&amp;base=LAW&amp;n=535012&amp;dst=3704" TargetMode = "External"/><Relationship Id="rId34" Type="http://schemas.openxmlformats.org/officeDocument/2006/relationships/hyperlink" Target="https://login.consultant.ru/link/?req=doc&amp;base=LAW&amp;n=535012&amp;dst=3722" TargetMode = "External"/><Relationship Id="rId35" Type="http://schemas.openxmlformats.org/officeDocument/2006/relationships/image" Target="media/image5.wmf"/><Relationship Id="rId36" Type="http://schemas.openxmlformats.org/officeDocument/2006/relationships/hyperlink" Target="https://login.consultant.ru/link/?req=doc&amp;base=LAW&amp;n=535012&amp;dst=3704" TargetMode = "External"/><Relationship Id="rId37" Type="http://schemas.openxmlformats.org/officeDocument/2006/relationships/hyperlink" Target="https://login.consultant.ru/link/?req=doc&amp;base=LAW&amp;n=535012&amp;dst=3722" TargetMode = "External"/><Relationship Id="rId38" Type="http://schemas.openxmlformats.org/officeDocument/2006/relationships/hyperlink" Target="https://login.consultant.ru/link/?req=doc&amp;base=SPB&amp;n=322224&amp;dst=10172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07.04.2026 N 212
"О Порядке предоставления в 2026 году субсидий социально ориентированным некоммерческим организациям на организацию и проведение в Санкт-Петербурге конгрессно-выставочных мероприятий"</dc:title>
  <dcterms:created xsi:type="dcterms:W3CDTF">2026-06-12T13:26:38Z</dcterms:created>
</cp:coreProperties>
</file>