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15.05.2026 N 307</w:t>
              <w:br/>
              <w:t xml:space="preserve">"О предоставлении в 2026 году субсидии Санкт-Петербургскому городскому отделению Всероссийской общественной организации "Всероссийское общество охраны памятников истории и культуры" на реализацию проекта "Открытый город"</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15 мая 2026 г. N 307</w:t>
      </w:r>
    </w:p>
    <w:p>
      <w:pPr>
        <w:pStyle w:val="2"/>
        <w:jc w:val="center"/>
      </w:pPr>
      <w:r>
        <w:rPr>
          <w:sz w:val="20"/>
        </w:rPr>
      </w:r>
    </w:p>
    <w:p>
      <w:pPr>
        <w:pStyle w:val="2"/>
        <w:jc w:val="center"/>
      </w:pPr>
      <w:r>
        <w:rPr>
          <w:sz w:val="20"/>
        </w:rPr>
        <w:t xml:space="preserve">О ПРЕДОСТАВЛЕНИИ В 2026 ГОДУ СУБСИДИИ САНКТ-ПЕТЕРБУРГСКОМУ</w:t>
      </w:r>
    </w:p>
    <w:p>
      <w:pPr>
        <w:pStyle w:val="2"/>
        <w:jc w:val="center"/>
      </w:pPr>
      <w:r>
        <w:rPr>
          <w:sz w:val="20"/>
        </w:rPr>
        <w:t xml:space="preserve">ГОРОДСКОМУ ОТДЕЛЕНИЮ ВСЕРОССИЙСКОЙ ОБЩЕСТВЕННОЙ ОРГАНИЗАЦИИ</w:t>
      </w:r>
    </w:p>
    <w:p>
      <w:pPr>
        <w:pStyle w:val="2"/>
        <w:jc w:val="center"/>
      </w:pPr>
      <w:r>
        <w:rPr>
          <w:sz w:val="20"/>
        </w:rPr>
        <w:t xml:space="preserve">"ВСЕРОССИЙСКОЕ ОБЩЕСТВО ОХРАНЫ ПАМЯТНИКОВ ИСТОРИИ</w:t>
      </w:r>
    </w:p>
    <w:p>
      <w:pPr>
        <w:pStyle w:val="2"/>
        <w:jc w:val="center"/>
      </w:pPr>
      <w:r>
        <w:rPr>
          <w:sz w:val="20"/>
        </w:rPr>
        <w:t xml:space="preserve">И КУЛЬТУРЫ" НА РЕАЛИЗАЦИЮ ПРОЕКТА "ОТКРЫТЫЙ ГОРОД"</w:t>
      </w:r>
    </w:p>
    <w:p>
      <w:pPr>
        <w:pStyle w:val="0"/>
        <w:ind w:firstLine="540"/>
        <w:jc w:val="both"/>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8.12.2025, с изм. от 31.03.2026) ------------ Недействующая редакция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w:t>
      </w:r>
      <w:hyperlink w:history="0" r:id="rId11"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и </w:t>
      </w:r>
      <w:hyperlink w:history="0" r:id="rId12"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17.06.2014 N 488 "О государственной программе Санкт-Петербурга "Развитие сферы культуры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38" w:tooltip="ПОРЯДОК">
        <w:r>
          <w:rPr>
            <w:sz w:val="20"/>
            <w:color w:val="0000ff"/>
          </w:rPr>
          <w:t xml:space="preserve">Порядок</w:t>
        </w:r>
      </w:hyperlink>
      <w:r>
        <w:rPr>
          <w:sz w:val="20"/>
        </w:rPr>
        <w:t xml:space="preserve"> предоставления в 2026 году субсидии Санкт-Петербургскому городскому отделению Всероссийской общественной организации "Всероссийское общество охраны памятников истории и культуры" на реализацию проекта "Открытый город" (далее - Порядок) согласно приложению.</w:t>
      </w:r>
    </w:p>
    <w:p>
      <w:pPr>
        <w:pStyle w:val="0"/>
        <w:spacing w:before="200" w:lineRule="auto"/>
        <w:ind w:firstLine="540"/>
        <w:jc w:val="both"/>
      </w:pPr>
      <w:r>
        <w:rPr>
          <w:sz w:val="20"/>
        </w:rPr>
        <w:t xml:space="preserve">2. Комитету по государственному контролю, использованию и охране памятников истории и культуры (далее - Комитет) в месячный срок в соответствии со </w:t>
      </w:r>
      <w:hyperlink w:history="0" r:id="rId13" w:tooltip="&quot;Бюджетный кодекс Российской Федерации&quot; от 31.07.1998 N 145-ФЗ (ред. от 28.12.2025, с изм. от 31.03.2026)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и общими требованиями в целях реализации Порядка принять правовой акт, регулирующий отдельные вопросы предоставления субсидии в соответствии с Порядком (далее - субсидия), которым установить:</w:t>
      </w:r>
    </w:p>
    <w:p>
      <w:pPr>
        <w:pStyle w:val="0"/>
        <w:spacing w:before="200" w:lineRule="auto"/>
        <w:ind w:firstLine="540"/>
        <w:jc w:val="both"/>
      </w:pPr>
      <w:r>
        <w:rPr>
          <w:sz w:val="20"/>
        </w:rPr>
        <w:t xml:space="preserve">форму заявления на предоставление субсидии (далее - заявление), сроки и порядок представления заявления и документов в Комитет;</w:t>
      </w:r>
    </w:p>
    <w:p>
      <w:pPr>
        <w:pStyle w:val="0"/>
        <w:spacing w:before="200" w:lineRule="auto"/>
        <w:ind w:firstLine="540"/>
        <w:jc w:val="both"/>
      </w:pPr>
      <w:r>
        <w:rPr>
          <w:sz w:val="20"/>
        </w:rPr>
        <w:t xml:space="preserve">перечень документов на предоставление субсидии, в том числе документов, подтверждающих затраты на реализацию проекта "Открытый город", и документов, подтверждающих соответствие получателя субсидии условиям предоставления субсидии, в том числе требованиям к получателю субсидии (далее - документы), и требования к ним;</w:t>
      </w:r>
    </w:p>
    <w:p>
      <w:pPr>
        <w:pStyle w:val="0"/>
        <w:spacing w:before="200" w:lineRule="auto"/>
        <w:ind w:firstLine="540"/>
        <w:jc w:val="both"/>
      </w:pPr>
      <w:r>
        <w:rPr>
          <w:sz w:val="20"/>
        </w:rPr>
        <w:t xml:space="preserve">порядок рассмотрения Комитетом заявления и документов;</w:t>
      </w:r>
    </w:p>
    <w:p>
      <w:pPr>
        <w:pStyle w:val="0"/>
        <w:spacing w:before="200" w:lineRule="auto"/>
        <w:ind w:firstLine="540"/>
        <w:jc w:val="both"/>
      </w:pPr>
      <w:r>
        <w:rPr>
          <w:sz w:val="20"/>
        </w:rPr>
        <w:t xml:space="preserve">порядок заключения между Комитетом и получателем субсидии соглашения о предоставлении субсидии;</w:t>
      </w:r>
    </w:p>
    <w:p>
      <w:pPr>
        <w:pStyle w:val="0"/>
        <w:spacing w:before="200" w:lineRule="auto"/>
        <w:ind w:firstLine="540"/>
        <w:jc w:val="both"/>
      </w:pPr>
      <w:r>
        <w:rPr>
          <w:sz w:val="20"/>
        </w:rPr>
        <w:t xml:space="preserve">срок возврата в бюджет Санкт-Петербурга не использованного получателем субсидии в отчетном финансовом году остатка субсидии;</w:t>
      </w:r>
    </w:p>
    <w:p>
      <w:pPr>
        <w:pStyle w:val="0"/>
        <w:spacing w:before="200" w:lineRule="auto"/>
        <w:ind w:firstLine="540"/>
        <w:jc w:val="both"/>
      </w:pPr>
      <w:r>
        <w:rPr>
          <w:sz w:val="20"/>
        </w:rPr>
        <w:t xml:space="preserve">порядок и сроки представления отчетности об осуществлении расходов, источником финансового обеспечения которых является субсидия;</w:t>
      </w:r>
    </w:p>
    <w:p>
      <w:pPr>
        <w:pStyle w:val="0"/>
        <w:spacing w:before="200" w:lineRule="auto"/>
        <w:ind w:firstLine="540"/>
        <w:jc w:val="both"/>
      </w:pPr>
      <w:r>
        <w:rPr>
          <w:sz w:val="20"/>
        </w:rPr>
        <w:t xml:space="preserve">порядок и сроки представления отчетности о достижении значений результата предоставления субсидии (далее - результат) и характеристики результата (показателя, необходимого для достижения результата);</w:t>
      </w:r>
    </w:p>
    <w:p>
      <w:pPr>
        <w:pStyle w:val="0"/>
        <w:spacing w:before="200" w:lineRule="auto"/>
        <w:ind w:firstLine="540"/>
        <w:jc w:val="both"/>
      </w:pPr>
      <w:r>
        <w:rPr>
          <w:sz w:val="20"/>
        </w:rPr>
        <w:t xml:space="preserve">порядок и сроки проведения Комитетом оценки достижения получателем субсидии значений результата.</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Омельницкого В.В.</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15.05.2026 N 307</w:t>
      </w:r>
    </w:p>
    <w:p>
      <w:pPr>
        <w:pStyle w:val="0"/>
        <w:ind w:firstLine="540"/>
        <w:jc w:val="both"/>
      </w:pPr>
      <w:r>
        <w:rPr>
          <w:sz w:val="20"/>
        </w:rPr>
      </w:r>
    </w:p>
    <w:bookmarkStart w:id="38" w:name="P38"/>
    <w:bookmarkEnd w:id="38"/>
    <w:p>
      <w:pPr>
        <w:pStyle w:val="2"/>
        <w:jc w:val="center"/>
      </w:pPr>
      <w:r>
        <w:rPr>
          <w:sz w:val="20"/>
        </w:rPr>
        <w:t xml:space="preserve">ПОРЯДОК</w:t>
      </w:r>
    </w:p>
    <w:p>
      <w:pPr>
        <w:pStyle w:val="2"/>
        <w:jc w:val="center"/>
      </w:pPr>
      <w:r>
        <w:rPr>
          <w:sz w:val="20"/>
        </w:rPr>
        <w:t xml:space="preserve">ПРЕДОСТАВЛЕНИЯ В 2026 ГОДУ СУБСИДИИ САНКТ-ПЕТЕРБУРГСКОМУ</w:t>
      </w:r>
    </w:p>
    <w:p>
      <w:pPr>
        <w:pStyle w:val="2"/>
        <w:jc w:val="center"/>
      </w:pPr>
      <w:r>
        <w:rPr>
          <w:sz w:val="20"/>
        </w:rPr>
        <w:t xml:space="preserve">ГОРОДСКОМУ ОТДЕЛЕНИЮ ВСЕРОССИЙСКОЙ ОБЩЕСТВЕННОЙ ОРГАНИЗАЦИИ</w:t>
      </w:r>
    </w:p>
    <w:p>
      <w:pPr>
        <w:pStyle w:val="2"/>
        <w:jc w:val="center"/>
      </w:pPr>
      <w:r>
        <w:rPr>
          <w:sz w:val="20"/>
        </w:rPr>
        <w:t xml:space="preserve">"ВСЕРОССИЙСКОЕ ОБЩЕСТВО ОХРАНЫ ПАМЯТНИКОВ ИСТОРИИ</w:t>
      </w:r>
    </w:p>
    <w:p>
      <w:pPr>
        <w:pStyle w:val="2"/>
        <w:jc w:val="center"/>
      </w:pPr>
      <w:r>
        <w:rPr>
          <w:sz w:val="20"/>
        </w:rPr>
        <w:t xml:space="preserve">И КУЛЬТУРЫ" НА РЕАЛИЗАЦИЮ ПРОЕКТА "ОТКРЫТЫЙ ГОРОД"</w:t>
      </w:r>
    </w:p>
    <w:p>
      <w:pPr>
        <w:pStyle w:val="0"/>
        <w:ind w:firstLine="540"/>
        <w:jc w:val="both"/>
      </w:pPr>
      <w:r>
        <w:rPr>
          <w:sz w:val="20"/>
        </w:rPr>
      </w:r>
    </w:p>
    <w:p>
      <w:pPr>
        <w:pStyle w:val="2"/>
        <w:outlineLvl w:val="1"/>
        <w:jc w:val="center"/>
      </w:pPr>
      <w:r>
        <w:rPr>
          <w:sz w:val="20"/>
        </w:rPr>
        <w:t xml:space="preserve">1. Общие положения о предоставлении субсидии</w:t>
      </w:r>
    </w:p>
    <w:p>
      <w:pPr>
        <w:pStyle w:val="0"/>
        <w:ind w:firstLine="540"/>
        <w:jc w:val="both"/>
      </w:pPr>
      <w:r>
        <w:rPr>
          <w:sz w:val="20"/>
        </w:rPr>
      </w:r>
    </w:p>
    <w:bookmarkStart w:id="46" w:name="P46"/>
    <w:bookmarkEnd w:id="46"/>
    <w:p>
      <w:pPr>
        <w:pStyle w:val="0"/>
        <w:ind w:firstLine="540"/>
        <w:jc w:val="both"/>
      </w:pPr>
      <w:r>
        <w:rPr>
          <w:sz w:val="20"/>
        </w:rPr>
        <w:t xml:space="preserve">1.1. Порядок предоставления в 2026 году субсидии Санкт-Петербургскому городскому отделению Всероссийской общественной организации "Всероссийское общество охраны памятников истории и культуры" на реализацию проекта "Открытый город" (далее - Порядок) устанавливает правила предоставления в 2026 году субсидии, предусмотренной Комитету по государственному контролю, использованию и охране памятников истории и культуры (далее - Комитет) </w:t>
      </w:r>
      <w:hyperlink w:history="0" r:id="rId14"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"Субсидия социально ориентированной некоммерческой организации Санкт-Петербургскому городскому отделению "Всероссийское общество охраны памятников истории и культуры" (ВООПИиК) на реализацию проекта "Открытый город" (код целевой статьи 0850071450) в приложении 2 к Закону Санкт-Петербурга от 26.11.2025 N 659-124 "О бюджете Санкт-Петербурга на 2026 год и на плановый период 2027 и 2028 годов", в соответствии с </w:t>
      </w:r>
      <w:hyperlink w:history="0" r:id="rId15"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(далее - Закон Санкт-Петербурга) и </w:t>
      </w:r>
      <w:hyperlink w:history="0" r:id="rId16"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17.06.2014 N 488 "О государственной программе Санкт-Петербурга "Развитие сферы культуры Санкт-Петербурге" (далее - субсидия).</w:t>
      </w:r>
    </w:p>
    <w:p>
      <w:pPr>
        <w:pStyle w:val="0"/>
        <w:spacing w:before="200" w:lineRule="auto"/>
        <w:ind w:firstLine="540"/>
        <w:jc w:val="both"/>
      </w:pPr>
      <w:r>
        <w:rPr>
          <w:sz w:val="20"/>
        </w:rPr>
        <w:t xml:space="preserve">1.2. Субсидия предоставляется на безвозмездной и безвозвратной основе Санкт-Петербургскому городскому отделению Всероссийской общественной организации "Всероссийское общество охраны памятников истории и культуры", осуществляющему на территории Санкт-Петербурга в соответствии с учредительными документами виды деятельности, указанные в </w:t>
      </w:r>
      <w:hyperlink w:history="0" r:id="rId17"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 3</w:t>
        </w:r>
      </w:hyperlink>
      <w:r>
        <w:rPr>
          <w:sz w:val="20"/>
        </w:rPr>
        <w:t xml:space="preserve"> Закона Санкт-Петербурга (далее - получатель субсидии).</w:t>
      </w:r>
    </w:p>
    <w:bookmarkStart w:id="48" w:name="P48"/>
    <w:bookmarkEnd w:id="48"/>
    <w:p>
      <w:pPr>
        <w:pStyle w:val="0"/>
        <w:spacing w:before="200" w:lineRule="auto"/>
        <w:ind w:firstLine="540"/>
        <w:jc w:val="both"/>
      </w:pPr>
      <w:r>
        <w:rPr>
          <w:sz w:val="20"/>
        </w:rPr>
        <w:t xml:space="preserve">1.3. Цель предоставления субсидии - финансовое обеспечение затрат получателя субсидии, возникших в 2026 году в связи с реализацией проекта "Открытый город" (далее - затраты).</w:t>
      </w:r>
    </w:p>
    <w:p>
      <w:pPr>
        <w:pStyle w:val="0"/>
        <w:spacing w:before="200" w:lineRule="auto"/>
        <w:ind w:firstLine="540"/>
        <w:jc w:val="both"/>
      </w:pPr>
      <w:r>
        <w:rPr>
          <w:sz w:val="20"/>
        </w:rPr>
        <w:t xml:space="preserve">Под проектом "Открытый город" (далее - проект) понимается реализуемый получателем субсидии перечень социально значимых культурно-просветительских мероприятий, направленных на популяризацию объектов культурного наследия, расположенных на территории Санкт-Петербурга (далее - Объекты), обеспечивающих организованное посещение гражданами Объектов (далее - Мероприятия).</w:t>
      </w:r>
    </w:p>
    <w:p>
      <w:pPr>
        <w:pStyle w:val="0"/>
        <w:spacing w:before="200" w:lineRule="auto"/>
        <w:ind w:firstLine="540"/>
        <w:jc w:val="both"/>
      </w:pPr>
      <w:r>
        <w:rPr>
          <w:sz w:val="20"/>
        </w:rPr>
        <w:t xml:space="preserve">1.4. Субсидия предоставляется в размере бюджетных ассигнований, предусмотренных Комитету в </w:t>
      </w:r>
      <w:hyperlink w:history="0" r:id="rId18"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приложении 2</w:t>
        </w:r>
      </w:hyperlink>
      <w:r>
        <w:rPr>
          <w:sz w:val="20"/>
        </w:rPr>
        <w:t xml:space="preserve"> к Закону Санкт-Петербурга от 26.11.2025 N 659-124 "О бюджете Санкт-Петербурга на 2026 год и на плановый период 2027 и 2028 годов" по целевой статье расходов, указанной в </w:t>
      </w:r>
      <w:hyperlink w:history="0" w:anchor="P46" w:tooltip="1.1. Порядок предоставления в 2026 году субсидии Санкт-Петербургскому городскому отделению Всероссийской общественной организации &quot;Всероссийское общество охраны памятников истории и культуры&quot; на реализацию проекта &quot;Открытый город&quot; (далее - Порядок) устанавливает правила предоставления в 2026 году субсидии, предусмотренной Комитету по государственному контролю, использованию и охране памятников истории и культуры (далее - Комитет) статьей расходов &quot;Субсидия социально ориентированной некоммерческой организ...">
        <w:r>
          <w:rPr>
            <w:sz w:val="20"/>
            <w:color w:val="0000ff"/>
          </w:rPr>
          <w:t xml:space="preserve">пункте 1.1</w:t>
        </w:r>
      </w:hyperlink>
      <w:r>
        <w:rPr>
          <w:sz w:val="20"/>
        </w:rPr>
        <w:t xml:space="preserve"> Порядка.</w:t>
      </w:r>
    </w:p>
    <w:p>
      <w:pPr>
        <w:pStyle w:val="0"/>
        <w:spacing w:before="200" w:lineRule="auto"/>
        <w:ind w:firstLine="540"/>
        <w:jc w:val="both"/>
      </w:pPr>
      <w:r>
        <w:rPr>
          <w:sz w:val="20"/>
        </w:rPr>
        <w:t xml:space="preserve">1.5. Сведения о субсидии размещаются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w:t>
      </w:r>
    </w:p>
    <w:p>
      <w:pPr>
        <w:pStyle w:val="0"/>
        <w:ind w:firstLine="540"/>
        <w:jc w:val="both"/>
      </w:pPr>
      <w:r>
        <w:rPr>
          <w:sz w:val="20"/>
        </w:rPr>
      </w:r>
    </w:p>
    <w:p>
      <w:pPr>
        <w:pStyle w:val="2"/>
        <w:outlineLvl w:val="1"/>
        <w:jc w:val="center"/>
      </w:pPr>
      <w:r>
        <w:rPr>
          <w:sz w:val="20"/>
        </w:rPr>
        <w:t xml:space="preserve">2. Условия и порядок предоставления субсидии</w:t>
      </w:r>
    </w:p>
    <w:p>
      <w:pPr>
        <w:pStyle w:val="0"/>
        <w:ind w:firstLine="540"/>
        <w:jc w:val="both"/>
      </w:pPr>
      <w:r>
        <w:rPr>
          <w:sz w:val="20"/>
        </w:rPr>
      </w:r>
    </w:p>
    <w:bookmarkStart w:id="55" w:name="P55"/>
    <w:bookmarkEnd w:id="55"/>
    <w:p>
      <w:pPr>
        <w:pStyle w:val="0"/>
        <w:ind w:firstLine="540"/>
        <w:jc w:val="both"/>
      </w:pPr>
      <w:r>
        <w:rPr>
          <w:sz w:val="20"/>
        </w:rPr>
        <w:t xml:space="preserve">2.1. Условия предоставления субсидии, в том числе требования к получателю субсидии:</w:t>
      </w:r>
    </w:p>
    <w:p>
      <w:pPr>
        <w:pStyle w:val="0"/>
        <w:spacing w:before="200" w:lineRule="auto"/>
        <w:ind w:firstLine="540"/>
        <w:jc w:val="both"/>
      </w:pPr>
      <w:r>
        <w:rPr>
          <w:sz w:val="20"/>
        </w:rPr>
        <w:t xml:space="preserve">реализация на территории Санкт-Петербурга Мероприятий в соответствии с планом Мероприятий, согласованным с Комитетом (далее - план Мероприятий);</w:t>
      </w:r>
    </w:p>
    <w:p>
      <w:pPr>
        <w:pStyle w:val="0"/>
        <w:spacing w:before="200" w:lineRule="auto"/>
        <w:ind w:firstLine="540"/>
        <w:jc w:val="both"/>
      </w:pPr>
      <w:r>
        <w:rPr>
          <w:sz w:val="20"/>
        </w:rPr>
        <w:t xml:space="preserve">реализация Мероприятий без взимания платы с граждан;</w:t>
      </w:r>
    </w:p>
    <w:p>
      <w:pPr>
        <w:pStyle w:val="0"/>
        <w:spacing w:before="200" w:lineRule="auto"/>
        <w:ind w:firstLine="540"/>
        <w:jc w:val="both"/>
      </w:pPr>
      <w:r>
        <w:rPr>
          <w:sz w:val="20"/>
        </w:rPr>
        <w:t xml:space="preserve">соблюдение получателем субсидии при проведении Мероприятий требований и ограничений, действующих в соответствующий период на территории Санкт-Петербурга, в целях противодействия распространению на территории Санкт-Петербурга новой коронавирусной инфекции (COVID-19);</w:t>
      </w:r>
    </w:p>
    <w:p>
      <w:pPr>
        <w:pStyle w:val="0"/>
        <w:spacing w:before="200" w:lineRule="auto"/>
        <w:ind w:firstLine="540"/>
        <w:jc w:val="both"/>
      </w:pPr>
      <w:r>
        <w:rPr>
          <w:sz w:val="20"/>
        </w:rPr>
        <w:t xml:space="preserve">обеспечение получателем субсидии информационного сопровождения проекта в соответствии с планом Мероприятий;</w:t>
      </w:r>
    </w:p>
    <w:p>
      <w:pPr>
        <w:pStyle w:val="0"/>
        <w:spacing w:before="200" w:lineRule="auto"/>
        <w:ind w:firstLine="540"/>
        <w:jc w:val="both"/>
      </w:pPr>
      <w:r>
        <w:rPr>
          <w:sz w:val="20"/>
        </w:rPr>
        <w:t xml:space="preserve">обеспечение получателем субсидии привлечения к работе в проекте гидов, имеющих среднее специальное, высшее или незаконченное высшее образование и специализирующихся в области истории и теории художественной культуры, культурологии, истории и теории искусств, истории, регионоведения, архитектуры, реставрации Объектов, или имеющих образование, соответствующее профилю проводимых Мероприятий, или имеющих квалификацию гидов или экскурсоводов, подтвержденную документально, или предоставляемых пользователем Объекта;</w:t>
      </w:r>
    </w:p>
    <w:p>
      <w:pPr>
        <w:pStyle w:val="0"/>
        <w:spacing w:before="200" w:lineRule="auto"/>
        <w:ind w:firstLine="540"/>
        <w:jc w:val="both"/>
      </w:pPr>
      <w:r>
        <w:rPr>
          <w:sz w:val="20"/>
        </w:rPr>
        <w:t xml:space="preserve">обеспечение получателем субсидии записи граждан на участие в Мероприятиях по многоканальному телефону с максимальным сроком ожидания ответа оператора - пять минут и(или) онлайн-записи на официальном информационном интернет-ресурсе проекта;</w:t>
      </w:r>
    </w:p>
    <w:p>
      <w:pPr>
        <w:pStyle w:val="0"/>
        <w:spacing w:before="200" w:lineRule="auto"/>
        <w:ind w:firstLine="540"/>
        <w:jc w:val="both"/>
      </w:pPr>
      <w:r>
        <w:rPr>
          <w:sz w:val="20"/>
        </w:rPr>
        <w:t xml:space="preserve">согласие получателя субсидии и лиц, получающих средства на основании договоров (соглашений), заключенных с получателем субсидии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них Комитетом проверки соблюдения порядка и условий предоставления субсидии, в том числе в части достижения результата предоставления субсидии, указанного в </w:t>
      </w:r>
      <w:hyperlink w:history="0" w:anchor="P80" w:tooltip="2.2. Результатом является реализация в 2026 году на территории Санкт-Петербурга проекта. Типом результата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является &quot;Оказание услуг (выполнение работ)&quot;.">
        <w:r>
          <w:rPr>
            <w:sz w:val="20"/>
            <w:color w:val="0000ff"/>
          </w:rPr>
          <w:t xml:space="preserve">пункте 2.2</w:t>
        </w:r>
      </w:hyperlink>
      <w:r>
        <w:rPr>
          <w:sz w:val="20"/>
        </w:rPr>
        <w:t xml:space="preserve"> Порядка (далее соответственно - проверка, результат), а также на осуществление проверок органами государственного финансового контроля в соответствии со </w:t>
      </w:r>
      <w:hyperlink w:history="0" r:id="rId19" w:tooltip="&quot;Бюджетный кодекс Российской Федерации&quot; от 31.07.1998 N 145-ФЗ (ред. от 28.12.2025, с изм. от 31.03.2026) ------------ Недействующая редакция {КонсультантПлюс}">
        <w:r>
          <w:rPr>
            <w:sz w:val="20"/>
            <w:color w:val="0000ff"/>
          </w:rPr>
          <w:t xml:space="preserve">статьями 268.1</w:t>
        </w:r>
      </w:hyperlink>
      <w:r>
        <w:rPr>
          <w:sz w:val="20"/>
        </w:rPr>
        <w:t xml:space="preserve"> и </w:t>
      </w:r>
      <w:hyperlink w:history="0" r:id="rId20" w:tooltip="&quot;Бюджетный кодекс Российской Федерации&quot; от 31.07.1998 N 145-ФЗ (ред. от 28.12.2025, с изм. от 31.03.2026)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включение таких положений в соглашение о предоставлении субсидии (далее - соглашение);</w:t>
      </w:r>
    </w:p>
    <w:p>
      <w:pPr>
        <w:pStyle w:val="0"/>
        <w:spacing w:before="200" w:lineRule="auto"/>
        <w:ind w:firstLine="540"/>
        <w:jc w:val="both"/>
      </w:pPr>
      <w:r>
        <w:rPr>
          <w:sz w:val="20"/>
        </w:rPr>
        <w:t xml:space="preserve">неприобретение получателем субсидии, а также контрагентами - юридическими лицами за счет полученных из бюджета Санкт-Петербурга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получателем субсидии в целях реализации Мероприятий у поставщиков (подрядчиков, исполнителей), относящихся к нерезидентам в соответствии с Федеральным </w:t>
      </w:r>
      <w:hyperlink w:history="0" r:id="rId21"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p>
      <w:pPr>
        <w:pStyle w:val="0"/>
        <w:spacing w:before="200" w:lineRule="auto"/>
        <w:ind w:firstLine="540"/>
        <w:jc w:val="both"/>
      </w:pPr>
      <w:r>
        <w:rPr>
          <w:sz w:val="20"/>
        </w:rPr>
        <w:t xml:space="preserve">наличие обязательства получателя субсидии возвратить не использованный в отчетном финансовом году остаток субсидии в бюджет Санкт-Петербурга в срок, установленный Комитетом;</w:t>
      </w:r>
    </w:p>
    <w:p>
      <w:pPr>
        <w:pStyle w:val="0"/>
        <w:spacing w:before="200" w:lineRule="auto"/>
        <w:ind w:firstLine="540"/>
        <w:jc w:val="both"/>
      </w:pPr>
      <w:r>
        <w:rPr>
          <w:sz w:val="20"/>
        </w:rPr>
        <w:t xml:space="preserve">документальное обоснование затрат;</w:t>
      </w:r>
    </w:p>
    <w:p>
      <w:pPr>
        <w:pStyle w:val="0"/>
        <w:spacing w:before="200" w:lineRule="auto"/>
        <w:ind w:firstLine="540"/>
        <w:jc w:val="both"/>
      </w:pPr>
      <w:r>
        <w:rPr>
          <w:sz w:val="20"/>
        </w:rPr>
        <w:t xml:space="preserve">отсутствие у получателя субсидии нарушений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бюджетной системы Российской Федерации при использовании денежных средств, предоставляемых из бюджета Санкт-Петербурга, по которым не исполнены вступившие в силу постановления о назначении административного наказания, за период не менее одного календарного года, предшествующего году получения субсидии;</w:t>
      </w:r>
    </w:p>
    <w:p>
      <w:pPr>
        <w:pStyle w:val="0"/>
        <w:spacing w:before="200" w:lineRule="auto"/>
        <w:ind w:firstLine="540"/>
        <w:jc w:val="both"/>
      </w:pPr>
      <w:r>
        <w:rPr>
          <w:sz w:val="20"/>
        </w:rPr>
        <w:t xml:space="preserve">у получателя субсидии на едином налоговом счете отсутствует или не превышает размера, определенного в </w:t>
      </w:r>
      <w:hyperlink w:history="0" r:id="rId22"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на дату не ранее 30 календарных дней до даты подачи заявления и документов на предоставление субсидии, указанных в </w:t>
      </w:r>
      <w:hyperlink w:history="0" w:anchor="P84" w:tooltip="2.4. Для получения субсидии получатель субсидии в порядке и сроки, которые установлены Комитетом, представляет в Комитет заявление и документы, в том числе документы, обосновывающие затраты, и документы, подтверждающие соответствие получателя субсидии условиям предоставления субсидии, в том числе требованиям к получателю субсидии, указанным в пункте 2.1 Порядка.">
        <w:r>
          <w:rPr>
            <w:sz w:val="20"/>
            <w:color w:val="0000ff"/>
          </w:rPr>
          <w:t xml:space="preserve">пункте 2.4</w:t>
        </w:r>
      </w:hyperlink>
      <w:r>
        <w:rPr>
          <w:sz w:val="20"/>
        </w:rPr>
        <w:t xml:space="preserve"> Порядка (далее - документы), а также на день принятия решения о предоставлении субсидии и дни подписания актов, указанных в </w:t>
      </w:r>
      <w:hyperlink w:history="0" w:anchor="P102" w:tooltip="40 процентов суммы субсидии (далее - второй аванс) в течение семи рабочих дней со дня подписания акта проверки отчетности, указанной в пункте 3.2 Порядка, в отношении средств первого аванса;">
        <w:r>
          <w:rPr>
            <w:sz w:val="20"/>
            <w:color w:val="0000ff"/>
          </w:rPr>
          <w:t xml:space="preserve">абзацах третьем</w:t>
        </w:r>
      </w:hyperlink>
      <w:r>
        <w:rPr>
          <w:sz w:val="20"/>
        </w:rPr>
        <w:t xml:space="preserve"> и </w:t>
      </w:r>
      <w:hyperlink w:history="0" w:anchor="P103" w:tooltip="30 процентов суммы субсидии (далее - третий аванс) в течение семи рабочих дней со дня подписания акта проверки отчетности, указанной в пункте 3.2 Порядка, в отношении средств второго аванса.">
        <w:r>
          <w:rPr>
            <w:sz w:val="20"/>
            <w:color w:val="0000ff"/>
          </w:rPr>
          <w:t xml:space="preserve">четвертом пункта 2.13</w:t>
        </w:r>
      </w:hyperlink>
      <w:r>
        <w:rPr>
          <w:sz w:val="20"/>
        </w:rPr>
        <w:t xml:space="preserve"> Порядка;</w:t>
      </w:r>
    </w:p>
    <w:p>
      <w:pPr>
        <w:pStyle w:val="0"/>
        <w:spacing w:before="200" w:lineRule="auto"/>
        <w:ind w:firstLine="540"/>
        <w:jc w:val="both"/>
      </w:pPr>
      <w:r>
        <w:rPr>
          <w:sz w:val="20"/>
        </w:rPr>
        <w:t xml:space="preserve">у получателя субсидии отсутствуют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(далее - требование об отсутствии задолженности по денежным обязательствам) на дату не ранее 30 календарных дней до 1-го числа месяца, в котором планируется предоставление субсидии, а также на день принятия решения о предоставлении субсидии и дни подписания актов, указанных в </w:t>
      </w:r>
      <w:hyperlink w:history="0" w:anchor="P102" w:tooltip="40 процентов суммы субсидии (далее - второй аванс) в течение семи рабочих дней со дня подписания акта проверки отчетности, указанной в пункте 3.2 Порядка, в отношении средств первого аванса;">
        <w:r>
          <w:rPr>
            <w:sz w:val="20"/>
            <w:color w:val="0000ff"/>
          </w:rPr>
          <w:t xml:space="preserve">абзацах третьем</w:t>
        </w:r>
      </w:hyperlink>
      <w:r>
        <w:rPr>
          <w:sz w:val="20"/>
        </w:rPr>
        <w:t xml:space="preserve"> и </w:t>
      </w:r>
      <w:hyperlink w:history="0" w:anchor="P103" w:tooltip="30 процентов суммы субсидии (далее - третий аванс) в течение семи рабочих дней со дня подписания акта проверки отчетности, указанной в пункте 3.2 Порядка, в отношении средств второго аванса.">
        <w:r>
          <w:rPr>
            <w:sz w:val="20"/>
            <w:color w:val="0000ff"/>
          </w:rPr>
          <w:t xml:space="preserve">четвертом пункта 2.13</w:t>
        </w:r>
      </w:hyperlink>
      <w:r>
        <w:rPr>
          <w:sz w:val="20"/>
        </w:rPr>
        <w:t xml:space="preserve"> Порядка;</w:t>
      </w:r>
    </w:p>
    <w:p>
      <w:pPr>
        <w:pStyle w:val="0"/>
        <w:spacing w:before="200" w:lineRule="auto"/>
        <w:ind w:firstLine="540"/>
        <w:jc w:val="both"/>
      </w:pPr>
      <w:r>
        <w:rPr>
          <w:sz w:val="20"/>
        </w:rPr>
        <w:t xml:space="preserve">у получателя субсидии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w:t>
      </w:r>
      <w:hyperlink w:history="0" r:id="rId23"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2025 года, а также в течение периода со дня принятия решения о предоставлении субсидии до даты, по состоянию на которую получателем субсидии формируется отчетность о достижении значений результата и характеристики результата (дополнительного количественного параметра, которому должен соответствовать результат) (далее - характеристика),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соответствующий период, а при условии отсутствия Регионального соглашения - размера минимальной заработной платы в Санкт-Петербурге, установленного соответствующим соглашением, действовавшим на 31 декабря предшествовавшего календарного года;</w:t>
      </w:r>
    </w:p>
    <w:p>
      <w:pPr>
        <w:pStyle w:val="0"/>
        <w:spacing w:before="200" w:lineRule="auto"/>
        <w:ind w:firstLine="540"/>
        <w:jc w:val="both"/>
      </w:pPr>
      <w:r>
        <w:rPr>
          <w:sz w:val="20"/>
        </w:rPr>
        <w:t xml:space="preserve">наличие обязательства получателя субсидии соблюдать требование об отсутствии аффилированности получателя субсидии и его руководителя с контрагентами (о том, что контрагенты и лица, входящие в состав их органов управления, не являются аффилированными лицами получателя субсидии и его руководителя по смыслу понятия "аффилированные лица", предусмотренного в </w:t>
      </w:r>
      <w:hyperlink w:history="0" r:id="rId24" w:tooltip="Закон РСФСР от 22.03.1991 N 948-1 (ред. от 31.07.2025) &quot;О конкуренции и ограничении монополистической деятельности на товарных рынках&quot; {КонсультантПлюс}">
        <w:r>
          <w:rPr>
            <w:sz w:val="20"/>
            <w:color w:val="0000ff"/>
          </w:rPr>
          <w:t xml:space="preserve">статье 4</w:t>
        </w:r>
      </w:hyperlink>
      <w:r>
        <w:rPr>
          <w:sz w:val="20"/>
        </w:rPr>
        <w:t xml:space="preserve"> Закона РСФСР "О конкуренции и ограничении монополистической деятельности на товарных рынках").</w:t>
      </w:r>
    </w:p>
    <w:p>
      <w:pPr>
        <w:pStyle w:val="0"/>
        <w:spacing w:before="200" w:lineRule="auto"/>
        <w:ind w:firstLine="540"/>
        <w:jc w:val="both"/>
      </w:pPr>
      <w:r>
        <w:rPr>
          <w:sz w:val="20"/>
        </w:rPr>
        <w:t xml:space="preserve">Требования, которым должен соответствовать получатель субсидии на дату не ранее 30 календарных дней со дня представления в Комитет заявления на предоставление субсидии (далее - заявление):</w:t>
      </w:r>
    </w:p>
    <w:p>
      <w:pPr>
        <w:pStyle w:val="0"/>
        <w:spacing w:before="200" w:lineRule="auto"/>
        <w:ind w:firstLine="540"/>
        <w:jc w:val="both"/>
      </w:pPr>
      <w:r>
        <w:rPr>
          <w:sz w:val="20"/>
        </w:rPr>
        <w:t xml:space="preserve">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получатель субсидии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получатель субсидии не получает средства из бюджета Санкт-Петербурга на основании иных нормативных правовых актов Санкт-Петербурга на цели, указанные в </w:t>
      </w:r>
      <w:hyperlink w:history="0" w:anchor="P48" w:tooltip="1.3. Цель предоставления субсидии - финансовое обеспечение затрат получателя субсидии, возникших в 2026 году в связи с реализацией проекта &quot;Открытый город&quot; (далее - затраты).">
        <w:r>
          <w:rPr>
            <w:sz w:val="20"/>
            <w:color w:val="0000ff"/>
          </w:rPr>
          <w:t xml:space="preserve">пункте 1.3</w:t>
        </w:r>
      </w:hyperlink>
      <w:r>
        <w:rPr>
          <w:sz w:val="20"/>
        </w:rPr>
        <w:t xml:space="preserve"> Порядка;</w:t>
      </w:r>
    </w:p>
    <w:p>
      <w:pPr>
        <w:pStyle w:val="0"/>
        <w:spacing w:before="200" w:lineRule="auto"/>
        <w:ind w:firstLine="540"/>
        <w:jc w:val="both"/>
      </w:pPr>
      <w:r>
        <w:rPr>
          <w:sz w:val="20"/>
        </w:rPr>
        <w:t xml:space="preserve">получатель субсидии не является иностранным агентом в соответствии с Федеральным </w:t>
      </w:r>
      <w:hyperlink w:history="0" r:id="rId25"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получатель субсидии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w:t>
      </w:r>
    </w:p>
    <w:p>
      <w:pPr>
        <w:pStyle w:val="0"/>
        <w:spacing w:before="200" w:lineRule="auto"/>
        <w:ind w:firstLine="540"/>
        <w:jc w:val="both"/>
      </w:pPr>
      <w:r>
        <w:rPr>
          <w:sz w:val="20"/>
        </w:rPr>
        <w:t xml:space="preserve">информация о получателе субсидии отсутствует в реестре недобросовестных поставщиков (подрядчиков, исполнителей), ведение которого осуществляется в соответствии с Федеральным </w:t>
      </w:r>
      <w:hyperlink w:history="0" r:id="rId2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w:t>
      </w:r>
    </w:p>
    <w:bookmarkStart w:id="80" w:name="P80"/>
    <w:bookmarkEnd w:id="80"/>
    <w:p>
      <w:pPr>
        <w:pStyle w:val="0"/>
        <w:spacing w:before="200" w:lineRule="auto"/>
        <w:ind w:firstLine="540"/>
        <w:jc w:val="both"/>
      </w:pPr>
      <w:r>
        <w:rPr>
          <w:sz w:val="20"/>
        </w:rPr>
        <w:t xml:space="preserve">2.2. Результатом является реализация в 2026 году на территории Санкт-Петербурга проекта. Типом результата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является "Оказание услуг (выполнение работ)".</w:t>
      </w:r>
    </w:p>
    <w:p>
      <w:pPr>
        <w:pStyle w:val="0"/>
        <w:spacing w:before="200" w:lineRule="auto"/>
        <w:ind w:firstLine="540"/>
        <w:jc w:val="both"/>
      </w:pPr>
      <w:r>
        <w:rPr>
          <w:sz w:val="20"/>
        </w:rPr>
        <w:t xml:space="preserve">Характеристикой является проведение в 2026 году Мероприятий в количестве, установленном планом Мероприятий. Значение характеристики устанавливается в соглашении.</w:t>
      </w:r>
    </w:p>
    <w:p>
      <w:pPr>
        <w:pStyle w:val="0"/>
        <w:spacing w:before="200" w:lineRule="auto"/>
        <w:ind w:firstLine="540"/>
        <w:jc w:val="both"/>
      </w:pPr>
      <w:r>
        <w:rPr>
          <w:sz w:val="20"/>
        </w:rPr>
        <w:t xml:space="preserve">2.3. Получатель субсидии в течение 10 рабочих дней после принятия настоящего постановления представляет в Комитет на согласование план Мероприятий.</w:t>
      </w:r>
    </w:p>
    <w:p>
      <w:pPr>
        <w:pStyle w:val="0"/>
        <w:spacing w:before="200" w:lineRule="auto"/>
        <w:ind w:firstLine="540"/>
        <w:jc w:val="both"/>
      </w:pPr>
      <w:r>
        <w:rPr>
          <w:sz w:val="20"/>
        </w:rPr>
        <w:t xml:space="preserve">В случае внесения изменений в план Мероприятий получатель субсидии представляет в Комитет на согласование новый план Мероприятий с материалами, обосновывающими необходимость внесения изменений и подтверждающими обеспечение выполнения получателем субсидии общего количества Мероприятий, установленного планом Мероприятий.</w:t>
      </w:r>
    </w:p>
    <w:bookmarkStart w:id="84" w:name="P84"/>
    <w:bookmarkEnd w:id="84"/>
    <w:p>
      <w:pPr>
        <w:pStyle w:val="0"/>
        <w:spacing w:before="200" w:lineRule="auto"/>
        <w:ind w:firstLine="540"/>
        <w:jc w:val="both"/>
      </w:pPr>
      <w:r>
        <w:rPr>
          <w:sz w:val="20"/>
        </w:rPr>
        <w:t xml:space="preserve">2.4. Для получения субсидии получатель субсидии в порядке и сроки, которые установлены Комитетом, представляет в Комитет заявление и документы, в том числе документы, обосновывающие затраты, и документы, подтверждающие соответствие получателя субсидии условиям предоставления субсидии, в том числе требованиям к получателю субсидии, указанным в </w:t>
      </w:r>
      <w:hyperlink w:history="0" w:anchor="P55" w:tooltip="2.1. Условия предоставления субсидии, в том числе требования к получателю субсидии:">
        <w:r>
          <w:rPr>
            <w:sz w:val="20"/>
            <w:color w:val="0000ff"/>
          </w:rPr>
          <w:t xml:space="preserve">пункте 2.1</w:t>
        </w:r>
      </w:hyperlink>
      <w:r>
        <w:rPr>
          <w:sz w:val="20"/>
        </w:rPr>
        <w:t xml:space="preserve"> Порядка.</w:t>
      </w:r>
    </w:p>
    <w:p>
      <w:pPr>
        <w:pStyle w:val="0"/>
        <w:spacing w:before="200" w:lineRule="auto"/>
        <w:ind w:firstLine="540"/>
        <w:jc w:val="both"/>
      </w:pPr>
      <w:r>
        <w:rPr>
          <w:sz w:val="20"/>
        </w:rPr>
        <w:t xml:space="preserve">Форма заявления, сроки и порядок представления заявления и документов в Комитет, перечень документов и требования к документам утверждаются Комитетом.</w:t>
      </w:r>
    </w:p>
    <w:bookmarkStart w:id="86" w:name="P86"/>
    <w:bookmarkEnd w:id="86"/>
    <w:p>
      <w:pPr>
        <w:pStyle w:val="0"/>
        <w:spacing w:before="200" w:lineRule="auto"/>
        <w:ind w:firstLine="540"/>
        <w:jc w:val="both"/>
      </w:pPr>
      <w:r>
        <w:rPr>
          <w:sz w:val="20"/>
        </w:rPr>
        <w:t xml:space="preserve">2.5. В целях подтверждения того, что у получателя субсидии на едином налоговом счете отсутствует или не превышает размера, определенного в </w:t>
      </w:r>
      <w:hyperlink w:history="0" r:id="rId27"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получатель субсидии представляет в Комитет справку по состоянию на дату формирования справки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выданную налоговым органом на дату не ранее 30 календарных дней до даты подачи заявления и документов.</w:t>
      </w:r>
    </w:p>
    <w:bookmarkStart w:id="87" w:name="P87"/>
    <w:bookmarkEnd w:id="87"/>
    <w:p>
      <w:pPr>
        <w:pStyle w:val="0"/>
        <w:spacing w:before="200" w:lineRule="auto"/>
        <w:ind w:firstLine="540"/>
        <w:jc w:val="both"/>
      </w:pPr>
      <w:r>
        <w:rPr>
          <w:sz w:val="20"/>
        </w:rPr>
        <w:t xml:space="preserve">2.6. В целях подтверждения соблюдения требования об отсутствии задолженности по денежным обязательствам получатель субсидии представляет в Комитет справку в свободной форме, подписанную руководителем получателя субсидии или уполномоченным лицом получателя субсидии и заверенную оттиском печати получателя субсидии (при наличии печати), подтверждающую исполнение получателем субсидии требования об отсутствии задолженности по денежным обязательствам.</w:t>
      </w:r>
    </w:p>
    <w:p>
      <w:pPr>
        <w:pStyle w:val="0"/>
        <w:spacing w:before="200" w:lineRule="auto"/>
        <w:ind w:firstLine="540"/>
        <w:jc w:val="both"/>
      </w:pPr>
      <w:r>
        <w:rPr>
          <w:sz w:val="20"/>
        </w:rPr>
        <w:t xml:space="preserve">Проверка соответствия информации, содержащейся в указанной справке, осуществляется Комитетом, в том числе посредством установления факта отсутствия информации о получателе субсидии в публичном реестре должников Санкт-Петербурга, </w:t>
      </w:r>
      <w:hyperlink w:history="0" r:id="rId28" w:tooltip="Постановление Правительства Санкт-Петербурга от 28.06.2021 N 426 (ред. от 17.01.2025) &quot;Об утверждении Порядка ведения публичного реестра должников&quot; {КонсультантПлюс}">
        <w:r>
          <w:rPr>
            <w:sz w:val="20"/>
            <w:color w:val="0000ff"/>
          </w:rPr>
          <w:t xml:space="preserve">порядок</w:t>
        </w:r>
      </w:hyperlink>
      <w:r>
        <w:rPr>
          <w:sz w:val="20"/>
        </w:rPr>
        <w:t xml:space="preserve"> ведения которого утвержден постановлением Правительства Санкт-Петербурга от 28.06.2021 N 426.</w:t>
      </w:r>
    </w:p>
    <w:bookmarkStart w:id="89" w:name="P89"/>
    <w:bookmarkEnd w:id="89"/>
    <w:p>
      <w:pPr>
        <w:pStyle w:val="0"/>
        <w:spacing w:before="200" w:lineRule="auto"/>
        <w:ind w:firstLine="540"/>
        <w:jc w:val="both"/>
      </w:pPr>
      <w:r>
        <w:rPr>
          <w:sz w:val="20"/>
        </w:rPr>
        <w:t xml:space="preserve">2.7. Комитет организует рассмотрение заявления и документов в порядке, утвержденном Комитетом, в срок не более 15 рабочих дней со дня представления получателем субсидии заявления и документов. По окончании рассмотрения заявления и документов Комитетом принимается решение о предоставлении субсидии получателю субсидии либо об отказе в предоставлении субсидии.</w:t>
      </w:r>
    </w:p>
    <w:p>
      <w:pPr>
        <w:pStyle w:val="0"/>
        <w:spacing w:before="200" w:lineRule="auto"/>
        <w:ind w:firstLine="540"/>
        <w:jc w:val="both"/>
      </w:pPr>
      <w:r>
        <w:rPr>
          <w:sz w:val="20"/>
        </w:rPr>
        <w:t xml:space="preserve">Решение о предоставлении субсидии принимается в форме распоряжения Комитета, в котором указываются получатель субсидии и размер предоставляемой субсидии.</w:t>
      </w:r>
    </w:p>
    <w:p>
      <w:pPr>
        <w:pStyle w:val="0"/>
        <w:spacing w:before="200" w:lineRule="auto"/>
        <w:ind w:firstLine="540"/>
        <w:jc w:val="both"/>
      </w:pPr>
      <w:r>
        <w:rPr>
          <w:sz w:val="20"/>
        </w:rPr>
        <w:t xml:space="preserve">2.8. Субсидия предоставляется в соответствии с соглашением, заключаемым между Комитетом и получателем субсидии по форме, утвержденной Комитетом финансов Санкт-Петербурга, в срок не более 10 рабочих дней со дня принятия решения о предоставлении субсидии.</w:t>
      </w:r>
    </w:p>
    <w:p>
      <w:pPr>
        <w:pStyle w:val="0"/>
        <w:spacing w:before="200" w:lineRule="auto"/>
        <w:ind w:firstLine="540"/>
        <w:jc w:val="both"/>
      </w:pPr>
      <w:r>
        <w:rPr>
          <w:sz w:val="20"/>
        </w:rPr>
        <w:t xml:space="preserve">Соглашение формируется в форме электронного документа в Автоматизированной информационной системе бюджетного процесса - электронном казначействе.</w:t>
      </w:r>
    </w:p>
    <w:bookmarkStart w:id="93" w:name="P93"/>
    <w:bookmarkEnd w:id="93"/>
    <w:p>
      <w:pPr>
        <w:pStyle w:val="0"/>
        <w:spacing w:before="200" w:lineRule="auto"/>
        <w:ind w:firstLine="540"/>
        <w:jc w:val="both"/>
      </w:pPr>
      <w:r>
        <w:rPr>
          <w:sz w:val="20"/>
        </w:rPr>
        <w:t xml:space="preserve">2.9. В соглашение подлежит включению условие о том, что в случае уменьшения лимитов бюджетных обязательств, ранее доведенных Комитету на предоставление субсидии, приводящего к невозможности предоставления субсидии в размере, определенном в соглашении, Комитет в течение пяти рабочих дней со дня возникновения указанного обстоятельства направляет получателю субсидии проект дополнительного соглашения к соглашению об уменьшении размера субсидии (далее - дополнительное соглашение). Получатель субсидии подписывает дополнительное соглашение и направляет его в Комитет в течение пяти рабочих дней со дня его получения.</w:t>
      </w:r>
    </w:p>
    <w:p>
      <w:pPr>
        <w:pStyle w:val="0"/>
        <w:spacing w:before="200" w:lineRule="auto"/>
        <w:ind w:firstLine="540"/>
        <w:jc w:val="both"/>
      </w:pPr>
      <w:r>
        <w:rPr>
          <w:sz w:val="20"/>
        </w:rPr>
        <w:t xml:space="preserve">В случае неподписания дополнительного соглашения получателем субсидии в срок, указанный в </w:t>
      </w:r>
      <w:hyperlink w:history="0" w:anchor="P93" w:tooltip="2.9. В соглашение подлежит включению условие о том, что в случае уменьшения лимитов бюджетных обязательств, ранее доведенных Комитету на предоставление субсидии, приводящего к невозможности предоставления субсидии в размере, определенном в соглашении, Комитет в течение пяти рабочих дней со дня возникновения указанного обстоятельства направляет получателю субсидии проект дополнительного соглашения к соглашению об уменьшении размера субсидии (далее - дополнительное соглашение). Получатель субсидии подписыв...">
        <w:r>
          <w:rPr>
            <w:sz w:val="20"/>
            <w:color w:val="0000ff"/>
          </w:rPr>
          <w:t xml:space="preserve">абзаце первом</w:t>
        </w:r>
      </w:hyperlink>
      <w:r>
        <w:rPr>
          <w:sz w:val="20"/>
        </w:rPr>
        <w:t xml:space="preserve"> настоящего пункта, соглашение подлежит расторжению.</w:t>
      </w:r>
    </w:p>
    <w:p>
      <w:pPr>
        <w:pStyle w:val="0"/>
        <w:spacing w:before="200" w:lineRule="auto"/>
        <w:ind w:firstLine="540"/>
        <w:jc w:val="both"/>
      </w:pPr>
      <w:r>
        <w:rPr>
          <w:sz w:val="20"/>
        </w:rPr>
        <w:t xml:space="preserve">2.10. В соглашение включаются положения о том, что:</w:t>
      </w:r>
    </w:p>
    <w:p>
      <w:pPr>
        <w:pStyle w:val="0"/>
        <w:spacing w:before="200" w:lineRule="auto"/>
        <w:ind w:firstLine="540"/>
        <w:jc w:val="both"/>
      </w:pPr>
      <w:r>
        <w:rPr>
          <w:sz w:val="20"/>
        </w:rPr>
        <w:t xml:space="preserve">получатель субсидии обязуется поддерживать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w:t>
      </w:r>
      <w:hyperlink w:history="0" r:id="rId29"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со дня принятия решения о предоставлении субсидии до даты, по состоянию на которую получателем субсидии формируется отчетность о достижении значений результата и характеристики, не ниже размера минимальной заработной платы в Санкт-Петербурге, установленного Региональным соглашением на соответствующий период, а при условии отсутствия такого соглашения - не ниже размера минимальной заработной платы в Санкт-Петербурге, установленного соответствующим соглашением, действовавшим на 31 декабря предшествующего календарного года.</w:t>
      </w:r>
    </w:p>
    <w:p>
      <w:pPr>
        <w:pStyle w:val="0"/>
        <w:spacing w:before="200" w:lineRule="auto"/>
        <w:ind w:firstLine="540"/>
        <w:jc w:val="both"/>
      </w:pPr>
      <w:r>
        <w:rPr>
          <w:sz w:val="20"/>
        </w:rPr>
        <w:t xml:space="preserve">2.11.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Санкт-Петербурга.</w:t>
      </w:r>
    </w:p>
    <w:p>
      <w:pPr>
        <w:pStyle w:val="0"/>
        <w:spacing w:before="200" w:lineRule="auto"/>
        <w:ind w:firstLine="540"/>
        <w:jc w:val="both"/>
      </w:pPr>
      <w:r>
        <w:rPr>
          <w:sz w:val="20"/>
        </w:rPr>
        <w:t xml:space="preserve">2.12. Порядок заключения между Комитетом и получателем субсидии соглашения утверждается Комитетом.</w:t>
      </w:r>
    </w:p>
    <w:p>
      <w:pPr>
        <w:pStyle w:val="0"/>
        <w:spacing w:before="200" w:lineRule="auto"/>
        <w:ind w:firstLine="540"/>
        <w:jc w:val="both"/>
      </w:pPr>
      <w:r>
        <w:rPr>
          <w:sz w:val="20"/>
        </w:rPr>
        <w:t xml:space="preserve">2.13. Перечисление субсидии осуществляется на счет, указанный в соглашении, открытый получателем субсидии в учреждениях Центрального банка Российской Федерации или кредитных организациях, в следующем порядке:</w:t>
      </w:r>
    </w:p>
    <w:bookmarkStart w:id="101" w:name="P101"/>
    <w:bookmarkEnd w:id="101"/>
    <w:p>
      <w:pPr>
        <w:pStyle w:val="0"/>
        <w:spacing w:before="200" w:lineRule="auto"/>
        <w:ind w:firstLine="540"/>
        <w:jc w:val="both"/>
      </w:pPr>
      <w:r>
        <w:rPr>
          <w:sz w:val="20"/>
        </w:rPr>
        <w:t xml:space="preserve">30 процентов суммы субсидии (далее - первый аванс) в течение семи рабочих дней со дня заключения соглашения;</w:t>
      </w:r>
    </w:p>
    <w:bookmarkStart w:id="102" w:name="P102"/>
    <w:bookmarkEnd w:id="102"/>
    <w:p>
      <w:pPr>
        <w:pStyle w:val="0"/>
        <w:spacing w:before="200" w:lineRule="auto"/>
        <w:ind w:firstLine="540"/>
        <w:jc w:val="both"/>
      </w:pPr>
      <w:r>
        <w:rPr>
          <w:sz w:val="20"/>
        </w:rPr>
        <w:t xml:space="preserve">40 процентов суммы субсидии (далее - второй аванс) в течение семи рабочих дней со дня подписания акта проверки отчетности, указанной в </w:t>
      </w:r>
      <w:hyperlink w:history="0" w:anchor="P121" w:tooltip="3.2. Получатель субсидии представляет в Комитет отчетность об осуществлении расходов, источником финансового обеспечения которых является субсидия, в соответствии с порядком и сроками, которые утверждены Комитетом (но не реже одного раза в квартал), по форме, определенной типовой формой соглашения, утвержденной Комитетом финансов Санкт-Петербурга.">
        <w:r>
          <w:rPr>
            <w:sz w:val="20"/>
            <w:color w:val="0000ff"/>
          </w:rPr>
          <w:t xml:space="preserve">пункте 3.2</w:t>
        </w:r>
      </w:hyperlink>
      <w:r>
        <w:rPr>
          <w:sz w:val="20"/>
        </w:rPr>
        <w:t xml:space="preserve"> Порядка, в отношении средств первого аванса;</w:t>
      </w:r>
    </w:p>
    <w:bookmarkStart w:id="103" w:name="P103"/>
    <w:bookmarkEnd w:id="103"/>
    <w:p>
      <w:pPr>
        <w:pStyle w:val="0"/>
        <w:spacing w:before="200" w:lineRule="auto"/>
        <w:ind w:firstLine="540"/>
        <w:jc w:val="both"/>
      </w:pPr>
      <w:r>
        <w:rPr>
          <w:sz w:val="20"/>
        </w:rPr>
        <w:t xml:space="preserve">30 процентов суммы субсидии (далее - третий аванс) в течение семи рабочих дней со дня подписания акта проверки отчетности, указанной в </w:t>
      </w:r>
      <w:hyperlink w:history="0" w:anchor="P121" w:tooltip="3.2. Получатель субсидии представляет в Комитет отчетность об осуществлении расходов, источником финансового обеспечения которых является субсидия, в соответствии с порядком и сроками, которые утверждены Комитетом (но не реже одного раза в квартал), по форме, определенной типовой формой соглашения, утвержденной Комитетом финансов Санкт-Петербурга.">
        <w:r>
          <w:rPr>
            <w:sz w:val="20"/>
            <w:color w:val="0000ff"/>
          </w:rPr>
          <w:t xml:space="preserve">пункте 3.2</w:t>
        </w:r>
      </w:hyperlink>
      <w:r>
        <w:rPr>
          <w:sz w:val="20"/>
        </w:rPr>
        <w:t xml:space="preserve"> Порядка, в отношении средств второго аванса.</w:t>
      </w:r>
    </w:p>
    <w:bookmarkStart w:id="104" w:name="P104"/>
    <w:bookmarkEnd w:id="104"/>
    <w:p>
      <w:pPr>
        <w:pStyle w:val="0"/>
        <w:spacing w:before="200" w:lineRule="auto"/>
        <w:ind w:firstLine="540"/>
        <w:jc w:val="both"/>
      </w:pPr>
      <w:r>
        <w:rPr>
          <w:sz w:val="20"/>
        </w:rPr>
        <w:t xml:space="preserve">Перечисление очередной части субсидии осуществляется при отсутствии нарушений получателем субсидии условий ее предоставления, отсутствии у получателя субсидии неиспользованного остатка субсидии, а также представлении справок на бумажном носителе, предусмотренных в </w:t>
      </w:r>
      <w:hyperlink w:history="0" w:anchor="P86" w:tooltip="2.5. В целях подтверждения того, что у получателя субсидии на едином налоговом счете отсутствует или не превышает размера, определенного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лучатель субсидии представляет в Комитет справку по состоянию на дату формирования справки о наличии положительного, отрицательного или нулевого сальдо единого налогового счета налогоплательщика, пл...">
        <w:r>
          <w:rPr>
            <w:sz w:val="20"/>
            <w:color w:val="0000ff"/>
          </w:rPr>
          <w:t xml:space="preserve">пунктах 2.5</w:t>
        </w:r>
      </w:hyperlink>
      <w:r>
        <w:rPr>
          <w:sz w:val="20"/>
        </w:rPr>
        <w:t xml:space="preserve"> и </w:t>
      </w:r>
      <w:hyperlink w:history="0" w:anchor="P87" w:tooltip="2.6. В целях подтверждения соблюдения требования об отсутствии задолженности по денежным обязательствам получатель субсидии представляет в Комитет справку в свободной форме, подписанную руководителем получателя субсидии или уполномоченным лицом получателя субсидии и заверенную оттиском печати получателя субсидии (при наличии печати), подтверждающую исполнение получателем субсидии требования об отсутствии задолженности по денежным обязательствам.">
        <w:r>
          <w:rPr>
            <w:sz w:val="20"/>
            <w:color w:val="0000ff"/>
          </w:rPr>
          <w:t xml:space="preserve">2.6</w:t>
        </w:r>
      </w:hyperlink>
      <w:r>
        <w:rPr>
          <w:sz w:val="20"/>
        </w:rPr>
        <w:t xml:space="preserve"> Порядка, которые представляются получателем субсидии:</w:t>
      </w:r>
    </w:p>
    <w:p>
      <w:pPr>
        <w:pStyle w:val="0"/>
        <w:spacing w:before="200" w:lineRule="auto"/>
        <w:ind w:firstLine="540"/>
        <w:jc w:val="both"/>
      </w:pPr>
      <w:r>
        <w:rPr>
          <w:sz w:val="20"/>
        </w:rPr>
        <w:t xml:space="preserve">в течение 10 дней с даты принятия решения о предоставлении субсидии (для перечисления части субсидии, указанной в </w:t>
      </w:r>
      <w:hyperlink w:history="0" w:anchor="P101" w:tooltip="30 процентов суммы субсидии (далее - первый аванс) в течение семи рабочих дней со дня заключения соглашения;">
        <w:r>
          <w:rPr>
            <w:sz w:val="20"/>
            <w:color w:val="0000ff"/>
          </w:rPr>
          <w:t xml:space="preserve">абзаце втором пункта 2.13</w:t>
        </w:r>
      </w:hyperlink>
      <w:r>
        <w:rPr>
          <w:sz w:val="20"/>
        </w:rPr>
        <w:t xml:space="preserve"> Порядка);</w:t>
      </w:r>
    </w:p>
    <w:p>
      <w:pPr>
        <w:pStyle w:val="0"/>
        <w:spacing w:before="200" w:lineRule="auto"/>
        <w:ind w:firstLine="540"/>
        <w:jc w:val="both"/>
      </w:pPr>
      <w:r>
        <w:rPr>
          <w:sz w:val="20"/>
        </w:rPr>
        <w:t xml:space="preserve">в течение пяти рабочих дней после подписания акта проверки отчетности, указанной в </w:t>
      </w:r>
      <w:hyperlink w:history="0" w:anchor="P121" w:tooltip="3.2. Получатель субсидии представляет в Комитет отчетность об осуществлении расходов, источником финансового обеспечения которых является субсидия, в соответствии с порядком и сроками, которые утверждены Комитетом (но не реже одного раза в квартал), по форме, определенной типовой формой соглашения, утвержденной Комитетом финансов Санкт-Петербурга.">
        <w:r>
          <w:rPr>
            <w:sz w:val="20"/>
            <w:color w:val="0000ff"/>
          </w:rPr>
          <w:t xml:space="preserve">пункте 3.2</w:t>
        </w:r>
      </w:hyperlink>
      <w:r>
        <w:rPr>
          <w:sz w:val="20"/>
        </w:rPr>
        <w:t xml:space="preserve"> Порядка, в отношении ранее предоставленной части субсидии (для перечисления частей субсидии, указанных в </w:t>
      </w:r>
      <w:hyperlink w:history="0" w:anchor="P102" w:tooltip="40 процентов суммы субсидии (далее - второй аванс) в течение семи рабочих дней со дня подписания акта проверки отчетности, указанной в пункте 3.2 Порядка, в отношении средств первого аванса;">
        <w:r>
          <w:rPr>
            <w:sz w:val="20"/>
            <w:color w:val="0000ff"/>
          </w:rPr>
          <w:t xml:space="preserve">абзацах третьем</w:t>
        </w:r>
      </w:hyperlink>
      <w:r>
        <w:rPr>
          <w:sz w:val="20"/>
        </w:rPr>
        <w:t xml:space="preserve"> и </w:t>
      </w:r>
      <w:hyperlink w:history="0" w:anchor="P103" w:tooltip="30 процентов суммы субсидии (далее - третий аванс) в течение семи рабочих дней со дня подписания акта проверки отчетности, указанной в пункте 3.2 Порядка, в отношении средств второго аванса.">
        <w:r>
          <w:rPr>
            <w:sz w:val="20"/>
            <w:color w:val="0000ff"/>
          </w:rPr>
          <w:t xml:space="preserve">четвертом пункта 2.13</w:t>
        </w:r>
      </w:hyperlink>
      <w:r>
        <w:rPr>
          <w:sz w:val="20"/>
        </w:rPr>
        <w:t xml:space="preserve"> Порядка).</w:t>
      </w:r>
    </w:p>
    <w:p>
      <w:pPr>
        <w:pStyle w:val="0"/>
        <w:spacing w:before="200" w:lineRule="auto"/>
        <w:ind w:firstLine="540"/>
        <w:jc w:val="both"/>
      </w:pPr>
      <w:r>
        <w:rPr>
          <w:sz w:val="20"/>
        </w:rPr>
        <w:t xml:space="preserve">Средства субсидии не подлежат казначейскому сопровождению.</w:t>
      </w:r>
    </w:p>
    <w:p>
      <w:pPr>
        <w:pStyle w:val="0"/>
        <w:spacing w:before="200" w:lineRule="auto"/>
        <w:ind w:firstLine="540"/>
        <w:jc w:val="both"/>
      </w:pPr>
      <w:r>
        <w:rPr>
          <w:sz w:val="20"/>
        </w:rPr>
        <w:t xml:space="preserve">2.14. Осуществление расходов, источником финансового обеспечения которых является субсидия, должно производиться в соответствии с </w:t>
      </w:r>
      <w:hyperlink w:history="0" w:anchor="P170" w:tooltip="ПЕРЕЧЕНЬ">
        <w:r>
          <w:rPr>
            <w:sz w:val="20"/>
            <w:color w:val="0000ff"/>
          </w:rPr>
          <w:t xml:space="preserve">перечнем</w:t>
        </w:r>
      </w:hyperlink>
      <w:r>
        <w:rPr>
          <w:sz w:val="20"/>
        </w:rPr>
        <w:t xml:space="preserve"> затрат и предельными объемами их финансового обеспечения, которые указаны в приложении к Порядку.</w:t>
      </w:r>
    </w:p>
    <w:p>
      <w:pPr>
        <w:pStyle w:val="0"/>
        <w:spacing w:before="200" w:lineRule="auto"/>
        <w:ind w:firstLine="540"/>
        <w:jc w:val="both"/>
      </w:pPr>
      <w:r>
        <w:rPr>
          <w:sz w:val="20"/>
        </w:rPr>
        <w:t xml:space="preserve">2.15. Основаниями для отказа получателю субсидии в предоставлении субсидии являются:</w:t>
      </w:r>
    </w:p>
    <w:p>
      <w:pPr>
        <w:pStyle w:val="0"/>
        <w:spacing w:before="200" w:lineRule="auto"/>
        <w:ind w:firstLine="540"/>
        <w:jc w:val="both"/>
      </w:pPr>
      <w:r>
        <w:rPr>
          <w:sz w:val="20"/>
        </w:rPr>
        <w:t xml:space="preserve">несоответствие представленных получателем субсидии заявления и документов требованиям, установленным Комитетом,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установление факта недостоверности представленной получателем субсидии информации, содержащейся в заявлении и документах;</w:t>
      </w:r>
    </w:p>
    <w:p>
      <w:pPr>
        <w:pStyle w:val="0"/>
        <w:spacing w:before="200" w:lineRule="auto"/>
        <w:ind w:firstLine="540"/>
        <w:jc w:val="both"/>
      </w:pPr>
      <w:r>
        <w:rPr>
          <w:sz w:val="20"/>
        </w:rPr>
        <w:t xml:space="preserve">несоответствие получателя субсидии условиям предоставления субсидии, в том числе требованиям к получателю субсидии, установленным в </w:t>
      </w:r>
      <w:hyperlink w:history="0" w:anchor="P55" w:tooltip="2.1. Условия предоставления субсидии, в том числе требования к получателю субсидии:">
        <w:r>
          <w:rPr>
            <w:sz w:val="20"/>
            <w:color w:val="0000ff"/>
          </w:rPr>
          <w:t xml:space="preserve">пункте 2.1</w:t>
        </w:r>
      </w:hyperlink>
      <w:r>
        <w:rPr>
          <w:sz w:val="20"/>
        </w:rPr>
        <w:t xml:space="preserve"> Порядка;</w:t>
      </w:r>
    </w:p>
    <w:p>
      <w:pPr>
        <w:pStyle w:val="0"/>
        <w:spacing w:before="200" w:lineRule="auto"/>
        <w:ind w:firstLine="540"/>
        <w:jc w:val="both"/>
      </w:pPr>
      <w:r>
        <w:rPr>
          <w:sz w:val="20"/>
        </w:rPr>
        <w:t xml:space="preserve">непредставление получателем субсидии справок, указанных в </w:t>
      </w:r>
      <w:hyperlink w:history="0" w:anchor="P104" w:tooltip="Перечисление очередной части субсидии осуществляется при отсутствии нарушений получателем субсидии условий ее предоставления, отсутствии у получателя субсидии неиспользованного остатка субсидии, а также представлении справок на бумажном носителе, предусмотренных в пунктах 2.5 и 2.6 Порядка, которые представляются получателем субсидии:">
        <w:r>
          <w:rPr>
            <w:sz w:val="20"/>
            <w:color w:val="0000ff"/>
          </w:rPr>
          <w:t xml:space="preserve">абзаце пятом пункта 2.13</w:t>
        </w:r>
      </w:hyperlink>
      <w:r>
        <w:rPr>
          <w:sz w:val="20"/>
        </w:rPr>
        <w:t xml:space="preserve"> Порядка;</w:t>
      </w:r>
    </w:p>
    <w:p>
      <w:pPr>
        <w:pStyle w:val="0"/>
        <w:spacing w:before="200" w:lineRule="auto"/>
        <w:ind w:firstLine="540"/>
        <w:jc w:val="both"/>
      </w:pPr>
      <w:r>
        <w:rPr>
          <w:sz w:val="20"/>
        </w:rPr>
        <w:t xml:space="preserve">отсутствие бюджетных ассигнований на предоставление субсидии на дату рассмотрения заявления.</w:t>
      </w:r>
    </w:p>
    <w:p>
      <w:pPr>
        <w:pStyle w:val="0"/>
        <w:spacing w:before="200" w:lineRule="auto"/>
        <w:ind w:firstLine="540"/>
        <w:jc w:val="both"/>
      </w:pPr>
      <w:r>
        <w:rPr>
          <w:sz w:val="20"/>
        </w:rPr>
        <w:t xml:space="preserve">Решение об отказе в предоставлении субсидии направляется получателю субсидии письмом Комитета в течение пяти рабочих дней со дня принятия Комитетом решения об отказе в предоставлении субсидии с указанием причин отказа.</w:t>
      </w:r>
    </w:p>
    <w:p>
      <w:pPr>
        <w:pStyle w:val="0"/>
        <w:spacing w:before="200" w:lineRule="auto"/>
        <w:ind w:firstLine="540"/>
        <w:jc w:val="both"/>
      </w:pPr>
      <w:r>
        <w:rPr>
          <w:sz w:val="20"/>
        </w:rPr>
        <w:t xml:space="preserve">Повторное рассмотрение документов осуществляется Комитетом в соответствии с </w:t>
      </w:r>
      <w:hyperlink w:history="0" w:anchor="P84" w:tooltip="2.4. Для получения субсидии получатель субсидии в порядке и сроки, которые установлены Комитетом, представляет в Комитет заявление и документы, в том числе документы, обосновывающие затраты, и документы, подтверждающие соответствие получателя субсидии условиям предоставления субсидии, в том числе требованиям к получателю субсидии, указанным в пункте 2.1 Порядка.">
        <w:r>
          <w:rPr>
            <w:sz w:val="20"/>
            <w:color w:val="0000ff"/>
          </w:rPr>
          <w:t xml:space="preserve">пунктами 2.4</w:t>
        </w:r>
      </w:hyperlink>
      <w:r>
        <w:rPr>
          <w:sz w:val="20"/>
        </w:rPr>
        <w:t xml:space="preserve"> и </w:t>
      </w:r>
      <w:hyperlink w:history="0" w:anchor="P89" w:tooltip="2.7. Комитет организует рассмотрение заявления и документов в порядке, утвержденном Комитетом, в срок не более 15 рабочих дней со дня представления получателем субсидии заявления и документов. По окончании рассмотрения заявления и документов Комитетом принимается решение о предоставлении субсидии получателю субсидии либо об отказе в предоставлении субсидии.">
        <w:r>
          <w:rPr>
            <w:sz w:val="20"/>
            <w:color w:val="0000ff"/>
          </w:rPr>
          <w:t xml:space="preserve">2.7</w:t>
        </w:r>
      </w:hyperlink>
      <w:r>
        <w:rPr>
          <w:sz w:val="20"/>
        </w:rPr>
        <w:t xml:space="preserve"> Порядка.</w:t>
      </w:r>
    </w:p>
    <w:p>
      <w:pPr>
        <w:pStyle w:val="0"/>
        <w:ind w:firstLine="540"/>
        <w:jc w:val="both"/>
      </w:pPr>
      <w:r>
        <w:rPr>
          <w:sz w:val="20"/>
        </w:rPr>
      </w:r>
    </w:p>
    <w:p>
      <w:pPr>
        <w:pStyle w:val="2"/>
        <w:outlineLvl w:val="1"/>
        <w:jc w:val="center"/>
      </w:pPr>
      <w:r>
        <w:rPr>
          <w:sz w:val="20"/>
        </w:rPr>
        <w:t xml:space="preserve">3. Требования к отчетности</w:t>
      </w:r>
    </w:p>
    <w:p>
      <w:pPr>
        <w:pStyle w:val="0"/>
        <w:ind w:firstLine="540"/>
        <w:jc w:val="both"/>
      </w:pPr>
      <w:r>
        <w:rPr>
          <w:sz w:val="20"/>
        </w:rPr>
      </w:r>
    </w:p>
    <w:bookmarkStart w:id="120" w:name="P120"/>
    <w:bookmarkEnd w:id="120"/>
    <w:p>
      <w:pPr>
        <w:pStyle w:val="0"/>
        <w:ind w:firstLine="540"/>
        <w:jc w:val="both"/>
      </w:pPr>
      <w:r>
        <w:rPr>
          <w:sz w:val="20"/>
        </w:rPr>
        <w:t xml:space="preserve">3.1. Получатель субсидии представляет в Комитет отчетность о достижении значений результата и характеристики в соответствии с порядком и сроками ее представления, которые утверждены Комитетом (но не реже одного раза в квартал), по форме, определенной типовой формой соглашения, установленной Комитетом финансов Санкт-Петербурга.</w:t>
      </w:r>
    </w:p>
    <w:bookmarkStart w:id="121" w:name="P121"/>
    <w:bookmarkEnd w:id="121"/>
    <w:p>
      <w:pPr>
        <w:pStyle w:val="0"/>
        <w:spacing w:before="200" w:lineRule="auto"/>
        <w:ind w:firstLine="540"/>
        <w:jc w:val="both"/>
      </w:pPr>
      <w:r>
        <w:rPr>
          <w:sz w:val="20"/>
        </w:rPr>
        <w:t xml:space="preserve">3.2. Получатель субсидии представляет в Комитет отчетность об осуществлении расходов, источником финансового обеспечения которых является субсидия, в соответствии с порядком и сроками, которые утверждены Комитетом (но не реже одного раза в квартал), по форме, определенной типовой формой соглашения, утвержденной Комитетом финансов Санкт-Петербурга.</w:t>
      </w:r>
    </w:p>
    <w:p>
      <w:pPr>
        <w:pStyle w:val="0"/>
        <w:spacing w:before="200" w:lineRule="auto"/>
        <w:ind w:firstLine="540"/>
        <w:jc w:val="both"/>
      </w:pPr>
      <w:r>
        <w:rPr>
          <w:sz w:val="20"/>
        </w:rPr>
        <w:t xml:space="preserve">3.3. В составе отчетности, указанной в </w:t>
      </w:r>
      <w:hyperlink w:history="0" w:anchor="P120" w:tooltip="3.1. Получатель субсидии представляет в Комитет отчетность о достижении значений результата и характеристики в соответствии с порядком и сроками ее представления, которые утверждены Комитетом (но не реже одного раза в квартал), по форме, определенной типовой формой соглашения, установленной Комитетом финансов Санкт-Петербурга.">
        <w:r>
          <w:rPr>
            <w:sz w:val="20"/>
            <w:color w:val="0000ff"/>
          </w:rPr>
          <w:t xml:space="preserve">пункте 3.1</w:t>
        </w:r>
      </w:hyperlink>
      <w:r>
        <w:rPr>
          <w:sz w:val="20"/>
        </w:rPr>
        <w:t xml:space="preserve"> Порядка, получатель субсидии представляет справку в свободной форме, подписанную руководителем или иным уполномоченным лицом получателя субсидии и заверенную оттиском печати получателя субсидии (при наличии печати), подтверждающую, что размер средней заработной платы каждого работника получателя субсидии (включая обособленные подразделения получателя субсидии, находящиеся на территории Санкт-Петербурга), рассчитываемый в соответствии со </w:t>
      </w:r>
      <w:hyperlink w:history="0" r:id="rId30"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со дня принятия решения о предоставлении субсидии до даты, по состоянию на которую получателем субсидии формируется отчетность о достижении значений результата и характеристики, не ниже размера минимальной заработной платы в Санкт-Петербурге, установленного Региональным соглашением на соответствующий период, а при условии отсутствия такого соглашения - размера минимальной заработной платы в Санкт-Петербурге, установленного соответствующим соглашением, действовавшим на 31 декабря предшествующего календарного года, с приложением расчета сумм налога на доходы физических лиц и удержанных налоговым агентом (форма - 6-НДФЛ) и расчета по страховым взносам по формам, утвержденным Федеральной налоговой службой (без приложения разделов, содержащих персональные данные), за соответствующий период.</w:t>
      </w:r>
    </w:p>
    <w:p>
      <w:pPr>
        <w:pStyle w:val="0"/>
        <w:spacing w:before="200" w:lineRule="auto"/>
        <w:ind w:firstLine="540"/>
        <w:jc w:val="both"/>
      </w:pPr>
      <w:r>
        <w:rPr>
          <w:sz w:val="20"/>
        </w:rPr>
        <w:t xml:space="preserve">3.4. Формы и сроки представления дополнительной отчетности, включающей отчет о реализации плана мероприятий по достижению результата, устанавливаются в соглашении.</w:t>
      </w:r>
    </w:p>
    <w:p>
      <w:pPr>
        <w:pStyle w:val="0"/>
        <w:ind w:firstLine="540"/>
        <w:jc w:val="both"/>
      </w:pPr>
      <w:r>
        <w:rPr>
          <w:sz w:val="20"/>
        </w:rPr>
      </w:r>
    </w:p>
    <w:p>
      <w:pPr>
        <w:pStyle w:val="2"/>
        <w:outlineLvl w:val="1"/>
        <w:jc w:val="center"/>
      </w:pPr>
      <w:r>
        <w:rPr>
          <w:sz w:val="20"/>
        </w:rPr>
        <w:t xml:space="preserve">4. Требования об осуществлении контроля (мониторинга)</w:t>
      </w:r>
    </w:p>
    <w:p>
      <w:pPr>
        <w:pStyle w:val="2"/>
        <w:jc w:val="center"/>
      </w:pPr>
      <w:r>
        <w:rPr>
          <w:sz w:val="20"/>
        </w:rPr>
        <w:t xml:space="preserve">за соблюдением условий и порядка предоставления</w:t>
      </w:r>
    </w:p>
    <w:p>
      <w:pPr>
        <w:pStyle w:val="2"/>
        <w:jc w:val="center"/>
      </w:pPr>
      <w:r>
        <w:rPr>
          <w:sz w:val="20"/>
        </w:rPr>
        <w:t xml:space="preserve">субсидии и ответственность за их нарушение</w:t>
      </w:r>
    </w:p>
    <w:p>
      <w:pPr>
        <w:pStyle w:val="0"/>
        <w:ind w:firstLine="540"/>
        <w:jc w:val="both"/>
      </w:pPr>
      <w:r>
        <w:rPr>
          <w:sz w:val="20"/>
        </w:rPr>
      </w:r>
    </w:p>
    <w:p>
      <w:pPr>
        <w:pStyle w:val="0"/>
        <w:ind w:firstLine="540"/>
        <w:jc w:val="both"/>
      </w:pPr>
      <w:r>
        <w:rPr>
          <w:sz w:val="20"/>
        </w:rPr>
        <w:t xml:space="preserve">4.1. Мониторинг достижения результата исходя из достижения значения результата, определенного соглашением, и событий, отражающих факт завершения соответствующего мероприятия по получению результата (контрольная точка), проводится в порядке и по формам, которые установлены Министерством финансов Российской Федерации.</w:t>
      </w:r>
    </w:p>
    <w:p>
      <w:pPr>
        <w:pStyle w:val="0"/>
        <w:spacing w:before="200" w:lineRule="auto"/>
        <w:ind w:firstLine="540"/>
        <w:jc w:val="both"/>
      </w:pPr>
      <w:r>
        <w:rPr>
          <w:sz w:val="20"/>
        </w:rPr>
        <w:t xml:space="preserve">Порядок и сроки проведения Комитетом оценки достижения получателем субсидии значений результата утверждаются Комитетом.</w:t>
      </w:r>
    </w:p>
    <w:p>
      <w:pPr>
        <w:pStyle w:val="0"/>
        <w:spacing w:before="200" w:lineRule="auto"/>
        <w:ind w:firstLine="540"/>
        <w:jc w:val="both"/>
      </w:pPr>
      <w:r>
        <w:rPr>
          <w:sz w:val="20"/>
        </w:rPr>
        <w:t xml:space="preserve">4.2. Комитет в течение 10 рабочих дней после представления получателем субсидии отчетности, указанной в </w:t>
      </w:r>
      <w:hyperlink w:history="0" w:anchor="P120" w:tooltip="3.1. Получатель субсидии представляет в Комитет отчетность о достижении значений результата и характеристики в соответствии с порядком и сроками ее представления, которые утверждены Комитетом (но не реже одного раза в квартал), по форме, определенной типовой формой соглашения, установленной Комитетом финансов Санкт-Петербурга.">
        <w:r>
          <w:rPr>
            <w:sz w:val="20"/>
            <w:color w:val="0000ff"/>
          </w:rPr>
          <w:t xml:space="preserve">пунктах 3.1</w:t>
        </w:r>
      </w:hyperlink>
      <w:r>
        <w:rPr>
          <w:sz w:val="20"/>
        </w:rPr>
        <w:t xml:space="preserve"> и </w:t>
      </w:r>
      <w:hyperlink w:history="0" w:anchor="P121" w:tooltip="3.2. Получатель субсидии представляет в Комитет отчетность об осуществлении расходов, источником финансового обеспечения которых является субсидия, в соответствии с порядком и сроками, которые утверждены Комитетом (но не реже одного раза в квартал), по форме, определенной типовой формой соглашения, утвержденной Комитетом финансов Санкт-Петербурга.">
        <w:r>
          <w:rPr>
            <w:sz w:val="20"/>
            <w:color w:val="0000ff"/>
          </w:rPr>
          <w:t xml:space="preserve">3.2</w:t>
        </w:r>
      </w:hyperlink>
      <w:r>
        <w:rPr>
          <w:sz w:val="20"/>
        </w:rPr>
        <w:t xml:space="preserve"> Порядка (далее - отчетность), осуществляет проверку, в рамках которой Комитетом осуществляется в том числе проверка отчетности и ее принятие, по результатам которой составляет акт проведения проверки (далее - акт).</w:t>
      </w:r>
    </w:p>
    <w:p>
      <w:pPr>
        <w:pStyle w:val="0"/>
        <w:spacing w:before="200" w:lineRule="auto"/>
        <w:ind w:firstLine="540"/>
        <w:jc w:val="both"/>
      </w:pPr>
      <w:r>
        <w:rPr>
          <w:sz w:val="20"/>
        </w:rPr>
        <w:t xml:space="preserve">Копия акта в течение трех рабочих дней после его составления направляется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4.3. В случае выявления при проведении проверки недостижения значений результата или характеристики, или нарушений получателем субсидии (контрагентами) условий предоставления субсидии Комитет одновременно с подписанием акта направляет получателю субсидии (контрагенту) уведомление о недостижении значений результата или характеристики и(или) о нарушении получателем субсидии (контрагентом) условий предоставления субсидии (далее - уведомление). В уведомлении указываются сроки достижения значений результата или характеристики и(или) устранения получателем субсидии (контрагентом) нарушений условий предоставления субсидии, которые не могут быть менее трех рабочих дней. Копия уведомления в течение трех рабочих дней после его подписания направляется Комитетом в КГФК.</w:t>
      </w:r>
    </w:p>
    <w:bookmarkStart w:id="134" w:name="P134"/>
    <w:bookmarkEnd w:id="134"/>
    <w:p>
      <w:pPr>
        <w:pStyle w:val="0"/>
        <w:spacing w:before="200" w:lineRule="auto"/>
        <w:ind w:firstLine="540"/>
        <w:jc w:val="both"/>
      </w:pPr>
      <w:r>
        <w:rPr>
          <w:sz w:val="20"/>
        </w:rPr>
        <w:t xml:space="preserve">4.4. В случае недостижения значений результата или характеристики и(или) неустранения нарушений условий предоставления субсидии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субсидии, полученной получателем субсидии (средств, полученных контрагентами на основании договоров (соглашений), заключенных с получателем субсидии (далее - полученные средства), в форме распоряжения.</w:t>
      </w:r>
    </w:p>
    <w:p>
      <w:pPr>
        <w:pStyle w:val="0"/>
        <w:spacing w:before="200" w:lineRule="auto"/>
        <w:ind w:firstLine="540"/>
        <w:jc w:val="both"/>
      </w:pPr>
      <w:r>
        <w:rPr>
          <w:sz w:val="20"/>
        </w:rPr>
        <w:t xml:space="preserve">Размер средств субсидии (полученных средств), подлежащих возврату в бюджет Санкт-Петербурга в случае неустранения нарушения условий предоставления субсидии, соответствует сумме средств субсидии (полученных средств), в отношении которой выявлены факты нарушений.</w:t>
      </w:r>
    </w:p>
    <w:p>
      <w:pPr>
        <w:pStyle w:val="0"/>
        <w:spacing w:before="200" w:lineRule="auto"/>
        <w:ind w:firstLine="540"/>
        <w:jc w:val="both"/>
      </w:pPr>
      <w:r>
        <w:rPr>
          <w:sz w:val="20"/>
        </w:rPr>
        <w:t xml:space="preserve">В случае недостижения значений результата или характеристики средства субсидии подлежат возврату в объеме, соответствующем недостигнутой доле значения результата и(или) характеристики (далее - средства, подлежащие возврату).</w:t>
      </w:r>
    </w:p>
    <w:p>
      <w:pPr>
        <w:pStyle w:val="0"/>
        <w:spacing w:before="200" w:lineRule="auto"/>
        <w:ind w:firstLine="540"/>
        <w:jc w:val="both"/>
      </w:pPr>
      <w:r>
        <w:rPr>
          <w:sz w:val="20"/>
        </w:rPr>
        <w:t xml:space="preserve">Объем средств, подлежащих возврату (О), рассчитывается по следующей формуле:</w:t>
      </w:r>
    </w:p>
    <w:p>
      <w:pPr>
        <w:pStyle w:val="0"/>
        <w:jc w:val="center"/>
      </w:pPr>
      <w:r>
        <w:rPr>
          <w:sz w:val="20"/>
        </w:rPr>
      </w:r>
    </w:p>
    <w:p>
      <w:pPr>
        <w:pStyle w:val="0"/>
        <w:jc w:val="center"/>
      </w:pPr>
      <w:r>
        <w:rPr>
          <w:position w:val="-20"/>
        </w:rPr>
        <w:drawing>
          <wp:inline distT="0" distB="0" distL="0" distR="0">
            <wp:extent cx="69532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695325" cy="3905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 - размер предоставленной субсидии (тыс. руб.);</w:t>
      </w:r>
    </w:p>
    <w:p>
      <w:pPr>
        <w:pStyle w:val="0"/>
        <w:spacing w:before="200" w:lineRule="auto"/>
        <w:ind w:firstLine="540"/>
        <w:jc w:val="both"/>
      </w:pPr>
      <w:r>
        <w:rPr>
          <w:sz w:val="20"/>
        </w:rPr>
        <w:t xml:space="preserve">K - размер недостигнутой доли значения характеристики (количество Мероприятий);</w:t>
      </w:r>
    </w:p>
    <w:p>
      <w:pPr>
        <w:pStyle w:val="0"/>
        <w:spacing w:before="200" w:lineRule="auto"/>
        <w:ind w:firstLine="540"/>
        <w:jc w:val="both"/>
      </w:pPr>
      <w:r>
        <w:rPr>
          <w:sz w:val="20"/>
        </w:rPr>
        <w:t xml:space="preserve">n - размер значения характеристики, в целях достижения которой предоставлена субсидия (количество Мероприятий).</w:t>
      </w:r>
    </w:p>
    <w:p>
      <w:pPr>
        <w:pStyle w:val="0"/>
        <w:ind w:firstLine="540"/>
        <w:jc w:val="both"/>
      </w:pPr>
      <w:r>
        <w:rPr>
          <w:sz w:val="20"/>
        </w:rPr>
      </w:r>
    </w:p>
    <w:bookmarkStart w:id="146" w:name="P146"/>
    <w:bookmarkEnd w:id="146"/>
    <w:p>
      <w:pPr>
        <w:pStyle w:val="0"/>
        <w:ind w:firstLine="540"/>
        <w:jc w:val="both"/>
      </w:pPr>
      <w:r>
        <w:rPr>
          <w:sz w:val="20"/>
        </w:rPr>
        <w:t xml:space="preserve">4.5. Комитет направляет копию указанного в </w:t>
      </w:r>
      <w:hyperlink w:history="0" w:anchor="P134" w:tooltip="4.4. В случае недостижения значений результата или характеристики и(или) неустранения нарушений условий предоставления субсидии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и, полученной получателем субсидии (средств, полученных контрагентами на основании договоров (соглашений), заключенных с получателем субсидии (далее - полученные средства), в форме распоряжения.">
        <w:r>
          <w:rPr>
            <w:sz w:val="20"/>
            <w:color w:val="0000ff"/>
          </w:rPr>
          <w:t xml:space="preserve">пункте 4.4</w:t>
        </w:r>
      </w:hyperlink>
      <w:r>
        <w:rPr>
          <w:sz w:val="20"/>
        </w:rPr>
        <w:t xml:space="preserve"> Порядка распоряжения получателю субсидии (контрагенту) и в КГФК вместе с требованием,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денежных средств, а также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 (полученных средств).</w:t>
      </w:r>
    </w:p>
    <w:bookmarkStart w:id="149" w:name="P149"/>
    <w:bookmarkEnd w:id="149"/>
    <w:p>
      <w:pPr>
        <w:pStyle w:val="0"/>
        <w:spacing w:before="200" w:lineRule="auto"/>
        <w:ind w:firstLine="540"/>
        <w:jc w:val="both"/>
      </w:pPr>
      <w:r>
        <w:rPr>
          <w:sz w:val="20"/>
        </w:rPr>
        <w:t xml:space="preserve">4.6. Получатель субсидии (контрагент) обязан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указанных в </w:t>
      </w:r>
      <w:hyperlink w:history="0" w:anchor="P134" w:tooltip="4.4. В случае недостижения значений результата или характеристики и(или) неустранения нарушений условий предоставления субсидии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и, полученной получателем субсидии (средств, полученных контрагентами на основании договоров (соглашений), заключенных с получателем субсидии (далее - полученные средства), в форме распоряжения.">
        <w:r>
          <w:rPr>
            <w:sz w:val="20"/>
            <w:color w:val="0000ff"/>
          </w:rPr>
          <w:t xml:space="preserve">пунктах 4.4</w:t>
        </w:r>
      </w:hyperlink>
      <w:r>
        <w:rPr>
          <w:sz w:val="20"/>
        </w:rPr>
        <w:t xml:space="preserve"> и </w:t>
      </w:r>
      <w:hyperlink w:history="0" w:anchor="P146" w:tooltip="4.5. Комитет направляет копию указанного в пункте 4.4 Порядка распоряжения получателю субсидии (контрагенту) и в КГФК вместе с требованием, в котором предусматриваются:">
        <w:r>
          <w:rPr>
            <w:sz w:val="20"/>
            <w:color w:val="0000ff"/>
          </w:rPr>
          <w:t xml:space="preserve">4.5</w:t>
        </w:r>
      </w:hyperlink>
      <w:r>
        <w:rPr>
          <w:sz w:val="20"/>
        </w:rPr>
        <w:t xml:space="preserve"> Порядка.</w:t>
      </w:r>
    </w:p>
    <w:bookmarkStart w:id="150" w:name="P150"/>
    <w:bookmarkEnd w:id="150"/>
    <w:p>
      <w:pPr>
        <w:pStyle w:val="0"/>
        <w:spacing w:before="200" w:lineRule="auto"/>
        <w:ind w:firstLine="540"/>
        <w:jc w:val="both"/>
      </w:pPr>
      <w:r>
        <w:rPr>
          <w:sz w:val="20"/>
        </w:rPr>
        <w:t xml:space="preserve">4.7. Не использованный в отчетном финансовом году остаток субсидии подлежит возврату получателем субсидии в бюджет Санкт-Петербурга в срок, установленный Комитетом.</w:t>
      </w:r>
    </w:p>
    <w:p>
      <w:pPr>
        <w:pStyle w:val="0"/>
        <w:spacing w:before="200" w:lineRule="auto"/>
        <w:ind w:firstLine="540"/>
        <w:jc w:val="both"/>
      </w:pPr>
      <w:r>
        <w:rPr>
          <w:sz w:val="20"/>
        </w:rPr>
        <w:t xml:space="preserve">Возврат неиспользованного остатка субсидии осуществляется получателем субсидии в бюджет Санкт-Петербурга по коду бюджетной классификации, указанному в требовании о возврате субсидии, направляемом Комитетом в адрес получателя субсидии.</w:t>
      </w:r>
    </w:p>
    <w:bookmarkStart w:id="152" w:name="P152"/>
    <w:bookmarkEnd w:id="152"/>
    <w:p>
      <w:pPr>
        <w:pStyle w:val="0"/>
        <w:spacing w:before="200" w:lineRule="auto"/>
        <w:ind w:firstLine="540"/>
        <w:jc w:val="both"/>
      </w:pPr>
      <w:r>
        <w:rPr>
          <w:sz w:val="20"/>
        </w:rPr>
        <w:t xml:space="preserve">4.8. В случае если средства субсидии (полученные средства) не возвращены в бюджет Санкт-Петербурга получателем субсидии (контрагентом) в установленные в </w:t>
      </w:r>
      <w:hyperlink w:history="0" w:anchor="P149" w:tooltip="4.6. Получатель субсидии (контрагент) обязан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указанных в пунктах 4.4 и 4.5 Порядка.">
        <w:r>
          <w:rPr>
            <w:sz w:val="20"/>
            <w:color w:val="0000ff"/>
          </w:rPr>
          <w:t xml:space="preserve">пунктах 4.6</w:t>
        </w:r>
      </w:hyperlink>
      <w:r>
        <w:rPr>
          <w:sz w:val="20"/>
        </w:rPr>
        <w:t xml:space="preserve"> и </w:t>
      </w:r>
      <w:hyperlink w:history="0" w:anchor="P150" w:tooltip="4.7. Не использованный в отчетном финансовом году остаток субсидии подлежит возврату получателем субсидии в бюджет Санкт-Петербурга в срок, установленный Комитетом.">
        <w:r>
          <w:rPr>
            <w:sz w:val="20"/>
            <w:color w:val="0000ff"/>
          </w:rPr>
          <w:t xml:space="preserve">4.7</w:t>
        </w:r>
      </w:hyperlink>
      <w:r>
        <w:rPr>
          <w:sz w:val="20"/>
        </w:rPr>
        <w:t xml:space="preserve"> Порядка сроки, Комитет в течение 15 рабочих дней со дня истечения сроков, установленных в </w:t>
      </w:r>
      <w:hyperlink w:history="0" w:anchor="P149" w:tooltip="4.6. Получатель субсидии (контрагент) обязан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указанных в пунктах 4.4 и 4.5 Порядка.">
        <w:r>
          <w:rPr>
            <w:sz w:val="20"/>
            <w:color w:val="0000ff"/>
          </w:rPr>
          <w:t xml:space="preserve">пунктах 4.6</w:t>
        </w:r>
      </w:hyperlink>
      <w:r>
        <w:rPr>
          <w:sz w:val="20"/>
        </w:rPr>
        <w:t xml:space="preserve"> и </w:t>
      </w:r>
      <w:hyperlink w:history="0" w:anchor="P150" w:tooltip="4.7. Не использованный в отчетном финансовом году остаток субсидии подлежит возврату получателем субсидии в бюджет Санкт-Петербурга в срок, установленный Комитетом.">
        <w:r>
          <w:rPr>
            <w:sz w:val="20"/>
            <w:color w:val="0000ff"/>
          </w:rPr>
          <w:t xml:space="preserve">4.7</w:t>
        </w:r>
      </w:hyperlink>
      <w:r>
        <w:rPr>
          <w:sz w:val="20"/>
        </w:rPr>
        <w:t xml:space="preserve"> Порядка, направляет в суд исковое заявление о возврате средств субсидии (полученных средств) в бюджет Санкт-Петербурга.</w:t>
      </w:r>
    </w:p>
    <w:bookmarkStart w:id="153" w:name="P153"/>
    <w:bookmarkEnd w:id="153"/>
    <w:p>
      <w:pPr>
        <w:pStyle w:val="0"/>
        <w:spacing w:before="200" w:lineRule="auto"/>
        <w:ind w:firstLine="540"/>
        <w:jc w:val="both"/>
      </w:pPr>
      <w:r>
        <w:rPr>
          <w:sz w:val="20"/>
        </w:rPr>
        <w:t xml:space="preserve">4.9. В случае недостижения результата или характеристики в установленный соглашением срок Комитет направляет получателю субсидии требование об уплате пени в размере 1/360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до дня представления отчетности, содержащей сведения о достижении значений результата и характеристики, или возврата субсидии в соответствии с </w:t>
      </w:r>
      <w:hyperlink w:history="0" w:anchor="P149" w:tooltip="4.6. Получатель субсидии (контрагент) обязан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указанных в пунктах 4.4 и 4.5 Порядка.">
        <w:r>
          <w:rPr>
            <w:sz w:val="20"/>
            <w:color w:val="0000ff"/>
          </w:rPr>
          <w:t xml:space="preserve">пунктом 4.6</w:t>
        </w:r>
      </w:hyperlink>
      <w:r>
        <w:rPr>
          <w:sz w:val="20"/>
        </w:rPr>
        <w:t xml:space="preserve"> Порядка).</w:t>
      </w:r>
    </w:p>
    <w:p>
      <w:pPr>
        <w:pStyle w:val="0"/>
        <w:spacing w:before="200" w:lineRule="auto"/>
        <w:ind w:firstLine="540"/>
        <w:jc w:val="both"/>
      </w:pPr>
      <w:r>
        <w:rPr>
          <w:sz w:val="20"/>
        </w:rPr>
        <w:t xml:space="preserve">4.10. В случае возникновения обстоятельств непреодолимой силы (стихийные бедствия (землетрясение, наводнение, ураган), пожар, массовые заболевания (эпидемии), забастовки, военные действия, теракты, диверсии, ограничения перевозок, запретительные меры государств, запрет торговых операций), вследствие которых соблюдение условий предоставления субсидии, в том числе исполнение обязательств по достижению значения результата и характеристики является невозможным, требования, предусмотренные в </w:t>
      </w:r>
      <w:hyperlink w:history="0" w:anchor="P134" w:tooltip="4.4. В случае недостижения значений результата или характеристики и(или) неустранения нарушений условий предоставления субсидии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и, полученной получателем субсидии (средств, полученных контрагентами на основании договоров (соглашений), заключенных с получателем субсидии (далее - полученные средства), в форме распоряжения.">
        <w:r>
          <w:rPr>
            <w:sz w:val="20"/>
            <w:color w:val="0000ff"/>
          </w:rPr>
          <w:t xml:space="preserve">пунктах 4.4</w:t>
        </w:r>
      </w:hyperlink>
      <w:r>
        <w:rPr>
          <w:sz w:val="20"/>
        </w:rPr>
        <w:t xml:space="preserve"> - </w:t>
      </w:r>
      <w:hyperlink w:history="0" w:anchor="P149" w:tooltip="4.6. Получатель субсидии (контрагент) обязан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указанных в пунктах 4.4 и 4.5 Порядка.">
        <w:r>
          <w:rPr>
            <w:sz w:val="20"/>
            <w:color w:val="0000ff"/>
          </w:rPr>
          <w:t xml:space="preserve">4.6</w:t>
        </w:r>
      </w:hyperlink>
      <w:r>
        <w:rPr>
          <w:sz w:val="20"/>
        </w:rPr>
        <w:t xml:space="preserve">, </w:t>
      </w:r>
      <w:hyperlink w:history="0" w:anchor="P152" w:tooltip="4.8. В случае если средства субсидии (полученные средства) не возвращены в бюджет Санкт-Петербурга получателем субсидии (контрагентом) в установленные в пунктах 4.6 и 4.7 Порядка сроки, Комитет в течение 15 рабочих дней со дня истечения сроков, установленных в пунктах 4.6 и 4.7 Порядка, направляет в суд исковое заявление о возврате средств субсидии (полученных средств) в бюджет Санкт-Петербурга.">
        <w:r>
          <w:rPr>
            <w:sz w:val="20"/>
            <w:color w:val="0000ff"/>
          </w:rPr>
          <w:t xml:space="preserve">4.8</w:t>
        </w:r>
      </w:hyperlink>
      <w:r>
        <w:rPr>
          <w:sz w:val="20"/>
        </w:rPr>
        <w:t xml:space="preserve"> и </w:t>
      </w:r>
      <w:hyperlink w:history="0" w:anchor="P153" w:tooltip="4.9. В случае недостижения результата или характеристики в установленный соглашением срок Комитет направляет получателю субсидии требование об уплате пени в размере 1/360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до дня представления отчетности, содержащей сведения о достижении значений результата и характеристики, и...">
        <w:r>
          <w:rPr>
            <w:sz w:val="20"/>
            <w:color w:val="0000ff"/>
          </w:rPr>
          <w:t xml:space="preserve">4.9</w:t>
        </w:r>
      </w:hyperlink>
      <w:r>
        <w:rPr>
          <w:sz w:val="20"/>
        </w:rPr>
        <w:t xml:space="preserve"> Порядка, не применяются.</w:t>
      </w:r>
    </w:p>
    <w:p>
      <w:pPr>
        <w:pStyle w:val="0"/>
        <w:spacing w:before="200" w:lineRule="auto"/>
        <w:ind w:firstLine="540"/>
        <w:jc w:val="both"/>
      </w:pPr>
      <w:r>
        <w:rPr>
          <w:sz w:val="20"/>
        </w:rPr>
        <w:t xml:space="preserve">4.11. Проверки органами государственного финансового контроля осуществляются в соответствии со </w:t>
      </w:r>
      <w:hyperlink w:history="0" r:id="rId32" w:tooltip="&quot;Бюджетный кодекс Российской Федерации&quot; от 31.07.1998 N 145-ФЗ (ред. от 28.12.2025, с изм. от 31.03.2026) ------------ Недействующая редакция {КонсультантПлюс}">
        <w:r>
          <w:rPr>
            <w:sz w:val="20"/>
            <w:color w:val="0000ff"/>
          </w:rPr>
          <w:t xml:space="preserve">статьями 268.1</w:t>
        </w:r>
      </w:hyperlink>
      <w:r>
        <w:rPr>
          <w:sz w:val="20"/>
        </w:rPr>
        <w:t xml:space="preserve"> и </w:t>
      </w:r>
      <w:hyperlink w:history="0" r:id="rId33" w:tooltip="&quot;Бюджетный кодекс Российской Федерации&quot; от 31.07.1998 N 145-ФЗ (ред. от 28.12.2025, с изм. от 31.03.2026)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w:t>
      </w:r>
    </w:p>
    <w:p>
      <w:pPr>
        <w:pStyle w:val="0"/>
        <w:jc w:val="right"/>
      </w:pPr>
      <w:r>
        <w:rPr>
          <w:sz w:val="20"/>
        </w:rPr>
        <w:t xml:space="preserve">к Порядку предоставления в 2026 году</w:t>
      </w:r>
    </w:p>
    <w:p>
      <w:pPr>
        <w:pStyle w:val="0"/>
        <w:jc w:val="right"/>
      </w:pPr>
      <w:r>
        <w:rPr>
          <w:sz w:val="20"/>
        </w:rPr>
        <w:t xml:space="preserve">субсидии Санкт-Петербургскому</w:t>
      </w:r>
    </w:p>
    <w:p>
      <w:pPr>
        <w:pStyle w:val="0"/>
        <w:jc w:val="right"/>
      </w:pPr>
      <w:r>
        <w:rPr>
          <w:sz w:val="20"/>
        </w:rPr>
        <w:t xml:space="preserve">городскому отделению Всероссийской</w:t>
      </w:r>
    </w:p>
    <w:p>
      <w:pPr>
        <w:pStyle w:val="0"/>
        <w:jc w:val="right"/>
      </w:pPr>
      <w:r>
        <w:rPr>
          <w:sz w:val="20"/>
        </w:rPr>
        <w:t xml:space="preserve">общественной организации "Всероссийское</w:t>
      </w:r>
    </w:p>
    <w:p>
      <w:pPr>
        <w:pStyle w:val="0"/>
        <w:jc w:val="right"/>
      </w:pPr>
      <w:r>
        <w:rPr>
          <w:sz w:val="20"/>
        </w:rPr>
        <w:t xml:space="preserve">общество охраны памятников истории</w:t>
      </w:r>
    </w:p>
    <w:p>
      <w:pPr>
        <w:pStyle w:val="0"/>
        <w:jc w:val="right"/>
      </w:pPr>
      <w:r>
        <w:rPr>
          <w:sz w:val="20"/>
        </w:rPr>
        <w:t xml:space="preserve">и культуры" на реализацию проекта</w:t>
      </w:r>
    </w:p>
    <w:p>
      <w:pPr>
        <w:pStyle w:val="0"/>
        <w:jc w:val="right"/>
      </w:pPr>
      <w:r>
        <w:rPr>
          <w:sz w:val="20"/>
        </w:rPr>
        <w:t xml:space="preserve">"Открытый город"</w:t>
      </w:r>
    </w:p>
    <w:p>
      <w:pPr>
        <w:pStyle w:val="0"/>
        <w:ind w:firstLine="540"/>
        <w:jc w:val="both"/>
      </w:pPr>
      <w:r>
        <w:rPr>
          <w:sz w:val="20"/>
        </w:rPr>
      </w:r>
    </w:p>
    <w:bookmarkStart w:id="170" w:name="P170"/>
    <w:bookmarkEnd w:id="170"/>
    <w:p>
      <w:pPr>
        <w:pStyle w:val="2"/>
        <w:jc w:val="center"/>
      </w:pPr>
      <w:r>
        <w:rPr>
          <w:sz w:val="20"/>
        </w:rPr>
        <w:t xml:space="preserve">ПЕРЕЧЕНЬ</w:t>
      </w:r>
    </w:p>
    <w:p>
      <w:pPr>
        <w:pStyle w:val="2"/>
        <w:jc w:val="center"/>
      </w:pPr>
      <w:r>
        <w:rPr>
          <w:sz w:val="20"/>
        </w:rPr>
        <w:t xml:space="preserve">ЗАТРАТ И ПРЕДЕЛЬНЫЕ ОБЪЕМЫ ИХ ФИНАНСОВОГО ОБЕСПЕЧЕНИЯ</w:t>
      </w:r>
    </w:p>
    <w:p>
      <w:pPr>
        <w:pStyle w:val="2"/>
        <w:jc w:val="center"/>
      </w:pPr>
      <w:r>
        <w:rPr>
          <w:sz w:val="20"/>
        </w:rPr>
        <w:t xml:space="preserve">ЗА СЧЕТ СУБСИДИИ САНКТ-ПЕТЕРБУРГСКОМУ ГОРОДСКОМУ ОТДЕЛЕНИЮ</w:t>
      </w:r>
    </w:p>
    <w:p>
      <w:pPr>
        <w:pStyle w:val="2"/>
        <w:jc w:val="center"/>
      </w:pPr>
      <w:r>
        <w:rPr>
          <w:sz w:val="20"/>
        </w:rPr>
        <w:t xml:space="preserve">ВСЕРОССИЙСКОЙ ОБЩЕСТВЕННОЙ ОРГАНИЗАЦИИ "ВСЕРОССИЙСКОЕ</w:t>
      </w:r>
    </w:p>
    <w:p>
      <w:pPr>
        <w:pStyle w:val="2"/>
        <w:jc w:val="center"/>
      </w:pPr>
      <w:r>
        <w:rPr>
          <w:sz w:val="20"/>
        </w:rPr>
        <w:t xml:space="preserve">ОБЩЕСТВО ОХРАНЫ ПАМЯТНИКОВ ИСТОРИИ И КУЛЬТУРЫ" НА РЕАЛИЗАЦИЮ</w:t>
      </w:r>
    </w:p>
    <w:p>
      <w:pPr>
        <w:pStyle w:val="2"/>
        <w:jc w:val="center"/>
      </w:pPr>
      <w:r>
        <w:rPr>
          <w:sz w:val="20"/>
        </w:rPr>
        <w:t xml:space="preserve">ПРОЕКТА "ОТКРЫТЫЙ ГОРОД" В 2026 ГОДУ</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6293"/>
        <w:gridCol w:w="2220"/>
      </w:tblGrid>
      <w:tr>
        <w:tc>
          <w:tcPr>
            <w:tcW w:w="510" w:type="dxa"/>
          </w:tcPr>
          <w:p>
            <w:pPr>
              <w:pStyle w:val="0"/>
              <w:jc w:val="center"/>
            </w:pPr>
            <w:r>
              <w:rPr>
                <w:sz w:val="20"/>
              </w:rPr>
              <w:t xml:space="preserve">N п/п</w:t>
            </w:r>
          </w:p>
        </w:tc>
        <w:tc>
          <w:tcPr>
            <w:tcW w:w="6293" w:type="dxa"/>
          </w:tcPr>
          <w:p>
            <w:pPr>
              <w:pStyle w:val="0"/>
              <w:jc w:val="center"/>
            </w:pPr>
            <w:r>
              <w:rPr>
                <w:sz w:val="20"/>
              </w:rPr>
              <w:t xml:space="preserve">Перечень затрат</w:t>
            </w:r>
          </w:p>
        </w:tc>
        <w:tc>
          <w:tcPr>
            <w:tcW w:w="2220" w:type="dxa"/>
          </w:tcPr>
          <w:p>
            <w:pPr>
              <w:pStyle w:val="0"/>
              <w:jc w:val="center"/>
            </w:pPr>
            <w:r>
              <w:rPr>
                <w:sz w:val="20"/>
              </w:rPr>
              <w:t xml:space="preserve">Предельный объем финансового обеспечения затрат</w:t>
            </w:r>
          </w:p>
        </w:tc>
      </w:tr>
      <w:tr>
        <w:tc>
          <w:tcPr>
            <w:tcW w:w="510" w:type="dxa"/>
          </w:tcPr>
          <w:p>
            <w:pPr>
              <w:pStyle w:val="0"/>
              <w:jc w:val="center"/>
            </w:pPr>
            <w:r>
              <w:rPr>
                <w:sz w:val="20"/>
              </w:rPr>
              <w:t xml:space="preserve">1</w:t>
            </w:r>
          </w:p>
        </w:tc>
        <w:tc>
          <w:tcPr>
            <w:tcW w:w="6293" w:type="dxa"/>
          </w:tcPr>
          <w:p>
            <w:pPr>
              <w:pStyle w:val="0"/>
              <w:jc w:val="center"/>
            </w:pPr>
            <w:r>
              <w:rPr>
                <w:sz w:val="20"/>
              </w:rPr>
              <w:t xml:space="preserve">2</w:t>
            </w:r>
          </w:p>
        </w:tc>
        <w:tc>
          <w:tcPr>
            <w:tcW w:w="2220" w:type="dxa"/>
          </w:tcPr>
          <w:p>
            <w:pPr>
              <w:pStyle w:val="0"/>
              <w:jc w:val="center"/>
            </w:pPr>
            <w:r>
              <w:rPr>
                <w:sz w:val="20"/>
              </w:rPr>
              <w:t xml:space="preserve">3</w:t>
            </w:r>
          </w:p>
        </w:tc>
      </w:tr>
      <w:tr>
        <w:tc>
          <w:tcPr>
            <w:tcW w:w="510" w:type="dxa"/>
          </w:tcPr>
          <w:p>
            <w:pPr>
              <w:pStyle w:val="0"/>
              <w:jc w:val="center"/>
            </w:pPr>
            <w:r>
              <w:rPr>
                <w:sz w:val="20"/>
              </w:rPr>
              <w:t xml:space="preserve">1</w:t>
            </w:r>
          </w:p>
        </w:tc>
        <w:tc>
          <w:tcPr>
            <w:tcW w:w="6293" w:type="dxa"/>
          </w:tcPr>
          <w:p>
            <w:pPr>
              <w:pStyle w:val="0"/>
            </w:pPr>
            <w:r>
              <w:rPr>
                <w:sz w:val="20"/>
              </w:rPr>
              <w:t xml:space="preserve">Услуги по разработке маршрутов, методическому сопровождению и экскурсионному обслуживанию в рамках реализации проекта "Открытый город" (далее - проект)</w:t>
            </w:r>
          </w:p>
        </w:tc>
        <w:tc>
          <w:tcPr>
            <w:tcW w:w="2220" w:type="dxa"/>
          </w:tcPr>
          <w:p>
            <w:pPr>
              <w:pStyle w:val="0"/>
              <w:jc w:val="center"/>
            </w:pPr>
            <w:r>
              <w:rPr>
                <w:sz w:val="20"/>
              </w:rPr>
              <w:t xml:space="preserve">До 30% от суммы субсидии</w:t>
            </w:r>
          </w:p>
        </w:tc>
      </w:tr>
      <w:tr>
        <w:tc>
          <w:tcPr>
            <w:tcW w:w="510" w:type="dxa"/>
          </w:tcPr>
          <w:p>
            <w:pPr>
              <w:pStyle w:val="0"/>
              <w:jc w:val="center"/>
            </w:pPr>
            <w:r>
              <w:rPr>
                <w:sz w:val="20"/>
              </w:rPr>
              <w:t xml:space="preserve">2</w:t>
            </w:r>
          </w:p>
        </w:tc>
        <w:tc>
          <w:tcPr>
            <w:tcW w:w="6293" w:type="dxa"/>
          </w:tcPr>
          <w:p>
            <w:pPr>
              <w:pStyle w:val="0"/>
            </w:pPr>
            <w:r>
              <w:rPr>
                <w:sz w:val="20"/>
              </w:rPr>
              <w:t xml:space="preserve">Услуги по проведению лекций в рамках реализации проекта</w:t>
            </w:r>
          </w:p>
        </w:tc>
        <w:tc>
          <w:tcPr>
            <w:tcW w:w="2220" w:type="dxa"/>
          </w:tcPr>
          <w:p>
            <w:pPr>
              <w:pStyle w:val="0"/>
              <w:jc w:val="center"/>
            </w:pPr>
            <w:r>
              <w:rPr>
                <w:sz w:val="20"/>
              </w:rPr>
              <w:t xml:space="preserve">До 5% от суммы субсидии</w:t>
            </w:r>
          </w:p>
        </w:tc>
      </w:tr>
      <w:tr>
        <w:tc>
          <w:tcPr>
            <w:tcW w:w="510" w:type="dxa"/>
          </w:tcPr>
          <w:p>
            <w:pPr>
              <w:pStyle w:val="0"/>
              <w:jc w:val="center"/>
            </w:pPr>
            <w:r>
              <w:rPr>
                <w:sz w:val="20"/>
              </w:rPr>
              <w:t xml:space="preserve">3</w:t>
            </w:r>
          </w:p>
        </w:tc>
        <w:tc>
          <w:tcPr>
            <w:tcW w:w="6293" w:type="dxa"/>
          </w:tcPr>
          <w:p>
            <w:pPr>
              <w:pStyle w:val="0"/>
            </w:pPr>
            <w:r>
              <w:rPr>
                <w:sz w:val="20"/>
              </w:rPr>
              <w:t xml:space="preserve">Оплата аренды аудио-, видео- и иного демонстрационного оборудования в рамках реализации проекта</w:t>
            </w:r>
          </w:p>
        </w:tc>
        <w:tc>
          <w:tcPr>
            <w:tcW w:w="2220" w:type="dxa"/>
          </w:tcPr>
          <w:p>
            <w:pPr>
              <w:pStyle w:val="0"/>
              <w:jc w:val="center"/>
            </w:pPr>
            <w:r>
              <w:rPr>
                <w:sz w:val="20"/>
              </w:rPr>
              <w:t xml:space="preserve">До 5% от суммы субсидии</w:t>
            </w:r>
          </w:p>
        </w:tc>
      </w:tr>
      <w:tr>
        <w:tc>
          <w:tcPr>
            <w:tcW w:w="510" w:type="dxa"/>
          </w:tcPr>
          <w:p>
            <w:pPr>
              <w:pStyle w:val="0"/>
              <w:jc w:val="center"/>
            </w:pPr>
            <w:r>
              <w:rPr>
                <w:sz w:val="20"/>
              </w:rPr>
              <w:t xml:space="preserve">4</w:t>
            </w:r>
          </w:p>
        </w:tc>
        <w:tc>
          <w:tcPr>
            <w:tcW w:w="6293" w:type="dxa"/>
          </w:tcPr>
          <w:p>
            <w:pPr>
              <w:pStyle w:val="0"/>
            </w:pPr>
            <w:r>
              <w:rPr>
                <w:sz w:val="20"/>
              </w:rPr>
              <w:t xml:space="preserve">Оплата аренды транспортных средств в рамках реализации проекта</w:t>
            </w:r>
          </w:p>
        </w:tc>
        <w:tc>
          <w:tcPr>
            <w:tcW w:w="2220" w:type="dxa"/>
          </w:tcPr>
          <w:p>
            <w:pPr>
              <w:pStyle w:val="0"/>
              <w:jc w:val="center"/>
            </w:pPr>
            <w:r>
              <w:rPr>
                <w:sz w:val="20"/>
              </w:rPr>
              <w:t xml:space="preserve">До 20% от суммы субсидии</w:t>
            </w:r>
          </w:p>
        </w:tc>
      </w:tr>
      <w:tr>
        <w:tc>
          <w:tcPr>
            <w:tcW w:w="510" w:type="dxa"/>
          </w:tcPr>
          <w:p>
            <w:pPr>
              <w:pStyle w:val="0"/>
              <w:jc w:val="center"/>
            </w:pPr>
            <w:r>
              <w:rPr>
                <w:sz w:val="20"/>
              </w:rPr>
              <w:t xml:space="preserve">5</w:t>
            </w:r>
          </w:p>
        </w:tc>
        <w:tc>
          <w:tcPr>
            <w:tcW w:w="6293" w:type="dxa"/>
          </w:tcPr>
          <w:p>
            <w:pPr>
              <w:pStyle w:val="0"/>
            </w:pPr>
            <w:r>
              <w:rPr>
                <w:sz w:val="20"/>
              </w:rPr>
              <w:t xml:space="preserve">Услуги по разработке сценариев и организации интерактивно-игровых мероприятий (квестов) в рамках реализации проекта</w:t>
            </w:r>
          </w:p>
        </w:tc>
        <w:tc>
          <w:tcPr>
            <w:tcW w:w="2220" w:type="dxa"/>
          </w:tcPr>
          <w:p>
            <w:pPr>
              <w:pStyle w:val="0"/>
              <w:jc w:val="center"/>
            </w:pPr>
            <w:r>
              <w:rPr>
                <w:sz w:val="20"/>
              </w:rPr>
              <w:t xml:space="preserve">До 5% от суммы субсидии</w:t>
            </w:r>
          </w:p>
        </w:tc>
      </w:tr>
      <w:tr>
        <w:tc>
          <w:tcPr>
            <w:tcW w:w="510" w:type="dxa"/>
          </w:tcPr>
          <w:p>
            <w:pPr>
              <w:pStyle w:val="0"/>
              <w:jc w:val="center"/>
            </w:pPr>
            <w:r>
              <w:rPr>
                <w:sz w:val="20"/>
              </w:rPr>
              <w:t xml:space="preserve">6</w:t>
            </w:r>
          </w:p>
        </w:tc>
        <w:tc>
          <w:tcPr>
            <w:tcW w:w="6293" w:type="dxa"/>
          </w:tcPr>
          <w:p>
            <w:pPr>
              <w:pStyle w:val="0"/>
            </w:pPr>
            <w:r>
              <w:rPr>
                <w:sz w:val="20"/>
              </w:rPr>
              <w:t xml:space="preserve">Услуги по организации доступа на объекты культурного наследия Санкт-Петербурга в целях проведения социально значимых культурно-просветительских мероприятий, направленных на популяризацию объектов культурного наследия Санкт-Петербурга, в рамках реализации проекта</w:t>
            </w:r>
          </w:p>
        </w:tc>
        <w:tc>
          <w:tcPr>
            <w:tcW w:w="2220" w:type="dxa"/>
          </w:tcPr>
          <w:p>
            <w:pPr>
              <w:pStyle w:val="0"/>
              <w:jc w:val="center"/>
            </w:pPr>
            <w:r>
              <w:rPr>
                <w:sz w:val="20"/>
              </w:rPr>
              <w:t xml:space="preserve">До 10% от суммы субсидии</w:t>
            </w:r>
          </w:p>
        </w:tc>
      </w:tr>
      <w:tr>
        <w:tc>
          <w:tcPr>
            <w:tcW w:w="510" w:type="dxa"/>
          </w:tcPr>
          <w:p>
            <w:pPr>
              <w:pStyle w:val="0"/>
              <w:jc w:val="center"/>
            </w:pPr>
            <w:r>
              <w:rPr>
                <w:sz w:val="20"/>
              </w:rPr>
              <w:t xml:space="preserve">7</w:t>
            </w:r>
          </w:p>
        </w:tc>
        <w:tc>
          <w:tcPr>
            <w:tcW w:w="6293" w:type="dxa"/>
          </w:tcPr>
          <w:p>
            <w:pPr>
              <w:pStyle w:val="0"/>
            </w:pPr>
            <w:r>
              <w:rPr>
                <w:sz w:val="20"/>
              </w:rPr>
              <w:t xml:space="preserve">Заработная плата работников, занятых в проекте (далее - работники), и начисления на выплаты по оплате труда</w:t>
            </w:r>
          </w:p>
        </w:tc>
        <w:tc>
          <w:tcPr>
            <w:tcW w:w="2220" w:type="dxa"/>
          </w:tcPr>
          <w:p>
            <w:pPr>
              <w:pStyle w:val="0"/>
              <w:jc w:val="center"/>
            </w:pPr>
            <w:r>
              <w:rPr>
                <w:sz w:val="20"/>
              </w:rPr>
              <w:t xml:space="preserve">До 45% от суммы субсидии</w:t>
            </w:r>
          </w:p>
        </w:tc>
      </w:tr>
      <w:tr>
        <w:tc>
          <w:tcPr>
            <w:tcW w:w="510" w:type="dxa"/>
          </w:tcPr>
          <w:p>
            <w:pPr>
              <w:pStyle w:val="0"/>
              <w:jc w:val="center"/>
            </w:pPr>
            <w:r>
              <w:rPr>
                <w:sz w:val="20"/>
              </w:rPr>
              <w:t xml:space="preserve">8</w:t>
            </w:r>
          </w:p>
        </w:tc>
        <w:tc>
          <w:tcPr>
            <w:tcW w:w="6293" w:type="dxa"/>
          </w:tcPr>
          <w:p>
            <w:pPr>
              <w:pStyle w:val="0"/>
            </w:pPr>
            <w:r>
              <w:rPr>
                <w:sz w:val="20"/>
              </w:rPr>
              <w:t xml:space="preserve">Аренда помещений для проведения мероприятий проекта</w:t>
            </w:r>
          </w:p>
        </w:tc>
        <w:tc>
          <w:tcPr>
            <w:tcW w:w="2220" w:type="dxa"/>
          </w:tcPr>
          <w:p>
            <w:pPr>
              <w:pStyle w:val="0"/>
              <w:jc w:val="center"/>
            </w:pPr>
            <w:r>
              <w:rPr>
                <w:sz w:val="20"/>
              </w:rPr>
              <w:t xml:space="preserve">До 5% от суммы субсидии</w:t>
            </w:r>
          </w:p>
        </w:tc>
      </w:tr>
      <w:tr>
        <w:tc>
          <w:tcPr>
            <w:tcW w:w="510" w:type="dxa"/>
          </w:tcPr>
          <w:p>
            <w:pPr>
              <w:pStyle w:val="0"/>
              <w:jc w:val="center"/>
            </w:pPr>
            <w:r>
              <w:rPr>
                <w:sz w:val="20"/>
              </w:rPr>
              <w:t xml:space="preserve">9</w:t>
            </w:r>
          </w:p>
        </w:tc>
        <w:tc>
          <w:tcPr>
            <w:tcW w:w="6293" w:type="dxa"/>
          </w:tcPr>
          <w:p>
            <w:pPr>
              <w:pStyle w:val="0"/>
            </w:pPr>
            <w:r>
              <w:rPr>
                <w:sz w:val="20"/>
              </w:rPr>
              <w:t xml:space="preserve">Аренда оргтехники и офисной мебели для проведения мероприятий проекта</w:t>
            </w:r>
          </w:p>
        </w:tc>
        <w:tc>
          <w:tcPr>
            <w:tcW w:w="2220" w:type="dxa"/>
          </w:tcPr>
          <w:p>
            <w:pPr>
              <w:pStyle w:val="0"/>
              <w:jc w:val="center"/>
            </w:pPr>
            <w:r>
              <w:rPr>
                <w:sz w:val="20"/>
              </w:rPr>
              <w:t xml:space="preserve">До 5% от суммы субсидии</w:t>
            </w:r>
          </w:p>
        </w:tc>
      </w:tr>
      <w:tr>
        <w:tc>
          <w:tcPr>
            <w:tcW w:w="510" w:type="dxa"/>
          </w:tcPr>
          <w:p>
            <w:pPr>
              <w:pStyle w:val="0"/>
              <w:jc w:val="center"/>
            </w:pPr>
            <w:r>
              <w:rPr>
                <w:sz w:val="20"/>
              </w:rPr>
              <w:t xml:space="preserve">10</w:t>
            </w:r>
          </w:p>
        </w:tc>
        <w:tc>
          <w:tcPr>
            <w:tcW w:w="6293" w:type="dxa"/>
          </w:tcPr>
          <w:p>
            <w:pPr>
              <w:pStyle w:val="0"/>
            </w:pPr>
            <w:r>
              <w:rPr>
                <w:sz w:val="20"/>
              </w:rPr>
              <w:t xml:space="preserve">Прочие расходы, включающие в себя затраты на услуги связи, канцелярские товары, расходные материалы и обслуживание оргтехники, компенсацию стоимости проезда работникам, а также расходы на мероприятия, связанные с охраной труда, в рамках реализации проекта</w:t>
            </w:r>
          </w:p>
        </w:tc>
        <w:tc>
          <w:tcPr>
            <w:tcW w:w="2220" w:type="dxa"/>
          </w:tcPr>
          <w:p>
            <w:pPr>
              <w:pStyle w:val="0"/>
              <w:jc w:val="center"/>
            </w:pPr>
            <w:r>
              <w:rPr>
                <w:sz w:val="20"/>
              </w:rPr>
              <w:t xml:space="preserve">До 5% от суммы субсидии</w:t>
            </w:r>
          </w:p>
        </w:tc>
      </w:tr>
      <w:tr>
        <w:tc>
          <w:tcPr>
            <w:tcW w:w="510" w:type="dxa"/>
          </w:tcPr>
          <w:p>
            <w:pPr>
              <w:pStyle w:val="0"/>
              <w:jc w:val="center"/>
            </w:pPr>
            <w:r>
              <w:rPr>
                <w:sz w:val="20"/>
              </w:rPr>
              <w:t xml:space="preserve">11</w:t>
            </w:r>
          </w:p>
        </w:tc>
        <w:tc>
          <w:tcPr>
            <w:tcW w:w="6293" w:type="dxa"/>
          </w:tcPr>
          <w:p>
            <w:pPr>
              <w:pStyle w:val="0"/>
            </w:pPr>
            <w:r>
              <w:rPr>
                <w:sz w:val="20"/>
              </w:rPr>
              <w:t xml:space="preserve">Затраты на информационное сопровождение проекта, включающие в себя затраты на разработку, продвижение и обслуживание сайта проекта, услуги по подготовке и изготовлению полиграфической и печатной продукции, услуги по организации работы кол-центра, услуги по разработке и изготовлению рекламно-информационной продукции в целях популяризации проекта</w:t>
            </w:r>
          </w:p>
        </w:tc>
        <w:tc>
          <w:tcPr>
            <w:tcW w:w="2220" w:type="dxa"/>
          </w:tcPr>
          <w:p>
            <w:pPr>
              <w:pStyle w:val="0"/>
              <w:jc w:val="center"/>
            </w:pPr>
            <w:r>
              <w:rPr>
                <w:sz w:val="20"/>
              </w:rPr>
              <w:t xml:space="preserve">До 10% от суммы субсидии</w:t>
            </w:r>
          </w:p>
        </w:tc>
      </w:tr>
    </w:tbl>
    <w:p>
      <w:pPr>
        <w:pStyle w:val="0"/>
        <w:ind w:firstLine="540"/>
        <w:jc w:val="both"/>
      </w:pPr>
      <w:r>
        <w:rPr>
          <w:sz w:val="20"/>
        </w:rPr>
      </w:r>
    </w:p>
    <w:p>
      <w:pPr>
        <w:pStyle w:val="0"/>
        <w:ind w:firstLine="540"/>
        <w:jc w:val="both"/>
      </w:pPr>
      <w:r>
        <w:rPr>
          <w:sz w:val="20"/>
        </w:rPr>
        <w:t xml:space="preserve">Принятые сокращения:</w:t>
      </w:r>
    </w:p>
    <w:p>
      <w:pPr>
        <w:pStyle w:val="0"/>
        <w:spacing w:before="200" w:lineRule="auto"/>
        <w:ind w:firstLine="540"/>
        <w:jc w:val="both"/>
      </w:pPr>
      <w:r>
        <w:rPr>
          <w:sz w:val="20"/>
        </w:rPr>
        <w:t xml:space="preserve">затраты - затраты, подлежащие финансовому обеспечению за счет средств субсидии;</w:t>
      </w:r>
    </w:p>
    <w:p>
      <w:pPr>
        <w:pStyle w:val="0"/>
        <w:spacing w:before="200" w:lineRule="auto"/>
        <w:ind w:firstLine="540"/>
        <w:jc w:val="both"/>
      </w:pPr>
      <w:r>
        <w:rPr>
          <w:sz w:val="20"/>
        </w:rPr>
        <w:t xml:space="preserve">субсидия - субсидия, предусмотренная Комитету по государственному контролю, использованию и охране памятников истории и культуры </w:t>
      </w:r>
      <w:hyperlink w:history="0" r:id="rId34"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"Субсидия социально ориентированной некоммерческой организации Санкт-Петербургскому городскому отделению "Всероссийское общество охраны памятников истории и культуры" (ВООПИиК) на реализацию проекта "Открытый город" (код целевой статьи 0850071450) в приложении 2 к Закону Санкт-Петербурга от 26.11.2025 N 659-124 "О бюджете Санкт-Петербурга на 2026 год и на плановый период 2027 и 2028 годов".</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15.05.2026 N 307</w:t>
            <w:br/>
            <w:t>"О предоставлении в 2026 году субсидии Санкт-Петербургс...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710" TargetMode = "External"/><Relationship Id="rId9" Type="http://schemas.openxmlformats.org/officeDocument/2006/relationships/hyperlink" Target="https://login.consultant.ru/link/?req=doc&amp;base=LAW&amp;n=528132&amp;dst=100260" TargetMode = "External"/><Relationship Id="rId10" Type="http://schemas.openxmlformats.org/officeDocument/2006/relationships/hyperlink" Target="https://login.consultant.ru/link/?req=doc&amp;base=SPB&amp;n=320743" TargetMode = "External"/><Relationship Id="rId11" Type="http://schemas.openxmlformats.org/officeDocument/2006/relationships/hyperlink" Target="https://login.consultant.ru/link/?req=doc&amp;base=SPB&amp;n=329737" TargetMode = "External"/><Relationship Id="rId12" Type="http://schemas.openxmlformats.org/officeDocument/2006/relationships/hyperlink" Target="https://login.consultant.ru/link/?req=doc&amp;base=SPB&amp;n=317290" TargetMode = "External"/><Relationship Id="rId13" Type="http://schemas.openxmlformats.org/officeDocument/2006/relationships/hyperlink" Target="https://login.consultant.ru/link/?req=doc&amp;base=LAW&amp;n=495710&amp;dst=103431" TargetMode = "External"/><Relationship Id="rId14" Type="http://schemas.openxmlformats.org/officeDocument/2006/relationships/hyperlink" Target="https://login.consultant.ru/link/?req=doc&amp;base=SPB&amp;n=320743&amp;dst=103970" TargetMode = "External"/><Relationship Id="rId15" Type="http://schemas.openxmlformats.org/officeDocument/2006/relationships/hyperlink" Target="https://login.consultant.ru/link/?req=doc&amp;base=SPB&amp;n=329737" TargetMode = "External"/><Relationship Id="rId16" Type="http://schemas.openxmlformats.org/officeDocument/2006/relationships/hyperlink" Target="https://login.consultant.ru/link/?req=doc&amp;base=SPB&amp;n=317290" TargetMode = "External"/><Relationship Id="rId17" Type="http://schemas.openxmlformats.org/officeDocument/2006/relationships/hyperlink" Target="https://login.consultant.ru/link/?req=doc&amp;base=SPB&amp;n=329737&amp;dst=100050" TargetMode = "External"/><Relationship Id="rId18" Type="http://schemas.openxmlformats.org/officeDocument/2006/relationships/hyperlink" Target="https://login.consultant.ru/link/?req=doc&amp;base=SPB&amp;n=320743&amp;dst=100626" TargetMode = "External"/><Relationship Id="rId19" Type="http://schemas.openxmlformats.org/officeDocument/2006/relationships/hyperlink" Target="https://login.consultant.ru/link/?req=doc&amp;base=LAW&amp;n=495710&amp;dst=3704" TargetMode = "External"/><Relationship Id="rId20" Type="http://schemas.openxmlformats.org/officeDocument/2006/relationships/hyperlink" Target="https://login.consultant.ru/link/?req=doc&amp;base=LAW&amp;n=495710&amp;dst=3722" TargetMode = "External"/><Relationship Id="rId21" Type="http://schemas.openxmlformats.org/officeDocument/2006/relationships/hyperlink" Target="https://login.consultant.ru/link/?req=doc&amp;base=LAW&amp;n=495002" TargetMode = "External"/><Relationship Id="rId22" Type="http://schemas.openxmlformats.org/officeDocument/2006/relationships/hyperlink" Target="https://login.consultant.ru/link/?req=doc&amp;base=LAW&amp;n=532255&amp;dst=5769" TargetMode = "External"/><Relationship Id="rId23" Type="http://schemas.openxmlformats.org/officeDocument/2006/relationships/hyperlink" Target="https://login.consultant.ru/link/?req=doc&amp;base=LAW&amp;n=519026&amp;dst=100948" TargetMode = "External"/><Relationship Id="rId24" Type="http://schemas.openxmlformats.org/officeDocument/2006/relationships/hyperlink" Target="https://login.consultant.ru/link/?req=doc&amp;base=LAW&amp;n=511285&amp;dst=100027" TargetMode = "External"/><Relationship Id="rId25" Type="http://schemas.openxmlformats.org/officeDocument/2006/relationships/hyperlink" Target="https://login.consultant.ru/link/?req=doc&amp;base=LAW&amp;n=503698" TargetMode = "External"/><Relationship Id="rId26" Type="http://schemas.openxmlformats.org/officeDocument/2006/relationships/hyperlink" Target="https://login.consultant.ru/link/?req=doc&amp;base=LAW&amp;n=495181" TargetMode = "External"/><Relationship Id="rId27" Type="http://schemas.openxmlformats.org/officeDocument/2006/relationships/hyperlink" Target="https://login.consultant.ru/link/?req=doc&amp;base=LAW&amp;n=532255&amp;dst=5769" TargetMode = "External"/><Relationship Id="rId28" Type="http://schemas.openxmlformats.org/officeDocument/2006/relationships/hyperlink" Target="https://login.consultant.ru/link/?req=doc&amp;base=SPB&amp;n=305017&amp;dst=9" TargetMode = "External"/><Relationship Id="rId29" Type="http://schemas.openxmlformats.org/officeDocument/2006/relationships/hyperlink" Target="https://login.consultant.ru/link/?req=doc&amp;base=LAW&amp;n=519026&amp;dst=100948" TargetMode = "External"/><Relationship Id="rId30" Type="http://schemas.openxmlformats.org/officeDocument/2006/relationships/hyperlink" Target="https://login.consultant.ru/link/?req=doc&amp;base=LAW&amp;n=519026&amp;dst=100948" TargetMode = "External"/><Relationship Id="rId31" Type="http://schemas.openxmlformats.org/officeDocument/2006/relationships/image" Target="media/image2.wmf"/><Relationship Id="rId32" Type="http://schemas.openxmlformats.org/officeDocument/2006/relationships/hyperlink" Target="https://login.consultant.ru/link/?req=doc&amp;base=LAW&amp;n=495710&amp;dst=3704" TargetMode = "External"/><Relationship Id="rId33" Type="http://schemas.openxmlformats.org/officeDocument/2006/relationships/hyperlink" Target="https://login.consultant.ru/link/?req=doc&amp;base=LAW&amp;n=495710&amp;dst=3722" TargetMode = "External"/><Relationship Id="rId34" Type="http://schemas.openxmlformats.org/officeDocument/2006/relationships/hyperlink" Target="https://login.consultant.ru/link/?req=doc&amp;base=SPB&amp;n=320743&amp;dst=10397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15.05.2026 N 307
"О предоставлении в 2026 году субсидии Санкт-Петербургскому городскому отделению Всероссийской общественной организации "Всероссийское общество охраны памятников истории и культуры" на реализацию проекта "Открытый город"</dc:title>
  <dcterms:created xsi:type="dcterms:W3CDTF">2026-06-12T13:33:57Z</dcterms:created>
</cp:coreProperties>
</file>