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02.05.2024 N 320</w:t>
              <w:br/>
              <w:t xml:space="preserve">"О Порядке предоставления в 2024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мая 2024 г. N 320</w:t>
      </w:r>
    </w:p>
    <w:p>
      <w:pPr>
        <w:pStyle w:val="2"/>
        <w:jc w:val="center"/>
      </w:pPr>
      <w:r>
        <w:rPr>
          <w:sz w:val="20"/>
        </w:rPr>
      </w:r>
    </w:p>
    <w:p>
      <w:pPr>
        <w:pStyle w:val="2"/>
        <w:jc w:val="center"/>
      </w:pPr>
      <w:r>
        <w:rPr>
          <w:sz w:val="20"/>
        </w:rPr>
        <w:t xml:space="preserve">О ПОРЯДКЕ ПРЕДОСТАВЛЕНИЯ В 2024 ГОДУ СУБСИДИЙ РЕЛИГИОЗНЫМ</w:t>
      </w:r>
    </w:p>
    <w:p>
      <w:pPr>
        <w:pStyle w:val="2"/>
        <w:jc w:val="center"/>
      </w:pPr>
      <w:r>
        <w:rPr>
          <w:sz w:val="20"/>
        </w:rPr>
        <w:t xml:space="preserve">ОРГАНИЗАЦИЯМ НА КОНКУРСНОЙ ОСНОВЕ НА ВЫПОЛНЕНИЕ МЕРОПРИЯТИЙ</w:t>
      </w:r>
    </w:p>
    <w:p>
      <w:pPr>
        <w:pStyle w:val="2"/>
        <w:jc w:val="center"/>
      </w:pPr>
      <w:r>
        <w:rPr>
          <w:sz w:val="20"/>
        </w:rPr>
        <w:t xml:space="preserve">ПО СОХРАНЕНИЮ ОБЪЕКТОВ КУЛЬТУРНОГО НАСЛЕДИЯ, РАСПОЛОЖЕННЫХ</w:t>
      </w:r>
    </w:p>
    <w:p>
      <w:pPr>
        <w:pStyle w:val="2"/>
        <w:jc w:val="center"/>
      </w:pPr>
      <w:r>
        <w:rPr>
          <w:sz w:val="20"/>
        </w:rPr>
        <w:t xml:space="preserve">НА ТЕРРИТОРИИ САНКТ-ПЕТЕРБУРГА И НАХОДЯЩИХСЯ В СОБСТВЕННОСТИ</w:t>
      </w:r>
    </w:p>
    <w:p>
      <w:pPr>
        <w:pStyle w:val="2"/>
        <w:jc w:val="center"/>
      </w:pPr>
      <w:r>
        <w:rPr>
          <w:sz w:val="20"/>
        </w:rPr>
        <w:t xml:space="preserve">РЕЛИГИОЗНЫХ ОРГАНИЗАЦИЙ</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общими </w:t>
      </w:r>
      <w:hyperlink w:history="0" r:id="rId9"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w:t>
      </w:r>
      <w:hyperlink w:history="0" r:id="rId10"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и </w:t>
      </w:r>
      <w:hyperlink w:history="0" r:id="rId11"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17.06.2014 N 488 "О государственной программе Санкт-Петербурга "Развитие сферы культуры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1" w:tooltip="ПОРЯДОК">
        <w:r>
          <w:rPr>
            <w:sz w:val="20"/>
            <w:color w:val="0000ff"/>
          </w:rPr>
          <w:t xml:space="preserve">Порядок</w:t>
        </w:r>
      </w:hyperlink>
      <w:r>
        <w:rPr>
          <w:sz w:val="20"/>
        </w:rPr>
        <w:t xml:space="preserve"> предоставления в 2024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(далее - Порядок), согласно приложению.</w:t>
      </w:r>
    </w:p>
    <w:p>
      <w:pPr>
        <w:pStyle w:val="0"/>
        <w:spacing w:before="200" w:line-rule="auto"/>
        <w:ind w:firstLine="540"/>
        <w:jc w:val="both"/>
      </w:pPr>
      <w:r>
        <w:rPr>
          <w:sz w:val="20"/>
        </w:rPr>
        <w:t xml:space="preserve">2. Комитету по государственному контролю, использованию и охране памятников истории и культуры (далее - Комитет) в соответствии со </w:t>
      </w:r>
      <w:hyperlink w:history="0" r:id="rId12"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и общими требованиями в месячный срок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форму заявки на предоставление субсидий (далее - заявка);</w:t>
      </w:r>
    </w:p>
    <w:p>
      <w:pPr>
        <w:pStyle w:val="0"/>
        <w:spacing w:before="200" w:line-rule="auto"/>
        <w:ind w:firstLine="540"/>
        <w:jc w:val="both"/>
      </w:pPr>
      <w:r>
        <w:rPr>
          <w:sz w:val="20"/>
        </w:rPr>
        <w:t xml:space="preserve">сроки опубликования на веб-странице Комитета на официальном сайте Администрации Санкт-Петербурга (</w:t>
      </w:r>
      <w:r>
        <w:rPr>
          <w:sz w:val="20"/>
        </w:rPr>
        <w:t xml:space="preserve">www.gov.spb.ru</w:t>
      </w:r>
      <w:r>
        <w:rPr>
          <w:sz w:val="20"/>
        </w:rPr>
        <w:t xml:space="preserve">) в разделе "Сведения о бюджете" и на официальном сайте Комитета в информационно-телекоммуникационной сети "Интернет" (</w:t>
      </w:r>
      <w:r>
        <w:rPr>
          <w:sz w:val="20"/>
        </w:rPr>
        <w:t xml:space="preserve">www.kgiop.ru</w:t>
      </w:r>
      <w:r>
        <w:rPr>
          <w:sz w:val="20"/>
        </w:rPr>
        <w:t xml:space="preserve">) объявления о проведении отбора, осуществляемого посредством конкурса на право получения субсидий (далее - конкурсный отбор);</w:t>
      </w:r>
    </w:p>
    <w:p>
      <w:pPr>
        <w:pStyle w:val="0"/>
        <w:spacing w:before="200" w:line-rule="auto"/>
        <w:ind w:firstLine="540"/>
        <w:jc w:val="both"/>
      </w:pPr>
      <w:r>
        <w:rPr>
          <w:sz w:val="20"/>
        </w:rPr>
        <w:t xml:space="preserve">порядок и сроки рассмотрения Комитетом и экспертным советом по предоставлению субсидий (далее - экспертный совет) заявок с прилагаемыми документами на предоставление субсидий;</w:t>
      </w:r>
    </w:p>
    <w:p>
      <w:pPr>
        <w:pStyle w:val="0"/>
        <w:spacing w:before="200" w:line-rule="auto"/>
        <w:ind w:firstLine="540"/>
        <w:jc w:val="both"/>
      </w:pPr>
      <w:r>
        <w:rPr>
          <w:sz w:val="20"/>
        </w:rPr>
        <w:t xml:space="preserve">положение об экспертном совете и его состав;</w:t>
      </w:r>
    </w:p>
    <w:p>
      <w:pPr>
        <w:pStyle w:val="0"/>
        <w:spacing w:before="200" w:line-rule="auto"/>
        <w:ind w:firstLine="540"/>
        <w:jc w:val="both"/>
      </w:pPr>
      <w:r>
        <w:rPr>
          <w:sz w:val="20"/>
        </w:rPr>
        <w:t xml:space="preserve">порядок проведения конкурсного отбора в части, не урегулированной Порядком, в том числе порядок отзыва заявок, порядок их возврата, определяющий в том числе основания для возврата заявок, порядок внесения изменений в заявки, порядок возврата заявок на доработку, порядок предоставления претендентам на получение субсидий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сроки и порядок проведения Комитетом проверок соблюдения получателями субсидий условий и порядка предоставления субсидий, в том числе в части оценки достижения результата предоставления субсидий (далее - результат), а также проверок соблюдения условий и порядка предоставления субсидий в отношении лиц, получающих средства за счет субсидий на основании договоров, заключенных с получателями субсидий;</w:t>
      </w:r>
    </w:p>
    <w:p>
      <w:pPr>
        <w:pStyle w:val="0"/>
        <w:spacing w:before="200" w:line-rule="auto"/>
        <w:ind w:firstLine="540"/>
        <w:jc w:val="both"/>
      </w:pPr>
      <w:r>
        <w:rPr>
          <w:sz w:val="20"/>
        </w:rPr>
        <w:t xml:space="preserve">сроки представления в Комитет получателями субсидий отчетности о достижении значений результата и характеристики результата, а также отчетности об осуществлении расходов, источником финансового обеспечения которых являются субсидии (далее - отчетность);</w:t>
      </w:r>
    </w:p>
    <w:p>
      <w:pPr>
        <w:pStyle w:val="0"/>
        <w:spacing w:before="200" w:line-rule="auto"/>
        <w:ind w:firstLine="540"/>
        <w:jc w:val="both"/>
      </w:pPr>
      <w:r>
        <w:rPr>
          <w:sz w:val="20"/>
        </w:rPr>
        <w:t xml:space="preserve">порядок и сроки проверки и принятия Комитетом отчетности;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w:t>
      </w:r>
    </w:p>
    <w:p>
      <w:pPr>
        <w:pStyle w:val="0"/>
        <w:spacing w:before="200" w:line-rule="auto"/>
        <w:ind w:firstLine="540"/>
        <w:jc w:val="both"/>
      </w:pPr>
      <w:r>
        <w:rPr>
          <w:sz w:val="20"/>
        </w:rPr>
        <w:t xml:space="preserve">срок возврата получателями субсидий остатков субсидий, не использованных в отчетном финансовом году, в бюджет Санкт-Петербурга;</w:t>
      </w:r>
    </w:p>
    <w:p>
      <w:pPr>
        <w:pStyle w:val="0"/>
        <w:spacing w:before="200" w:line-rule="auto"/>
        <w:ind w:firstLine="540"/>
        <w:jc w:val="both"/>
      </w:pPr>
      <w:r>
        <w:rPr>
          <w:sz w:val="20"/>
        </w:rPr>
        <w:t xml:space="preserve">форму согласия лиц, действующих от имени претендента на получение субсидий, и лиц, получающих средства на основании договоров, заключенных с получателями субсидий, на обработку персональных данных.</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Разумишкина Е.Н.</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02.05.2024 N 320</w:t>
      </w:r>
    </w:p>
    <w:p>
      <w:pPr>
        <w:pStyle w:val="0"/>
        <w:jc w:val="right"/>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ПРЕДОСТАВЛЕНИЯ В 2024 ГОДУ СУБСИДИЙ РЕЛИГИОЗНЫМ ОРГАНИЗАЦИЯМ</w:t>
      </w:r>
    </w:p>
    <w:p>
      <w:pPr>
        <w:pStyle w:val="2"/>
        <w:jc w:val="center"/>
      </w:pPr>
      <w:r>
        <w:rPr>
          <w:sz w:val="20"/>
        </w:rPr>
        <w:t xml:space="preserve">НА КОНКУРСНОЙ ОСНОВЕ НА ВЫПОЛНЕНИЕ МЕРОПРИЯТИЙ ПО СОХРАНЕНИЮ</w:t>
      </w:r>
    </w:p>
    <w:p>
      <w:pPr>
        <w:pStyle w:val="2"/>
        <w:jc w:val="center"/>
      </w:pPr>
      <w:r>
        <w:rPr>
          <w:sz w:val="20"/>
        </w:rPr>
        <w:t xml:space="preserve">ОБЪЕКТОВ КУЛЬТУРНОГО НАСЛЕДИЯ, РАСПОЛОЖЕННЫХ НА ТЕРРИТОРИИ</w:t>
      </w:r>
    </w:p>
    <w:p>
      <w:pPr>
        <w:pStyle w:val="2"/>
        <w:jc w:val="center"/>
      </w:pPr>
      <w:r>
        <w:rPr>
          <w:sz w:val="20"/>
        </w:rPr>
        <w:t xml:space="preserve">САНКТ-ПЕТЕРБУРГА И НАХОДЯЩИХСЯ В СОБСТВЕННОСТИ</w:t>
      </w:r>
    </w:p>
    <w:p>
      <w:pPr>
        <w:pStyle w:val="2"/>
        <w:jc w:val="center"/>
      </w:pPr>
      <w:r>
        <w:rPr>
          <w:sz w:val="20"/>
        </w:rPr>
        <w:t xml:space="preserve">РЕЛИГИОЗНЫХ ОРГАНИЗАЦИЙ</w:t>
      </w:r>
    </w:p>
    <w:p>
      <w:pPr>
        <w:pStyle w:val="0"/>
        <w:jc w:val="center"/>
      </w:pPr>
      <w:r>
        <w:rPr>
          <w:sz w:val="20"/>
        </w:rPr>
      </w:r>
    </w:p>
    <w:p>
      <w:pPr>
        <w:pStyle w:val="2"/>
        <w:outlineLvl w:val="1"/>
        <w:jc w:val="center"/>
      </w:pPr>
      <w:r>
        <w:rPr>
          <w:sz w:val="20"/>
        </w:rPr>
        <w:t xml:space="preserve">1. Общие положения о предоставлении субсидий</w:t>
      </w:r>
    </w:p>
    <w:p>
      <w:pPr>
        <w:pStyle w:val="0"/>
        <w:ind w:firstLine="540"/>
        <w:jc w:val="both"/>
      </w:pPr>
      <w:r>
        <w:rPr>
          <w:sz w:val="20"/>
        </w:rPr>
      </w:r>
    </w:p>
    <w:p>
      <w:pPr>
        <w:pStyle w:val="0"/>
        <w:ind w:firstLine="540"/>
        <w:jc w:val="both"/>
      </w:pPr>
      <w:r>
        <w:rPr>
          <w:sz w:val="20"/>
        </w:rPr>
        <w:t xml:space="preserve">1.1. Настоящий Порядок предоставления в 2024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устанавливает правила предоставления в 2024 году субсидий, предусмотренных Комитету по государственному контролю, использованию и охране памятников истории и культуры (далее - Комитет) </w:t>
      </w:r>
      <w:hyperlink w:history="0" r:id="rId13"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(код целевой статьи 0850071410) в приложении 2 к Закону Санкт-Петербурга от 29.11.2023 N 714-144 "О бюджете Санкт-Петербурга на 2024 год и на плановый период 2025 и 2026 годов" (далее - Закон N 714-144) в соответствии с </w:t>
      </w:r>
      <w:hyperlink w:history="0" r:id="rId14"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(далее - Закон N 153-41) и </w:t>
      </w:r>
      <w:hyperlink w:history="0" r:id="rId15"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w:t>
        </w:r>
      </w:hyperlink>
      <w:r>
        <w:rPr>
          <w:sz w:val="20"/>
        </w:rPr>
        <w:t xml:space="preserve"> "Наследие"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"О государственной программе Санкт-Петербурга "Развитие сферы культуры в Санкт-Петербурге" (далее - Государственная программа).</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ОКН - объект культурного наследия, расположенный на территории Санкт-Петербурга и находящийся в собственности религиозных организаций;</w:t>
      </w:r>
    </w:p>
    <w:p>
      <w:pPr>
        <w:pStyle w:val="0"/>
        <w:spacing w:before="200" w:line-rule="auto"/>
        <w:ind w:firstLine="540"/>
        <w:jc w:val="both"/>
      </w:pPr>
      <w:r>
        <w:rPr>
          <w:sz w:val="20"/>
        </w:rPr>
        <w:t xml:space="preserve">религиозная организация - религиозная организация, являющаяся российским юридическим лицом, состоящим на учете в налоговом органе по месту нахождения организации в Российской Федерации и осуществляющим на территории Санкт-Петербурга в соответствии с учредительными документами виды деятельности, указанные в </w:t>
      </w:r>
      <w:hyperlink w:history="0" r:id="rId16"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статье 3</w:t>
        </w:r>
      </w:hyperlink>
      <w:r>
        <w:rPr>
          <w:sz w:val="20"/>
        </w:rPr>
        <w:t xml:space="preserve"> Закона Санкт-Петербурга N 153-41;</w:t>
      </w:r>
    </w:p>
    <w:p>
      <w:pPr>
        <w:pStyle w:val="0"/>
        <w:spacing w:before="200" w:line-rule="auto"/>
        <w:ind w:firstLine="540"/>
        <w:jc w:val="both"/>
      </w:pPr>
      <w:r>
        <w:rPr>
          <w:sz w:val="20"/>
        </w:rPr>
        <w:t xml:space="preserve">субсидии - субсидии религиозным организациям на конкурсной основе на выполнение мероприятий по сохранению ОКН;</w:t>
      </w:r>
    </w:p>
    <w:p>
      <w:pPr>
        <w:pStyle w:val="0"/>
        <w:spacing w:before="200" w:line-rule="auto"/>
        <w:ind w:firstLine="540"/>
        <w:jc w:val="both"/>
      </w:pPr>
      <w:r>
        <w:rPr>
          <w:sz w:val="20"/>
        </w:rPr>
        <w:t xml:space="preserve">конкурсный отбор - отбор, осуществляемый посредством проведения конкурса на право получения субсидий;</w:t>
      </w:r>
    </w:p>
    <w:p>
      <w:pPr>
        <w:pStyle w:val="0"/>
        <w:spacing w:before="200" w:line-rule="auto"/>
        <w:ind w:firstLine="540"/>
        <w:jc w:val="both"/>
      </w:pPr>
      <w:r>
        <w:rPr>
          <w:sz w:val="20"/>
        </w:rPr>
        <w:t xml:space="preserve">претендент - религиозная организация, имеющая в собственности ОКН, претендующая на получение субсидий и подавшая заявку и документы в Комитет для участия в конкурсном отборе;</w:t>
      </w:r>
    </w:p>
    <w:p>
      <w:pPr>
        <w:pStyle w:val="0"/>
        <w:spacing w:before="200" w:line-rule="auto"/>
        <w:ind w:firstLine="540"/>
        <w:jc w:val="both"/>
      </w:pPr>
      <w:r>
        <w:rPr>
          <w:sz w:val="20"/>
        </w:rPr>
        <w:t xml:space="preserve">заявка - заявка, подаваемая в Комитет претендентом для участия в конкурсном отборе;</w:t>
      </w:r>
    </w:p>
    <w:p>
      <w:pPr>
        <w:pStyle w:val="0"/>
        <w:spacing w:before="200" w:line-rule="auto"/>
        <w:ind w:firstLine="540"/>
        <w:jc w:val="both"/>
      </w:pPr>
      <w:r>
        <w:rPr>
          <w:sz w:val="20"/>
        </w:rPr>
        <w:t xml:space="preserve">документы - документы, представляемые претендентом для участия в конкурсном отборе;</w:t>
      </w:r>
    </w:p>
    <w:p>
      <w:pPr>
        <w:pStyle w:val="0"/>
        <w:spacing w:before="200" w:line-rule="auto"/>
        <w:ind w:firstLine="540"/>
        <w:jc w:val="both"/>
      </w:pPr>
      <w:r>
        <w:rPr>
          <w:sz w:val="20"/>
        </w:rPr>
        <w:t xml:space="preserve">победитель конкурсного отбора - претендент, признанный победителем конкурсного отбора;</w:t>
      </w:r>
    </w:p>
    <w:p>
      <w:pPr>
        <w:pStyle w:val="0"/>
        <w:spacing w:before="200" w:line-rule="auto"/>
        <w:ind w:firstLine="540"/>
        <w:jc w:val="both"/>
      </w:pPr>
      <w:r>
        <w:rPr>
          <w:sz w:val="20"/>
        </w:rPr>
        <w:t xml:space="preserve">получатели субсидий - победители конкурсного отбора, в отношении которых Комитетом принято решение о предоставлении субсидий;</w:t>
      </w:r>
    </w:p>
    <w:p>
      <w:pPr>
        <w:pStyle w:val="0"/>
        <w:spacing w:before="200" w:line-rule="auto"/>
        <w:ind w:firstLine="540"/>
        <w:jc w:val="both"/>
      </w:pPr>
      <w:r>
        <w:rPr>
          <w:sz w:val="20"/>
        </w:rPr>
        <w:t xml:space="preserve">экспертный совет - совещательный коллегиальный орган, создаваемый Комитетом в целях определения победителей конкурсного отбора и размеров предоставляемых субсидий;</w:t>
      </w:r>
    </w:p>
    <w:p>
      <w:pPr>
        <w:pStyle w:val="0"/>
        <w:spacing w:before="200" w:line-rule="auto"/>
        <w:ind w:firstLine="540"/>
        <w:jc w:val="both"/>
      </w:pPr>
      <w:r>
        <w:rPr>
          <w:sz w:val="20"/>
        </w:rPr>
        <w:t xml:space="preserve">контрагенты - лица, получающие средства за счет субсидий на основании договоров, заключенных с получателями субсидий;</w:t>
      </w:r>
    </w:p>
    <w:p>
      <w:pPr>
        <w:pStyle w:val="0"/>
        <w:spacing w:before="200" w:line-rule="auto"/>
        <w:ind w:firstLine="540"/>
        <w:jc w:val="both"/>
      </w:pPr>
      <w:r>
        <w:rPr>
          <w:sz w:val="20"/>
        </w:rPr>
        <w:t xml:space="preserve">соглашение - заключенное между Комитетом и получателем субсидий соглашение о предоставлении субсидий по типовой форме, утвержденной Комитетом финансов Санкт-Петербурга;</w:t>
      </w:r>
    </w:p>
    <w:p>
      <w:pPr>
        <w:pStyle w:val="0"/>
        <w:spacing w:before="200" w:line-rule="auto"/>
        <w:ind w:firstLine="540"/>
        <w:jc w:val="both"/>
      </w:pPr>
      <w:r>
        <w:rPr>
          <w:sz w:val="20"/>
        </w:rPr>
        <w:t xml:space="preserve">приказ Минкультуры России от 25.06.2015 N 1840 - </w:t>
      </w:r>
      <w:hyperlink w:history="0" r:id="rId17"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w:t>
        </w:r>
      </w:hyperlink>
      <w:r>
        <w:rPr>
          <w:sz w:val="20"/>
        </w:rPr>
        <w:t xml:space="preserve"> Министерства культуры Российской Федерации от 25.06.2015 N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pPr>
        <w:pStyle w:val="0"/>
        <w:spacing w:before="200" w:line-rule="auto"/>
        <w:ind w:firstLine="540"/>
        <w:jc w:val="both"/>
      </w:pPr>
      <w:r>
        <w:rPr>
          <w:sz w:val="20"/>
        </w:rPr>
        <w:t xml:space="preserve">1.3. Субсидии предоставляются претендентам, признанным победителями конкурсного отбора.</w:t>
      </w:r>
    </w:p>
    <w:p>
      <w:pPr>
        <w:pStyle w:val="0"/>
        <w:spacing w:before="200" w:line-rule="auto"/>
        <w:ind w:firstLine="540"/>
        <w:jc w:val="both"/>
      </w:pPr>
      <w:r>
        <w:rPr>
          <w:sz w:val="20"/>
        </w:rPr>
        <w:t xml:space="preserve">1.4. Субсидии предоставляются в целях финансового обеспечения затрат получателей субсидий, возникших в 2022-2024 годах в связи с выполнением мероприятий по сохранению ОКН в рамках реализации мероприятия, предусмотренного в </w:t>
      </w:r>
      <w:hyperlink w:history="0" r:id="rId18"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пункте 5</w:t>
        </w:r>
      </w:hyperlink>
      <w:r>
        <w:rPr>
          <w:sz w:val="20"/>
        </w:rPr>
        <w:t xml:space="preserve"> процессной части подраздела 2.4 раздела 2 Государственной программы (далее - затраты), в соответствии с направлениями затрат, установленными в </w:t>
      </w:r>
      <w:hyperlink w:history="0" w:anchor="P75" w:tooltip="2.1. Соответствие затрат, источником финансового обеспечения которых являются субсидии, следующим направлениям:">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1.5. Мероприятия по сохранению ОКН подразделяются на завершенные мероприятия и планируемые к выполнению мероприятия.</w:t>
      </w:r>
    </w:p>
    <w:p>
      <w:pPr>
        <w:pStyle w:val="0"/>
        <w:spacing w:before="200" w:line-rule="auto"/>
        <w:ind w:firstLine="540"/>
        <w:jc w:val="both"/>
      </w:pPr>
      <w:r>
        <w:rPr>
          <w:sz w:val="20"/>
        </w:rPr>
        <w:t xml:space="preserve">Завершенное мероприятие - это мероприятие, завершенное на дату подачи заявки, в отношении которого оформлен акт приемки выполненных работ по сохранению ОКН в соответствии с требованиями Федерального </w:t>
      </w:r>
      <w:hyperlink w:history="0" r:id="rId19"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7.04.2024) {КонсультантПлюс}">
        <w:r>
          <w:rPr>
            <w:sz w:val="20"/>
            <w:color w:val="0000ff"/>
          </w:rPr>
          <w:t xml:space="preserve">закона</w:t>
        </w:r>
      </w:hyperlink>
      <w:r>
        <w:rPr>
          <w:sz w:val="20"/>
        </w:rPr>
        <w:t xml:space="preserve"> "Об объектах культурного наследия (памятниках истории и культуры) народов Российской Федерации" и </w:t>
      </w:r>
      <w:hyperlink w:history="0" r:id="rId20"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приказа</w:t>
        </w:r>
      </w:hyperlink>
      <w:r>
        <w:rPr>
          <w:sz w:val="20"/>
        </w:rPr>
        <w:t xml:space="preserve"> Минкультуры России от 25.06.2015 N 1840 (далее - акт приемки выполненных работ по сохранению ОКН).</w:t>
      </w:r>
    </w:p>
    <w:p>
      <w:pPr>
        <w:pStyle w:val="0"/>
        <w:spacing w:before="200" w:line-rule="auto"/>
        <w:ind w:firstLine="540"/>
        <w:jc w:val="both"/>
      </w:pPr>
      <w:r>
        <w:rPr>
          <w:sz w:val="20"/>
        </w:rPr>
        <w:t xml:space="preserve">Планируемое к выполнению мероприятие - это мероприятие, планируемое к выполнению в 2024 году, или мероприятие, частично завершенное на дату подачи заявки, в отношении которого не оформлен акт приемки выполненных работ по сохранению ОКН.</w:t>
      </w:r>
    </w:p>
    <w:bookmarkStart w:id="70" w:name="P70"/>
    <w:bookmarkEnd w:id="70"/>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сеть "Интернет") в порядке, установленном Министерством финансов Российской Федерации.</w:t>
      </w:r>
    </w:p>
    <w:p>
      <w:pPr>
        <w:pStyle w:val="0"/>
        <w:ind w:firstLine="540"/>
        <w:jc w:val="both"/>
      </w:pPr>
      <w:r>
        <w:rPr>
          <w:sz w:val="20"/>
        </w:rPr>
      </w:r>
    </w:p>
    <w:bookmarkStart w:id="72" w:name="P72"/>
    <w:bookmarkEnd w:id="72"/>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Условиями предоставления субсидий являются:</w:t>
      </w:r>
    </w:p>
    <w:bookmarkStart w:id="75" w:name="P75"/>
    <w:bookmarkEnd w:id="75"/>
    <w:p>
      <w:pPr>
        <w:pStyle w:val="0"/>
        <w:spacing w:before="200" w:line-rule="auto"/>
        <w:ind w:firstLine="540"/>
        <w:jc w:val="both"/>
      </w:pPr>
      <w:r>
        <w:rPr>
          <w:sz w:val="20"/>
        </w:rPr>
        <w:t xml:space="preserve">2.1. Соответствие затрат, источником финансового обеспечения которых являются субсидии, следующим направлениям:</w:t>
      </w:r>
    </w:p>
    <w:p>
      <w:pPr>
        <w:pStyle w:val="0"/>
        <w:spacing w:before="200" w:line-rule="auto"/>
        <w:ind w:firstLine="540"/>
        <w:jc w:val="both"/>
      </w:pPr>
      <w:r>
        <w:rPr>
          <w:sz w:val="20"/>
        </w:rPr>
        <w:t xml:space="preserve">2.1.1. работы по сохранению ОКН:</w:t>
      </w:r>
    </w:p>
    <w:p>
      <w:pPr>
        <w:pStyle w:val="0"/>
        <w:spacing w:before="200" w:line-rule="auto"/>
        <w:ind w:firstLine="540"/>
        <w:jc w:val="both"/>
      </w:pPr>
      <w:r>
        <w:rPr>
          <w:sz w:val="20"/>
        </w:rPr>
        <w:t xml:space="preserve">консервация ОКН;</w:t>
      </w:r>
    </w:p>
    <w:p>
      <w:pPr>
        <w:pStyle w:val="0"/>
        <w:spacing w:before="200" w:line-rule="auto"/>
        <w:ind w:firstLine="540"/>
        <w:jc w:val="both"/>
      </w:pPr>
      <w:r>
        <w:rPr>
          <w:sz w:val="20"/>
        </w:rPr>
        <w:t xml:space="preserve">ремонт памятника, в том числе его территории;</w:t>
      </w:r>
    </w:p>
    <w:p>
      <w:pPr>
        <w:pStyle w:val="0"/>
        <w:spacing w:before="200" w:line-rule="auto"/>
        <w:ind w:firstLine="540"/>
        <w:jc w:val="both"/>
      </w:pPr>
      <w:r>
        <w:rPr>
          <w:sz w:val="20"/>
        </w:rPr>
        <w:t xml:space="preserve">реставрация памятника или ансамбля;</w:t>
      </w:r>
    </w:p>
    <w:p>
      <w:pPr>
        <w:pStyle w:val="0"/>
        <w:spacing w:before="200" w:line-rule="auto"/>
        <w:ind w:firstLine="540"/>
        <w:jc w:val="both"/>
      </w:pPr>
      <w:r>
        <w:rPr>
          <w:sz w:val="20"/>
        </w:rPr>
        <w:t xml:space="preserve">приспособление ОКН для современного использования в части инженерных систем и оборудования;</w:t>
      </w:r>
    </w:p>
    <w:p>
      <w:pPr>
        <w:pStyle w:val="0"/>
        <w:spacing w:before="200" w:line-rule="auto"/>
        <w:ind w:firstLine="540"/>
        <w:jc w:val="both"/>
      </w:pPr>
      <w:r>
        <w:rPr>
          <w:sz w:val="20"/>
        </w:rPr>
        <w:t xml:space="preserve">2.1.2. технический надзор за проведением работ по сохранению ОКН;</w:t>
      </w:r>
    </w:p>
    <w:p>
      <w:pPr>
        <w:pStyle w:val="0"/>
        <w:spacing w:before="200" w:line-rule="auto"/>
        <w:ind w:firstLine="540"/>
        <w:jc w:val="both"/>
      </w:pPr>
      <w:r>
        <w:rPr>
          <w:sz w:val="20"/>
        </w:rPr>
        <w:t xml:space="preserve">2.1.3. авторский надзор за проведением работ по сохранению ОКН.</w:t>
      </w:r>
    </w:p>
    <w:p>
      <w:pPr>
        <w:pStyle w:val="0"/>
        <w:spacing w:before="200" w:line-rule="auto"/>
        <w:ind w:firstLine="540"/>
        <w:jc w:val="both"/>
      </w:pPr>
      <w:r>
        <w:rPr>
          <w:sz w:val="20"/>
        </w:rPr>
        <w:t xml:space="preserve">2.2. Наличие письменного согласия претендента (в случае признания претендента получателем субсидий)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проверок соблюдения порядка и условий предоставления субсидии, в том числе в части достижения результата предоставления субсидии (далее - проверки), а также проверок органами государственного финансового контроля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2.3. Наличие согласия претендента на возврат в случае признания его получателем субсидий остатков субсидий, не использованных в отчетном финансовом году, в бюджет Санкт-Петербурга в срок, установленный Комитетом.</w:t>
      </w:r>
    </w:p>
    <w:p>
      <w:pPr>
        <w:pStyle w:val="0"/>
        <w:spacing w:before="200" w:line-rule="auto"/>
        <w:ind w:firstLine="540"/>
        <w:jc w:val="both"/>
      </w:pPr>
      <w:r>
        <w:rPr>
          <w:sz w:val="20"/>
        </w:rPr>
        <w:t xml:space="preserve">2.4. Наличие согласия претендента на включение в соглашение положений о казначейском сопровождении в случае, если средства субсидий подлежат казначейскому сопровождению в соответствии с бюджетным законодательством.</w:t>
      </w:r>
    </w:p>
    <w:p>
      <w:pPr>
        <w:pStyle w:val="0"/>
        <w:spacing w:before="200" w:line-rule="auto"/>
        <w:ind w:firstLine="540"/>
        <w:jc w:val="both"/>
      </w:pPr>
      <w:r>
        <w:rPr>
          <w:sz w:val="20"/>
        </w:rPr>
        <w:t xml:space="preserve">2.5. Признание экспертным советом претендента победителем конкурсного отбора.</w:t>
      </w:r>
    </w:p>
    <w:p>
      <w:pPr>
        <w:pStyle w:val="0"/>
        <w:spacing w:before="200" w:line-rule="auto"/>
        <w:ind w:firstLine="540"/>
        <w:jc w:val="both"/>
      </w:pPr>
      <w:r>
        <w:rPr>
          <w:sz w:val="20"/>
        </w:rPr>
        <w:t xml:space="preserve">2.6. Неприобретение получателем субсидии и контрагентами - юридическими лицами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для осуществления иных операций, необходимых для достижения результата предоставления субсидии, указанного в </w:t>
      </w:r>
      <w:hyperlink w:history="0" w:anchor="P165" w:tooltip="3.16. Результатом предоставления субсидий (далее - результат) является надлежащее выполнение работ по сохранению ОКН согласно заявке в соответствии с требованиями статьи 45 Федерального закона &quot;Об объектах культурного наследия (памятниках истории и культуры) народов Российской Федерации&quot; в сроки, установленные соглашением.">
        <w:r>
          <w:rPr>
            <w:sz w:val="20"/>
            <w:color w:val="0000ff"/>
          </w:rPr>
          <w:t xml:space="preserve">пункте 3.16</w:t>
        </w:r>
      </w:hyperlink>
      <w:r>
        <w:rPr>
          <w:sz w:val="20"/>
        </w:rPr>
        <w:t xml:space="preserve"> настоящего Порядка.</w:t>
      </w:r>
    </w:p>
    <w:p>
      <w:pPr>
        <w:pStyle w:val="0"/>
        <w:spacing w:before="200" w:line-rule="auto"/>
        <w:ind w:firstLine="540"/>
        <w:jc w:val="both"/>
      </w:pPr>
      <w:r>
        <w:rPr>
          <w:sz w:val="20"/>
        </w:rPr>
        <w:t xml:space="preserve">2.7. Наличие документов, подтверждающих право собственности получателя субсидии на ОКН, в отношении которого представляется заявка.</w:t>
      </w:r>
    </w:p>
    <w:p>
      <w:pPr>
        <w:pStyle w:val="0"/>
        <w:spacing w:before="200" w:line-rule="auto"/>
        <w:ind w:firstLine="540"/>
        <w:jc w:val="both"/>
      </w:pPr>
      <w:r>
        <w:rPr>
          <w:sz w:val="20"/>
        </w:rPr>
        <w:t xml:space="preserve">2.8. Наличие охранного обязательства, заключенного с правообладателем ОКН либо утвержденного правовым актом Комитета или уполномоченного федерального органа исполнительной власти, на ОКН, в отношении которого представляется заявка.</w:t>
      </w:r>
    </w:p>
    <w:p>
      <w:pPr>
        <w:pStyle w:val="0"/>
        <w:spacing w:before="200" w:line-rule="auto"/>
        <w:ind w:firstLine="540"/>
        <w:jc w:val="both"/>
      </w:pPr>
      <w:r>
        <w:rPr>
          <w:sz w:val="20"/>
        </w:rPr>
        <w:t xml:space="preserve">2.9. Включение ОКН, в отношении которого представляется заявка,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2.10. Отсутствие у претендента за период не менее одного календарного года, предшествующего году получения субсидии, нарушений бюджетного законодательства, условий договоров (соглашений), на основании которых предоставлялись средства из бюджетной системы Российской Федерации, по которым не исполнены требования о возврате бюджетных средств и(или) вступившие в силу постановления о назначении административного наказания.</w:t>
      </w:r>
    </w:p>
    <w:p>
      <w:pPr>
        <w:pStyle w:val="0"/>
        <w:spacing w:before="200" w:line-rule="auto"/>
        <w:ind w:firstLine="540"/>
        <w:jc w:val="both"/>
      </w:pPr>
      <w:r>
        <w:rPr>
          <w:sz w:val="20"/>
        </w:rPr>
        <w:t xml:space="preserve">2.11. Отсутствие информации о претенденте в реестре недобросовестных поставщиков (подрядчиков, исполнителей), ведение которого осуществляется в соответствии с Федеральным </w:t>
      </w:r>
      <w:hyperlink w:history="0" r:id="rId2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2.12. Наличие согласия претендента на публикацию (размещение) в сети "Интернет" информации о претенденте, подаваемой им заявке и иной информации, связанной с конкурсным отбором.</w:t>
      </w:r>
    </w:p>
    <w:p>
      <w:pPr>
        <w:pStyle w:val="0"/>
        <w:spacing w:before="200" w:line-rule="auto"/>
        <w:ind w:firstLine="540"/>
        <w:jc w:val="both"/>
      </w:pPr>
      <w:r>
        <w:rPr>
          <w:sz w:val="20"/>
        </w:rPr>
        <w:t xml:space="preserve">2.13. Отсутствие у претендента исполнительных производств, возбужденных на основании решений судов по допущенным претендентами нарушениям условий (требований) охранных обязательств в отношении ОКН, находящихся в собственности религиозной организации, в отношении которых запрашиваются субсидии.</w:t>
      </w:r>
    </w:p>
    <w:p>
      <w:pPr>
        <w:pStyle w:val="0"/>
        <w:spacing w:before="200" w:line-rule="auto"/>
        <w:ind w:firstLine="540"/>
        <w:jc w:val="both"/>
      </w:pPr>
      <w:r>
        <w:rPr>
          <w:sz w:val="20"/>
        </w:rPr>
        <w:t xml:space="preserve">2.14.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24"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предоставления субсидии, а также характеристики результата предоставления субсидии, указанных в </w:t>
      </w:r>
      <w:hyperlink w:history="0" w:anchor="P165" w:tooltip="3.16. Результатом предоставления субсидий (далее - результат) является надлежащее выполнение работ по сохранению ОКН согласно заявке в соответствии с требованиями статьи 45 Федерального закона &quot;Об объектах культурного наследия (памятниках истории и культуры) народов Российской Федерации&quot; в сроки, установленные соглашением.">
        <w:r>
          <w:rPr>
            <w:sz w:val="20"/>
            <w:color w:val="0000ff"/>
          </w:rPr>
          <w:t xml:space="preserve">пункте 3.16</w:t>
        </w:r>
      </w:hyperlink>
      <w:r>
        <w:rPr>
          <w:sz w:val="20"/>
        </w:rPr>
        <w:t xml:space="preserve"> настоящего Порядка,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условии отсутствия такого соглашения - размера минимальной заработной платы в Санкт-Петербурге, установленного указанным соглашением, действовавшим на 31 декабря предшествовавшего календарного года.</w:t>
      </w:r>
    </w:p>
    <w:p>
      <w:pPr>
        <w:pStyle w:val="0"/>
        <w:spacing w:before="200" w:line-rule="auto"/>
        <w:ind w:firstLine="540"/>
        <w:jc w:val="both"/>
      </w:pPr>
      <w:r>
        <w:rPr>
          <w:sz w:val="20"/>
        </w:rPr>
        <w:t xml:space="preserve">2.15. Наличие письменного подтверждения осуществления на территории Санкт-Петербурга видов деятельности в соответствии с учредительными документами, указанных в </w:t>
      </w:r>
      <w:hyperlink w:history="0" r:id="rId25"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статье 3</w:t>
        </w:r>
      </w:hyperlink>
      <w:r>
        <w:rPr>
          <w:sz w:val="20"/>
        </w:rPr>
        <w:t xml:space="preserve"> Закона Санкт-Петербурга N 153-41.</w:t>
      </w:r>
    </w:p>
    <w:p>
      <w:pPr>
        <w:pStyle w:val="0"/>
        <w:spacing w:before="200" w:line-rule="auto"/>
        <w:ind w:firstLine="540"/>
        <w:jc w:val="both"/>
      </w:pPr>
      <w:r>
        <w:rPr>
          <w:sz w:val="20"/>
        </w:rPr>
        <w:t xml:space="preserve">2.16. Претендент не ранее чем на 1 число месяца, предшествующего месяцу, в котором планируется начало проведения конкурсного отбора, должен соответствовать следующим требованиям:</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не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не получать средства из бюджета Санкт-Петербурга на основании иных нормативных правовых актов на цели, установленные настоящим Порядком;</w:t>
      </w:r>
    </w:p>
    <w:p>
      <w:pPr>
        <w:pStyle w:val="0"/>
        <w:spacing w:before="200" w:line-rule="auto"/>
        <w:ind w:firstLine="540"/>
        <w:jc w:val="both"/>
      </w:pPr>
      <w:r>
        <w:rPr>
          <w:sz w:val="20"/>
        </w:rPr>
        <w:t xml:space="preserve">не являться иностранным агентом в соответствии с Федеральным </w:t>
      </w:r>
      <w:hyperlink w:history="0" r:id="rId26"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на едином налоговом счете претендента отсутствует или не превышает размер, определенный в </w:t>
      </w:r>
      <w:hyperlink w:history="0" r:id="rId27"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у претендента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28"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а при условии отсутствия такого соглашения - размера минимальной заработной платы в Санкт-Петербурге, установленного указанным соглашением, действовавшим на 31 декабря предшествовавшего календарного года;</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претендента.</w:t>
      </w:r>
    </w:p>
    <w:p>
      <w:pPr>
        <w:pStyle w:val="0"/>
        <w:spacing w:before="200" w:line-rule="auto"/>
        <w:ind w:firstLine="540"/>
        <w:jc w:val="both"/>
      </w:pPr>
      <w:r>
        <w:rPr>
          <w:sz w:val="20"/>
        </w:rPr>
        <w:t xml:space="preserve">2.17. Документальное обоснование затрат, а именно:</w:t>
      </w:r>
    </w:p>
    <w:p>
      <w:pPr>
        <w:pStyle w:val="0"/>
        <w:spacing w:before="200" w:line-rule="auto"/>
        <w:ind w:firstLine="540"/>
        <w:jc w:val="both"/>
      </w:pPr>
      <w:r>
        <w:rPr>
          <w:sz w:val="20"/>
        </w:rPr>
        <w:t xml:space="preserve">2.17.1. Для завершенного мероприятия - акт приемки выполненных работ по сохранению ОКН и сметная документация, на основании которой выполнялись работы по сохранению ОКН, с заключением Санкт-Петербургского государственного автономного учреждения "Центр государственной экспертизы" (далее - ЦГЭ) о достоверности определения сметной стоимости работ по сохранению ОКН, в отношении которого представляется заявка (за исключением случаев, предусмотренных законодательством Российской Федерации). Акт приемки выполненных работ по сохранению ОКН должен быть оформлен в </w:t>
      </w:r>
      <w:hyperlink w:history="0" r:id="rId29"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порядке</w:t>
        </w:r>
      </w:hyperlink>
      <w:r>
        <w:rPr>
          <w:sz w:val="20"/>
        </w:rPr>
        <w:t xml:space="preserve">, установленном приказом Минкультуры России от 25.06.2015 N 1840.</w:t>
      </w:r>
    </w:p>
    <w:p>
      <w:pPr>
        <w:pStyle w:val="0"/>
        <w:spacing w:before="200" w:line-rule="auto"/>
        <w:ind w:firstLine="540"/>
        <w:jc w:val="both"/>
      </w:pPr>
      <w:r>
        <w:rPr>
          <w:sz w:val="20"/>
        </w:rPr>
        <w:t xml:space="preserve">2.17.2. Для планируемого к выполнению мероприятия - предусмотренное действующим законодательством разрешение на выполнение соответствующих видов работ по сохранению ОКН, в отношении которого представляется заявка, и сметная документация, на основании которой планируется выполнять работы по сохранению ОКН, с заключением ЦГЭ о достоверности определения сметной стоимости работ по сохранению ОКН, в отношении которого представляется заявка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2.18. Наличие обязательства претендента в случае признания его получателем субсидий представить справки, указанные в </w:t>
      </w:r>
      <w:hyperlink w:history="0" w:anchor="P191" w:tooltip="получатель субсидии в течение пяти рабочих дней с даты регистрации соглашения Комитетом представляет в Комитет справку, оформленную в свободной форме и подписанную руководителем получателя субсидии и заверенную его печатью (при наличии), о том, что на дату регистрации соглашения на едином налоговом счете получателя субсидии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
        <w:r>
          <w:rPr>
            <w:sz w:val="20"/>
            <w:color w:val="0000ff"/>
          </w:rPr>
          <w:t xml:space="preserve">абзацах третьем</w:t>
        </w:r>
      </w:hyperlink>
      <w:r>
        <w:rPr>
          <w:sz w:val="20"/>
        </w:rPr>
        <w:t xml:space="preserve"> и </w:t>
      </w:r>
      <w:hyperlink w:history="0" w:anchor="P192" w:tooltip="получатель субсидии в течение пяти рабочих дней с даты регистрации соглашения Комитетом представляет в Комитет справку, оформленную в свободной форме и подписанную руководителем получателя субсидии и заверенную его печатью (при наличии), о том, что на дату регистрации соглашения у получателя субсидии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
        <w:r>
          <w:rPr>
            <w:sz w:val="20"/>
            <w:color w:val="0000ff"/>
          </w:rPr>
          <w:t xml:space="preserve">четвертом пункта 4.10</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3. Порядок и сроки представления и рассмотрения документов</w:t>
      </w:r>
    </w:p>
    <w:p>
      <w:pPr>
        <w:pStyle w:val="0"/>
        <w:ind w:firstLine="540"/>
        <w:jc w:val="both"/>
      </w:pPr>
      <w:r>
        <w:rPr>
          <w:sz w:val="20"/>
        </w:rPr>
      </w:r>
    </w:p>
    <w:bookmarkStart w:id="115" w:name="P115"/>
    <w:bookmarkEnd w:id="115"/>
    <w:p>
      <w:pPr>
        <w:pStyle w:val="0"/>
        <w:ind w:firstLine="540"/>
        <w:jc w:val="both"/>
      </w:pPr>
      <w:r>
        <w:rPr>
          <w:sz w:val="20"/>
        </w:rPr>
        <w:t xml:space="preserve">3.1. Комитет в установленные им сроки обеспечивает опубликование на веб-странице Комитета на официальном сайте Администрации Санкт-Петербурга (</w:t>
      </w:r>
      <w:r>
        <w:rPr>
          <w:sz w:val="20"/>
        </w:rPr>
        <w:t xml:space="preserve">www.gov.spb.ru</w:t>
      </w:r>
      <w:r>
        <w:rPr>
          <w:sz w:val="20"/>
        </w:rPr>
        <w:t xml:space="preserve">) в разделе "Сведения о бюджете", а также на официальном сайте Комитета в сети "Интернет" (</w:t>
      </w:r>
      <w:r>
        <w:rPr>
          <w:sz w:val="20"/>
        </w:rPr>
        <w:t xml:space="preserve">www.kgiop.ru</w:t>
      </w:r>
      <w:r>
        <w:rPr>
          <w:sz w:val="20"/>
        </w:rPr>
        <w:t xml:space="preserve">) (далее совместно - сайт Комитета) объявления о проведении конкурсного отбора (далее - объявление), в котором указывает:</w:t>
      </w:r>
    </w:p>
    <w:p>
      <w:pPr>
        <w:pStyle w:val="0"/>
        <w:spacing w:before="200" w:line-rule="auto"/>
        <w:ind w:firstLine="540"/>
        <w:jc w:val="both"/>
      </w:pPr>
      <w:r>
        <w:rPr>
          <w:sz w:val="20"/>
        </w:rPr>
        <w:t xml:space="preserve">срок проведения конкурсного отбора;</w:t>
      </w:r>
    </w:p>
    <w:p>
      <w:pPr>
        <w:pStyle w:val="0"/>
        <w:spacing w:before="200" w:line-rule="auto"/>
        <w:ind w:firstLine="540"/>
        <w:jc w:val="both"/>
      </w:pPr>
      <w:r>
        <w:rPr>
          <w:sz w:val="20"/>
        </w:rPr>
        <w:t xml:space="preserve">дату начала подачи и окончания приема заявок, при этом дата окончания приема заявок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результат предоставления субсидии, а также характеристику результата;</w:t>
      </w:r>
    </w:p>
    <w:p>
      <w:pPr>
        <w:pStyle w:val="0"/>
        <w:spacing w:before="200" w:line-rule="auto"/>
        <w:ind w:firstLine="540"/>
        <w:jc w:val="both"/>
      </w:pPr>
      <w:r>
        <w:rPr>
          <w:sz w:val="20"/>
        </w:rPr>
        <w:t xml:space="preserve">доменное имя и(или) указатели страниц сайта Комитета, на котором обеспечивается проведение конкурсного отбора;</w:t>
      </w:r>
    </w:p>
    <w:p>
      <w:pPr>
        <w:pStyle w:val="0"/>
        <w:spacing w:before="200" w:line-rule="auto"/>
        <w:ind w:firstLine="540"/>
        <w:jc w:val="both"/>
      </w:pPr>
      <w:r>
        <w:rPr>
          <w:sz w:val="20"/>
        </w:rPr>
        <w:t xml:space="preserve">условия предоставления субсидий, требования к претендентам и </w:t>
      </w:r>
      <w:hyperlink w:history="0" w:anchor="P254" w:tooltip="ПЕРЕЧЕНЬ">
        <w:r>
          <w:rPr>
            <w:sz w:val="20"/>
            <w:color w:val="0000ff"/>
          </w:rPr>
          <w:t xml:space="preserve">перечень</w:t>
        </w:r>
      </w:hyperlink>
      <w:r>
        <w:rPr>
          <w:sz w:val="20"/>
        </w:rPr>
        <w:t xml:space="preserve"> документов в соответствии с приложением N 1 к настоящему Порядку и требования к ним;</w:t>
      </w:r>
    </w:p>
    <w:p>
      <w:pPr>
        <w:pStyle w:val="0"/>
        <w:spacing w:before="200" w:line-rule="auto"/>
        <w:ind w:firstLine="540"/>
        <w:jc w:val="both"/>
      </w:pPr>
      <w:r>
        <w:rPr>
          <w:sz w:val="20"/>
        </w:rPr>
        <w:t xml:space="preserve">категории получателей субсидий и критерии оценки, показатели критериев оценки;</w:t>
      </w:r>
    </w:p>
    <w:p>
      <w:pPr>
        <w:pStyle w:val="0"/>
        <w:spacing w:before="200" w:line-rule="auto"/>
        <w:ind w:firstLine="540"/>
        <w:jc w:val="both"/>
      </w:pPr>
      <w:r>
        <w:rPr>
          <w:sz w:val="20"/>
        </w:rPr>
        <w:t xml:space="preserve">порядок подачи претендентами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их возврата,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возврата заявок на доработку;</w:t>
      </w:r>
    </w:p>
    <w:p>
      <w:pPr>
        <w:pStyle w:val="0"/>
        <w:spacing w:before="200" w:line-rule="auto"/>
        <w:ind w:firstLine="540"/>
        <w:jc w:val="both"/>
      </w:pPr>
      <w:r>
        <w:rPr>
          <w:sz w:val="20"/>
        </w:rPr>
        <w:t xml:space="preserve">порядок отклонения заявок, а также информацию об основаниях их отклонения;</w:t>
      </w:r>
    </w:p>
    <w:p>
      <w:pPr>
        <w:pStyle w:val="0"/>
        <w:spacing w:before="200" w:line-rule="auto"/>
        <w:ind w:firstLine="540"/>
        <w:jc w:val="both"/>
      </w:pPr>
      <w:r>
        <w:rPr>
          <w:sz w:val="20"/>
        </w:rPr>
        <w:t xml:space="preserve">порядок оценки заявок, включающий критерии оценки, показатели критериев оценки, и их весовое значение в общей оценке, необходимую для представления претендентом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претендентам для признания их победителями конкурсного отбора, сроки оценки заявок, а также информацию об участии экспертного совета в оценке заявок;</w:t>
      </w:r>
    </w:p>
    <w:p>
      <w:pPr>
        <w:pStyle w:val="0"/>
        <w:spacing w:before="200" w:line-rule="auto"/>
        <w:ind w:firstLine="540"/>
        <w:jc w:val="both"/>
      </w:pPr>
      <w:r>
        <w:rPr>
          <w:sz w:val="20"/>
        </w:rPr>
        <w:t xml:space="preserve">объем распределяемой субсидии в рамках конкурсного отбора, порядок расчета размера субсидии, установленный правовым актом, правила распределения субсидии по результатам конкурсного отбора;</w:t>
      </w:r>
    </w:p>
    <w:p>
      <w:pPr>
        <w:pStyle w:val="0"/>
        <w:spacing w:before="200" w:line-rule="auto"/>
        <w:ind w:firstLine="540"/>
        <w:jc w:val="both"/>
      </w:pPr>
      <w:r>
        <w:rPr>
          <w:sz w:val="20"/>
        </w:rPr>
        <w:t xml:space="preserve">порядок предоставления претендентам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конкурсного отбора должен подписать соглашение;</w:t>
      </w:r>
    </w:p>
    <w:p>
      <w:pPr>
        <w:pStyle w:val="0"/>
        <w:spacing w:before="200" w:line-rule="auto"/>
        <w:ind w:firstLine="540"/>
        <w:jc w:val="both"/>
      </w:pPr>
      <w:r>
        <w:rPr>
          <w:sz w:val="20"/>
        </w:rPr>
        <w:t xml:space="preserve">условия признания победителя (победителей) конкурсного отбора уклонившимся от заключения соглашения;</w:t>
      </w:r>
    </w:p>
    <w:p>
      <w:pPr>
        <w:pStyle w:val="0"/>
        <w:spacing w:before="200" w:line-rule="auto"/>
        <w:ind w:firstLine="540"/>
        <w:jc w:val="both"/>
      </w:pPr>
      <w:r>
        <w:rPr>
          <w:sz w:val="20"/>
        </w:rPr>
        <w:t xml:space="preserve">дату размещения решения экспертного совета о победителях конкурсного отбора (далее - решение экспертного совета) на сайте Комитета, которая не может быть позднее четырнадцатого календарного дня, следующего за днем определения победителей конкурсного отбора (издания распоряжения, указанного в </w:t>
      </w:r>
      <w:hyperlink w:history="0" w:anchor="P157" w:tooltip="3.14. Решение Комитета о предоставлении субсидий получателям субсидий принимается Комитетом в форме распоряжения Комитета в течение пяти рабочих дней со дня получения решения экспертного совета.">
        <w:r>
          <w:rPr>
            <w:sz w:val="20"/>
            <w:color w:val="0000ff"/>
          </w:rPr>
          <w:t xml:space="preserve">пункте 3.14</w:t>
        </w:r>
      </w:hyperlink>
      <w:r>
        <w:rPr>
          <w:sz w:val="20"/>
        </w:rPr>
        <w:t xml:space="preserve"> настоящего Порядка).</w:t>
      </w:r>
    </w:p>
    <w:p>
      <w:pPr>
        <w:pStyle w:val="0"/>
        <w:spacing w:before="200" w:line-rule="auto"/>
        <w:ind w:firstLine="540"/>
        <w:jc w:val="both"/>
      </w:pPr>
      <w:r>
        <w:rPr>
          <w:sz w:val="20"/>
        </w:rPr>
        <w:t xml:space="preserve">Информация о сайте Комитета, на котором размещается объявление о проведении конкурсного отбора, о его отмене и информация о ходе и результатах отбора, публикуется на едином портале бюджетной системы Российской Федерации.</w:t>
      </w:r>
    </w:p>
    <w:p>
      <w:pPr>
        <w:pStyle w:val="0"/>
        <w:spacing w:before="200" w:line-rule="auto"/>
        <w:ind w:firstLine="540"/>
        <w:jc w:val="both"/>
      </w:pPr>
      <w:r>
        <w:rPr>
          <w:sz w:val="20"/>
        </w:rPr>
        <w:t xml:space="preserve">Объявление размещается на сайте Комитета не ранее размещения информации о субсидии на едином портале бюджетной системы Российской Федерации в соответствии с </w:t>
      </w:r>
      <w:hyperlink w:history="0" w:anchor="P70" w:tooltip="1.6. Сведения о субсидиях размещаются на едином портале бюджетной системы Российской Федерации в информационно-телекоммуникационной сети &quot;Интернет&quot; (далее - сеть &quot;Интернет&quot;) в порядке, установленном Министерством финансов Российской Федерации.">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3.2. </w:t>
      </w:r>
      <w:hyperlink w:history="0" w:anchor="P254" w:tooltip="ПЕРЕЧЕНЬ">
        <w:r>
          <w:rPr>
            <w:sz w:val="20"/>
            <w:color w:val="0000ff"/>
          </w:rPr>
          <w:t xml:space="preserve">Перечень</w:t>
        </w:r>
      </w:hyperlink>
      <w:r>
        <w:rPr>
          <w:sz w:val="20"/>
        </w:rPr>
        <w:t xml:space="preserve"> документов и требования к документам установлены в приложении N 1 к настоящему Порядку.</w:t>
      </w:r>
    </w:p>
    <w:p>
      <w:pPr>
        <w:pStyle w:val="0"/>
        <w:spacing w:before="200" w:line-rule="auto"/>
        <w:ind w:firstLine="540"/>
        <w:jc w:val="both"/>
      </w:pPr>
      <w:r>
        <w:rPr>
          <w:sz w:val="20"/>
        </w:rPr>
        <w:t xml:space="preserve">3.3. Претенденты в срок, указанный в объявлении, представляют в Комитет заявки по форме, утвержденной Комитетом, и документы в соответствии с </w:t>
      </w:r>
      <w:hyperlink w:history="0" w:anchor="P254" w:tooltip="ПЕРЕЧЕНЬ">
        <w:r>
          <w:rPr>
            <w:sz w:val="20"/>
            <w:color w:val="0000ff"/>
          </w:rPr>
          <w:t xml:space="preserve">приложением N 1</w:t>
        </w:r>
      </w:hyperlink>
      <w:r>
        <w:rPr>
          <w:sz w:val="20"/>
        </w:rPr>
        <w:t xml:space="preserve"> к настоящему Порядку.</w:t>
      </w:r>
    </w:p>
    <w:p>
      <w:pPr>
        <w:pStyle w:val="0"/>
        <w:spacing w:before="200" w:line-rule="auto"/>
        <w:ind w:firstLine="540"/>
        <w:jc w:val="both"/>
      </w:pPr>
      <w:r>
        <w:rPr>
          <w:sz w:val="20"/>
        </w:rPr>
        <w:t xml:space="preserve">Количество заявок в отношении одного ОКН, представляемых в Комитет претендентом, не ограничено. По каждому виду работ представляется не более одной заявки.</w:t>
      </w:r>
    </w:p>
    <w:p>
      <w:pPr>
        <w:pStyle w:val="0"/>
        <w:spacing w:before="200" w:line-rule="auto"/>
        <w:ind w:firstLine="540"/>
        <w:jc w:val="both"/>
      </w:pPr>
      <w:r>
        <w:rPr>
          <w:sz w:val="20"/>
        </w:rPr>
        <w:t xml:space="preserve">Количество ОКН, в отношении которых претендент представляет в Комитет заявки, не ограничено.</w:t>
      </w:r>
    </w:p>
    <w:p>
      <w:pPr>
        <w:pStyle w:val="0"/>
        <w:spacing w:before="200" w:line-rule="auto"/>
        <w:ind w:firstLine="540"/>
        <w:jc w:val="both"/>
      </w:pPr>
      <w:r>
        <w:rPr>
          <w:sz w:val="20"/>
        </w:rPr>
        <w:t xml:space="preserve">3.4. Комитет рассматривает заявки и документы на соответствие претендента условиям предоставления субсидий и требованиям к претендентам, установленным в </w:t>
      </w:r>
      <w:hyperlink w:history="0" w:anchor="P72" w:tooltip="2. Условия предоставления субсидий">
        <w:r>
          <w:rPr>
            <w:sz w:val="20"/>
            <w:color w:val="0000ff"/>
          </w:rPr>
          <w:t xml:space="preserve">разделе 2</w:t>
        </w:r>
      </w:hyperlink>
      <w:r>
        <w:rPr>
          <w:sz w:val="20"/>
        </w:rPr>
        <w:t xml:space="preserve"> настоящего Порядка, соответствие заявок установленной форме, соответствие документов </w:t>
      </w:r>
      <w:hyperlink w:history="0" w:anchor="P254" w:tooltip="ПЕРЕЧЕНЬ">
        <w:r>
          <w:rPr>
            <w:sz w:val="20"/>
            <w:color w:val="0000ff"/>
          </w:rPr>
          <w:t xml:space="preserve">перечню</w:t>
        </w:r>
      </w:hyperlink>
      <w:r>
        <w:rPr>
          <w:sz w:val="20"/>
        </w:rPr>
        <w:t xml:space="preserve"> документов и требованиям к ним, установленным в приложении N 1 к настоящему Порядку, проверяет достоверность информации, представленной участниками отбора, и принимает решение о допуске претендентов к конкурсному отбору или отклонении заявки и документов претендентов.</w:t>
      </w:r>
    </w:p>
    <w:bookmarkStart w:id="141" w:name="P141"/>
    <w:bookmarkEnd w:id="141"/>
    <w:p>
      <w:pPr>
        <w:pStyle w:val="0"/>
        <w:spacing w:before="200" w:line-rule="auto"/>
        <w:ind w:firstLine="540"/>
        <w:jc w:val="both"/>
      </w:pPr>
      <w:r>
        <w:rPr>
          <w:sz w:val="20"/>
        </w:rPr>
        <w:t xml:space="preserve">3.5. Основаниями для принятия Комитетом решения об отклонении заявок и документов претендентов являются:</w:t>
      </w:r>
    </w:p>
    <w:p>
      <w:pPr>
        <w:pStyle w:val="0"/>
        <w:spacing w:before="200" w:line-rule="auto"/>
        <w:ind w:firstLine="540"/>
        <w:jc w:val="both"/>
      </w:pPr>
      <w:r>
        <w:rPr>
          <w:sz w:val="20"/>
        </w:rPr>
        <w:t xml:space="preserve">установление факта несоответствия претендентов условиям предоставления субсидий и требованиям к претендентам, указанным в </w:t>
      </w:r>
      <w:hyperlink w:history="0" w:anchor="P72" w:tooltip="2. Условия предоставления субсидий">
        <w:r>
          <w:rPr>
            <w:sz w:val="20"/>
            <w:color w:val="0000ff"/>
          </w:rPr>
          <w:t xml:space="preserve">разделе 2</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непредставления (представления не в полном объеме) заявок и документов, несоответствие заявок установленной Комитетом форме или несоответствие заявки и документов требованиям, установленным в </w:t>
      </w:r>
      <w:hyperlink w:history="0" w:anchor="P254" w:tooltip="ПЕРЕЧЕНЬ">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установление факта недостоверности информации, представленной претендентами в целях подтверждения соответствия установленным </w:t>
      </w:r>
      <w:hyperlink w:history="0" w:anchor="P72" w:tooltip="2. Условия предоставления субсидий">
        <w:r>
          <w:rPr>
            <w:sz w:val="20"/>
            <w:color w:val="0000ff"/>
          </w:rPr>
          <w:t xml:space="preserve">разделом 2</w:t>
        </w:r>
      </w:hyperlink>
      <w:r>
        <w:rPr>
          <w:sz w:val="20"/>
        </w:rPr>
        <w:t xml:space="preserve"> настоящего Порядка требованиям;</w:t>
      </w:r>
    </w:p>
    <w:p>
      <w:pPr>
        <w:pStyle w:val="0"/>
        <w:spacing w:before="200" w:line-rule="auto"/>
        <w:ind w:firstLine="540"/>
        <w:jc w:val="both"/>
      </w:pPr>
      <w:r>
        <w:rPr>
          <w:sz w:val="20"/>
        </w:rPr>
        <w:t xml:space="preserve">подача претендентами заявок после даты и(или) времени, определенных для подачи заявок в соответствии с </w:t>
      </w:r>
      <w:hyperlink w:history="0" w:anchor="P115" w:tooltip="3.1. Комитет в установленные им сроки обеспечивает опубликование на веб-странице Комитета на официальном сайте Администрации Санкт-Петербурга (www.gov.spb.ru) в разделе &quot;Сведения о бюджете&quot;, а также на официальном сайте Комитета в сети &quot;Интернет&quot; (www.kgiop.ru) (далее совместно - сайт Комитета) объявления о проведении конкурсного отбора (далее - объявление), в котором указывает:">
        <w:r>
          <w:rPr>
            <w:sz w:val="20"/>
            <w:color w:val="0000ff"/>
          </w:rPr>
          <w:t xml:space="preserve">пунктом 3.1</w:t>
        </w:r>
      </w:hyperlink>
      <w:r>
        <w:rPr>
          <w:sz w:val="20"/>
        </w:rPr>
        <w:t xml:space="preserve"> настоящего Порядка.</w:t>
      </w:r>
    </w:p>
    <w:bookmarkStart w:id="146" w:name="P146"/>
    <w:bookmarkEnd w:id="146"/>
    <w:p>
      <w:pPr>
        <w:pStyle w:val="0"/>
        <w:spacing w:before="200" w:line-rule="auto"/>
        <w:ind w:firstLine="540"/>
        <w:jc w:val="both"/>
      </w:pPr>
      <w:r>
        <w:rPr>
          <w:sz w:val="20"/>
        </w:rPr>
        <w:t xml:space="preserve">3.6. Решение об отклонении заявок и документов претендентов принимается в форме уведомления за подписью председателя Комитета либо лица, его замещающего, с указанием оснований отклонения заявок и документов и направляется почтовым (электронным) отправлением или вручается претендентам под подпись.</w:t>
      </w:r>
    </w:p>
    <w:p>
      <w:pPr>
        <w:pStyle w:val="0"/>
        <w:spacing w:before="200" w:line-rule="auto"/>
        <w:ind w:firstLine="540"/>
        <w:jc w:val="both"/>
      </w:pPr>
      <w:r>
        <w:rPr>
          <w:sz w:val="20"/>
        </w:rPr>
        <w:t xml:space="preserve">3.7. В случае доработки претендентом документов и(или) устранения замечаний, указанных в данном уведомлении, претендент вправе повторно обратиться в Комитет в сроки представления заявок.</w:t>
      </w:r>
    </w:p>
    <w:p>
      <w:pPr>
        <w:pStyle w:val="0"/>
        <w:spacing w:before="200" w:line-rule="auto"/>
        <w:ind w:firstLine="540"/>
        <w:jc w:val="both"/>
      </w:pPr>
      <w:r>
        <w:rPr>
          <w:sz w:val="20"/>
        </w:rPr>
        <w:t xml:space="preserve">3.8. Если по окончании срока подачи заявок не зарегистрировано ни одной заявки либо все заявки отозваны или отклонены, либо все претенденты не допущены к конкурсному отбору, конкурсный отбор признается несостоявшимся.</w:t>
      </w:r>
    </w:p>
    <w:p>
      <w:pPr>
        <w:pStyle w:val="0"/>
        <w:spacing w:before="200" w:line-rule="auto"/>
        <w:ind w:firstLine="540"/>
        <w:jc w:val="both"/>
      </w:pPr>
      <w:r>
        <w:rPr>
          <w:sz w:val="20"/>
        </w:rPr>
        <w:t xml:space="preserve">Информация о признании конкурсного отбора несостоявшимся размещается на сайте Комитета.</w:t>
      </w:r>
    </w:p>
    <w:p>
      <w:pPr>
        <w:pStyle w:val="0"/>
        <w:spacing w:before="200" w:line-rule="auto"/>
        <w:ind w:firstLine="540"/>
        <w:jc w:val="both"/>
      </w:pPr>
      <w:r>
        <w:rPr>
          <w:sz w:val="20"/>
        </w:rPr>
        <w:t xml:space="preserve">3.9. В случае уменьшения лимитов бюджетных обязательств, ранее доведенных Комитету на предоставление субсидий, приводящего к невозможности проведения конкурсного отбора, Комитет принимает решение об отмене проведения конкурсного отбора.</w:t>
      </w:r>
    </w:p>
    <w:p>
      <w:pPr>
        <w:pStyle w:val="0"/>
        <w:spacing w:before="200" w:line-rule="auto"/>
        <w:ind w:firstLine="540"/>
        <w:jc w:val="both"/>
      </w:pPr>
      <w:r>
        <w:rPr>
          <w:sz w:val="20"/>
        </w:rPr>
        <w:t xml:space="preserve">Объявление об отмене проведения конкурсного отбора размещается на сайте Комитета в течение трех рабочих дней после принятия Комитетом решения об отмене проведения конкурсного отбора.</w:t>
      </w:r>
    </w:p>
    <w:p>
      <w:pPr>
        <w:pStyle w:val="0"/>
        <w:spacing w:before="200" w:line-rule="auto"/>
        <w:ind w:firstLine="540"/>
        <w:jc w:val="both"/>
      </w:pPr>
      <w:r>
        <w:rPr>
          <w:sz w:val="20"/>
        </w:rPr>
        <w:t xml:space="preserve">3.10. Если по окончании срока подачи заявок представлена одна заявка, Комитет и экспертный совет рассматривают одну представленную для участия в конкурсном отборе заявку.</w:t>
      </w:r>
    </w:p>
    <w:p>
      <w:pPr>
        <w:pStyle w:val="0"/>
        <w:spacing w:before="200" w:line-rule="auto"/>
        <w:ind w:firstLine="540"/>
        <w:jc w:val="both"/>
      </w:pPr>
      <w:r>
        <w:rPr>
          <w:sz w:val="20"/>
        </w:rPr>
        <w:t xml:space="preserve">3.11. Комитет и экспертный совет рассматривают заявки и документы претендентов в соответствии с порядком и сроками рассмотрения заявок и документов, которые утверждаются Комитетом.</w:t>
      </w:r>
    </w:p>
    <w:p>
      <w:pPr>
        <w:pStyle w:val="0"/>
        <w:spacing w:before="200" w:line-rule="auto"/>
        <w:ind w:firstLine="540"/>
        <w:jc w:val="both"/>
      </w:pPr>
      <w:r>
        <w:rPr>
          <w:sz w:val="20"/>
        </w:rPr>
        <w:t xml:space="preserve">3.12. Конкурсный отбор проводит экспертный совет. Положение об экспертном совете и его состав утверждаются Комитетом. </w:t>
      </w:r>
      <w:hyperlink w:history="0" w:anchor="P356" w:tooltip="ПОРЯДОК">
        <w:r>
          <w:rPr>
            <w:sz w:val="20"/>
            <w:color w:val="0000ff"/>
          </w:rPr>
          <w:t xml:space="preserve">Порядок</w:t>
        </w:r>
      </w:hyperlink>
      <w:r>
        <w:rPr>
          <w:sz w:val="20"/>
        </w:rPr>
        <w:t xml:space="preserve"> проведения конкурсного отбора установлен в приложении N 2 к настоящему Порядку.</w:t>
      </w:r>
    </w:p>
    <w:p>
      <w:pPr>
        <w:pStyle w:val="0"/>
        <w:spacing w:before="200" w:line-rule="auto"/>
        <w:ind w:firstLine="540"/>
        <w:jc w:val="both"/>
      </w:pPr>
      <w:r>
        <w:rPr>
          <w:sz w:val="20"/>
        </w:rPr>
        <w:t xml:space="preserve">Порядок проведения конкурсного отбора в части, не урегулированной настоящим Порядком, в том числе порядок отзыва заявок, порядок их возврата, определяющий в том числе основания для возврата заявок, порядок внесения изменений в заявки, порядок возврата заявок на доработку, порядок предоставления претендентам разъяснений положений объявления о проведении конкурсного отбора, даты начала и окончания срока такого предоставления, утверждается Комитетом.</w:t>
      </w:r>
    </w:p>
    <w:p>
      <w:pPr>
        <w:pStyle w:val="0"/>
        <w:spacing w:before="200" w:line-rule="auto"/>
        <w:ind w:firstLine="540"/>
        <w:jc w:val="both"/>
      </w:pPr>
      <w:r>
        <w:rPr>
          <w:sz w:val="20"/>
        </w:rPr>
        <w:t xml:space="preserve">3.13. По результатам конкурсного отбора экспертный совет формирует решение экспертного совета.</w:t>
      </w:r>
    </w:p>
    <w:bookmarkStart w:id="157" w:name="P157"/>
    <w:bookmarkEnd w:id="157"/>
    <w:p>
      <w:pPr>
        <w:pStyle w:val="0"/>
        <w:spacing w:before="200" w:line-rule="auto"/>
        <w:ind w:firstLine="540"/>
        <w:jc w:val="both"/>
      </w:pPr>
      <w:r>
        <w:rPr>
          <w:sz w:val="20"/>
        </w:rPr>
        <w:t xml:space="preserve">3.14. Решение Комитета о предоставлении субсидий получателям субсидий принимается Комитетом в форме распоряжения Комитета в течение пяти рабочих дней со дня получения решения экспертного совета.</w:t>
      </w:r>
    </w:p>
    <w:p>
      <w:pPr>
        <w:pStyle w:val="0"/>
        <w:spacing w:before="200" w:line-rule="auto"/>
        <w:ind w:firstLine="540"/>
        <w:jc w:val="both"/>
      </w:pPr>
      <w:r>
        <w:rPr>
          <w:sz w:val="20"/>
        </w:rPr>
        <w:t xml:space="preserve">3.15. Решение экспертного совета не позднее четырнадцатого календарного дня, следующего за днем издания распоряжения Комитета, указанного в </w:t>
      </w:r>
      <w:hyperlink w:history="0" w:anchor="P157" w:tooltip="3.14. Решение Комитета о предоставлении субсидий получателям субсидий принимается Комитетом в форме распоряжения Комитета в течение пяти рабочих дней со дня получения решения экспертного совета.">
        <w:r>
          <w:rPr>
            <w:sz w:val="20"/>
            <w:color w:val="0000ff"/>
          </w:rPr>
          <w:t xml:space="preserve">пункте 3.14</w:t>
        </w:r>
      </w:hyperlink>
      <w:r>
        <w:rPr>
          <w:sz w:val="20"/>
        </w:rPr>
        <w:t xml:space="preserve"> настоящего Порядка, размещается на сайте Комитета и включает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 претендентах, заявки которых были рассмотрены;</w:t>
      </w:r>
    </w:p>
    <w:p>
      <w:pPr>
        <w:pStyle w:val="0"/>
        <w:spacing w:before="200" w:line-rule="auto"/>
        <w:ind w:firstLine="540"/>
        <w:jc w:val="both"/>
      </w:pPr>
      <w:r>
        <w:rPr>
          <w:sz w:val="20"/>
        </w:rPr>
        <w:t xml:space="preserve">информацию о претендентах,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субсидий, с которыми будут заключаться соглашения, и размеры предоставляемых субсидий.</w:t>
      </w:r>
    </w:p>
    <w:bookmarkStart w:id="165" w:name="P165"/>
    <w:bookmarkEnd w:id="165"/>
    <w:p>
      <w:pPr>
        <w:pStyle w:val="0"/>
        <w:spacing w:before="200" w:line-rule="auto"/>
        <w:ind w:firstLine="540"/>
        <w:jc w:val="both"/>
      </w:pPr>
      <w:r>
        <w:rPr>
          <w:sz w:val="20"/>
        </w:rPr>
        <w:t xml:space="preserve">3.16. Результатом предоставления субсидий (далее - результат) является надлежащее выполнение работ по сохранению ОКН согласно заявке в соответствии с требованиями </w:t>
      </w:r>
      <w:hyperlink w:history="0" r:id="rId30"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7.04.2024) {КонсультантПлюс}">
        <w:r>
          <w:rPr>
            <w:sz w:val="20"/>
            <w:color w:val="0000ff"/>
          </w:rPr>
          <w:t xml:space="preserve">статьи 45</w:t>
        </w:r>
      </w:hyperlink>
      <w:r>
        <w:rPr>
          <w:sz w:val="20"/>
        </w:rPr>
        <w:t xml:space="preserve"> Федерального закона "Об объектах культурного наследия (памятниках истории и культуры) народов Российской Федерации" в сроки, установленные соглашением.</w:t>
      </w:r>
    </w:p>
    <w:p>
      <w:pPr>
        <w:pStyle w:val="0"/>
        <w:spacing w:before="200" w:line-rule="auto"/>
        <w:ind w:firstLine="540"/>
        <w:jc w:val="both"/>
      </w:pPr>
      <w:r>
        <w:rPr>
          <w:sz w:val="20"/>
        </w:rPr>
        <w:t xml:space="preserve">Типом результата предоставления субсидии в соответствии с </w:t>
      </w:r>
      <w:hyperlink w:history="0" r:id="rId31"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является "Благоустройство территории, ремонт объектов недвижимого имущества".</w:t>
      </w:r>
    </w:p>
    <w:p>
      <w:pPr>
        <w:pStyle w:val="0"/>
        <w:spacing w:before="200" w:line-rule="auto"/>
        <w:ind w:firstLine="540"/>
        <w:jc w:val="both"/>
      </w:pPr>
      <w:r>
        <w:rPr>
          <w:sz w:val="20"/>
        </w:rPr>
        <w:t xml:space="preserve">Характеристикой результата является наличие актов приемки выполненных работ по сохранению ОКН, оформленных в </w:t>
      </w:r>
      <w:hyperlink w:history="0" r:id="rId32"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порядке</w:t>
        </w:r>
      </w:hyperlink>
      <w:r>
        <w:rPr>
          <w:sz w:val="20"/>
        </w:rPr>
        <w:t xml:space="preserve">, установленном приказом Минкультуры России от 25.06.2015 N 1840, оформленных в сроки, установленные соглашением.</w:t>
      </w:r>
    </w:p>
    <w:p>
      <w:pPr>
        <w:pStyle w:val="0"/>
        <w:spacing w:before="200" w:line-rule="auto"/>
        <w:ind w:firstLine="540"/>
        <w:jc w:val="both"/>
      </w:pPr>
      <w:r>
        <w:rPr>
          <w:sz w:val="20"/>
        </w:rPr>
        <w:t xml:space="preserve">Значения характеристики результата в части определения видов работ по сохранению ОКН, по которым подлежат оформлению акты приемки выполненных работ по сохранению объекта культурного наследия, устанавливаются в соглашении.</w:t>
      </w:r>
    </w:p>
    <w:p>
      <w:pPr>
        <w:pStyle w:val="0"/>
        <w:ind w:firstLine="540"/>
        <w:jc w:val="both"/>
      </w:pPr>
      <w:r>
        <w:rPr>
          <w:sz w:val="20"/>
        </w:rPr>
      </w:r>
    </w:p>
    <w:p>
      <w:pPr>
        <w:pStyle w:val="2"/>
        <w:outlineLvl w:val="1"/>
        <w:jc w:val="center"/>
      </w:pPr>
      <w:r>
        <w:rPr>
          <w:sz w:val="20"/>
        </w:rPr>
        <w:t xml:space="preserve">4. Порядок предоставления субсидий</w:t>
      </w:r>
    </w:p>
    <w:p>
      <w:pPr>
        <w:pStyle w:val="0"/>
        <w:ind w:firstLine="540"/>
        <w:jc w:val="both"/>
      </w:pPr>
      <w:r>
        <w:rPr>
          <w:sz w:val="20"/>
        </w:rPr>
      </w:r>
    </w:p>
    <w:p>
      <w:pPr>
        <w:pStyle w:val="0"/>
        <w:ind w:firstLine="540"/>
        <w:jc w:val="both"/>
      </w:pPr>
      <w:r>
        <w:rPr>
          <w:sz w:val="20"/>
        </w:rPr>
        <w:t xml:space="preserve">4.1. Субсидии предоставляются победителям конкурсного отбора в пределах средств, предусмотренных </w:t>
      </w:r>
      <w:hyperlink w:history="0" r:id="rId33"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N 714-144 Комитету на финансовое обеспечение затрат в соответствии с направлениями затрат, установленными в </w:t>
      </w:r>
      <w:hyperlink w:history="0" w:anchor="P75" w:tooltip="2.1. Соответствие затрат, источником финансового обеспечения которых являются субсидии, следующим направлениям:">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4.2. Субсидии предоставляются на основании соглашений. Соглашения, дополнительные соглашения к соглашению, в том числе дополнительное соглашение о расторжении соглашения (при необходимости), оформляются в соответствии с типовой формой соглашения, утвержденной Комитетом финансов Санкт-Петербурга.</w:t>
      </w:r>
    </w:p>
    <w:p>
      <w:pPr>
        <w:pStyle w:val="0"/>
        <w:spacing w:before="200" w:line-rule="auto"/>
        <w:ind w:firstLine="540"/>
        <w:jc w:val="both"/>
      </w:pPr>
      <w:r>
        <w:rPr>
          <w:sz w:val="20"/>
        </w:rPr>
        <w:t xml:space="preserve">Соглашения формируются в электронном виде в Автоматизированной системе бюджетного процесса - электронном казначействе.</w:t>
      </w:r>
    </w:p>
    <w:p>
      <w:pPr>
        <w:pStyle w:val="0"/>
        <w:spacing w:before="200" w:line-rule="auto"/>
        <w:ind w:firstLine="540"/>
        <w:jc w:val="both"/>
      </w:pPr>
      <w:r>
        <w:rPr>
          <w:sz w:val="20"/>
        </w:rPr>
        <w:t xml:space="preserve">4.3. В соглашения включаются положения о наличии согласия получателя субсидий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проверок, а также проверок органами государственного финансового контроля в соответствии со </w:t>
      </w:r>
      <w:hyperlink w:history="0" r:id="rId3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Санкт-Петербурга.</w:t>
      </w:r>
    </w:p>
    <w:p>
      <w:pPr>
        <w:pStyle w:val="0"/>
        <w:spacing w:before="200" w:line-rule="auto"/>
        <w:ind w:firstLine="540"/>
        <w:jc w:val="both"/>
      </w:pPr>
      <w:r>
        <w:rPr>
          <w:sz w:val="20"/>
        </w:rPr>
        <w:t xml:space="preserve">4.4.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соглашениях, Комитет в течение десяти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w:t>
      </w:r>
    </w:p>
    <w:p>
      <w:pPr>
        <w:pStyle w:val="0"/>
        <w:spacing w:before="200" w:line-rule="auto"/>
        <w:ind w:firstLine="540"/>
        <w:jc w:val="both"/>
      </w:pPr>
      <w:r>
        <w:rPr>
          <w:sz w:val="20"/>
        </w:rPr>
        <w:t xml:space="preserve">Получатели субсидий подписывают дополнительные соглашения и направляют их в Комитет в течение трех рабочих дней со дня их получения.</w:t>
      </w:r>
    </w:p>
    <w:p>
      <w:pPr>
        <w:pStyle w:val="0"/>
        <w:spacing w:before="200" w:line-rule="auto"/>
        <w:ind w:firstLine="540"/>
        <w:jc w:val="both"/>
      </w:pPr>
      <w:r>
        <w:rPr>
          <w:sz w:val="20"/>
        </w:rPr>
        <w:t xml:space="preserve">В случае неподписания получателями субсидий дополнительных соглашений в установленный срок соглашения подлежат расторжению.</w:t>
      </w:r>
    </w:p>
    <w:p>
      <w:pPr>
        <w:pStyle w:val="0"/>
        <w:spacing w:before="200" w:line-rule="auto"/>
        <w:ind w:firstLine="540"/>
        <w:jc w:val="both"/>
      </w:pPr>
      <w:r>
        <w:rPr>
          <w:sz w:val="20"/>
        </w:rPr>
        <w:t xml:space="preserve">4.5. Срок со дня окончания приема заявок и документов до дня заключения соглашения не должен превышать 90 рабочих дней.</w:t>
      </w:r>
    </w:p>
    <w:p>
      <w:pPr>
        <w:pStyle w:val="0"/>
        <w:spacing w:before="200" w:line-rule="auto"/>
        <w:ind w:firstLine="540"/>
        <w:jc w:val="both"/>
      </w:pPr>
      <w:r>
        <w:rPr>
          <w:sz w:val="20"/>
        </w:rPr>
        <w:t xml:space="preserve">4.6. Соглашения подготавливаются Комитетом и направляются получателям субсидий не позднее десяти рабочих дней с даты издания распоряжения Комитета, указанного в </w:t>
      </w:r>
      <w:hyperlink w:history="0" w:anchor="P157" w:tooltip="3.14. Решение Комитета о предоставлении субсидий получателям субсидий принимается Комитетом в форме распоряжения Комитета в течение пяти рабочих дней со дня получения решения экспертного совета.">
        <w:r>
          <w:rPr>
            <w:sz w:val="20"/>
            <w:color w:val="0000ff"/>
          </w:rPr>
          <w:t xml:space="preserve">пункте 3.14</w:t>
        </w:r>
      </w:hyperlink>
      <w:r>
        <w:rPr>
          <w:sz w:val="20"/>
        </w:rPr>
        <w:t xml:space="preserve"> настоящего Порядка.</w:t>
      </w:r>
    </w:p>
    <w:bookmarkStart w:id="183" w:name="P183"/>
    <w:bookmarkEnd w:id="183"/>
    <w:p>
      <w:pPr>
        <w:pStyle w:val="0"/>
        <w:spacing w:before="200" w:line-rule="auto"/>
        <w:ind w:firstLine="540"/>
        <w:jc w:val="both"/>
      </w:pPr>
      <w:r>
        <w:rPr>
          <w:sz w:val="20"/>
        </w:rPr>
        <w:t xml:space="preserve">4.7. Получатели субсидий в течение двух рабочих дней после получения соглашения осуществляют его подписание.</w:t>
      </w:r>
    </w:p>
    <w:p>
      <w:pPr>
        <w:pStyle w:val="0"/>
        <w:spacing w:before="200" w:line-rule="auto"/>
        <w:ind w:firstLine="540"/>
        <w:jc w:val="both"/>
      </w:pPr>
      <w:r>
        <w:rPr>
          <w:sz w:val="20"/>
        </w:rPr>
        <w:t xml:space="preserve">В случае неподписания получателем субсидии соглашения в срок, указанный в </w:t>
      </w:r>
      <w:hyperlink w:history="0" w:anchor="P183" w:tooltip="4.7. Получатели субсидий в течение двух рабочих дней после получения соглашения осуществляют его подписание.">
        <w:r>
          <w:rPr>
            <w:sz w:val="20"/>
            <w:color w:val="0000ff"/>
          </w:rPr>
          <w:t xml:space="preserve">абзаце первом</w:t>
        </w:r>
      </w:hyperlink>
      <w:r>
        <w:rPr>
          <w:sz w:val="20"/>
        </w:rPr>
        <w:t xml:space="preserve"> настоящего пункта, получатель субсидии признается уклонившимся от заключения соглашения.</w:t>
      </w:r>
    </w:p>
    <w:p>
      <w:pPr>
        <w:pStyle w:val="0"/>
        <w:spacing w:before="200" w:line-rule="auto"/>
        <w:ind w:firstLine="540"/>
        <w:jc w:val="both"/>
      </w:pPr>
      <w:r>
        <w:rPr>
          <w:sz w:val="20"/>
        </w:rPr>
        <w:t xml:space="preserve">4.8. Комитет в течение трех рабочих дней организует подписание соглашений председателем Комитета либо лицом, его замещающим, регистрирует соглашения и ведет их учет.</w:t>
      </w:r>
    </w:p>
    <w:p>
      <w:pPr>
        <w:pStyle w:val="0"/>
        <w:spacing w:before="200" w:line-rule="auto"/>
        <w:ind w:firstLine="540"/>
        <w:jc w:val="both"/>
      </w:pPr>
      <w:r>
        <w:rPr>
          <w:sz w:val="20"/>
        </w:rPr>
        <w:t xml:space="preserve">4.9. Перечисление субсидий осуществляется Комитетом в течение семи рабочих дней после заключения соглашения единовременно в полном объеме на расчетные счета получателей субсидий в российских кредитных организациях, указанные в соглашении, за исключением случаев, когда средства субсидий подлежат казначейскому сопровождению в соответствии с бюджетным законодательством.</w:t>
      </w:r>
    </w:p>
    <w:p>
      <w:pPr>
        <w:pStyle w:val="0"/>
        <w:spacing w:before="200" w:line-rule="auto"/>
        <w:ind w:firstLine="540"/>
        <w:jc w:val="both"/>
      </w:pPr>
      <w:r>
        <w:rPr>
          <w:sz w:val="20"/>
        </w:rPr>
        <w:t xml:space="preserve">В случае если средства субсидий подлежат казначейскому сопровождению в соответствии с бюджетным законодательством, перечисление указанных субсидий осуществляется 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В этом случае в соглашение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4.10. В соглашение также включаются следующие положения:</w:t>
      </w:r>
    </w:p>
    <w:p>
      <w:pPr>
        <w:pStyle w:val="0"/>
        <w:spacing w:before="200" w:line-rule="auto"/>
        <w:ind w:firstLine="540"/>
        <w:jc w:val="both"/>
      </w:pPr>
      <w:r>
        <w:rPr>
          <w:sz w:val="20"/>
        </w:rPr>
        <w:t xml:space="preserve">получатель субсидии принимает на себя обязательство сохранить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36"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а также характеристики результата,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условии отсутствия такого соглашения - минимальной заработной платы в Санкт-Петербурге, установленной соглашением, действовавшим на 31 декабря предшествовавшего календарного года;</w:t>
      </w:r>
    </w:p>
    <w:bookmarkStart w:id="191" w:name="P191"/>
    <w:bookmarkEnd w:id="191"/>
    <w:p>
      <w:pPr>
        <w:pStyle w:val="0"/>
        <w:spacing w:before="200" w:line-rule="auto"/>
        <w:ind w:firstLine="540"/>
        <w:jc w:val="both"/>
      </w:pPr>
      <w:r>
        <w:rPr>
          <w:sz w:val="20"/>
        </w:rPr>
        <w:t xml:space="preserve">получатель субсидии в течение пяти рабочих дней с даты регистрации соглашения Комитетом представляет в Комитет справку, оформленную в свободной форме и подписанную руководителем получателя субсидии и заверенную его печатью (при наличии), о том, что на дату регистрации соглашения на едином налоговом счете получателя субсидии отсутствует или не превышает размер, определенный </w:t>
      </w:r>
      <w:hyperlink w:history="0" r:id="rId3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192" w:name="P192"/>
    <w:bookmarkEnd w:id="192"/>
    <w:p>
      <w:pPr>
        <w:pStyle w:val="0"/>
        <w:spacing w:before="200" w:line-rule="auto"/>
        <w:ind w:firstLine="540"/>
        <w:jc w:val="both"/>
      </w:pPr>
      <w:r>
        <w:rPr>
          <w:sz w:val="20"/>
        </w:rPr>
        <w:t xml:space="preserve">получатель субсидии в течение пяти рабочих дней с даты регистрации соглашения Комитетом представляет в Комитет справку, оформленную в свободной форме и подписанную руководителем получателя субсидии и заверенную его печатью (при наличии), о том, что на дату регистрации соглашения у получателя субсидии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4.11. Основаниями для отказа в предоставлении (перечислении) субсидий являются:</w:t>
      </w:r>
    </w:p>
    <w:p>
      <w:pPr>
        <w:pStyle w:val="0"/>
        <w:spacing w:before="200" w:line-rule="auto"/>
        <w:ind w:firstLine="540"/>
        <w:jc w:val="both"/>
      </w:pPr>
      <w:r>
        <w:rPr>
          <w:sz w:val="20"/>
        </w:rPr>
        <w:t xml:space="preserve">отклонение Комитетом заявок и документов претендентов в соответствии с </w:t>
      </w:r>
      <w:hyperlink w:history="0" w:anchor="P141" w:tooltip="3.5. Основаниями для принятия Комитетом решения об отклонении заявок и документов претендентов являются:">
        <w:r>
          <w:rPr>
            <w:sz w:val="20"/>
            <w:color w:val="0000ff"/>
          </w:rPr>
          <w:t xml:space="preserve">пунктами 3.5</w:t>
        </w:r>
      </w:hyperlink>
      <w:r>
        <w:rPr>
          <w:sz w:val="20"/>
        </w:rPr>
        <w:t xml:space="preserve"> и </w:t>
      </w:r>
      <w:hyperlink w:history="0" w:anchor="P146" w:tooltip="3.6. Решение об отклонении заявок и документов претендентов принимается в форме уведомления за подписью председателя Комитета либо лица, его замещающего, с указанием оснований отклонения заявок и документов и направляется почтовым (электронным) отправлением или вручается претендентам под подпись.">
        <w:r>
          <w:rPr>
            <w:sz w:val="20"/>
            <w:color w:val="0000ff"/>
          </w:rPr>
          <w:t xml:space="preserve">3.6</w:t>
        </w:r>
      </w:hyperlink>
      <w:r>
        <w:rPr>
          <w:sz w:val="20"/>
        </w:rPr>
        <w:t xml:space="preserve"> настоящего Порядка в случае, если заявки и документы повторно не направлялись в Комитет в сроки представления заявок;</w:t>
      </w:r>
    </w:p>
    <w:p>
      <w:pPr>
        <w:pStyle w:val="0"/>
        <w:spacing w:before="200" w:line-rule="auto"/>
        <w:ind w:firstLine="540"/>
        <w:jc w:val="both"/>
      </w:pPr>
      <w:r>
        <w:rPr>
          <w:sz w:val="20"/>
        </w:rPr>
        <w:t xml:space="preserve">непризнание претендентов победителями конкурсного отбора;</w:t>
      </w:r>
    </w:p>
    <w:p>
      <w:pPr>
        <w:pStyle w:val="0"/>
        <w:spacing w:before="200" w:line-rule="auto"/>
        <w:ind w:firstLine="540"/>
        <w:jc w:val="both"/>
      </w:pPr>
      <w:r>
        <w:rPr>
          <w:sz w:val="20"/>
        </w:rPr>
        <w:t xml:space="preserve">неподписание соглашения победителями конкурсного отбора в установленный срок;</w:t>
      </w:r>
    </w:p>
    <w:p>
      <w:pPr>
        <w:pStyle w:val="0"/>
        <w:spacing w:before="200" w:line-rule="auto"/>
        <w:ind w:firstLine="540"/>
        <w:jc w:val="both"/>
      </w:pPr>
      <w:r>
        <w:rPr>
          <w:sz w:val="20"/>
        </w:rPr>
        <w:t xml:space="preserve">отсутствие у Комитета бюджетных ассигнований и(или) лимитов бюджетных обязательств на предоставление субсидий на дату перечисления субсидий получателям субсидий;</w:t>
      </w:r>
    </w:p>
    <w:p>
      <w:pPr>
        <w:pStyle w:val="0"/>
        <w:spacing w:before="200" w:line-rule="auto"/>
        <w:ind w:firstLine="540"/>
        <w:jc w:val="both"/>
      </w:pPr>
      <w:r>
        <w:rPr>
          <w:sz w:val="20"/>
        </w:rPr>
        <w:t xml:space="preserve">непредставление победителем конкурсного отбора в течение пяти рабочих дней с даты регистрации соглашения Комитетом справок, указанных в </w:t>
      </w:r>
      <w:hyperlink w:history="0" w:anchor="P191" w:tooltip="получатель субсидии в течение пяти рабочих дней с даты регистрации соглашения Комитетом представляет в Комитет справку, оформленную в свободной форме и подписанную руководителем получателя субсидии и заверенную его печатью (при наличии), о том, что на дату регистрации соглашения на едином налоговом счете получателя субсидии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
        <w:r>
          <w:rPr>
            <w:sz w:val="20"/>
            <w:color w:val="0000ff"/>
          </w:rPr>
          <w:t xml:space="preserve">абзацах третьем</w:t>
        </w:r>
      </w:hyperlink>
      <w:r>
        <w:rPr>
          <w:sz w:val="20"/>
        </w:rPr>
        <w:t xml:space="preserve"> и </w:t>
      </w:r>
      <w:hyperlink w:history="0" w:anchor="P192" w:tooltip="получатель субсидии в течение пяти рабочих дней с даты регистрации соглашения Комитетом представляет в Комитет справку, оформленную в свободной форме и подписанную руководителем получателя субсидии и заверенную его печатью (при наличии), о том, что на дату регистрации соглашения у получателя субсидии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
        <w:r>
          <w:rPr>
            <w:sz w:val="20"/>
            <w:color w:val="0000ff"/>
          </w:rPr>
          <w:t xml:space="preserve">четвертом пункта 4.10</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4.12. Неподписание соглашений победителями конкурсного отбора в установленный срок или мотивированный отказ победителей конкурсного отбора от подписания соглашений не является основанием для пересмотра решения, принятого экспертным советом в отношении иных победителей конкурсного отбора, и сумм выделяемых им субсидий.</w:t>
      </w:r>
    </w:p>
    <w:bookmarkStart w:id="201" w:name="P201"/>
    <w:bookmarkEnd w:id="201"/>
    <w:p>
      <w:pPr>
        <w:pStyle w:val="0"/>
        <w:spacing w:before="200" w:line-rule="auto"/>
        <w:ind w:firstLine="540"/>
        <w:jc w:val="both"/>
      </w:pPr>
      <w:r>
        <w:rPr>
          <w:sz w:val="20"/>
        </w:rPr>
        <w:t xml:space="preserve">4.13. В случае возникновения по не зависящим от получателя субсидий причинам при проведении работ по сохранению ОКН, а именно необходимости проведения дополнительных работ, в связи с которыми требуется корректировка проектной документации на проведение указанных работ, обстоятельств, которые могут привести к невозможности достижения значений результата в сроки, определенные соглашением, Комитет по согласованию с Комитетом государственного финансового контроля Санкт-Петербурга (далее - КГФК) и получателем субсидий принимает решение о внесении изменений в соглашение в части продления сроков достижения результата (но не более чем на 6 месяцев) без изменения размера субсидий.</w:t>
      </w:r>
    </w:p>
    <w:p>
      <w:pPr>
        <w:pStyle w:val="0"/>
        <w:spacing w:before="200" w:line-rule="auto"/>
        <w:ind w:firstLine="540"/>
        <w:jc w:val="both"/>
      </w:pPr>
      <w:r>
        <w:rPr>
          <w:sz w:val="20"/>
        </w:rPr>
        <w:t xml:space="preserve">Указанные изменения оформляются дополнительным соглашением к соглашению.</w:t>
      </w:r>
    </w:p>
    <w:bookmarkStart w:id="203" w:name="P203"/>
    <w:bookmarkEnd w:id="203"/>
    <w:p>
      <w:pPr>
        <w:pStyle w:val="0"/>
        <w:spacing w:before="200" w:line-rule="auto"/>
        <w:ind w:firstLine="540"/>
        <w:jc w:val="both"/>
      </w:pPr>
      <w:r>
        <w:rPr>
          <w:sz w:val="20"/>
        </w:rPr>
        <w:t xml:space="preserve">Осуществление расходов, источником финансового обеспечения которых является не использованный в отчетном финансовом году остаток субсидий, осуществляется на основании решения Комитета о наличии потребности в остатках субсидии, принятого в соответствии с порядком, установленным Правительством Санкт-Петербурга.</w:t>
      </w:r>
    </w:p>
    <w:p>
      <w:pPr>
        <w:pStyle w:val="0"/>
        <w:spacing w:before="200" w:line-rule="auto"/>
        <w:ind w:firstLine="540"/>
        <w:jc w:val="both"/>
      </w:pPr>
      <w:r>
        <w:rPr>
          <w:sz w:val="20"/>
        </w:rPr>
        <w:t xml:space="preserve">В соглашение подлежит включение условия о возможности осуществления расходов, источником финансового обеспечения которых является не использованный в 2024 году остаток субсидии, при принятии Комитетом решения, указанного в </w:t>
      </w:r>
      <w:hyperlink w:history="0" w:anchor="P203" w:tooltip="Осуществление расходов, источником финансового обеспечения которых является не использованный в отчетном финансовом году остаток субсидий, осуществляется на основании решения Комитета о наличии потребности в остатках субсидии, принятого в соответствии с порядком, установленным Правительством Санкт-Петербурга.">
        <w:r>
          <w:rPr>
            <w:sz w:val="20"/>
            <w:color w:val="0000ff"/>
          </w:rPr>
          <w:t xml:space="preserve">абзаце третьем</w:t>
        </w:r>
      </w:hyperlink>
      <w:r>
        <w:rPr>
          <w:sz w:val="20"/>
        </w:rPr>
        <w:t xml:space="preserve"> настоящего пункта, или о возврате указанных средств при отсутствии в них потребности.</w:t>
      </w:r>
    </w:p>
    <w:p>
      <w:pPr>
        <w:pStyle w:val="0"/>
        <w:ind w:firstLine="540"/>
        <w:jc w:val="both"/>
      </w:pPr>
      <w:r>
        <w:rPr>
          <w:sz w:val="20"/>
        </w:rPr>
      </w:r>
    </w:p>
    <w:p>
      <w:pPr>
        <w:pStyle w:val="2"/>
        <w:outlineLvl w:val="1"/>
        <w:jc w:val="center"/>
      </w:pPr>
      <w:r>
        <w:rPr>
          <w:sz w:val="20"/>
        </w:rPr>
        <w:t xml:space="preserve">5. Требования к отчетности</w:t>
      </w:r>
    </w:p>
    <w:p>
      <w:pPr>
        <w:pStyle w:val="0"/>
        <w:ind w:firstLine="540"/>
        <w:jc w:val="both"/>
      </w:pPr>
      <w:r>
        <w:rPr>
          <w:sz w:val="20"/>
        </w:rPr>
      </w:r>
    </w:p>
    <w:p>
      <w:pPr>
        <w:pStyle w:val="0"/>
        <w:ind w:firstLine="540"/>
        <w:jc w:val="both"/>
      </w:pPr>
      <w:r>
        <w:rPr>
          <w:sz w:val="20"/>
        </w:rPr>
        <w:t xml:space="preserve">5.1. Получатели субсидий, с которыми заключены соглашения, представляют в Комитет в сроки, установленные Комитетом, но не реже одного раза в квартал, отчетность о достижении значений результата и характеристики результата, а также отчетность об осуществлении расходов, источником финансового обеспечения которых являются субсидии, по формам, определенным типовыми формами соглашений, установленными Комитетом финансов Санкт-Петербурга (далее - отчетность).</w:t>
      </w:r>
    </w:p>
    <w:p>
      <w:pPr>
        <w:pStyle w:val="0"/>
        <w:spacing w:before="200" w:line-rule="auto"/>
        <w:ind w:firstLine="540"/>
        <w:jc w:val="both"/>
      </w:pPr>
      <w:r>
        <w:rPr>
          <w:sz w:val="20"/>
        </w:rPr>
        <w:t xml:space="preserve">Получатель субсидии в сроки, установленные в соглашении, представляет в Комитет отчетность о реализации плана мероприятий по достижению результата (далее - дополнительная отчетность) по форме, установленной Комитетом финансов Санкт-Петербурга.</w:t>
      </w:r>
    </w:p>
    <w:p>
      <w:pPr>
        <w:pStyle w:val="0"/>
        <w:spacing w:before="200" w:line-rule="auto"/>
        <w:ind w:firstLine="540"/>
        <w:jc w:val="both"/>
      </w:pPr>
      <w:r>
        <w:rPr>
          <w:sz w:val="20"/>
        </w:rPr>
        <w:t xml:space="preserve">5.2. </w:t>
      </w:r>
      <w:hyperlink w:history="0" w:anchor="P412" w:tooltip="ПОРЯДОК И СРОКИ">
        <w:r>
          <w:rPr>
            <w:sz w:val="20"/>
            <w:color w:val="0000ff"/>
          </w:rPr>
          <w:t xml:space="preserve">Порядок</w:t>
        </w:r>
      </w:hyperlink>
      <w:r>
        <w:rPr>
          <w:sz w:val="20"/>
        </w:rPr>
        <w:t xml:space="preserve"> представления получателем субсидий отчетности определен в приложении N 3 к настоящему Порядку.</w:t>
      </w:r>
    </w:p>
    <w:p>
      <w:pPr>
        <w:pStyle w:val="0"/>
        <w:spacing w:before="200" w:line-rule="auto"/>
        <w:ind w:firstLine="540"/>
        <w:jc w:val="both"/>
      </w:pPr>
      <w:r>
        <w:rPr>
          <w:sz w:val="20"/>
        </w:rPr>
        <w:t xml:space="preserve">5.3. Порядок и сроки проверки и принятия Комитетом отчетности и дополнительной отчетности устанавливаются Комитетом.</w:t>
      </w:r>
    </w:p>
    <w:p>
      <w:pPr>
        <w:pStyle w:val="0"/>
        <w:ind w:firstLine="540"/>
        <w:jc w:val="both"/>
      </w:pPr>
      <w:r>
        <w:rPr>
          <w:sz w:val="20"/>
        </w:rPr>
      </w:r>
    </w:p>
    <w:p>
      <w:pPr>
        <w:pStyle w:val="2"/>
        <w:outlineLvl w:val="1"/>
        <w:jc w:val="center"/>
      </w:pPr>
      <w:r>
        <w:rPr>
          <w:sz w:val="20"/>
        </w:rPr>
        <w:t xml:space="preserve">6.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6.1.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проводится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значения результата устанавливаются Комитетом.</w:t>
      </w:r>
    </w:p>
    <w:p>
      <w:pPr>
        <w:pStyle w:val="0"/>
        <w:spacing w:before="200" w:line-rule="auto"/>
        <w:ind w:firstLine="540"/>
        <w:jc w:val="both"/>
      </w:pPr>
      <w:r>
        <w:rPr>
          <w:sz w:val="20"/>
        </w:rPr>
        <w:t xml:space="preserve">6.2. Комитет в порядке и сроки, которые установлены Комитетом, но не позднее 01.04.2025, осуществляет проверки, по результатам которых составляются акты проведения проверок (далее - акты).</w:t>
      </w:r>
    </w:p>
    <w:p>
      <w:pPr>
        <w:pStyle w:val="0"/>
        <w:spacing w:before="200" w:line-rule="auto"/>
        <w:ind w:firstLine="540"/>
        <w:jc w:val="both"/>
      </w:pPr>
      <w:r>
        <w:rPr>
          <w:sz w:val="20"/>
        </w:rPr>
        <w:t xml:space="preserve">В случае возникновения обстоятельств, приводящих к невозможности достижения значений результата, сроки проверок могут быть продлены в соответствии со сроками достижения значений результата, определенными соглашениями, продленными в соответствии с </w:t>
      </w:r>
      <w:hyperlink w:history="0" w:anchor="P201" w:tooltip="4.13. В случае возникновения по не зависящим от получателя субсидий причинам при проведении работ по сохранению ОКН, а именно необходимости проведения дополнительных работ, в связи с которыми требуется корректировка проектной документации на проведение указанных работ, обстоятельств, которые могут привести к невозможности достижения значений результата в сроки, определенные соглашением, Комитет по согласованию с Комитетом государственного финансового контроля Санкт-Петербурга (далее - КГФК) и получателем...">
        <w:r>
          <w:rPr>
            <w:sz w:val="20"/>
            <w:color w:val="0000ff"/>
          </w:rPr>
          <w:t xml:space="preserve">пунктом 4.13</w:t>
        </w:r>
      </w:hyperlink>
      <w:r>
        <w:rPr>
          <w:sz w:val="20"/>
        </w:rPr>
        <w:t xml:space="preserve"> настоящего Порядка, но не более чем на 6 месяцев.</w:t>
      </w:r>
    </w:p>
    <w:p>
      <w:pPr>
        <w:pStyle w:val="0"/>
        <w:spacing w:before="200" w:line-rule="auto"/>
        <w:ind w:firstLine="540"/>
        <w:jc w:val="both"/>
      </w:pPr>
      <w:r>
        <w:rPr>
          <w:sz w:val="20"/>
        </w:rPr>
        <w:t xml:space="preserve">Составление актов и их подписание осуществляется не позднее десяти рабочих дней со дня окончания проведения проверок.</w:t>
      </w:r>
    </w:p>
    <w:p>
      <w:pPr>
        <w:pStyle w:val="0"/>
        <w:spacing w:before="200" w:line-rule="auto"/>
        <w:ind w:firstLine="540"/>
        <w:jc w:val="both"/>
      </w:pPr>
      <w:r>
        <w:rPr>
          <w:sz w:val="20"/>
        </w:rPr>
        <w:t xml:space="preserve">6.3. Копии актов в течение трех рабочих дней после их подписания направляются Комитетом в КГФК.</w:t>
      </w:r>
    </w:p>
    <w:p>
      <w:pPr>
        <w:pStyle w:val="0"/>
        <w:spacing w:before="200" w:line-rule="auto"/>
        <w:ind w:firstLine="540"/>
        <w:jc w:val="both"/>
      </w:pPr>
      <w:r>
        <w:rPr>
          <w:sz w:val="20"/>
        </w:rPr>
        <w:t xml:space="preserve">6.4. В случае выявления при проведении проверок нарушений получателями субсидий и(или) контрагентами условий предоставления субсидий, а также в случае недостижения получателями субсидий значений результата (далее совместно - нарушения) Комитет одновременно с подписанием актов направляет получателям субсидий и(или) контрагентам уведомления о нарушениях (далее - уведомления), в которых указываются выявленные нарушения и сроки их устранения.</w:t>
      </w:r>
    </w:p>
    <w:p>
      <w:pPr>
        <w:pStyle w:val="0"/>
        <w:spacing w:before="200" w:line-rule="auto"/>
        <w:ind w:firstLine="540"/>
        <w:jc w:val="both"/>
      </w:pPr>
      <w:r>
        <w:rPr>
          <w:sz w:val="20"/>
        </w:rPr>
        <w:t xml:space="preserve">Копии уведомлений в течение трех рабочих дней после их подписания направляются Комитетом в КГФК.</w:t>
      </w:r>
    </w:p>
    <w:bookmarkStart w:id="225" w:name="P225"/>
    <w:bookmarkEnd w:id="225"/>
    <w:p>
      <w:pPr>
        <w:pStyle w:val="0"/>
        <w:spacing w:before="200" w:line-rule="auto"/>
        <w:ind w:firstLine="540"/>
        <w:jc w:val="both"/>
      </w:pPr>
      <w:r>
        <w:rPr>
          <w:sz w:val="20"/>
        </w:rPr>
        <w:t xml:space="preserve">6.5. В случае неустранения нарушений в установленные в уведомлениях сроки Комитет в течение пяти рабочих дней со дня истечения указанных сроков принимает решение в форме распоряжений о возврате в бюджет Санкт-Петербурга субсидий и(или) средств, полученных контрагентами на основании договоров, заключенных с получателями субсидий (далее - средства), и направляет копии указанных распоряжений получателям субсидий и(или) контрагентам и в КГФК вместе с информацией о расторжении соглашения и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субсидий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для возврата субсидий (средств).</w:t>
      </w:r>
    </w:p>
    <w:bookmarkStart w:id="228" w:name="P228"/>
    <w:bookmarkEnd w:id="228"/>
    <w:p>
      <w:pPr>
        <w:pStyle w:val="0"/>
        <w:spacing w:before="200" w:line-rule="auto"/>
        <w:ind w:firstLine="540"/>
        <w:jc w:val="both"/>
      </w:pPr>
      <w:r>
        <w:rPr>
          <w:sz w:val="20"/>
        </w:rPr>
        <w:t xml:space="preserve">6.6.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w:t>
      </w:r>
      <w:hyperlink w:history="0" w:anchor="P225" w:tooltip="6.5. В случае неустранения нарушений в установленные в уведомлениях сроки Комитет в течение пяти рабочих дней со дня истечения указанных сроков принимает решение в форме распоряжений о возврате в бюджет Санкт-Петербурга субсидий и(или) средств, полученных контрагентами на основании договоров, заключенных с получателями субсидий (далее - средства), и направляет копии указанных распоряжений получателям субсидий и(или) контрагентам и в КГФК вместе с информацией о расторжении соглашения и требованием, в кото...">
        <w:r>
          <w:rPr>
            <w:sz w:val="20"/>
            <w:color w:val="0000ff"/>
          </w:rPr>
          <w:t xml:space="preserve">пункте 6.5</w:t>
        </w:r>
      </w:hyperlink>
      <w:r>
        <w:rPr>
          <w:sz w:val="20"/>
        </w:rPr>
        <w:t xml:space="preserve"> настоящего Порядка.</w:t>
      </w:r>
    </w:p>
    <w:p>
      <w:pPr>
        <w:pStyle w:val="0"/>
        <w:spacing w:before="200" w:line-rule="auto"/>
        <w:ind w:firstLine="540"/>
        <w:jc w:val="both"/>
      </w:pPr>
      <w:r>
        <w:rPr>
          <w:sz w:val="20"/>
        </w:rPr>
        <w:t xml:space="preserve">Размер субсидий (средств), подлежащих возврату в бюджет Санкт-Петербурга,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6.7. В случае невыполнения (ненадлежащего выполнения) получателем субсидий в установленный срок требований Комитета о возврате субсидий на сумму подлежащих возврату денежных средств начисляются пени в размере одной трехсотшестидесятой действующей на дату уплаты пени ключевой ставки Центрального банка Российской Федерации. Пени начисляются за каждый календарный день просрочки.</w:t>
      </w:r>
    </w:p>
    <w:p>
      <w:pPr>
        <w:pStyle w:val="0"/>
        <w:spacing w:before="200" w:line-rule="auto"/>
        <w:ind w:firstLine="540"/>
        <w:jc w:val="both"/>
      </w:pPr>
      <w:r>
        <w:rPr>
          <w:sz w:val="20"/>
        </w:rPr>
        <w:t xml:space="preserve">6.8. В случае невозврата получателем субсидий и(или) контрагентом субсидий (средств) в бюджет Санкт-Петербурга в установленные в </w:t>
      </w:r>
      <w:hyperlink w:history="0" w:anchor="P228" w:tooltip="6.6.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пункте 6.5 настоящего Порядка.">
        <w:r>
          <w:rPr>
            <w:sz w:val="20"/>
            <w:color w:val="0000ff"/>
          </w:rPr>
          <w:t xml:space="preserve">пунктах 6.6</w:t>
        </w:r>
      </w:hyperlink>
      <w:r>
        <w:rPr>
          <w:sz w:val="20"/>
        </w:rPr>
        <w:t xml:space="preserve"> и </w:t>
      </w:r>
      <w:hyperlink w:history="0" w:anchor="P232" w:tooltip="6.9. Не использованные получателем субсидий в отчетном финансовом году остатки субсидий подлежат возврату в бюджет Санкт-Петербурга не позднее срока, установленного Комитетом, за исключением случая, указанного в абзаце третьем пункта 4.13 настоящего Порядка.">
        <w:r>
          <w:rPr>
            <w:sz w:val="20"/>
            <w:color w:val="0000ff"/>
          </w:rPr>
          <w:t xml:space="preserve">6.9</w:t>
        </w:r>
      </w:hyperlink>
      <w:r>
        <w:rPr>
          <w:sz w:val="20"/>
        </w:rPr>
        <w:t xml:space="preserve"> настоящего Порядка сроки Комитет в течение тридцати рабочих дней со дня истечения сроков, установленных в </w:t>
      </w:r>
      <w:hyperlink w:history="0" w:anchor="P228" w:tooltip="6.6.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пункте 6.5 настоящего Порядка.">
        <w:r>
          <w:rPr>
            <w:sz w:val="20"/>
            <w:color w:val="0000ff"/>
          </w:rPr>
          <w:t xml:space="preserve">пунктах 6.6</w:t>
        </w:r>
      </w:hyperlink>
      <w:r>
        <w:rPr>
          <w:sz w:val="20"/>
        </w:rPr>
        <w:t xml:space="preserve"> и </w:t>
      </w:r>
      <w:hyperlink w:history="0" w:anchor="P232" w:tooltip="6.9. Не использованные получателем субсидий в отчетном финансовом году остатки субсидий подлежат возврату в бюджет Санкт-Петербурга не позднее срока, установленного Комитетом, за исключением случая, указанного в абзаце третьем пункта 4.13 настоящего Порядка.">
        <w:r>
          <w:rPr>
            <w:sz w:val="20"/>
            <w:color w:val="0000ff"/>
          </w:rPr>
          <w:t xml:space="preserve">6.9</w:t>
        </w:r>
      </w:hyperlink>
      <w:r>
        <w:rPr>
          <w:sz w:val="20"/>
        </w:rPr>
        <w:t xml:space="preserve"> настоящего Порядка, направляет в суд исковое заявление о возврате субсидий (средств) в бюджет Санкт-Петербурга.</w:t>
      </w:r>
    </w:p>
    <w:bookmarkStart w:id="232" w:name="P232"/>
    <w:bookmarkEnd w:id="232"/>
    <w:p>
      <w:pPr>
        <w:pStyle w:val="0"/>
        <w:spacing w:before="200" w:line-rule="auto"/>
        <w:ind w:firstLine="540"/>
        <w:jc w:val="both"/>
      </w:pPr>
      <w:r>
        <w:rPr>
          <w:sz w:val="20"/>
        </w:rPr>
        <w:t xml:space="preserve">6.9. Не использованные получателем субсидий в отчетном финансовом году остатки субсидий подлежат возврату в бюджет Санкт-Петербурга не позднее срока, установленного Комитетом, за исключением случая, указанного в </w:t>
      </w:r>
      <w:hyperlink w:history="0" w:anchor="P203" w:tooltip="Осуществление расходов, источником финансового обеспечения которых является не использованный в отчетном финансовом году остаток субсидий, осуществляется на основании решения Комитета о наличии потребности в остатках субсидии, принятого в соответствии с порядком, установленным Правительством Санкт-Петербурга.">
        <w:r>
          <w:rPr>
            <w:sz w:val="20"/>
            <w:color w:val="0000ff"/>
          </w:rPr>
          <w:t xml:space="preserve">абзаце третьем пункта 4.13</w:t>
        </w:r>
      </w:hyperlink>
      <w:r>
        <w:rPr>
          <w:sz w:val="20"/>
        </w:rPr>
        <w:t xml:space="preserve"> настоящего Порядка.</w:t>
      </w:r>
    </w:p>
    <w:p>
      <w:pPr>
        <w:pStyle w:val="0"/>
        <w:spacing w:before="200" w:line-rule="auto"/>
        <w:ind w:firstLine="540"/>
        <w:jc w:val="both"/>
      </w:pPr>
      <w:r>
        <w:rPr>
          <w:sz w:val="20"/>
        </w:rPr>
        <w:t xml:space="preserve">6.10. В случае недостижения значений результата в установленный соглашением срок Комитет направляет получателям субсидий требование об уплате пени в размере одной трехсотшестидесятой действующей на дату начала начисления пени ключевой ставки Центрального банка Российской Федерации, начисляемой со дня, следующего за днем истечения установленного соглашением срока достижения значений результата и характеристики, за каждый календарный день просрочки. Пеня начисляется на сумму субсидий, подлежащих возврату, до момента достижения значений результата и представления отчетности о достижении значений результата и характеристики или возврата субсидий в соответствии с </w:t>
      </w:r>
      <w:hyperlink w:history="0" w:anchor="P225" w:tooltip="6.5. В случае неустранения нарушений в установленные в уведомлениях сроки Комитет в течение пяти рабочих дней со дня истечения указанных сроков принимает решение в форме распоряжений о возврате в бюджет Санкт-Петербурга субсидий и(или) средств, полученных контрагентами на основании договоров, заключенных с получателями субсидий (далее - средства), и направляет копии указанных распоряжений получателям субсидий и(или) контрагентам и в КГФК вместе с информацией о расторжении соглашения и требованием, в кото...">
        <w:r>
          <w:rPr>
            <w:sz w:val="20"/>
            <w:color w:val="0000ff"/>
          </w:rPr>
          <w:t xml:space="preserve">пунктами 6.5</w:t>
        </w:r>
      </w:hyperlink>
      <w:r>
        <w:rPr>
          <w:sz w:val="20"/>
        </w:rPr>
        <w:t xml:space="preserve"> и </w:t>
      </w:r>
      <w:hyperlink w:history="0" w:anchor="P228" w:tooltip="6.6.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пункте 6.5 настоящего Порядка.">
        <w:r>
          <w:rPr>
            <w:sz w:val="20"/>
            <w:color w:val="0000ff"/>
          </w:rPr>
          <w:t xml:space="preserve">6.6</w:t>
        </w:r>
      </w:hyperlink>
      <w:r>
        <w:rPr>
          <w:sz w:val="20"/>
        </w:rPr>
        <w:t xml:space="preserve"> настоящего Порядка.</w:t>
      </w:r>
    </w:p>
    <w:bookmarkStart w:id="234" w:name="P234"/>
    <w:bookmarkEnd w:id="234"/>
    <w:p>
      <w:pPr>
        <w:pStyle w:val="0"/>
        <w:spacing w:before="200" w:line-rule="auto"/>
        <w:ind w:firstLine="540"/>
        <w:jc w:val="both"/>
      </w:pPr>
      <w:r>
        <w:rPr>
          <w:sz w:val="20"/>
        </w:rPr>
        <w:t xml:space="preserve">6.11. Пени начисляются в случае, если Комитетом доведены в установленном порядке лимиты бюджетных обязательств на предоставление субсидий на соответствующий финансовый год, и по согласованию с получателем субсидии не принято решение о внесении изменений в соглашение в части продления сроков достижения результата без изменения размера предоставляемой субсидии.</w:t>
      </w:r>
    </w:p>
    <w:p>
      <w:pPr>
        <w:pStyle w:val="0"/>
        <w:spacing w:before="200" w:line-rule="auto"/>
        <w:ind w:firstLine="540"/>
        <w:jc w:val="both"/>
      </w:pPr>
      <w:r>
        <w:rPr>
          <w:sz w:val="20"/>
        </w:rPr>
        <w:t xml:space="preserve">6.12. Проверки осуществляются органами государственного финансового контроля в соответствии со </w:t>
      </w:r>
      <w:hyperlink w:history="0" r:id="rId3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6.13. В случае возникновения обстоятельств непреодолимой силы: стихийные бедствия (землетрясение, наводнение, ураган), пожар, массовые заболевания, эпидемии, забастовки, военные действия, теракты, диверсии, ограничения перевозок, запретительные меры государств, запрет торговых операций), вследствие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 требования, предусмотренные в </w:t>
      </w:r>
      <w:hyperlink w:history="0" w:anchor="P225" w:tooltip="6.5. В случае неустранения нарушений в установленные в уведомлениях сроки Комитет в течение пяти рабочих дней со дня истечения указанных сроков принимает решение в форме распоряжений о возврате в бюджет Санкт-Петербурга субсидий и(или) средств, полученных контрагентами на основании договоров, заключенных с получателями субсидий (далее - средства), и направляет копии указанных распоряжений получателям субсидий и(или) контрагентам и в КГФК вместе с информацией о расторжении соглашения и требованием, в кото...">
        <w:r>
          <w:rPr>
            <w:sz w:val="20"/>
            <w:color w:val="0000ff"/>
          </w:rPr>
          <w:t xml:space="preserve">пунктах 6.5</w:t>
        </w:r>
      </w:hyperlink>
      <w:r>
        <w:rPr>
          <w:sz w:val="20"/>
        </w:rPr>
        <w:t xml:space="preserve"> - </w:t>
      </w:r>
      <w:hyperlink w:history="0" w:anchor="P234" w:tooltip="6.11. Пени начисляются в случае, если Комитетом доведены в установленном порядке лимиты бюджетных обязательств на предоставление субсидий на соответствующий финансовый год, и по согласованию с получателем субсидии не принято решение о внесении изменений в соглашение в части продления сроков достижения результата без изменения размера предоставляемой субсидии.">
        <w:r>
          <w:rPr>
            <w:sz w:val="20"/>
            <w:color w:val="0000ff"/>
          </w:rPr>
          <w:t xml:space="preserve">6.11</w:t>
        </w:r>
      </w:hyperlink>
      <w:r>
        <w:rPr>
          <w:sz w:val="20"/>
        </w:rPr>
        <w:t xml:space="preserve"> настоящего Порядка, не применяются.</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сокращения и термины, используемые в </w:t>
      </w:r>
      <w:hyperlink w:history="0" w:anchor="P254" w:tooltip="ПЕРЕЧЕНЬ">
        <w:r>
          <w:rPr>
            <w:sz w:val="20"/>
            <w:color w:val="0000ff"/>
          </w:rPr>
          <w:t xml:space="preserve">приложениях</w:t>
        </w:r>
      </w:hyperlink>
      <w:r>
        <w:rPr>
          <w:sz w:val="20"/>
        </w:rPr>
        <w:t xml:space="preserve"> к настоящему Порядку, используются в значениях, определенных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2024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jc w:val="right"/>
      </w:pPr>
      <w:r>
        <w:rPr>
          <w:sz w:val="20"/>
        </w:rPr>
      </w:r>
    </w:p>
    <w:bookmarkStart w:id="254" w:name="P254"/>
    <w:bookmarkEnd w:id="254"/>
    <w:p>
      <w:pPr>
        <w:pStyle w:val="2"/>
        <w:jc w:val="center"/>
      </w:pPr>
      <w:r>
        <w:rPr>
          <w:sz w:val="20"/>
        </w:rPr>
        <w:t xml:space="preserve">ПЕРЕЧЕНЬ</w:t>
      </w:r>
    </w:p>
    <w:p>
      <w:pPr>
        <w:pStyle w:val="2"/>
        <w:jc w:val="center"/>
      </w:pPr>
      <w:r>
        <w:rPr>
          <w:sz w:val="20"/>
        </w:rPr>
        <w:t xml:space="preserve">ДОКУМЕНТОВ НА ПРЕДОСТАВЛЕНИЕ СУБСИДИЙ РЕЛИГИОЗНЫМ</w:t>
      </w:r>
    </w:p>
    <w:p>
      <w:pPr>
        <w:pStyle w:val="2"/>
        <w:jc w:val="center"/>
      </w:pPr>
      <w:r>
        <w:rPr>
          <w:sz w:val="20"/>
        </w:rPr>
        <w:t xml:space="preserve">ОРГАНИЗАЦИЯМ НА ВЫПОЛНЕНИЕ МЕРОПРИЯТИЙ ПО СОХРАНЕНИЮ ОКН,</w:t>
      </w:r>
    </w:p>
    <w:p>
      <w:pPr>
        <w:pStyle w:val="2"/>
        <w:jc w:val="center"/>
      </w:pPr>
      <w:r>
        <w:rPr>
          <w:sz w:val="20"/>
        </w:rPr>
        <w:t xml:space="preserve">РАСПОЛОЖЕННЫХ НА ТЕРРИТОРИИ САНКТ-ПЕТЕРБУРГА И НАХОДЯЩИХСЯ</w:t>
      </w:r>
    </w:p>
    <w:p>
      <w:pPr>
        <w:pStyle w:val="2"/>
        <w:jc w:val="center"/>
      </w:pPr>
      <w:r>
        <w:rPr>
          <w:sz w:val="20"/>
        </w:rPr>
        <w:t xml:space="preserve">В СОБСТВЕННОСТИ РЕЛИГИОЗНЫХ ОРГАНИЗАЦИЙ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tcPr>
          <w:p>
            <w:pPr>
              <w:pStyle w:val="0"/>
              <w:jc w:val="center"/>
            </w:pPr>
            <w:r>
              <w:rPr>
                <w:sz w:val="20"/>
              </w:rPr>
              <w:t xml:space="preserve">N п/п</w:t>
            </w:r>
          </w:p>
        </w:tc>
        <w:tc>
          <w:tcPr>
            <w:tcW w:w="8447" w:type="dxa"/>
          </w:tcPr>
          <w:p>
            <w:pPr>
              <w:pStyle w:val="0"/>
              <w:jc w:val="center"/>
            </w:pPr>
            <w:r>
              <w:rPr>
                <w:sz w:val="20"/>
              </w:rPr>
              <w:t xml:space="preserve">Наименование документа</w:t>
            </w:r>
          </w:p>
        </w:tc>
      </w:tr>
      <w:tr>
        <w:tc>
          <w:tcPr>
            <w:tcW w:w="624" w:type="dxa"/>
          </w:tcPr>
          <w:p>
            <w:pPr>
              <w:pStyle w:val="0"/>
              <w:jc w:val="center"/>
            </w:pPr>
            <w:r>
              <w:rPr>
                <w:sz w:val="20"/>
              </w:rPr>
              <w:t xml:space="preserve">1</w:t>
            </w:r>
          </w:p>
        </w:tc>
        <w:tc>
          <w:tcPr>
            <w:tcW w:w="8447" w:type="dxa"/>
          </w:tcPr>
          <w:p>
            <w:pPr>
              <w:pStyle w:val="0"/>
              <w:jc w:val="center"/>
            </w:pPr>
            <w:r>
              <w:rPr>
                <w:sz w:val="20"/>
              </w:rPr>
              <w:t xml:space="preserve">2</w:t>
            </w:r>
          </w:p>
        </w:tc>
      </w:tr>
      <w:tr>
        <w:tc>
          <w:tcPr>
            <w:tcW w:w="624" w:type="dxa"/>
          </w:tcPr>
          <w:bookmarkStart w:id="264" w:name="P264"/>
          <w:bookmarkEnd w:id="264"/>
          <w:p>
            <w:pPr>
              <w:pStyle w:val="0"/>
              <w:jc w:val="center"/>
            </w:pPr>
            <w:r>
              <w:rPr>
                <w:sz w:val="20"/>
              </w:rPr>
              <w:t xml:space="preserve">1</w:t>
            </w:r>
          </w:p>
        </w:tc>
        <w:tc>
          <w:tcPr>
            <w:tcW w:w="8447" w:type="dxa"/>
          </w:tcPr>
          <w:p>
            <w:pPr>
              <w:pStyle w:val="0"/>
            </w:pPr>
            <w:r>
              <w:rPr>
                <w:sz w:val="20"/>
              </w:rPr>
              <w:t xml:space="preserve">Копия документа, подтверждающего полномочия руководителя претендента на осуществление действий от имени претендента. В случае если на осуществление действий от имени претендента уполномочено иное лицо, помимо руководителя претендента, также предоставляется доверенность или иной документ, удостоверяющий полномочия указанного лица на осуществление действий от имени претендента, в соответствии со </w:t>
            </w:r>
            <w:hyperlink w:history="0" r:id="rId40" w:tooltip="&quot;Гражданский кодекс Российской Федерации (часть первая)&quot; от 30.11.1994 N 51-ФЗ (ред. от 11.03.2024) {КонсультантПлюс}">
              <w:r>
                <w:rPr>
                  <w:sz w:val="20"/>
                  <w:color w:val="0000ff"/>
                </w:rPr>
                <w:t xml:space="preserve">статьей 185</w:t>
              </w:r>
            </w:hyperlink>
            <w:r>
              <w:rPr>
                <w:sz w:val="20"/>
              </w:rPr>
              <w:t xml:space="preserve"> Гражданского кодекса Российской Федерации</w:t>
            </w:r>
          </w:p>
        </w:tc>
      </w:tr>
      <w:tr>
        <w:tc>
          <w:tcPr>
            <w:tcW w:w="624" w:type="dxa"/>
          </w:tcPr>
          <w:p>
            <w:pPr>
              <w:pStyle w:val="0"/>
              <w:jc w:val="center"/>
            </w:pPr>
            <w:r>
              <w:rPr>
                <w:sz w:val="20"/>
              </w:rPr>
              <w:t xml:space="preserve">2</w:t>
            </w:r>
          </w:p>
        </w:tc>
        <w:tc>
          <w:tcPr>
            <w:tcW w:w="8447" w:type="dxa"/>
          </w:tcPr>
          <w:p>
            <w:pPr>
              <w:pStyle w:val="0"/>
            </w:pPr>
            <w:r>
              <w:rPr>
                <w:sz w:val="20"/>
              </w:rPr>
              <w:t xml:space="preserve">Согласия лиц, уполномоченных на осуществление действий от имени претендента и контрагентов, на обработку персональных данных по форме, установленной Комитетом</w:t>
            </w:r>
          </w:p>
        </w:tc>
      </w:tr>
      <w:tr>
        <w:tc>
          <w:tcPr>
            <w:tcW w:w="624" w:type="dxa"/>
          </w:tcPr>
          <w:p>
            <w:pPr>
              <w:pStyle w:val="0"/>
              <w:jc w:val="center"/>
            </w:pPr>
            <w:r>
              <w:rPr>
                <w:sz w:val="20"/>
              </w:rPr>
              <w:t xml:space="preserve">3</w:t>
            </w:r>
          </w:p>
        </w:tc>
        <w:tc>
          <w:tcPr>
            <w:tcW w:w="8447" w:type="dxa"/>
          </w:tcPr>
          <w:p>
            <w:pPr>
              <w:pStyle w:val="0"/>
            </w:pPr>
            <w:r>
              <w:rPr>
                <w:sz w:val="20"/>
              </w:rPr>
              <w:t xml:space="preserve">Копии учредительных документов претендента</w:t>
            </w:r>
          </w:p>
        </w:tc>
      </w:tr>
      <w:tr>
        <w:tc>
          <w:tcPr>
            <w:tcW w:w="624" w:type="dxa"/>
          </w:tcPr>
          <w:p>
            <w:pPr>
              <w:pStyle w:val="0"/>
              <w:jc w:val="center"/>
            </w:pPr>
            <w:r>
              <w:rPr>
                <w:sz w:val="20"/>
              </w:rPr>
              <w:t xml:space="preserve">4</w:t>
            </w:r>
          </w:p>
        </w:tc>
        <w:tc>
          <w:tcPr>
            <w:tcW w:w="8447" w:type="dxa"/>
          </w:tcPr>
          <w:p>
            <w:pPr>
              <w:pStyle w:val="0"/>
            </w:pPr>
            <w:r>
              <w:rPr>
                <w:sz w:val="20"/>
              </w:rPr>
              <w:t xml:space="preserve">Копия свидетельства о государственной регистрации юридического лица или копия листа записи в Единый государственный реестр юридических лиц (выданного до 01.01.2017), или выписка из Единого государственного реестра юридических лиц, оформленная в соответствии с </w:t>
            </w:r>
            <w:hyperlink w:history="0" r:id="rId41" w:tooltip="Приказ ФНС России от 19.12.2019 N ММВ-7-14/640@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3.04.2020 N 58068) {КонсультантПлюс}">
              <w:r>
                <w:rPr>
                  <w:sz w:val="20"/>
                  <w:color w:val="0000ff"/>
                </w:rPr>
                <w:t xml:space="preserve">приказом</w:t>
              </w:r>
            </w:hyperlink>
            <w:r>
              <w:rPr>
                <w:sz w:val="20"/>
              </w:rPr>
              <w:t xml:space="preserve"> Федеральной налоговой службы от 19.12.2019 N ММВ-7-14/640@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ее заверенная копия, полученная не ранее чем за три месяца до дня подачи заявки</w:t>
            </w:r>
          </w:p>
        </w:tc>
      </w:tr>
      <w:tr>
        <w:tc>
          <w:tcPr>
            <w:tcW w:w="624" w:type="dxa"/>
          </w:tcPr>
          <w:p>
            <w:pPr>
              <w:pStyle w:val="0"/>
              <w:jc w:val="center"/>
            </w:pPr>
            <w:r>
              <w:rPr>
                <w:sz w:val="20"/>
              </w:rPr>
              <w:t xml:space="preserve">5</w:t>
            </w:r>
          </w:p>
        </w:tc>
        <w:tc>
          <w:tcPr>
            <w:tcW w:w="8447" w:type="dxa"/>
          </w:tcPr>
          <w:p>
            <w:pPr>
              <w:pStyle w:val="0"/>
            </w:pPr>
            <w:r>
              <w:rPr>
                <w:sz w:val="20"/>
              </w:rPr>
              <w:t xml:space="preserve">Копия свидетельства о постановке на учет претендента в налоговом органе по месту нахождения на территории Российской Федерации</w:t>
            </w:r>
          </w:p>
        </w:tc>
      </w:tr>
      <w:tr>
        <w:tc>
          <w:tcPr>
            <w:tcW w:w="624" w:type="dxa"/>
          </w:tcPr>
          <w:p>
            <w:pPr>
              <w:pStyle w:val="0"/>
              <w:jc w:val="center"/>
            </w:pPr>
            <w:r>
              <w:rPr>
                <w:sz w:val="20"/>
              </w:rPr>
              <w:t xml:space="preserve">6</w:t>
            </w:r>
          </w:p>
        </w:tc>
        <w:tc>
          <w:tcPr>
            <w:tcW w:w="8447" w:type="dxa"/>
          </w:tcPr>
          <w:p>
            <w:pPr>
              <w:pStyle w:val="0"/>
            </w:pPr>
            <w:hyperlink w:history="0" r:id="rId42"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Справка</w:t>
              </w:r>
            </w:hyperlink>
            <w:r>
              <w:rPr>
                <w:sz w:val="20"/>
              </w:rPr>
              <w:t xml:space="preserve"> налогового органа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 содержащая сведения на дату не ранее 1 числа месяца, предшествующего месяцу, в котором планируется начало проведения конкурсного отбора. Представляется оригинал справки или полученная в электронной форме справка, представленная на бумажном носителе и заверенная руководителем претендента и печатью претендента (при наличии)</w:t>
            </w:r>
          </w:p>
        </w:tc>
      </w:tr>
      <w:tr>
        <w:tc>
          <w:tcPr>
            <w:tcW w:w="624" w:type="dxa"/>
          </w:tcPr>
          <w:bookmarkStart w:id="276" w:name="P276"/>
          <w:bookmarkEnd w:id="276"/>
          <w:p>
            <w:pPr>
              <w:pStyle w:val="0"/>
              <w:jc w:val="center"/>
            </w:pPr>
            <w:r>
              <w:rPr>
                <w:sz w:val="20"/>
              </w:rPr>
              <w:t xml:space="preserve">7</w:t>
            </w:r>
          </w:p>
        </w:tc>
        <w:tc>
          <w:tcPr>
            <w:tcW w:w="8447" w:type="dxa"/>
          </w:tcPr>
          <w:p>
            <w:pPr>
              <w:pStyle w:val="0"/>
            </w:pPr>
            <w:r>
              <w:rPr>
                <w:sz w:val="20"/>
              </w:rPr>
              <w:t xml:space="preserve">Справка претендента об отсутствии у претендента по состоянию на дату не ранее 1 числа месяца, предшествующего месяцу, в котором планируется начало проведения конкурсного отбора,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бюджетом Санкт-Петербурга</w:t>
            </w:r>
          </w:p>
        </w:tc>
      </w:tr>
      <w:tr>
        <w:tc>
          <w:tcPr>
            <w:tcW w:w="624" w:type="dxa"/>
          </w:tcPr>
          <w:p>
            <w:pPr>
              <w:pStyle w:val="0"/>
              <w:jc w:val="center"/>
            </w:pPr>
            <w:r>
              <w:rPr>
                <w:sz w:val="20"/>
              </w:rPr>
              <w:t xml:space="preserve">8</w:t>
            </w:r>
          </w:p>
        </w:tc>
        <w:tc>
          <w:tcPr>
            <w:tcW w:w="8447" w:type="dxa"/>
          </w:tcPr>
          <w:p>
            <w:pPr>
              <w:pStyle w:val="0"/>
            </w:pPr>
            <w:r>
              <w:rPr>
                <w:sz w:val="20"/>
              </w:rPr>
              <w:t xml:space="preserve">Справка претендента по состоянию на дату не ранее 1 числа месяца, предшествующего месяцу, в котором планируется начало проведения конкурсного отбора, о том, что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43"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был в течение 2023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2023 года, а при условии отсутствия такого соглашения - размера минимальной заработной платы в Санкт-Петербурге, установленного указанным соглашением, действовавшим на 31 декабря предшествовавшего календарного года</w:t>
            </w:r>
          </w:p>
        </w:tc>
      </w:tr>
      <w:tr>
        <w:tc>
          <w:tcPr>
            <w:tcW w:w="624" w:type="dxa"/>
          </w:tcPr>
          <w:p>
            <w:pPr>
              <w:pStyle w:val="0"/>
              <w:jc w:val="center"/>
            </w:pPr>
            <w:r>
              <w:rPr>
                <w:sz w:val="20"/>
              </w:rPr>
              <w:t xml:space="preserve">9</w:t>
            </w:r>
          </w:p>
        </w:tc>
        <w:tc>
          <w:tcPr>
            <w:tcW w:w="8447" w:type="dxa"/>
          </w:tcPr>
          <w:p>
            <w:pPr>
              <w:pStyle w:val="0"/>
            </w:pPr>
            <w:r>
              <w:rPr>
                <w:sz w:val="20"/>
              </w:rPr>
              <w:t xml:space="preserve">Справка претендента по состоянию на дату не ранее 1 числа месяца, предшествующего месяцу, в котором планируется начало проведения конкурсного отбора, о том, что претендент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r>
      <w:tr>
        <w:tc>
          <w:tcPr>
            <w:tcW w:w="624" w:type="dxa"/>
          </w:tcPr>
          <w:p>
            <w:pPr>
              <w:pStyle w:val="0"/>
              <w:jc w:val="center"/>
            </w:pPr>
            <w:r>
              <w:rPr>
                <w:sz w:val="20"/>
              </w:rPr>
              <w:t xml:space="preserve">10</w:t>
            </w:r>
          </w:p>
        </w:tc>
        <w:tc>
          <w:tcPr>
            <w:tcW w:w="8447" w:type="dxa"/>
          </w:tcPr>
          <w:p>
            <w:pPr>
              <w:pStyle w:val="0"/>
            </w:pPr>
            <w:r>
              <w:rPr>
                <w:sz w:val="20"/>
              </w:rPr>
              <w:t xml:space="preserve">Справка претендента по состоянию на дату не ранее 1 числа месяца, предшествующего месяцу, в котором планируется начало проведения конкурсного отбора, о том, что претендент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tc>
      </w:tr>
      <w:tr>
        <w:tc>
          <w:tcPr>
            <w:tcW w:w="624" w:type="dxa"/>
          </w:tcPr>
          <w:p>
            <w:pPr>
              <w:pStyle w:val="0"/>
              <w:jc w:val="center"/>
            </w:pPr>
            <w:r>
              <w:rPr>
                <w:sz w:val="20"/>
              </w:rPr>
              <w:t xml:space="preserve">11</w:t>
            </w:r>
          </w:p>
        </w:tc>
        <w:tc>
          <w:tcPr>
            <w:tcW w:w="8447" w:type="dxa"/>
          </w:tcPr>
          <w:p>
            <w:pPr>
              <w:pStyle w:val="0"/>
            </w:pPr>
            <w:r>
              <w:rPr>
                <w:sz w:val="20"/>
              </w:rPr>
              <w:t xml:space="preserve">Справка претендента по состоянию на дату не ранее 1 числа месяца, предшествующего месяцу, в котором планируется начало проведения конкурсного отбора, о том, что претендент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r>
      <w:tr>
        <w:tc>
          <w:tcPr>
            <w:tcW w:w="624" w:type="dxa"/>
          </w:tcPr>
          <w:p>
            <w:pPr>
              <w:pStyle w:val="0"/>
              <w:jc w:val="center"/>
            </w:pPr>
            <w:r>
              <w:rPr>
                <w:sz w:val="20"/>
              </w:rPr>
              <w:t xml:space="preserve">12</w:t>
            </w:r>
          </w:p>
        </w:tc>
        <w:tc>
          <w:tcPr>
            <w:tcW w:w="8447" w:type="dxa"/>
          </w:tcPr>
          <w:p>
            <w:pPr>
              <w:pStyle w:val="0"/>
            </w:pPr>
            <w:r>
              <w:rPr>
                <w:sz w:val="20"/>
              </w:rPr>
              <w:t xml:space="preserve">Справка претендента по состоянию на дату не ранее 1 числа месяца, предшествующего месяцу, в котором планируется начало проведения конкурсного отбора, о том, что претендент не получает средства из бюджета Санкт-Петербурга на основании иных нормативных правовых актов</w:t>
            </w:r>
          </w:p>
        </w:tc>
      </w:tr>
      <w:tr>
        <w:tc>
          <w:tcPr>
            <w:tcW w:w="624" w:type="dxa"/>
          </w:tcPr>
          <w:p>
            <w:pPr>
              <w:pStyle w:val="0"/>
              <w:jc w:val="center"/>
            </w:pPr>
            <w:r>
              <w:rPr>
                <w:sz w:val="20"/>
              </w:rPr>
              <w:t xml:space="preserve">13</w:t>
            </w:r>
          </w:p>
        </w:tc>
        <w:tc>
          <w:tcPr>
            <w:tcW w:w="8447" w:type="dxa"/>
          </w:tcPr>
          <w:p>
            <w:pPr>
              <w:pStyle w:val="0"/>
            </w:pPr>
            <w:r>
              <w:rPr>
                <w:sz w:val="20"/>
              </w:rPr>
              <w:t xml:space="preserve">Справка претендента по состоянию на дату не ранее 1 числа месяца, предшествующего месяцу, в котором планируется начало проведения конкурсного отбора, о том, что претендент не является иностранным агентом в соответствии с Федеральным </w:t>
            </w:r>
            <w:hyperlink w:history="0" r:id="rId44"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tc>
      </w:tr>
      <w:tr>
        <w:tc>
          <w:tcPr>
            <w:tcW w:w="624" w:type="dxa"/>
          </w:tcPr>
          <w:p>
            <w:pPr>
              <w:pStyle w:val="0"/>
              <w:jc w:val="center"/>
            </w:pPr>
            <w:r>
              <w:rPr>
                <w:sz w:val="20"/>
              </w:rPr>
              <w:t xml:space="preserve">14</w:t>
            </w:r>
          </w:p>
        </w:tc>
        <w:tc>
          <w:tcPr>
            <w:tcW w:w="8447" w:type="dxa"/>
          </w:tcPr>
          <w:p>
            <w:pPr>
              <w:pStyle w:val="0"/>
            </w:pPr>
            <w:r>
              <w:rPr>
                <w:sz w:val="20"/>
              </w:rPr>
              <w:t xml:space="preserve">Справка претендента по состоянию на дату не ранее 1 числа месяца, предшествующего месяцу, в котором планируется начало проведения конкурсного отбора, о том, что претендент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p>
        </w:tc>
      </w:tr>
      <w:tr>
        <w:tc>
          <w:tcPr>
            <w:tcW w:w="624" w:type="dxa"/>
          </w:tcPr>
          <w:p>
            <w:pPr>
              <w:pStyle w:val="0"/>
              <w:jc w:val="center"/>
            </w:pPr>
            <w:r>
              <w:rPr>
                <w:sz w:val="20"/>
              </w:rPr>
              <w:t xml:space="preserve">15</w:t>
            </w:r>
          </w:p>
        </w:tc>
        <w:tc>
          <w:tcPr>
            <w:tcW w:w="8447" w:type="dxa"/>
          </w:tcPr>
          <w:p>
            <w:pPr>
              <w:pStyle w:val="0"/>
            </w:pPr>
            <w:r>
              <w:rPr>
                <w:sz w:val="20"/>
              </w:rPr>
              <w:t xml:space="preserve">Справка претендента по состоянию на дату не ранее 1 числа месяца, предшествующего месяцу, в котором планируется начало проведения конкурсного отбора,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претендента</w:t>
            </w:r>
          </w:p>
        </w:tc>
      </w:tr>
      <w:tr>
        <w:tc>
          <w:tcPr>
            <w:tcW w:w="624" w:type="dxa"/>
          </w:tcPr>
          <w:p>
            <w:pPr>
              <w:pStyle w:val="0"/>
              <w:jc w:val="center"/>
            </w:pPr>
            <w:r>
              <w:rPr>
                <w:sz w:val="20"/>
              </w:rPr>
              <w:t xml:space="preserve">16</w:t>
            </w:r>
          </w:p>
        </w:tc>
        <w:tc>
          <w:tcPr>
            <w:tcW w:w="8447" w:type="dxa"/>
          </w:tcPr>
          <w:p>
            <w:pPr>
              <w:pStyle w:val="0"/>
            </w:pPr>
            <w:r>
              <w:rPr>
                <w:sz w:val="20"/>
              </w:rPr>
              <w:t xml:space="preserve">Справка претендента об отсутствии у претендента за период не менее одного календарного года, предшествующего году получения субсидий, нарушений бюджетного законодательства, условий договоров (соглашений), на основании которых предоставлялись средства из бюджетной системы Российской Федерации, по которым не исполнены требования о возврате бюджетных средств и(или) вступили в силу постановления о назначении административного наказания</w:t>
            </w:r>
          </w:p>
        </w:tc>
      </w:tr>
      <w:tr>
        <w:tc>
          <w:tcPr>
            <w:tcW w:w="624" w:type="dxa"/>
          </w:tcPr>
          <w:p>
            <w:pPr>
              <w:pStyle w:val="0"/>
              <w:jc w:val="center"/>
            </w:pPr>
            <w:r>
              <w:rPr>
                <w:sz w:val="20"/>
              </w:rPr>
              <w:t xml:space="preserve">17</w:t>
            </w:r>
          </w:p>
        </w:tc>
        <w:tc>
          <w:tcPr>
            <w:tcW w:w="8447" w:type="dxa"/>
          </w:tcPr>
          <w:p>
            <w:pPr>
              <w:pStyle w:val="0"/>
            </w:pPr>
            <w:r>
              <w:rPr>
                <w:sz w:val="20"/>
              </w:rPr>
              <w:t xml:space="preserve">Справка претендента об отсутствии информации о нем в реестре недобросовестных поставщиков (подрядчиков, исполнителей), ведение которого осуществляется в соответствии с Федеральным </w:t>
            </w:r>
            <w:hyperlink w:history="0" r:id="rId4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r>
      <w:tr>
        <w:tc>
          <w:tcPr>
            <w:tcW w:w="624" w:type="dxa"/>
          </w:tcPr>
          <w:p>
            <w:pPr>
              <w:pStyle w:val="0"/>
              <w:jc w:val="center"/>
            </w:pPr>
            <w:r>
              <w:rPr>
                <w:sz w:val="20"/>
              </w:rPr>
              <w:t xml:space="preserve">18</w:t>
            </w:r>
          </w:p>
        </w:tc>
        <w:tc>
          <w:tcPr>
            <w:tcW w:w="8447" w:type="dxa"/>
          </w:tcPr>
          <w:p>
            <w:pPr>
              <w:pStyle w:val="0"/>
            </w:pPr>
            <w:r>
              <w:rPr>
                <w:sz w:val="20"/>
              </w:rPr>
              <w:t xml:space="preserve">Справка об отсутствии у претендента исполнительных производств, возбужденных на основании решений судов по допущенным претендентами нарушениям условий (требований) охранных обязательств в отношении ОКН, находящихся в собственности религиозной организации, в отношении которых запрашиваются субсидии</w:t>
            </w:r>
          </w:p>
        </w:tc>
      </w:tr>
      <w:tr>
        <w:tc>
          <w:tcPr>
            <w:tcW w:w="624" w:type="dxa"/>
          </w:tcPr>
          <w:p>
            <w:pPr>
              <w:pStyle w:val="0"/>
              <w:jc w:val="center"/>
            </w:pPr>
            <w:r>
              <w:rPr>
                <w:sz w:val="20"/>
              </w:rPr>
              <w:t xml:space="preserve">19</w:t>
            </w:r>
          </w:p>
        </w:tc>
        <w:tc>
          <w:tcPr>
            <w:tcW w:w="8447" w:type="dxa"/>
          </w:tcPr>
          <w:p>
            <w:pPr>
              <w:pStyle w:val="0"/>
            </w:pPr>
            <w:r>
              <w:rPr>
                <w:sz w:val="20"/>
              </w:rPr>
              <w:t xml:space="preserve">Обязательство претендента в случае признания его получателем субсидий представить справку, оформленную в свободной форме и подписанную руководителем получателя субсидии и заверенную его печатью, о том, что на дату регистрации соглашения на едином налоговом счете получателя субсидии отсутствует или не превышает размера, определенного в </w:t>
            </w:r>
            <w:hyperlink w:history="0" r:id="rId46"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tc>
      </w:tr>
      <w:tr>
        <w:tc>
          <w:tcPr>
            <w:tcW w:w="624" w:type="dxa"/>
          </w:tcPr>
          <w:p>
            <w:pPr>
              <w:pStyle w:val="0"/>
              <w:jc w:val="center"/>
            </w:pPr>
            <w:r>
              <w:rPr>
                <w:sz w:val="20"/>
              </w:rPr>
              <w:t xml:space="preserve">20</w:t>
            </w:r>
          </w:p>
        </w:tc>
        <w:tc>
          <w:tcPr>
            <w:tcW w:w="8447" w:type="dxa"/>
          </w:tcPr>
          <w:p>
            <w:pPr>
              <w:pStyle w:val="0"/>
            </w:pPr>
            <w:r>
              <w:rPr>
                <w:sz w:val="20"/>
              </w:rPr>
              <w:t xml:space="preserve">Обязательство претендента в случае признания его получателем субсидий представить справку, оформленную в свободной форме и подписанную руководителем получателя субсидии и заверенную его печатью, о том, что на дату регистрации соглашения у получателя субсидии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tc>
      </w:tr>
      <w:tr>
        <w:tc>
          <w:tcPr>
            <w:tcW w:w="624" w:type="dxa"/>
          </w:tcPr>
          <w:p>
            <w:pPr>
              <w:pStyle w:val="0"/>
              <w:jc w:val="center"/>
            </w:pPr>
            <w:r>
              <w:rPr>
                <w:sz w:val="20"/>
              </w:rPr>
              <w:t xml:space="preserve">21</w:t>
            </w:r>
          </w:p>
        </w:tc>
        <w:tc>
          <w:tcPr>
            <w:tcW w:w="8447" w:type="dxa"/>
          </w:tcPr>
          <w:p>
            <w:pPr>
              <w:pStyle w:val="0"/>
            </w:pPr>
            <w:r>
              <w:rPr>
                <w:sz w:val="20"/>
              </w:rPr>
              <w:t xml:space="preserve">Обязательство претендента в случае признания его получателем субсидий предоставить в установленные сроки справку, подтверждающую, что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47"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характеристик результата,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условии отсутствия такого соглашения - размера минимальной заработной платы в Санкт-Петербурге, установленного указанным соглашением, действовавшим на 31 декабря предшествовавшего календарного года</w:t>
            </w:r>
          </w:p>
        </w:tc>
      </w:tr>
      <w:tr>
        <w:tc>
          <w:tcPr>
            <w:tcW w:w="624" w:type="dxa"/>
          </w:tcPr>
          <w:p>
            <w:pPr>
              <w:pStyle w:val="0"/>
              <w:jc w:val="center"/>
            </w:pPr>
            <w:r>
              <w:rPr>
                <w:sz w:val="20"/>
              </w:rPr>
              <w:t xml:space="preserve">22</w:t>
            </w:r>
          </w:p>
        </w:tc>
        <w:tc>
          <w:tcPr>
            <w:tcW w:w="8447" w:type="dxa"/>
          </w:tcPr>
          <w:p>
            <w:pPr>
              <w:pStyle w:val="0"/>
            </w:pPr>
            <w:r>
              <w:rPr>
                <w:sz w:val="20"/>
              </w:rPr>
              <w:t xml:space="preserve">Письменное согласие претендента (в случае признания претендента получателем субсидий)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проверок соблюдения порядка и условий предоставления субсидии, в том числе в части достижения результата предоставления субсидии (далее - проверки), а также проверок органами государственного финансового контроля в соответствии со </w:t>
            </w:r>
            <w:hyperlink w:history="0" r:id="rId4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4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tc>
      </w:tr>
      <w:tr>
        <w:tc>
          <w:tcPr>
            <w:tcW w:w="624" w:type="dxa"/>
          </w:tcPr>
          <w:p>
            <w:pPr>
              <w:pStyle w:val="0"/>
              <w:jc w:val="center"/>
            </w:pPr>
            <w:r>
              <w:rPr>
                <w:sz w:val="20"/>
              </w:rPr>
              <w:t xml:space="preserve">23</w:t>
            </w:r>
          </w:p>
        </w:tc>
        <w:tc>
          <w:tcPr>
            <w:tcW w:w="8447" w:type="dxa"/>
          </w:tcPr>
          <w:p>
            <w:pPr>
              <w:pStyle w:val="0"/>
            </w:pPr>
            <w:r>
              <w:rPr>
                <w:sz w:val="20"/>
              </w:rPr>
              <w:t xml:space="preserve">Письменное согласие претендента на публикацию (размещение) в информационно-телекоммуникационной сети "Интернет" информации о претенденте, о подаваемой им заявке и иной информации, связанной с конкурсным отбором</w:t>
            </w:r>
          </w:p>
        </w:tc>
      </w:tr>
      <w:tr>
        <w:tc>
          <w:tcPr>
            <w:tcW w:w="624" w:type="dxa"/>
          </w:tcPr>
          <w:bookmarkStart w:id="310" w:name="P310"/>
          <w:bookmarkEnd w:id="310"/>
          <w:p>
            <w:pPr>
              <w:pStyle w:val="0"/>
              <w:jc w:val="center"/>
            </w:pPr>
            <w:r>
              <w:rPr>
                <w:sz w:val="20"/>
              </w:rPr>
              <w:t xml:space="preserve">24</w:t>
            </w:r>
          </w:p>
        </w:tc>
        <w:tc>
          <w:tcPr>
            <w:tcW w:w="8447" w:type="dxa"/>
          </w:tcPr>
          <w:p>
            <w:pPr>
              <w:pStyle w:val="0"/>
            </w:pPr>
            <w:r>
              <w:rPr>
                <w:sz w:val="20"/>
              </w:rPr>
              <w:t xml:space="preserve">Письменное согласие претендента на включение в соглашение положений о казначейском сопровождении в случае, если средства субсидий подлежат казначейскому сопровождению в соответствии с бюджетным законодательством</w:t>
            </w:r>
          </w:p>
        </w:tc>
      </w:tr>
      <w:tr>
        <w:tc>
          <w:tcPr>
            <w:tcW w:w="624" w:type="dxa"/>
          </w:tcPr>
          <w:bookmarkStart w:id="312" w:name="P312"/>
          <w:bookmarkEnd w:id="312"/>
          <w:p>
            <w:pPr>
              <w:pStyle w:val="0"/>
              <w:jc w:val="center"/>
            </w:pPr>
            <w:r>
              <w:rPr>
                <w:sz w:val="20"/>
              </w:rPr>
              <w:t xml:space="preserve">25</w:t>
            </w:r>
          </w:p>
        </w:tc>
        <w:tc>
          <w:tcPr>
            <w:tcW w:w="8447" w:type="dxa"/>
          </w:tcPr>
          <w:p>
            <w:pPr>
              <w:pStyle w:val="0"/>
            </w:pPr>
            <w:r>
              <w:rPr>
                <w:sz w:val="20"/>
              </w:rPr>
              <w:t xml:space="preserve">Копия охранного обязательства, заключенного с правообладателем ОКН, либо утвержденного правовым актом Комитета, на ОКН, в отношении которого представляется заявка</w:t>
            </w:r>
          </w:p>
        </w:tc>
      </w:tr>
      <w:tr>
        <w:tc>
          <w:tcPr>
            <w:tcW w:w="624" w:type="dxa"/>
          </w:tcPr>
          <w:bookmarkStart w:id="314" w:name="P314"/>
          <w:bookmarkEnd w:id="314"/>
          <w:p>
            <w:pPr>
              <w:pStyle w:val="0"/>
              <w:jc w:val="center"/>
            </w:pPr>
            <w:r>
              <w:rPr>
                <w:sz w:val="20"/>
              </w:rPr>
              <w:t xml:space="preserve">26</w:t>
            </w:r>
          </w:p>
        </w:tc>
        <w:tc>
          <w:tcPr>
            <w:tcW w:w="8447" w:type="dxa"/>
          </w:tcPr>
          <w:p>
            <w:pPr>
              <w:pStyle w:val="0"/>
            </w:pPr>
            <w:r>
              <w:rPr>
                <w:sz w:val="20"/>
              </w:rPr>
              <w:t xml:space="preserve">Копия акта технического состояния (обследования) с фотофиксацией ОКН, составленного в установленном действующим законодательством порядке не ранее чем за пять лет до дня подачи заявки в Комитет</w:t>
            </w:r>
          </w:p>
        </w:tc>
      </w:tr>
      <w:tr>
        <w:tc>
          <w:tcPr>
            <w:tcW w:w="624" w:type="dxa"/>
          </w:tcPr>
          <w:p>
            <w:pPr>
              <w:pStyle w:val="0"/>
              <w:jc w:val="center"/>
            </w:pPr>
            <w:r>
              <w:rPr>
                <w:sz w:val="20"/>
              </w:rPr>
              <w:t xml:space="preserve">27</w:t>
            </w:r>
          </w:p>
        </w:tc>
        <w:tc>
          <w:tcPr>
            <w:tcW w:w="8447" w:type="dxa"/>
          </w:tcPr>
          <w:p>
            <w:pPr>
              <w:pStyle w:val="0"/>
            </w:pPr>
            <w:r>
              <w:rPr>
                <w:sz w:val="20"/>
              </w:rPr>
              <w:t xml:space="preserve">Копия документа, подтверждающего право собственности претендента на ОКН, в отношении которого представляется заявка</w:t>
            </w:r>
          </w:p>
        </w:tc>
      </w:tr>
      <w:tr>
        <w:tc>
          <w:tcPr>
            <w:tcW w:w="624" w:type="dxa"/>
          </w:tcPr>
          <w:bookmarkStart w:id="318" w:name="P318"/>
          <w:bookmarkEnd w:id="318"/>
          <w:p>
            <w:pPr>
              <w:pStyle w:val="0"/>
              <w:jc w:val="center"/>
            </w:pPr>
            <w:r>
              <w:rPr>
                <w:sz w:val="20"/>
              </w:rPr>
              <w:t xml:space="preserve">28</w:t>
            </w:r>
          </w:p>
        </w:tc>
        <w:tc>
          <w:tcPr>
            <w:tcW w:w="8447" w:type="dxa"/>
          </w:tcPr>
          <w:p>
            <w:pPr>
              <w:pStyle w:val="0"/>
            </w:pPr>
            <w:r>
              <w:rPr>
                <w:sz w:val="20"/>
              </w:rPr>
              <w:t xml:space="preserve">Согласия претендента, а также контрагентов, являющихся юридическими лицами, на неприобретение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субсидий, а именно с надлежащим выполнением работ по сохранению объектов культурного наследия в соответствии с требованиями </w:t>
            </w:r>
            <w:hyperlink w:history="0" r:id="rId50" w:tooltip="Федеральный закон от 25.06.2002 N 73-ФЗ (ред. от 19.10.2023) &quot;Об объектах культурного наследия (памятниках истории и культуры) народов Российской Федерации&quot; (с изм. и доп., вступ. в силу с 17.04.2024) {КонсультантПлюс}">
              <w:r>
                <w:rPr>
                  <w:sz w:val="20"/>
                  <w:color w:val="0000ff"/>
                </w:rPr>
                <w:t xml:space="preserve">статьи 45</w:t>
              </w:r>
            </w:hyperlink>
            <w:r>
              <w:rPr>
                <w:sz w:val="20"/>
              </w:rPr>
              <w:t xml:space="preserve"> Федерального закона "Об объектах культурного наследия (памятниках истории и культуры) народов Российской Федерации"</w:t>
            </w:r>
          </w:p>
        </w:tc>
      </w:tr>
      <w:tr>
        <w:tc>
          <w:tcPr>
            <w:tcW w:w="624" w:type="dxa"/>
          </w:tcPr>
          <w:p>
            <w:pPr>
              <w:pStyle w:val="0"/>
              <w:jc w:val="center"/>
            </w:pPr>
            <w:r>
              <w:rPr>
                <w:sz w:val="20"/>
              </w:rPr>
              <w:t xml:space="preserve">29</w:t>
            </w:r>
          </w:p>
        </w:tc>
        <w:tc>
          <w:tcPr>
            <w:tcW w:w="8447" w:type="dxa"/>
          </w:tcPr>
          <w:p>
            <w:pPr>
              <w:pStyle w:val="0"/>
            </w:pPr>
            <w:r>
              <w:rPr>
                <w:sz w:val="20"/>
              </w:rPr>
              <w:t xml:space="preserve">Согласие претендента на возврат в случае признания его получателем субсидий остатков субсидий, не использованных в отчетном финансовом году, в бюджет Санкт-Петербурга в сроки, установленные Комитетом, за исключением случая, указанного в </w:t>
            </w:r>
            <w:hyperlink w:history="0" w:anchor="P203" w:tooltip="Осуществление расходов, источником финансового обеспечения которых является не использованный в отчетном финансовом году остаток субсидий, осуществляется на основании решения Комитета о наличии потребности в остатках субсидии, принятого в соответствии с порядком, установленным Правительством Санкт-Петербурга.">
              <w:r>
                <w:rPr>
                  <w:sz w:val="20"/>
                  <w:color w:val="0000ff"/>
                </w:rPr>
                <w:t xml:space="preserve">абзаце третьем пункта 4.13</w:t>
              </w:r>
            </w:hyperlink>
            <w:r>
              <w:rPr>
                <w:sz w:val="20"/>
              </w:rPr>
              <w:t xml:space="preserve"> Порядка</w:t>
            </w:r>
          </w:p>
        </w:tc>
      </w:tr>
      <w:tr>
        <w:tc>
          <w:tcPr>
            <w:tcW w:w="624" w:type="dxa"/>
          </w:tcPr>
          <w:bookmarkStart w:id="322" w:name="P322"/>
          <w:bookmarkEnd w:id="322"/>
          <w:p>
            <w:pPr>
              <w:pStyle w:val="0"/>
              <w:jc w:val="center"/>
            </w:pPr>
            <w:r>
              <w:rPr>
                <w:sz w:val="20"/>
              </w:rPr>
              <w:t xml:space="preserve">30</w:t>
            </w:r>
          </w:p>
        </w:tc>
        <w:tc>
          <w:tcPr>
            <w:tcW w:w="8447" w:type="dxa"/>
          </w:tcPr>
          <w:p>
            <w:pPr>
              <w:pStyle w:val="0"/>
            </w:pPr>
            <w:r>
              <w:rPr>
                <w:sz w:val="20"/>
              </w:rPr>
              <w:t xml:space="preserve">Справка претендента, подтверждающая софинансирование из внебюджетных источников мероприятий по сохранению ОКН, находящихся в собственности претендента, с копиями подтверждающих документов (при наличии указанного софинансирования)</w:t>
            </w:r>
          </w:p>
        </w:tc>
      </w:tr>
      <w:tr>
        <w:tc>
          <w:tcPr>
            <w:tcW w:w="624" w:type="dxa"/>
          </w:tcPr>
          <w:bookmarkStart w:id="324" w:name="P324"/>
          <w:bookmarkEnd w:id="324"/>
          <w:p>
            <w:pPr>
              <w:pStyle w:val="0"/>
              <w:jc w:val="center"/>
            </w:pPr>
            <w:r>
              <w:rPr>
                <w:sz w:val="20"/>
              </w:rPr>
              <w:t xml:space="preserve">31</w:t>
            </w:r>
          </w:p>
        </w:tc>
        <w:tc>
          <w:tcPr>
            <w:tcW w:w="8447" w:type="dxa"/>
          </w:tcPr>
          <w:p>
            <w:pPr>
              <w:pStyle w:val="0"/>
            </w:pPr>
            <w:r>
              <w:rPr>
                <w:sz w:val="20"/>
              </w:rPr>
              <w:t xml:space="preserve">Документы, обосновывающие планируемые затраты на выполнение мероприятий по сохранению ОКН, в отношении которого представляется заявка</w:t>
            </w:r>
          </w:p>
        </w:tc>
      </w:tr>
      <w:tr>
        <w:tc>
          <w:tcPr>
            <w:tcW w:w="624" w:type="dxa"/>
          </w:tcPr>
          <w:p>
            <w:pPr>
              <w:pStyle w:val="0"/>
              <w:jc w:val="center"/>
            </w:pPr>
            <w:r>
              <w:rPr>
                <w:sz w:val="20"/>
              </w:rPr>
              <w:t xml:space="preserve">31.1</w:t>
            </w:r>
          </w:p>
        </w:tc>
        <w:tc>
          <w:tcPr>
            <w:tcW w:w="8447" w:type="dxa"/>
          </w:tcPr>
          <w:p>
            <w:pPr>
              <w:pStyle w:val="0"/>
            </w:pPr>
            <w:r>
              <w:rPr>
                <w:sz w:val="20"/>
              </w:rPr>
              <w:t xml:space="preserve">В случае завершенных на дату подачи заявки мероприятий по сохранению ОКН представляются:</w:t>
            </w:r>
          </w:p>
          <w:bookmarkStart w:id="328" w:name="P328"/>
          <w:bookmarkEnd w:id="328"/>
          <w:p>
            <w:pPr>
              <w:pStyle w:val="0"/>
            </w:pPr>
            <w:r>
              <w:rPr>
                <w:sz w:val="20"/>
              </w:rPr>
              <w:t xml:space="preserve">копии актов приемки выполненных работ по сохранению ОКН;</w:t>
            </w:r>
          </w:p>
          <w:p>
            <w:pPr>
              <w:pStyle w:val="0"/>
            </w:pPr>
            <w:r>
              <w:rPr>
                <w:sz w:val="20"/>
              </w:rPr>
              <w:t xml:space="preserve">сметная документация, на основании которой выполнялись работы по сохранению ОКН, с заключением Санкт-Петербургского государственного автономного учреждения "Центр государственной экспертизы" (далее - ЦГЭ) о достоверности определения сметной стоимости работ по сохранению ОКН, в отношении которых представляются заявки (за исключением случаев, предусмотренных законодательством Российской Федерации)</w:t>
            </w:r>
          </w:p>
        </w:tc>
      </w:tr>
      <w:tr>
        <w:tc>
          <w:tcPr>
            <w:tcW w:w="624" w:type="dxa"/>
          </w:tcPr>
          <w:p>
            <w:pPr>
              <w:pStyle w:val="0"/>
              <w:jc w:val="center"/>
            </w:pPr>
            <w:r>
              <w:rPr>
                <w:sz w:val="20"/>
              </w:rPr>
              <w:t xml:space="preserve">31.2</w:t>
            </w:r>
          </w:p>
        </w:tc>
        <w:tc>
          <w:tcPr>
            <w:tcW w:w="8447" w:type="dxa"/>
          </w:tcPr>
          <w:p>
            <w:pPr>
              <w:pStyle w:val="0"/>
            </w:pPr>
            <w:r>
              <w:rPr>
                <w:sz w:val="20"/>
              </w:rPr>
              <w:t xml:space="preserve">По планируемым к выполнению в 2024 году мероприятиям по сохранению ОКН или частично завершенным на дату подачи заявки представляются:</w:t>
            </w:r>
          </w:p>
          <w:bookmarkStart w:id="332" w:name="P332"/>
          <w:bookmarkEnd w:id="332"/>
          <w:p>
            <w:pPr>
              <w:pStyle w:val="0"/>
            </w:pPr>
            <w:r>
              <w:rPr>
                <w:sz w:val="20"/>
              </w:rPr>
              <w:t xml:space="preserve">разрешения на выполнение соответствующих видов работ по сохранению ОКН, в отношении которых представляется заявка;</w:t>
            </w:r>
          </w:p>
          <w:p>
            <w:pPr>
              <w:pStyle w:val="0"/>
            </w:pPr>
            <w:r>
              <w:rPr>
                <w:sz w:val="20"/>
              </w:rPr>
              <w:t xml:space="preserve">сметная документация, на основании которой планируется выполнять работы по сохранению ОКН, с заключением ЦГЭ о достоверности определения сметной стоимости работ по сохранению ОКН, в отношении которых представляются заявки (за исключением случаев, предусмотренных законодательством Российской Федерации)</w:t>
            </w:r>
          </w:p>
        </w:tc>
      </w:tr>
    </w:tbl>
    <w:p>
      <w:pPr>
        <w:pStyle w:val="0"/>
        <w:ind w:firstLine="540"/>
        <w:jc w:val="both"/>
      </w:pPr>
      <w:r>
        <w:rPr>
          <w:sz w:val="20"/>
        </w:rPr>
      </w:r>
    </w:p>
    <w:p>
      <w:pPr>
        <w:pStyle w:val="0"/>
        <w:ind w:firstLine="540"/>
        <w:jc w:val="both"/>
      </w:pPr>
      <w:r>
        <w:rPr>
          <w:sz w:val="20"/>
        </w:rPr>
        <w:t xml:space="preserve">Документы, указанные в </w:t>
      </w:r>
      <w:hyperlink w:history="0" w:anchor="P312" w:tooltip="25">
        <w:r>
          <w:rPr>
            <w:sz w:val="20"/>
            <w:color w:val="0000ff"/>
          </w:rPr>
          <w:t xml:space="preserve">пунктах 25</w:t>
        </w:r>
      </w:hyperlink>
      <w:r>
        <w:rPr>
          <w:sz w:val="20"/>
        </w:rPr>
        <w:t xml:space="preserve"> и </w:t>
      </w:r>
      <w:hyperlink w:history="0" w:anchor="P314" w:tooltip="26">
        <w:r>
          <w:rPr>
            <w:sz w:val="20"/>
            <w:color w:val="0000ff"/>
          </w:rPr>
          <w:t xml:space="preserve">26</w:t>
        </w:r>
      </w:hyperlink>
      <w:r>
        <w:rPr>
          <w:sz w:val="20"/>
        </w:rPr>
        <w:t xml:space="preserve">, </w:t>
      </w:r>
      <w:hyperlink w:history="0" w:anchor="P328" w:tooltip="копии актов приемки выполненных работ по сохранению ОКН;">
        <w:r>
          <w:rPr>
            <w:sz w:val="20"/>
            <w:color w:val="0000ff"/>
          </w:rPr>
          <w:t xml:space="preserve">абзаце втором пункта 31.1</w:t>
        </w:r>
      </w:hyperlink>
      <w:r>
        <w:rPr>
          <w:sz w:val="20"/>
        </w:rPr>
        <w:t xml:space="preserve"> и </w:t>
      </w:r>
      <w:hyperlink w:history="0" w:anchor="P332" w:tooltip="разрешения на выполнение соответствующих видов работ по сохранению ОКН, в отношении которых представляется заявка;">
        <w:r>
          <w:rPr>
            <w:sz w:val="20"/>
            <w:color w:val="0000ff"/>
          </w:rPr>
          <w:t xml:space="preserve">абзаце втором пункта 31.2</w:t>
        </w:r>
      </w:hyperlink>
      <w:r>
        <w:rPr>
          <w:sz w:val="20"/>
        </w:rPr>
        <w:t xml:space="preserve"> настоящего Перечня, представляются претендентом по своему усмотрению.</w:t>
      </w:r>
    </w:p>
    <w:p>
      <w:pPr>
        <w:pStyle w:val="0"/>
        <w:spacing w:before="200" w:line-rule="auto"/>
        <w:ind w:firstLine="540"/>
        <w:jc w:val="both"/>
      </w:pPr>
      <w:r>
        <w:rPr>
          <w:sz w:val="20"/>
        </w:rPr>
        <w:t xml:space="preserve">Документы, указанные в </w:t>
      </w:r>
      <w:hyperlink w:history="0" w:anchor="P276" w:tooltip="7">
        <w:r>
          <w:rPr>
            <w:sz w:val="20"/>
            <w:color w:val="0000ff"/>
          </w:rPr>
          <w:t xml:space="preserve">пунктах 7</w:t>
        </w:r>
      </w:hyperlink>
      <w:r>
        <w:rPr>
          <w:sz w:val="20"/>
        </w:rPr>
        <w:t xml:space="preserve"> - </w:t>
      </w:r>
      <w:hyperlink w:history="0" w:anchor="P310" w:tooltip="24">
        <w:r>
          <w:rPr>
            <w:sz w:val="20"/>
            <w:color w:val="0000ff"/>
          </w:rPr>
          <w:t xml:space="preserve">24</w:t>
        </w:r>
      </w:hyperlink>
      <w:r>
        <w:rPr>
          <w:sz w:val="20"/>
        </w:rPr>
        <w:t xml:space="preserve"> и </w:t>
      </w:r>
      <w:hyperlink w:history="0" w:anchor="P318" w:tooltip="28">
        <w:r>
          <w:rPr>
            <w:sz w:val="20"/>
            <w:color w:val="0000ff"/>
          </w:rPr>
          <w:t xml:space="preserve">28</w:t>
        </w:r>
      </w:hyperlink>
      <w:r>
        <w:rPr>
          <w:sz w:val="20"/>
        </w:rPr>
        <w:t xml:space="preserve"> - </w:t>
      </w:r>
      <w:hyperlink w:history="0" w:anchor="P322" w:tooltip="30">
        <w:r>
          <w:rPr>
            <w:sz w:val="20"/>
            <w:color w:val="0000ff"/>
          </w:rPr>
          <w:t xml:space="preserve">30</w:t>
        </w:r>
      </w:hyperlink>
      <w:r>
        <w:rPr>
          <w:sz w:val="20"/>
        </w:rPr>
        <w:t xml:space="preserve"> настоящего Перечня, представляются в свободной форме, подписанные руководителем претендента и заверенные печатью претендента (при наличии).</w:t>
      </w:r>
    </w:p>
    <w:p>
      <w:pPr>
        <w:pStyle w:val="0"/>
        <w:spacing w:before="200" w:line-rule="auto"/>
        <w:ind w:firstLine="540"/>
        <w:jc w:val="both"/>
      </w:pPr>
      <w:r>
        <w:rPr>
          <w:sz w:val="20"/>
        </w:rPr>
        <w:t xml:space="preserve">Копии документов должны быть заверены подписью руководителя претендента либо иного лица, уполномоченного на осуществление действий от имени претендента, и скреплены печатью организации (при ее наличии).</w:t>
      </w:r>
    </w:p>
    <w:p>
      <w:pPr>
        <w:pStyle w:val="0"/>
        <w:spacing w:before="200" w:line-rule="auto"/>
        <w:ind w:firstLine="540"/>
        <w:jc w:val="both"/>
      </w:pPr>
      <w:r>
        <w:rPr>
          <w:sz w:val="20"/>
        </w:rPr>
        <w:t xml:space="preserve">Документы, указанные в </w:t>
      </w:r>
      <w:hyperlink w:history="0" w:anchor="P264" w:tooltip="1">
        <w:r>
          <w:rPr>
            <w:sz w:val="20"/>
            <w:color w:val="0000ff"/>
          </w:rPr>
          <w:t xml:space="preserve">пунктах 1</w:t>
        </w:r>
      </w:hyperlink>
      <w:r>
        <w:rPr>
          <w:sz w:val="20"/>
        </w:rPr>
        <w:t xml:space="preserve"> - </w:t>
      </w:r>
      <w:hyperlink w:history="0" w:anchor="P322" w:tooltip="30">
        <w:r>
          <w:rPr>
            <w:sz w:val="20"/>
            <w:color w:val="0000ff"/>
          </w:rPr>
          <w:t xml:space="preserve">30</w:t>
        </w:r>
      </w:hyperlink>
      <w:r>
        <w:rPr>
          <w:sz w:val="20"/>
        </w:rPr>
        <w:t xml:space="preserve"> (далее - комплект 1) и </w:t>
      </w:r>
      <w:hyperlink w:history="0" w:anchor="P324" w:tooltip="31">
        <w:r>
          <w:rPr>
            <w:sz w:val="20"/>
            <w:color w:val="0000ff"/>
          </w:rPr>
          <w:t xml:space="preserve">пункте 31</w:t>
        </w:r>
      </w:hyperlink>
      <w:r>
        <w:rPr>
          <w:sz w:val="20"/>
        </w:rPr>
        <w:t xml:space="preserve"> (далее - комплект 2) настоящего Перечня, формируются в два отдельных комплекта, нумеруются, прошиваются, заверяются оттиском печати претендента (при ее наличии) и подписываются руководителем претендента либо иным лицом, уполномоченным на осуществление действий от имени претендента. Комплект 1 и комплект 2 должны содержать опись документов.</w:t>
      </w:r>
    </w:p>
    <w:p>
      <w:pPr>
        <w:pStyle w:val="0"/>
        <w:spacing w:before="200" w:line-rule="auto"/>
        <w:ind w:firstLine="540"/>
        <w:jc w:val="both"/>
      </w:pPr>
      <w:r>
        <w:rPr>
          <w:sz w:val="20"/>
        </w:rPr>
        <w:t xml:space="preserve">Заявка претендента, комплект 1 и комплект 2 представляются в Комитет на бумажном и электронном носителях (в формате PDF), сметная документация представляется также отдельными файлами в формате Excel.</w:t>
      </w:r>
    </w:p>
    <w:p>
      <w:pPr>
        <w:pStyle w:val="0"/>
        <w:spacing w:before="200" w:line-rule="auto"/>
        <w:ind w:firstLine="540"/>
        <w:jc w:val="both"/>
      </w:pPr>
      <w:r>
        <w:rPr>
          <w:sz w:val="20"/>
        </w:rPr>
        <w:t xml:space="preserve">Акты приемки выполненных работ по сохранению ОКН должны быть оформлены в порядке, установленном </w:t>
      </w:r>
      <w:hyperlink w:history="0" r:id="rId51"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приказом</w:t>
        </w:r>
      </w:hyperlink>
      <w:r>
        <w:rPr>
          <w:sz w:val="20"/>
        </w:rPr>
        <w:t xml:space="preserve"> Минкультуры России от 25.06.2015 N 1840.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2024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jc w:val="right"/>
      </w:pPr>
      <w:r>
        <w:rPr>
          <w:sz w:val="20"/>
        </w:rPr>
      </w:r>
    </w:p>
    <w:bookmarkStart w:id="356" w:name="P356"/>
    <w:bookmarkEnd w:id="356"/>
    <w:p>
      <w:pPr>
        <w:pStyle w:val="2"/>
        <w:jc w:val="center"/>
      </w:pPr>
      <w:r>
        <w:rPr>
          <w:sz w:val="20"/>
        </w:rPr>
        <w:t xml:space="preserve">ПОРЯДОК</w:t>
      </w:r>
    </w:p>
    <w:p>
      <w:pPr>
        <w:pStyle w:val="2"/>
        <w:jc w:val="center"/>
      </w:pPr>
      <w:r>
        <w:rPr>
          <w:sz w:val="20"/>
        </w:rPr>
        <w:t xml:space="preserve">ПРОВЕДЕНИЯ КОНКУРСНОГО ОТБОРА НА ПРАВО ПОЛУЧЕНИЯ СУБСИДИЙ</w:t>
      </w:r>
    </w:p>
    <w:p>
      <w:pPr>
        <w:pStyle w:val="2"/>
        <w:jc w:val="center"/>
      </w:pPr>
      <w:r>
        <w:rPr>
          <w:sz w:val="20"/>
        </w:rPr>
        <w:t xml:space="preserve">РЕЛИГИОЗНЫМИ ОРГАНИЗАЦИЯМИ НА ВЫПОЛНЕНИЕ МЕРОПРИЯТИЙ</w:t>
      </w:r>
    </w:p>
    <w:p>
      <w:pPr>
        <w:pStyle w:val="2"/>
        <w:jc w:val="center"/>
      </w:pPr>
      <w:r>
        <w:rPr>
          <w:sz w:val="20"/>
        </w:rPr>
        <w:t xml:space="preserve">ПО СОХРАНЕНИЮ ОКН, РАСПОЛОЖЕННЫХ НА ТЕРРИТОРИИ</w:t>
      </w:r>
    </w:p>
    <w:p>
      <w:pPr>
        <w:pStyle w:val="2"/>
        <w:jc w:val="center"/>
      </w:pPr>
      <w:r>
        <w:rPr>
          <w:sz w:val="20"/>
        </w:rPr>
        <w:t xml:space="preserve">САНКТ-ПЕТЕРБУРГА И НАХОДЯЩИХСЯ В СОБСТВЕННОСТИ РЕЛИГИОЗНЫХ</w:t>
      </w:r>
    </w:p>
    <w:p>
      <w:pPr>
        <w:pStyle w:val="2"/>
        <w:jc w:val="center"/>
      </w:pPr>
      <w:r>
        <w:rPr>
          <w:sz w:val="20"/>
        </w:rPr>
        <w:t xml:space="preserve">ОРГАНИЗАЦИЙ (КРИТЕРИИ ОЦЕНКИ, ПОКАЗАТЕЛИ КРИТЕРИЕВ ОЦЕНКИ)</w:t>
      </w:r>
    </w:p>
    <w:p>
      <w:pPr>
        <w:pStyle w:val="0"/>
        <w:ind w:firstLine="540"/>
        <w:jc w:val="both"/>
      </w:pPr>
      <w:r>
        <w:rPr>
          <w:sz w:val="20"/>
        </w:rPr>
      </w:r>
    </w:p>
    <w:p>
      <w:pPr>
        <w:pStyle w:val="0"/>
        <w:ind w:firstLine="540"/>
        <w:jc w:val="both"/>
      </w:pPr>
      <w:r>
        <w:rPr>
          <w:sz w:val="20"/>
        </w:rPr>
        <w:t xml:space="preserve">1. Субсидии предоставляются победителям конкурсного отбора в целях финансового обеспечения затрат на мероприятия по сохранению ОКН, соответствующим условиям предоставления субсидий в соответствии с </w:t>
      </w:r>
      <w:hyperlink w:history="0" w:anchor="P72" w:tooltip="2. Условия предоставления субсидий">
        <w:r>
          <w:rPr>
            <w:sz w:val="20"/>
            <w:color w:val="0000ff"/>
          </w:rPr>
          <w:t xml:space="preserve">разделом 2</w:t>
        </w:r>
      </w:hyperlink>
      <w:r>
        <w:rPr>
          <w:sz w:val="20"/>
        </w:rPr>
        <w:t xml:space="preserve"> Порядка предоставления в 2024 году субсидий религиозным организациям на конкурсной основе на выполнение мероприятий по сохранению ОКН, утвержденного настоящим постановлением (далее - Порядок).</w:t>
      </w:r>
    </w:p>
    <w:p>
      <w:pPr>
        <w:pStyle w:val="0"/>
        <w:spacing w:before="200" w:line-rule="auto"/>
        <w:ind w:firstLine="540"/>
        <w:jc w:val="both"/>
      </w:pPr>
      <w:r>
        <w:rPr>
          <w:sz w:val="20"/>
        </w:rPr>
        <w:t xml:space="preserve">2. Субсидии предоставляются по результатам конкурсного отбора, проводимого экспертным советом, создаваемым Комитетом.</w:t>
      </w:r>
    </w:p>
    <w:p>
      <w:pPr>
        <w:pStyle w:val="0"/>
        <w:spacing w:before="200" w:line-rule="auto"/>
        <w:ind w:firstLine="540"/>
        <w:jc w:val="both"/>
      </w:pPr>
      <w:r>
        <w:rPr>
          <w:sz w:val="20"/>
        </w:rPr>
        <w:t xml:space="preserve">3. Экспертный совет принимает решение о победителях конкурсного отбора на основании балльной оценки заявок и документов претендентов по каждому из следующих критериев оценки.</w:t>
      </w:r>
    </w:p>
    <w:bookmarkStart w:id="366" w:name="P366"/>
    <w:bookmarkEnd w:id="366"/>
    <w:p>
      <w:pPr>
        <w:pStyle w:val="0"/>
        <w:spacing w:before="200" w:line-rule="auto"/>
        <w:ind w:firstLine="540"/>
        <w:jc w:val="both"/>
      </w:pPr>
      <w:r>
        <w:rPr>
          <w:sz w:val="20"/>
        </w:rPr>
        <w:t xml:space="preserve">3.1. Историко-культурное значение ОКН.</w:t>
      </w:r>
    </w:p>
    <w:p>
      <w:pPr>
        <w:pStyle w:val="0"/>
        <w:spacing w:before="200" w:line-rule="auto"/>
        <w:ind w:firstLine="540"/>
        <w:jc w:val="both"/>
      </w:pPr>
      <w:r>
        <w:rPr>
          <w:sz w:val="20"/>
        </w:rPr>
        <w:t xml:space="preserve">Количество баллов по критерию, указанному в настоящем пункте, определяется по результатам оценки (суммированием) следующих показателей критериев оценки:</w:t>
      </w:r>
    </w:p>
    <w:p>
      <w:pPr>
        <w:pStyle w:val="0"/>
        <w:spacing w:before="200" w:line-rule="auto"/>
        <w:ind w:firstLine="540"/>
        <w:jc w:val="both"/>
      </w:pPr>
      <w:r>
        <w:rPr>
          <w:sz w:val="20"/>
        </w:rPr>
        <w:t xml:space="preserve">доминанта (здание, сооружение, возвышающееся над окружающей застройкой) - 10 баллов;</w:t>
      </w:r>
    </w:p>
    <w:p>
      <w:pPr>
        <w:pStyle w:val="0"/>
        <w:spacing w:before="200" w:line-rule="auto"/>
        <w:ind w:firstLine="540"/>
        <w:jc w:val="both"/>
      </w:pPr>
      <w:r>
        <w:rPr>
          <w:sz w:val="20"/>
        </w:rPr>
        <w:t xml:space="preserve">расположение в исторически сложившихся центральных районах Санкт-Петербурга (Адмиралтейском, Василеостровском, Петроградском, Центральном) - 8-9 баллов;</w:t>
      </w:r>
    </w:p>
    <w:p>
      <w:pPr>
        <w:pStyle w:val="0"/>
        <w:spacing w:before="200" w:line-rule="auto"/>
        <w:ind w:firstLine="540"/>
        <w:jc w:val="both"/>
      </w:pPr>
      <w:r>
        <w:rPr>
          <w:sz w:val="20"/>
        </w:rPr>
        <w:t xml:space="preserve">расположение в других районах Санкт-Петербурга - 1-7 баллов.</w:t>
      </w:r>
    </w:p>
    <w:bookmarkStart w:id="371" w:name="P371"/>
    <w:bookmarkEnd w:id="371"/>
    <w:p>
      <w:pPr>
        <w:pStyle w:val="0"/>
        <w:spacing w:before="200" w:line-rule="auto"/>
        <w:ind w:firstLine="540"/>
        <w:jc w:val="both"/>
      </w:pPr>
      <w:r>
        <w:rPr>
          <w:sz w:val="20"/>
        </w:rPr>
        <w:t xml:space="preserve">3.2. Состояние ОКН (его частей) в соответствии с актом технического состояния (обследования) и фотофиксацией, выполненными в установленном действующим законодательством порядке.</w:t>
      </w:r>
    </w:p>
    <w:p>
      <w:pPr>
        <w:pStyle w:val="0"/>
        <w:spacing w:before="200" w:line-rule="auto"/>
        <w:ind w:firstLine="540"/>
        <w:jc w:val="both"/>
      </w:pPr>
      <w:r>
        <w:rPr>
          <w:sz w:val="20"/>
        </w:rPr>
        <w:t xml:space="preserve">Количество баллов по критерию, указанному в настоящем пункте, определяется по результатам оценки следующих показателей критериев оценки (выбор одного показателя):</w:t>
      </w:r>
    </w:p>
    <w:p>
      <w:pPr>
        <w:pStyle w:val="0"/>
        <w:spacing w:before="200" w:line-rule="auto"/>
        <w:ind w:firstLine="540"/>
        <w:jc w:val="both"/>
      </w:pPr>
      <w:r>
        <w:rPr>
          <w:sz w:val="20"/>
        </w:rPr>
        <w:t xml:space="preserve">аварийное и(или) неудовлетворительное состояние ОКН - 10 баллов;</w:t>
      </w:r>
    </w:p>
    <w:p>
      <w:pPr>
        <w:pStyle w:val="0"/>
        <w:spacing w:before="200" w:line-rule="auto"/>
        <w:ind w:firstLine="540"/>
        <w:jc w:val="both"/>
      </w:pPr>
      <w:r>
        <w:rPr>
          <w:sz w:val="20"/>
        </w:rPr>
        <w:t xml:space="preserve">неудовлетворительное состояние частей ОКН - 9 баллов;</w:t>
      </w:r>
    </w:p>
    <w:p>
      <w:pPr>
        <w:pStyle w:val="0"/>
        <w:spacing w:before="200" w:line-rule="auto"/>
        <w:ind w:firstLine="540"/>
        <w:jc w:val="both"/>
      </w:pPr>
      <w:r>
        <w:rPr>
          <w:sz w:val="20"/>
        </w:rPr>
        <w:t xml:space="preserve">удовлетворительное состояние ОКН - 5-8 баллов;</w:t>
      </w:r>
    </w:p>
    <w:p>
      <w:pPr>
        <w:pStyle w:val="0"/>
        <w:spacing w:before="200" w:line-rule="auto"/>
        <w:ind w:firstLine="540"/>
        <w:jc w:val="both"/>
      </w:pPr>
      <w:r>
        <w:rPr>
          <w:sz w:val="20"/>
        </w:rPr>
        <w:t xml:space="preserve">хорошее состояние ОКН - 1-4 балла.</w:t>
      </w:r>
    </w:p>
    <w:bookmarkStart w:id="377" w:name="P377"/>
    <w:bookmarkEnd w:id="377"/>
    <w:p>
      <w:pPr>
        <w:pStyle w:val="0"/>
        <w:spacing w:before="200" w:line-rule="auto"/>
        <w:ind w:firstLine="540"/>
        <w:jc w:val="both"/>
      </w:pPr>
      <w:r>
        <w:rPr>
          <w:sz w:val="20"/>
        </w:rPr>
        <w:t xml:space="preserve">3.3. Наличие и объем финансирования из внебюджетных источников мероприятий по сохранению ОКН.</w:t>
      </w:r>
    </w:p>
    <w:p>
      <w:pPr>
        <w:pStyle w:val="0"/>
        <w:spacing w:before="200" w:line-rule="auto"/>
        <w:ind w:firstLine="540"/>
        <w:jc w:val="both"/>
      </w:pPr>
      <w:r>
        <w:rPr>
          <w:sz w:val="20"/>
        </w:rPr>
        <w:t xml:space="preserve">Количество баллов по критерию оценки, указанному в настоящем пункте, определяется по результатам оценки следующих показателей критериев оценки (выбор одного показателя):</w:t>
      </w:r>
    </w:p>
    <w:p>
      <w:pPr>
        <w:pStyle w:val="0"/>
        <w:spacing w:before="200" w:line-rule="auto"/>
        <w:ind w:firstLine="540"/>
        <w:jc w:val="both"/>
      </w:pPr>
      <w:r>
        <w:rPr>
          <w:sz w:val="20"/>
        </w:rPr>
        <w:t xml:space="preserve">наличие документально подтвержденного факта финансирования в объеме 50 и более процентов от запрашиваемого объема субсидий - 10 баллов;</w:t>
      </w:r>
    </w:p>
    <w:p>
      <w:pPr>
        <w:pStyle w:val="0"/>
        <w:spacing w:before="200" w:line-rule="auto"/>
        <w:ind w:firstLine="540"/>
        <w:jc w:val="both"/>
      </w:pPr>
      <w:r>
        <w:rPr>
          <w:sz w:val="20"/>
        </w:rPr>
        <w:t xml:space="preserve">наличие документально подтвержденного факта финансирования в объеме до 50 процентов от запрашиваемого объема субсидий - 9 баллов;</w:t>
      </w:r>
    </w:p>
    <w:p>
      <w:pPr>
        <w:pStyle w:val="0"/>
        <w:spacing w:before="200" w:line-rule="auto"/>
        <w:ind w:firstLine="540"/>
        <w:jc w:val="both"/>
      </w:pPr>
      <w:r>
        <w:rPr>
          <w:sz w:val="20"/>
        </w:rPr>
        <w:t xml:space="preserve">отсутствие документально подтвержденного факта финансирования - 1 балл.</w:t>
      </w:r>
    </w:p>
    <w:p>
      <w:pPr>
        <w:pStyle w:val="0"/>
        <w:spacing w:before="200" w:line-rule="auto"/>
        <w:ind w:firstLine="540"/>
        <w:jc w:val="both"/>
      </w:pPr>
      <w:r>
        <w:rPr>
          <w:sz w:val="20"/>
        </w:rPr>
        <w:t xml:space="preserve">4. Итоговая оценка по каждой заявке претендента определяется по следующей формуле:</w:t>
      </w:r>
    </w:p>
    <w:p>
      <w:pPr>
        <w:pStyle w:val="0"/>
        <w:ind w:firstLine="540"/>
        <w:jc w:val="both"/>
      </w:pPr>
      <w:r>
        <w:rPr>
          <w:sz w:val="20"/>
        </w:rPr>
      </w:r>
    </w:p>
    <w:p>
      <w:pPr>
        <w:pStyle w:val="0"/>
        <w:jc w:val="center"/>
      </w:pPr>
      <w:r>
        <w:rPr>
          <w:sz w:val="20"/>
        </w:rPr>
        <w:t xml:space="preserve">ОЦi = (0,4 x ИКЗi) + (0,5 x ССТi) + (0,1 x ФИНi),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порядковый номер заявки претендента;</w:t>
      </w:r>
    </w:p>
    <w:p>
      <w:pPr>
        <w:pStyle w:val="0"/>
        <w:spacing w:before="200" w:line-rule="auto"/>
        <w:ind w:firstLine="540"/>
        <w:jc w:val="both"/>
      </w:pPr>
      <w:r>
        <w:rPr>
          <w:sz w:val="20"/>
        </w:rPr>
        <w:t xml:space="preserve">ОЦi - итоговая оценка по i-й заявке;</w:t>
      </w:r>
    </w:p>
    <w:p>
      <w:pPr>
        <w:pStyle w:val="0"/>
        <w:spacing w:before="200" w:line-rule="auto"/>
        <w:ind w:firstLine="540"/>
        <w:jc w:val="both"/>
      </w:pPr>
      <w:r>
        <w:rPr>
          <w:sz w:val="20"/>
        </w:rPr>
        <w:t xml:space="preserve">(0,5), (0,4), (0,1) - коэффициенты значимости критериев оценки в долях, суммарный вес которых равен единице;</w:t>
      </w:r>
    </w:p>
    <w:p>
      <w:pPr>
        <w:pStyle w:val="0"/>
        <w:spacing w:before="200" w:line-rule="auto"/>
        <w:ind w:firstLine="540"/>
        <w:jc w:val="both"/>
      </w:pPr>
      <w:r>
        <w:rPr>
          <w:sz w:val="20"/>
        </w:rPr>
        <w:t xml:space="preserve">ИКЗi - среднее арифметическое баллов оценки заявки членами экспертного совета по предоставлению субсидий по критерию, указанному в </w:t>
      </w:r>
      <w:hyperlink w:history="0" w:anchor="P366" w:tooltip="3.1. Историко-культурное значение ОКН.">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ССТi - среднее арифметическое баллов оценки заявки членами экспертного совета по предоставлению субсидий по критерию, указанному в </w:t>
      </w:r>
      <w:hyperlink w:history="0" w:anchor="P371" w:tooltip="3.2. Состояние ОКН (его частей) в соответствии с актом технического состояния (обследования) и фотофиксацией, выполненными в установленном действующим законодательством порядке.">
        <w:r>
          <w:rPr>
            <w:sz w:val="20"/>
            <w:color w:val="0000ff"/>
          </w:rPr>
          <w:t xml:space="preserve">пункте 3.2</w:t>
        </w:r>
      </w:hyperlink>
      <w:r>
        <w:rPr>
          <w:sz w:val="20"/>
        </w:rPr>
        <w:t xml:space="preserve"> настоящего Порядка;</w:t>
      </w:r>
    </w:p>
    <w:p>
      <w:pPr>
        <w:pStyle w:val="0"/>
        <w:spacing w:before="200" w:line-rule="auto"/>
        <w:ind w:firstLine="540"/>
        <w:jc w:val="both"/>
      </w:pPr>
      <w:r>
        <w:rPr>
          <w:sz w:val="20"/>
        </w:rPr>
        <w:t xml:space="preserve">ФИНi - среднее арифметическое баллов оценки заявки членами экспертного совета по предоставлению субсидий по критерию, указанному в </w:t>
      </w:r>
      <w:hyperlink w:history="0" w:anchor="P377" w:tooltip="3.3. Наличие и объем финансирования из внебюджетных источников мероприятий по сохранению ОКН.">
        <w:r>
          <w:rPr>
            <w:sz w:val="20"/>
            <w:color w:val="0000ff"/>
          </w:rPr>
          <w:t xml:space="preserve">пункте 3.3</w:t>
        </w:r>
      </w:hyperlink>
      <w:r>
        <w:rPr>
          <w:sz w:val="20"/>
        </w:rPr>
        <w:t xml:space="preserve"> настоящего Порядка.</w:t>
      </w:r>
    </w:p>
    <w:p>
      <w:pPr>
        <w:pStyle w:val="0"/>
        <w:ind w:firstLine="540"/>
        <w:jc w:val="both"/>
      </w:pPr>
      <w:r>
        <w:rPr>
          <w:sz w:val="20"/>
        </w:rPr>
      </w:r>
    </w:p>
    <w:p>
      <w:pPr>
        <w:pStyle w:val="0"/>
        <w:ind w:firstLine="540"/>
        <w:jc w:val="both"/>
      </w:pPr>
      <w:r>
        <w:rPr>
          <w:sz w:val="20"/>
        </w:rPr>
        <w:t xml:space="preserve">5. Победителями конкурсного отбора признаются претенденты, получившие итоговую оценку (минимальный проходной балл) не менее 4 баллов.</w:t>
      </w:r>
    </w:p>
    <w:p>
      <w:pPr>
        <w:pStyle w:val="0"/>
        <w:spacing w:before="200" w:line-rule="auto"/>
        <w:ind w:firstLine="540"/>
        <w:jc w:val="both"/>
      </w:pPr>
      <w:r>
        <w:rPr>
          <w:sz w:val="20"/>
        </w:rPr>
        <w:t xml:space="preserve">6. Решение экспертного совета о победителях конкурсного отбора оформляется протоколом с указанием перечня победителей конкурсного отбора и размеров предоставляемых им субсидий, определенных в соответствии с </w:t>
      </w:r>
      <w:hyperlink w:history="0" w:anchor="P440" w:tooltip="ПОРЯДОК">
        <w:r>
          <w:rPr>
            <w:sz w:val="20"/>
            <w:color w:val="0000ff"/>
          </w:rPr>
          <w:t xml:space="preserve">приложением N 4</w:t>
        </w:r>
      </w:hyperlink>
      <w:r>
        <w:rPr>
          <w:sz w:val="20"/>
        </w:rPr>
        <w:t xml:space="preserve"> к Порядку (далее - решение).</w:t>
      </w:r>
    </w:p>
    <w:p>
      <w:pPr>
        <w:pStyle w:val="0"/>
        <w:spacing w:before="200" w:line-rule="auto"/>
        <w:ind w:firstLine="540"/>
        <w:jc w:val="both"/>
      </w:pPr>
      <w:r>
        <w:rPr>
          <w:sz w:val="20"/>
        </w:rPr>
        <w:t xml:space="preserve">7. Решение оформляется в течение пяти рабочих дней со дня его вынесения и в день его оформления передается в Комитет.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2024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jc w:val="right"/>
      </w:pPr>
      <w:r>
        <w:rPr>
          <w:sz w:val="20"/>
        </w:rPr>
      </w:r>
    </w:p>
    <w:bookmarkStart w:id="412" w:name="P412"/>
    <w:bookmarkEnd w:id="412"/>
    <w:p>
      <w:pPr>
        <w:pStyle w:val="2"/>
        <w:jc w:val="center"/>
      </w:pPr>
      <w:r>
        <w:rPr>
          <w:sz w:val="20"/>
        </w:rPr>
        <w:t xml:space="preserve">ПОРЯДОК И СРОКИ</w:t>
      </w:r>
    </w:p>
    <w:p>
      <w:pPr>
        <w:pStyle w:val="2"/>
        <w:jc w:val="center"/>
      </w:pPr>
      <w:r>
        <w:rPr>
          <w:sz w:val="20"/>
        </w:rPr>
        <w:t xml:space="preserve">ПРЕДСТАВЛЕНИЯ ПОЛУЧАТЕЛЕМ СУБСИДИЙ ОТЧЕТНОСТИ О ДОСТИЖЕНИИ</w:t>
      </w:r>
    </w:p>
    <w:p>
      <w:pPr>
        <w:pStyle w:val="2"/>
        <w:jc w:val="center"/>
      </w:pPr>
      <w:r>
        <w:rPr>
          <w:sz w:val="20"/>
        </w:rPr>
        <w:t xml:space="preserve">РЕЗУЛЬТАТОВ ПРЕДОСТАВЛЕНИЯ СУБСИДИЙ РЕЛИГИОЗНЫМ ОРГАНИЗАЦИЯМ</w:t>
      </w:r>
    </w:p>
    <w:p>
      <w:pPr>
        <w:pStyle w:val="2"/>
        <w:jc w:val="center"/>
      </w:pPr>
      <w:r>
        <w:rPr>
          <w:sz w:val="20"/>
        </w:rPr>
        <w:t xml:space="preserve">НА ВЫПОЛНЕНИЕ МЕРОПРИЯТИЙ ПО СОХРАНЕНИЮ ОКН, РАСПОЛОЖЕННЫХ</w:t>
      </w:r>
    </w:p>
    <w:p>
      <w:pPr>
        <w:pStyle w:val="2"/>
        <w:jc w:val="center"/>
      </w:pPr>
      <w:r>
        <w:rPr>
          <w:sz w:val="20"/>
        </w:rPr>
        <w:t xml:space="preserve">НА ТЕРРИТОРИИ САНКТ-ПЕТЕРБУРГА И НАХОДЯЩИХСЯ В СОБСТВЕННОСТИ</w:t>
      </w:r>
    </w:p>
    <w:p>
      <w:pPr>
        <w:pStyle w:val="2"/>
        <w:jc w:val="center"/>
      </w:pPr>
      <w:r>
        <w:rPr>
          <w:sz w:val="20"/>
        </w:rPr>
        <w:t xml:space="preserve">РЕЛИГИОЗНЫХ ОРГАНИЗАЦИЙ, И ЗНАЧЕНИЙ ХАРАКТЕРИСТИКИ, А ТАКЖЕ</w:t>
      </w:r>
    </w:p>
    <w:p>
      <w:pPr>
        <w:pStyle w:val="2"/>
        <w:jc w:val="center"/>
      </w:pPr>
      <w:r>
        <w:rPr>
          <w:sz w:val="20"/>
        </w:rPr>
        <w:t xml:space="preserve">ОТЧЕТНОСТИ ОБ ОСУЩЕСТВЛЕНИИ РАСХОДОВ, ИСТОЧНИКОМ ФИНАНСОВОГО</w:t>
      </w:r>
    </w:p>
    <w:p>
      <w:pPr>
        <w:pStyle w:val="2"/>
        <w:jc w:val="center"/>
      </w:pPr>
      <w:r>
        <w:rPr>
          <w:sz w:val="20"/>
        </w:rPr>
        <w:t xml:space="preserve">ОБЕСПЕЧЕНИЯ КОТОРЫХ ЯВЛЯЮТСЯ СУБСИДИИ</w:t>
      </w:r>
    </w:p>
    <w:p>
      <w:pPr>
        <w:pStyle w:val="0"/>
        <w:ind w:firstLine="540"/>
        <w:jc w:val="both"/>
      </w:pPr>
      <w:r>
        <w:rPr>
          <w:sz w:val="20"/>
        </w:rPr>
      </w:r>
    </w:p>
    <w:p>
      <w:pPr>
        <w:pStyle w:val="0"/>
        <w:ind w:firstLine="540"/>
        <w:jc w:val="both"/>
      </w:pPr>
      <w:r>
        <w:rPr>
          <w:sz w:val="20"/>
        </w:rPr>
        <w:t xml:space="preserve">Получатели субсидий представляют в установленные Комитетом сроки, но не реже одного раза в квартал, отчетность о достижении значений результата и характеристики результата, а также отчетность об осуществлении расходов, источником финансового обеспечения которых являются субсидии, по формам, определенным типовыми формами соглашений, установленными Комитетом финансов Санкт-Петербурга, с приложением следующих документов:</w:t>
      </w:r>
    </w:p>
    <w:p>
      <w:pPr>
        <w:pStyle w:val="0"/>
        <w:spacing w:before="200" w:line-rule="auto"/>
        <w:ind w:firstLine="540"/>
        <w:jc w:val="both"/>
      </w:pPr>
      <w:r>
        <w:rPr>
          <w:sz w:val="20"/>
        </w:rPr>
        <w:t xml:space="preserve">копии актов приемки выполненных работ по сохранению ОКН, оформленные в </w:t>
      </w:r>
      <w:hyperlink w:history="0" r:id="rId52"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порядке</w:t>
        </w:r>
      </w:hyperlink>
      <w:r>
        <w:rPr>
          <w:sz w:val="20"/>
        </w:rPr>
        <w:t xml:space="preserve">, установленном приказом Минкультуры России от 25.06.2015 N 1840 (представляется в случае, если не направлялся в Комитет ранее в составе заявки);</w:t>
      </w:r>
    </w:p>
    <w:p>
      <w:pPr>
        <w:pStyle w:val="0"/>
        <w:spacing w:before="200" w:line-rule="auto"/>
        <w:ind w:firstLine="540"/>
        <w:jc w:val="both"/>
      </w:pPr>
      <w:r>
        <w:rPr>
          <w:sz w:val="20"/>
        </w:rPr>
        <w:t xml:space="preserve">документы, подтверждающие произведенные затраты (копии договоров на поставку товаров, выполнение работ, оказание услуг; копии актов выполненных работ, оказанных услуг, в том числе по формам </w:t>
      </w:r>
      <w:hyperlink w:history="0" r:id="rId5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КС-2</w:t>
        </w:r>
      </w:hyperlink>
      <w:r>
        <w:rPr>
          <w:sz w:val="20"/>
        </w:rPr>
        <w:t xml:space="preserve"> "Акт о приемке выполненных работ" и </w:t>
      </w:r>
      <w:hyperlink w:history="0" r:id="rId5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КС-3</w:t>
        </w:r>
      </w:hyperlink>
      <w:r>
        <w:rPr>
          <w:sz w:val="20"/>
        </w:rP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копии счетов-фактур; копии товарных накладных; копии платежных документов; копии прочих первичных учетных документов);</w:t>
      </w:r>
    </w:p>
    <w:p>
      <w:pPr>
        <w:pStyle w:val="0"/>
        <w:spacing w:before="200" w:line-rule="auto"/>
        <w:ind w:firstLine="540"/>
        <w:jc w:val="both"/>
      </w:pPr>
      <w:r>
        <w:rPr>
          <w:sz w:val="20"/>
        </w:rPr>
        <w:t xml:space="preserve">справка в свободной форме, подтверждающая, что размер средней заработной платы каждого работника получателя субсидии (включая работников обособленных подразделений, находящихся на территории Санкт-Петербурга), рассчитанный в соответствии со </w:t>
      </w:r>
      <w:hyperlink w:history="0" r:id="rId55"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представления отчетности о достижении значений результата и характеристики результата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(нарушение требования влечет отказ в предоставлении субсидии).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в 2024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jc w:val="right"/>
      </w:pPr>
      <w:r>
        <w:rPr>
          <w:sz w:val="20"/>
        </w:rPr>
      </w:r>
    </w:p>
    <w:bookmarkStart w:id="440" w:name="P440"/>
    <w:bookmarkEnd w:id="440"/>
    <w:p>
      <w:pPr>
        <w:pStyle w:val="2"/>
        <w:jc w:val="center"/>
      </w:pPr>
      <w:r>
        <w:rPr>
          <w:sz w:val="20"/>
        </w:rPr>
        <w:t xml:space="preserve">ПОРЯДОК</w:t>
      </w:r>
    </w:p>
    <w:p>
      <w:pPr>
        <w:pStyle w:val="2"/>
        <w:jc w:val="center"/>
      </w:pPr>
      <w:r>
        <w:rPr>
          <w:sz w:val="20"/>
        </w:rPr>
        <w:t xml:space="preserve">РАСЧЕТА РАЗМЕРА СУБСИДИЙ РЕЛИГИОЗНЫМ ОРГАНИЗАЦИЯМ</w:t>
      </w:r>
    </w:p>
    <w:p>
      <w:pPr>
        <w:pStyle w:val="2"/>
        <w:jc w:val="center"/>
      </w:pPr>
      <w:r>
        <w:rPr>
          <w:sz w:val="20"/>
        </w:rPr>
        <w:t xml:space="preserve">НА ВЫПОЛНЕНИЕ МЕРОПРИЯТИЙ ПО СОХРАНЕНИЮ ОКН, РАСПОЛОЖЕННЫХ</w:t>
      </w:r>
    </w:p>
    <w:p>
      <w:pPr>
        <w:pStyle w:val="2"/>
        <w:jc w:val="center"/>
      </w:pPr>
      <w:r>
        <w:rPr>
          <w:sz w:val="20"/>
        </w:rPr>
        <w:t xml:space="preserve">НА ТЕРРИТОРИИ САНКТ-ПЕТЕРБУРГА И НАХОДЯЩИХСЯ В СОБСТВЕННОСТИ</w:t>
      </w:r>
    </w:p>
    <w:p>
      <w:pPr>
        <w:pStyle w:val="2"/>
        <w:jc w:val="center"/>
      </w:pPr>
      <w:r>
        <w:rPr>
          <w:sz w:val="20"/>
        </w:rPr>
        <w:t xml:space="preserve">РЕЛИГИОЗНЫХ ОРГАНИЗАЦИЙ</w:t>
      </w:r>
    </w:p>
    <w:p>
      <w:pPr>
        <w:pStyle w:val="0"/>
        <w:ind w:firstLine="540"/>
        <w:jc w:val="both"/>
      </w:pPr>
      <w:r>
        <w:rPr>
          <w:sz w:val="20"/>
        </w:rPr>
      </w:r>
    </w:p>
    <w:p>
      <w:pPr>
        <w:pStyle w:val="0"/>
        <w:ind w:firstLine="540"/>
        <w:jc w:val="both"/>
      </w:pPr>
      <w:r>
        <w:rPr>
          <w:sz w:val="20"/>
        </w:rPr>
        <w:t xml:space="preserve">1. Размер субсидий, предоставляемых победителям конкурсного отбора, определяется исходя из объема бюджетных ассигнований на предоставление субсидий, предусмотренных Комитету в 2024 году </w:t>
      </w:r>
      <w:hyperlink w:history="0" r:id="rId56"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"Субсидии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(код целевой статьи 0850071410) в приложении 2 к Закону Санкт-Петербурга от 29.11.2023 N 714-144 "О бюджете Санкт-Петербурга на 2024 год и на плановый период 2025 и 2026 годов" (далее - целевая статья), с учетом полученных победителем конкурсного отбора итоговых оценок.</w:t>
      </w:r>
    </w:p>
    <w:bookmarkStart w:id="447" w:name="P447"/>
    <w:bookmarkEnd w:id="447"/>
    <w:p>
      <w:pPr>
        <w:pStyle w:val="0"/>
        <w:spacing w:before="200" w:line-rule="auto"/>
        <w:ind w:firstLine="540"/>
        <w:jc w:val="both"/>
      </w:pPr>
      <w:r>
        <w:rPr>
          <w:sz w:val="20"/>
        </w:rPr>
        <w:t xml:space="preserve">2. Размер предоставляемых субсидий рассчитывается на основании сметной стоимости соответствующих работ по сохранению ОКН, подтвержденной сметной документацией, представляемой в составе документов, и ограничивается объемом бюджетных ассигнований, предусмотренных Комитету по целевой статье.</w:t>
      </w:r>
    </w:p>
    <w:p>
      <w:pPr>
        <w:pStyle w:val="0"/>
        <w:spacing w:before="200" w:line-rule="auto"/>
        <w:ind w:firstLine="540"/>
        <w:jc w:val="both"/>
      </w:pPr>
      <w:r>
        <w:rPr>
          <w:sz w:val="20"/>
        </w:rPr>
        <w:t xml:space="preserve">3. Размер субсидий, предоставляемых получателям субсидий, определяется по следующей формуле:</w:t>
      </w:r>
    </w:p>
    <w:p>
      <w:pPr>
        <w:pStyle w:val="0"/>
        <w:ind w:firstLine="540"/>
        <w:jc w:val="both"/>
      </w:pPr>
      <w:r>
        <w:rPr>
          <w:sz w:val="20"/>
        </w:rPr>
      </w:r>
    </w:p>
    <w:p>
      <w:pPr>
        <w:pStyle w:val="0"/>
        <w:jc w:val="center"/>
      </w:pPr>
      <w:r>
        <w:rPr>
          <w:sz w:val="20"/>
        </w:rPr>
        <w:t xml:space="preserve">СУБi = min (min (ЗТРi x Кi; ЗТРi); ЛИМ),</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СУБi - размер субсидий i-му победителю конкурсного отбора для i = 1, 2, 3, ..., N в рублях с точностью до копеек (округление производится по правилам математического округления);</w:t>
      </w:r>
    </w:p>
    <w:p>
      <w:pPr>
        <w:pStyle w:val="0"/>
        <w:spacing w:before="200" w:line-rule="auto"/>
        <w:ind w:firstLine="540"/>
        <w:jc w:val="both"/>
      </w:pPr>
      <w:r>
        <w:rPr>
          <w:sz w:val="20"/>
        </w:rPr>
        <w:t xml:space="preserve">ЗТРi - сумма документально обоснованных планируемых затрат i-го победителя конкурсного отбора для i = 1, 2, 3, ..., N в рублях с точностью до копеек (округление производится по правилам математического округления);</w:t>
      </w:r>
    </w:p>
    <w:p>
      <w:pPr>
        <w:pStyle w:val="0"/>
        <w:spacing w:before="200" w:line-rule="auto"/>
        <w:ind w:firstLine="540"/>
        <w:jc w:val="both"/>
      </w:pPr>
      <w:r>
        <w:rPr>
          <w:sz w:val="20"/>
        </w:rPr>
        <w:t xml:space="preserve">ЛИМ - объем бюджетных ассигнований на предоставление субсидий;</w:t>
      </w:r>
    </w:p>
    <w:p>
      <w:pPr>
        <w:pStyle w:val="0"/>
        <w:spacing w:before="200" w:line-rule="auto"/>
        <w:ind w:firstLine="540"/>
        <w:jc w:val="both"/>
      </w:pPr>
      <w:r>
        <w:rPr>
          <w:sz w:val="20"/>
        </w:rPr>
        <w:t xml:space="preserve">Кi - коэффициент, определяемый по итогам оценки заявки и документов для i-го победителя конкурсного отбора по следующей формуле:</w:t>
      </w:r>
    </w:p>
    <w:p>
      <w:pPr>
        <w:pStyle w:val="0"/>
        <w:ind w:firstLine="540"/>
        <w:jc w:val="both"/>
      </w:pPr>
      <w:r>
        <w:rPr>
          <w:sz w:val="20"/>
        </w:rPr>
      </w:r>
    </w:p>
    <w:p>
      <w:pPr>
        <w:pStyle w:val="0"/>
        <w:jc w:val="center"/>
      </w:pPr>
      <w:r>
        <w:rPr>
          <w:sz w:val="20"/>
        </w:rPr>
        <w:t xml:space="preserve">Кi = ОЦi / Кmax,</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Кmax = 10;</w:t>
      </w:r>
    </w:p>
    <w:p>
      <w:pPr>
        <w:pStyle w:val="0"/>
        <w:spacing w:before="200" w:line-rule="auto"/>
        <w:ind w:firstLine="540"/>
        <w:jc w:val="both"/>
      </w:pPr>
      <w:r>
        <w:rPr>
          <w:sz w:val="20"/>
        </w:rPr>
        <w:t xml:space="preserve">ОЦi - итоговая оценка по i-й заявке.</w:t>
      </w:r>
    </w:p>
    <w:p>
      <w:pPr>
        <w:pStyle w:val="0"/>
        <w:ind w:firstLine="540"/>
        <w:jc w:val="both"/>
      </w:pPr>
      <w:r>
        <w:rPr>
          <w:sz w:val="20"/>
        </w:rPr>
      </w:r>
    </w:p>
    <w:p>
      <w:pPr>
        <w:pStyle w:val="0"/>
        <w:ind w:firstLine="540"/>
        <w:jc w:val="both"/>
      </w:pPr>
      <w:r>
        <w:rPr>
          <w:sz w:val="20"/>
        </w:rPr>
        <w:t xml:space="preserve">4. В случае если общая сумма субсидий победителей конкурсного отбора, определенная в соответствии с </w:t>
      </w:r>
      <w:hyperlink w:history="0" w:anchor="P447" w:tooltip="2. Размер предоставляемых субсидий рассчитывается на основании сметной стоимости соответствующих работ по сохранению ОКН, подтвержденной сметной документацией, представляемой в составе документов, и ограничивается объемом бюджетных ассигнований, предусмотренных Комитету по целевой статье.">
        <w:r>
          <w:rPr>
            <w:sz w:val="20"/>
            <w:color w:val="0000ff"/>
          </w:rPr>
          <w:t xml:space="preserve">пунктом 2</w:t>
        </w:r>
      </w:hyperlink>
      <w:r>
        <w:rPr>
          <w:sz w:val="20"/>
        </w:rPr>
        <w:t xml:space="preserve"> настоящего Порядка, превышает на дату принятия решения о предоставлении субсидий в форме распоряжения Комитета объем бюджетных ассигнований или лимитов бюджетных обязательств на предоставление субсидий, окончательный размер предоставляемых субсидий определяется по следующей формуле:</w:t>
      </w:r>
    </w:p>
    <w:p>
      <w:pPr>
        <w:pStyle w:val="0"/>
        <w:ind w:firstLine="540"/>
        <w:jc w:val="both"/>
      </w:pPr>
      <w:r>
        <w:rPr>
          <w:sz w:val="20"/>
        </w:rPr>
      </w:r>
    </w:p>
    <w:p>
      <w:pPr>
        <w:pStyle w:val="0"/>
        <w:jc w:val="center"/>
      </w:pPr>
      <w:r>
        <w:rPr>
          <w:position w:val="-23"/>
        </w:rPr>
        <w:drawing>
          <wp:inline distT="0" distB="0" distL="0" distR="0">
            <wp:extent cx="2028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СКi - окончательный размер субсидий i-му победителю конкурсного отбора для i = 1, 2, 3, ..., N в рублях с точностью до копеек (округление производится по правилам математического округления);</w:t>
      </w:r>
    </w:p>
    <w:p>
      <w:pPr>
        <w:pStyle w:val="0"/>
        <w:spacing w:before="200" w:line-rule="auto"/>
        <w:ind w:firstLine="540"/>
        <w:jc w:val="both"/>
      </w:pPr>
      <w:r>
        <w:rPr>
          <w:sz w:val="20"/>
        </w:rPr>
        <w:t xml:space="preserve">ЛИМ - объем бюджетных ассигнований или лимитов бюджетных обязательств на предоставление субсидии (указывается наименьшая из указанных величин);</w:t>
      </w:r>
    </w:p>
    <w:p>
      <w:pPr>
        <w:pStyle w:val="0"/>
        <w:spacing w:before="200" w:line-rule="auto"/>
        <w:ind w:firstLine="540"/>
        <w:jc w:val="both"/>
      </w:pPr>
      <w:r>
        <w:rPr>
          <w:sz w:val="20"/>
        </w:rPr>
        <w:t xml:space="preserve">СУБi - размер субсидий i-му победителю конкурсного отбора для i = 1, 2, 3, ..., N в рублях с точностью до копеек (округление производится по правилам математического округления).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02.05.2024 N 320</w:t>
            <w:br/>
            <w:t>"О Порядке предоставления в 2024 году субсидий религиоз...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SPB&amp;n=283669" TargetMode = "External"/>
	<Relationship Id="rId9" Type="http://schemas.openxmlformats.org/officeDocument/2006/relationships/hyperlink" Target="https://login.consultant.ru/link/?req=doc&amp;base=LAW&amp;n=461663&amp;dst=100029" TargetMode = "External"/>
	<Relationship Id="rId10" Type="http://schemas.openxmlformats.org/officeDocument/2006/relationships/hyperlink" Target="https://login.consultant.ru/link/?req=doc&amp;base=SPB&amp;n=276570&amp;dst=100074" TargetMode = "External"/>
	<Relationship Id="rId11" Type="http://schemas.openxmlformats.org/officeDocument/2006/relationships/hyperlink" Target="https://login.consultant.ru/link/?req=doc&amp;base=SPB&amp;n=291115&amp;dst=225644" TargetMode = "External"/>
	<Relationship Id="rId12" Type="http://schemas.openxmlformats.org/officeDocument/2006/relationships/hyperlink" Target="https://login.consultant.ru/link/?req=doc&amp;base=LAW&amp;n=470713&amp;dst=103431" TargetMode = "External"/>
	<Relationship Id="rId13" Type="http://schemas.openxmlformats.org/officeDocument/2006/relationships/hyperlink" Target="https://login.consultant.ru/link/?req=doc&amp;base=SPB&amp;n=283669&amp;dst=104077" TargetMode = "External"/>
	<Relationship Id="rId14" Type="http://schemas.openxmlformats.org/officeDocument/2006/relationships/hyperlink" Target="https://login.consultant.ru/link/?req=doc&amp;base=SPB&amp;n=276570&amp;dst=100074" TargetMode = "External"/>
	<Relationship Id="rId15" Type="http://schemas.openxmlformats.org/officeDocument/2006/relationships/hyperlink" Target="https://login.consultant.ru/link/?req=doc&amp;base=SPB&amp;n=291115&amp;dst=225644" TargetMode = "External"/>
	<Relationship Id="rId16" Type="http://schemas.openxmlformats.org/officeDocument/2006/relationships/hyperlink" Target="https://login.consultant.ru/link/?req=doc&amp;base=SPB&amp;n=276570&amp;dst=100050" TargetMode = "External"/>
	<Relationship Id="rId17" Type="http://schemas.openxmlformats.org/officeDocument/2006/relationships/hyperlink" Target="https://login.consultant.ru/link/?req=doc&amp;base=LAW&amp;n=189447" TargetMode = "External"/>
	<Relationship Id="rId18" Type="http://schemas.openxmlformats.org/officeDocument/2006/relationships/hyperlink" Target="https://login.consultant.ru/link/?req=doc&amp;base=SPB&amp;n=291115&amp;dst=225000" TargetMode = "External"/>
	<Relationship Id="rId19" Type="http://schemas.openxmlformats.org/officeDocument/2006/relationships/hyperlink" Target="https://login.consultant.ru/link/?req=doc&amp;base=LAW&amp;n=460012" TargetMode = "External"/>
	<Relationship Id="rId20" Type="http://schemas.openxmlformats.org/officeDocument/2006/relationships/hyperlink" Target="https://login.consultant.ru/link/?req=doc&amp;base=LAW&amp;n=189447" TargetMode = "External"/>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LAW&amp;n=465972" TargetMode = "External"/>
	<Relationship Id="rId24" Type="http://schemas.openxmlformats.org/officeDocument/2006/relationships/hyperlink" Target="https://login.consultant.ru/link/?req=doc&amp;base=LAW&amp;n=474024&amp;dst=100948" TargetMode = "External"/>
	<Relationship Id="rId25" Type="http://schemas.openxmlformats.org/officeDocument/2006/relationships/hyperlink" Target="https://login.consultant.ru/link/?req=doc&amp;base=SPB&amp;n=276570&amp;dst=100050" TargetMode = "External"/>
	<Relationship Id="rId26" Type="http://schemas.openxmlformats.org/officeDocument/2006/relationships/hyperlink" Target="https://login.consultant.ru/link/?req=doc&amp;base=LAW&amp;n=476448" TargetMode = "External"/>
	<Relationship Id="rId27" Type="http://schemas.openxmlformats.org/officeDocument/2006/relationships/hyperlink" Target="https://login.consultant.ru/link/?req=doc&amp;base=LAW&amp;n=472841&amp;dst=5769" TargetMode = "External"/>
	<Relationship Id="rId28" Type="http://schemas.openxmlformats.org/officeDocument/2006/relationships/hyperlink" Target="https://login.consultant.ru/link/?req=doc&amp;base=LAW&amp;n=474024&amp;dst=100948" TargetMode = "External"/>
	<Relationship Id="rId29" Type="http://schemas.openxmlformats.org/officeDocument/2006/relationships/hyperlink" Target="https://login.consultant.ru/link/?req=doc&amp;base=LAW&amp;n=189447&amp;dst=100124" TargetMode = "External"/>
	<Relationship Id="rId30" Type="http://schemas.openxmlformats.org/officeDocument/2006/relationships/hyperlink" Target="https://login.consultant.ru/link/?req=doc&amp;base=LAW&amp;n=460012&amp;dst=619" TargetMode = "External"/>
	<Relationship Id="rId31" Type="http://schemas.openxmlformats.org/officeDocument/2006/relationships/hyperlink" Target="https://login.consultant.ru/link/?req=doc&amp;base=LAW&amp;n=400478" TargetMode = "External"/>
	<Relationship Id="rId32" Type="http://schemas.openxmlformats.org/officeDocument/2006/relationships/hyperlink" Target="https://login.consultant.ru/link/?req=doc&amp;base=LAW&amp;n=189447&amp;dst=100124" TargetMode = "External"/>
	<Relationship Id="rId33" Type="http://schemas.openxmlformats.org/officeDocument/2006/relationships/hyperlink" Target="https://login.consultant.ru/link/?req=doc&amp;base=SPB&amp;n=283669" TargetMode = "External"/>
	<Relationship Id="rId34" Type="http://schemas.openxmlformats.org/officeDocument/2006/relationships/hyperlink" Target="https://login.consultant.ru/link/?req=doc&amp;base=LAW&amp;n=470713&amp;dst=3704" TargetMode = "External"/>
	<Relationship Id="rId35" Type="http://schemas.openxmlformats.org/officeDocument/2006/relationships/hyperlink" Target="https://login.consultant.ru/link/?req=doc&amp;base=LAW&amp;n=470713&amp;dst=3722" TargetMode = "External"/>
	<Relationship Id="rId36" Type="http://schemas.openxmlformats.org/officeDocument/2006/relationships/hyperlink" Target="https://login.consultant.ru/link/?req=doc&amp;base=LAW&amp;n=474024&amp;dst=100948" TargetMode = "External"/>
	<Relationship Id="rId37" Type="http://schemas.openxmlformats.org/officeDocument/2006/relationships/hyperlink" Target="https://login.consultant.ru/link/?req=doc&amp;base=LAW&amp;n=472841&amp;dst=5769" TargetMode = "External"/>
	<Relationship Id="rId38" Type="http://schemas.openxmlformats.org/officeDocument/2006/relationships/hyperlink" Target="https://login.consultant.ru/link/?req=doc&amp;base=LAW&amp;n=470713&amp;dst=3704" TargetMode = "External"/>
	<Relationship Id="rId39" Type="http://schemas.openxmlformats.org/officeDocument/2006/relationships/hyperlink" Target="https://login.consultant.ru/link/?req=doc&amp;base=LAW&amp;n=470713&amp;dst=3722" TargetMode = "External"/>
	<Relationship Id="rId40" Type="http://schemas.openxmlformats.org/officeDocument/2006/relationships/hyperlink" Target="https://login.consultant.ru/link/?req=doc&amp;base=LAW&amp;n=471848&amp;dst=465" TargetMode = "External"/>
	<Relationship Id="rId41" Type="http://schemas.openxmlformats.org/officeDocument/2006/relationships/hyperlink" Target="https://login.consultant.ru/link/?req=doc&amp;base=LAW&amp;n=350399" TargetMode = "External"/>
	<Relationship Id="rId42" Type="http://schemas.openxmlformats.org/officeDocument/2006/relationships/hyperlink" Target="https://login.consultant.ru/link/?req=doc&amp;base=LAW&amp;n=436231&amp;dst=100015" TargetMode = "External"/>
	<Relationship Id="rId43" Type="http://schemas.openxmlformats.org/officeDocument/2006/relationships/hyperlink" Target="https://login.consultant.ru/link/?req=doc&amp;base=LAW&amp;n=474024&amp;dst=100948" TargetMode = "External"/>
	<Relationship Id="rId44" Type="http://schemas.openxmlformats.org/officeDocument/2006/relationships/hyperlink" Target="https://login.consultant.ru/link/?req=doc&amp;base=LAW&amp;n=476448" TargetMode = "External"/>
	<Relationship Id="rId45" Type="http://schemas.openxmlformats.org/officeDocument/2006/relationships/hyperlink" Target="https://login.consultant.ru/link/?req=doc&amp;base=LAW&amp;n=465972" TargetMode = "External"/>
	<Relationship Id="rId46" Type="http://schemas.openxmlformats.org/officeDocument/2006/relationships/hyperlink" Target="https://login.consultant.ru/link/?req=doc&amp;base=LAW&amp;n=472841&amp;dst=5769" TargetMode = "External"/>
	<Relationship Id="rId47" Type="http://schemas.openxmlformats.org/officeDocument/2006/relationships/hyperlink" Target="https://login.consultant.ru/link/?req=doc&amp;base=LAW&amp;n=474024&amp;dst=100948" TargetMode = "External"/>
	<Relationship Id="rId48" Type="http://schemas.openxmlformats.org/officeDocument/2006/relationships/hyperlink" Target="https://login.consultant.ru/link/?req=doc&amp;base=LAW&amp;n=470713&amp;dst=3704" TargetMode = "External"/>
	<Relationship Id="rId49" Type="http://schemas.openxmlformats.org/officeDocument/2006/relationships/hyperlink" Target="https://login.consultant.ru/link/?req=doc&amp;base=LAW&amp;n=470713&amp;dst=3722" TargetMode = "External"/>
	<Relationship Id="rId50" Type="http://schemas.openxmlformats.org/officeDocument/2006/relationships/hyperlink" Target="https://login.consultant.ru/link/?req=doc&amp;base=LAW&amp;n=460012&amp;dst=619" TargetMode = "External"/>
	<Relationship Id="rId51" Type="http://schemas.openxmlformats.org/officeDocument/2006/relationships/hyperlink" Target="https://login.consultant.ru/link/?req=doc&amp;base=LAW&amp;n=189447" TargetMode = "External"/>
	<Relationship Id="rId52" Type="http://schemas.openxmlformats.org/officeDocument/2006/relationships/hyperlink" Target="https://login.consultant.ru/link/?req=doc&amp;base=LAW&amp;n=189447&amp;dst=100124" TargetMode = "External"/>
	<Relationship Id="rId53" Type="http://schemas.openxmlformats.org/officeDocument/2006/relationships/hyperlink" Target="https://login.consultant.ru/link/?req=doc&amp;base=LAW&amp;n=26303&amp;dst=100168" TargetMode = "External"/>
	<Relationship Id="rId54" Type="http://schemas.openxmlformats.org/officeDocument/2006/relationships/hyperlink" Target="https://login.consultant.ru/link/?req=doc&amp;base=LAW&amp;n=26303&amp;dst=100254" TargetMode = "External"/>
	<Relationship Id="rId55" Type="http://schemas.openxmlformats.org/officeDocument/2006/relationships/hyperlink" Target="https://login.consultant.ru/link/?req=doc&amp;base=LAW&amp;n=474024&amp;dst=100948" TargetMode = "External"/>
	<Relationship Id="rId56" Type="http://schemas.openxmlformats.org/officeDocument/2006/relationships/hyperlink" Target="https://login.consultant.ru/link/?req=doc&amp;base=SPB&amp;n=283669&amp;dst=104077" TargetMode = "External"/>
	<Relationship Id="rId57"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02.05.2024 N 320
"О Порядке предоставления в 2024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dc:title>
  <dcterms:created xsi:type="dcterms:W3CDTF">2024-05-26T16:50:41Z</dcterms:created>
</cp:coreProperties>
</file>