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21.05.2026 N 336</w:t>
              <w:br/>
              <w:t xml:space="preserve">"О Порядке предоставления в 2026 году субсидий общественным объединениям научных работников, имеющим место нахождения в Санкт-Петербурге, в целях развития их научно-просветительской, научно-исследовательской и педагогической деятельности"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21 мая 2026 г. N 336</w:t>
      </w:r>
    </w:p>
    <w:p>
      <w:pPr>
        <w:pStyle w:val="2"/>
        <w:jc w:val="center"/>
      </w:pPr>
      <w:r>
        <w:rPr>
          <w:sz w:val="20"/>
        </w:rPr>
      </w:r>
    </w:p>
    <w:p>
      <w:pPr>
        <w:pStyle w:val="2"/>
        <w:jc w:val="center"/>
      </w:pPr>
      <w:r>
        <w:rPr>
          <w:sz w:val="20"/>
        </w:rPr>
        <w:t xml:space="preserve">О ПОРЯДКЕ ПРЕДОСТАВЛЕНИЯ В 2026 ГОДУ СУБСИДИЙ</w:t>
      </w:r>
    </w:p>
    <w:p>
      <w:pPr>
        <w:pStyle w:val="2"/>
        <w:jc w:val="center"/>
      </w:pPr>
      <w:r>
        <w:rPr>
          <w:sz w:val="20"/>
        </w:rPr>
        <w:t xml:space="preserve">ОБЩЕСТВЕННЫМ ОБЪЕДИНЕНИЯМ НАУЧНЫХ РАБОТНИКОВ, ИМЕЮЩИМ</w:t>
      </w:r>
    </w:p>
    <w:p>
      <w:pPr>
        <w:pStyle w:val="2"/>
        <w:jc w:val="center"/>
      </w:pPr>
      <w:r>
        <w:rPr>
          <w:sz w:val="20"/>
        </w:rPr>
        <w:t xml:space="preserve">МЕСТО НАХОЖДЕНИЯ В САНКТ-ПЕТЕРБУРГЕ, В ЦЕЛЯХ РАЗВИТИЯ</w:t>
      </w:r>
    </w:p>
    <w:p>
      <w:pPr>
        <w:pStyle w:val="2"/>
        <w:jc w:val="center"/>
      </w:pPr>
      <w:r>
        <w:rPr>
          <w:sz w:val="20"/>
        </w:rPr>
        <w:t xml:space="preserve">ИХ НАУЧНО-ПРОСВЕТИТЕЛЬСКОЙ, НАУЧНО-ИССЛЕДОВАТЕЛЬСКОЙ</w:t>
      </w:r>
    </w:p>
    <w:p>
      <w:pPr>
        <w:pStyle w:val="2"/>
        <w:jc w:val="center"/>
      </w:pPr>
      <w:r>
        <w:rPr>
          <w:sz w:val="20"/>
        </w:rPr>
        <w:t xml:space="preserve">И ПЕДАГОГИЧЕСКОЙ ДЕЯТЕЛЬНОСТИ</w:t>
      </w:r>
    </w:p>
    <w:p>
      <w:pPr>
        <w:pStyle w:val="0"/>
        <w:ind w:firstLine="540"/>
        <w:jc w:val="both"/>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w:t>
      </w:r>
      <w:hyperlink w:history="0" r:id="rId11" w:tooltip="Закон Санкт-Петербурга от 12.10.2009 N 411-85 (ред. от 01.04.2026) &quot;Об основах научно-технической политики Санкт-Петербурга&quot; (принят ЗС СПб 16.09.2009) {КонсультантПлюс}">
        <w:r>
          <w:rPr>
            <w:sz w:val="20"/>
            <w:color w:val="0000ff"/>
          </w:rPr>
          <w:t xml:space="preserve">Законом</w:t>
        </w:r>
      </w:hyperlink>
      <w:r>
        <w:rPr>
          <w:sz w:val="20"/>
        </w:rPr>
        <w:t xml:space="preserve"> Санкт-Петербурга от 16.09.2009 N 411-85 "Об основах научно-технической политики Санкт-Петербурга", </w:t>
      </w:r>
      <w:hyperlink w:history="0" r:id="rId12"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и </w:t>
      </w:r>
      <w:hyperlink w:history="0" r:id="rId13" w:tooltip="Постановление Правительства Санкт-Петербурга от 23.06.2014 N 496 (ред. от 26.08.2025) &quot;О государственной программе Санкт-Петербурга &quot;Экономика знаний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23.06.2014 N 496 "О государственной программе Санкт-Петербурга "Экономика знаний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42" w:tooltip="ПОРЯДОК">
        <w:r>
          <w:rPr>
            <w:sz w:val="20"/>
            <w:color w:val="0000ff"/>
          </w:rPr>
          <w:t xml:space="preserve">Порядок</w:t>
        </w:r>
      </w:hyperlink>
      <w:r>
        <w:rPr>
          <w:sz w:val="20"/>
        </w:rPr>
        <w:t xml:space="preserve"> предоставления в 2026 году субсидий общественным объединениям научных работников, имеющим место нахождения в Санкт-Петербурге, в целях развития их научно-просветительской, научно-исследовательской и педагогической деятельности (далее - Порядок) согласно приложению.</w:t>
      </w:r>
    </w:p>
    <w:p>
      <w:pPr>
        <w:pStyle w:val="0"/>
        <w:spacing w:before="200" w:lineRule="auto"/>
        <w:ind w:firstLine="540"/>
        <w:jc w:val="both"/>
      </w:pPr>
      <w:r>
        <w:rPr>
          <w:sz w:val="20"/>
        </w:rPr>
        <w:t xml:space="preserve">2. Комитету по науке и высшей школе (далее - Комитет) в месячный срок в соответствии с </w:t>
      </w:r>
      <w:hyperlink w:history="0" r:id="rId14"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и общими требованиями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которым установить:</w:t>
      </w:r>
    </w:p>
    <w:p>
      <w:pPr>
        <w:pStyle w:val="0"/>
        <w:spacing w:before="200" w:lineRule="auto"/>
        <w:ind w:firstLine="540"/>
        <w:jc w:val="both"/>
      </w:pPr>
      <w:r>
        <w:rPr>
          <w:sz w:val="20"/>
        </w:rPr>
        <w:t xml:space="preserve">2.1. Форму заявки на участие в конкурсном отборе на право получения в 2026 году субсидий (далее соответственно - заявка, конкурсный отбор).</w:t>
      </w:r>
    </w:p>
    <w:p>
      <w:pPr>
        <w:pStyle w:val="0"/>
        <w:spacing w:before="200" w:lineRule="auto"/>
        <w:ind w:firstLine="540"/>
        <w:jc w:val="both"/>
      </w:pPr>
      <w:r>
        <w:rPr>
          <w:sz w:val="20"/>
        </w:rPr>
        <w:t xml:space="preserve">2.2. Сроки размещения на веб-странице Комитета на официальном сайте Администрации Санкт-Петербурга в информационно-телекоммуникационной сети "Интернет" (</w:t>
      </w:r>
      <w:hyperlink w:history="0" r:id="rId15">
        <w:r>
          <w:rPr>
            <w:sz w:val="20"/>
            <w:color w:val="0000ff"/>
          </w:rPr>
          <w:t xml:space="preserve">gov.spb.ru</w:t>
        </w:r>
      </w:hyperlink>
      <w:r>
        <w:rPr>
          <w:sz w:val="20"/>
        </w:rPr>
        <w:t xml:space="preserve">) и в подсистеме "Площадка отбора получателей субсидий" Автоматизированной информационной системы бюджетного процесса - электронного казначейства (далее - АИС БП-ЭК) объявления о проведении конкурсного отбора с указанием сведений, перечисленных в </w:t>
      </w:r>
      <w:hyperlink w:history="0" r:id="rId16"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определенных в соответствии с положениями Порядка и нормативного правового акта Комитета, регулирующего отдельные вопросы предоставления субсидий.</w:t>
      </w:r>
    </w:p>
    <w:p>
      <w:pPr>
        <w:pStyle w:val="0"/>
        <w:spacing w:before="200" w:lineRule="auto"/>
        <w:ind w:firstLine="540"/>
        <w:jc w:val="both"/>
      </w:pPr>
      <w:r>
        <w:rPr>
          <w:sz w:val="20"/>
        </w:rPr>
        <w:t xml:space="preserve">2.3. Порядок внесения изменений в заявки и документы, представляемые участниками конкурсного отбора для участия в конкурсном отборе (далее - документы), а также порядок возврата заявок и документов на доработку.</w:t>
      </w:r>
    </w:p>
    <w:p>
      <w:pPr>
        <w:pStyle w:val="0"/>
        <w:spacing w:before="200" w:lineRule="auto"/>
        <w:ind w:firstLine="540"/>
        <w:jc w:val="both"/>
      </w:pPr>
      <w:r>
        <w:rPr>
          <w:sz w:val="20"/>
        </w:rPr>
        <w:t xml:space="preserve">2.4. Состав комиссии по проведению конкурсного отбора и положение о ней.</w:t>
      </w:r>
    </w:p>
    <w:p>
      <w:pPr>
        <w:pStyle w:val="0"/>
        <w:spacing w:before="200" w:lineRule="auto"/>
        <w:ind w:firstLine="540"/>
        <w:jc w:val="both"/>
      </w:pPr>
      <w:r>
        <w:rPr>
          <w:sz w:val="20"/>
        </w:rPr>
        <w:t xml:space="preserve">2.5. Правила рассмотрения и оценки заявок и документов.</w:t>
      </w:r>
    </w:p>
    <w:p>
      <w:pPr>
        <w:pStyle w:val="0"/>
        <w:spacing w:before="200" w:lineRule="auto"/>
        <w:ind w:firstLine="540"/>
        <w:jc w:val="both"/>
      </w:pPr>
      <w:r>
        <w:rPr>
          <w:sz w:val="20"/>
        </w:rPr>
        <w:t xml:space="preserve">2.6. Сроки и порядок проведения проверок соблюдения получателями субсидий и лицами, получающими за счет субсидий средства на основании договоров (соглашений), заключенных с получателями субсидий, условий и порядка предоставления субсидий, в том числе в части достижения результата предоставления субсидий (далее - результат).</w:t>
      </w:r>
    </w:p>
    <w:bookmarkStart w:id="22" w:name="P22"/>
    <w:bookmarkEnd w:id="22"/>
    <w:p>
      <w:pPr>
        <w:pStyle w:val="0"/>
        <w:spacing w:before="200" w:lineRule="auto"/>
        <w:ind w:firstLine="540"/>
        <w:jc w:val="both"/>
      </w:pPr>
      <w:r>
        <w:rPr>
          <w:sz w:val="20"/>
        </w:rPr>
        <w:t xml:space="preserve">2.7. Сроки представления получателями субсидий отчетов о достижении значений результата и его характеристики, перечень документов, подтверждающих охват целевой аудитории мероприятиями по осуществлению научно-просветительской, научно-исследовательской и педагогической деятельности (далее - мероприятия), и требования к ним.</w:t>
      </w:r>
    </w:p>
    <w:bookmarkStart w:id="23" w:name="P23"/>
    <w:bookmarkEnd w:id="23"/>
    <w:p>
      <w:pPr>
        <w:pStyle w:val="0"/>
        <w:spacing w:before="200" w:lineRule="auto"/>
        <w:ind w:firstLine="540"/>
        <w:jc w:val="both"/>
      </w:pPr>
      <w:r>
        <w:rPr>
          <w:sz w:val="20"/>
        </w:rPr>
        <w:t xml:space="preserve">2.8. Сроки представления получателями субсидий отчетов об осуществлении расходов, источниками финансового обеспечения которых являются субсидии, и требования к содержанию и оформлению итоговых аналитических отчетов о подготовке и проведении мероприятий.</w:t>
      </w:r>
    </w:p>
    <w:p>
      <w:pPr>
        <w:pStyle w:val="0"/>
        <w:spacing w:before="200" w:lineRule="auto"/>
        <w:ind w:firstLine="540"/>
        <w:jc w:val="both"/>
      </w:pPr>
      <w:r>
        <w:rPr>
          <w:sz w:val="20"/>
        </w:rPr>
        <w:t xml:space="preserve">2.9. Порядок и сроки проверки и принятия Комитетом отчетных документов, указанных в </w:t>
      </w:r>
      <w:hyperlink w:history="0" w:anchor="P22" w:tooltip="2.7. Сроки представления получателями субсидий отчетов о достижении значений результата и его характеристики, перечень документов, подтверждающих охват целевой аудитории мероприятиями по осуществлению научно-просветительской, научно-исследовательской и педагогической деятельности (далее - мероприятия), и требования к ним.">
        <w:r>
          <w:rPr>
            <w:sz w:val="20"/>
            <w:color w:val="0000ff"/>
          </w:rPr>
          <w:t xml:space="preserve">пунктах 2.7</w:t>
        </w:r>
      </w:hyperlink>
      <w:r>
        <w:rPr>
          <w:sz w:val="20"/>
        </w:rPr>
        <w:t xml:space="preserve"> и </w:t>
      </w:r>
      <w:hyperlink w:history="0" w:anchor="P23" w:tooltip="2.8. Сроки представления получателями субсидий отчетов об осуществлении расходов, источниками финансового обеспечения которых являются субсидии, и требования к содержанию и оформлению итоговых аналитических отчетов о подготовке и проведении мероприятий.">
        <w:r>
          <w:rPr>
            <w:sz w:val="20"/>
            <w:color w:val="0000ff"/>
          </w:rPr>
          <w:t xml:space="preserve">2.8</w:t>
        </w:r>
      </w:hyperlink>
      <w:r>
        <w:rPr>
          <w:sz w:val="20"/>
        </w:rPr>
        <w:t xml:space="preserve"> постановления.</w:t>
      </w:r>
    </w:p>
    <w:p>
      <w:pPr>
        <w:pStyle w:val="0"/>
        <w:spacing w:before="200" w:lineRule="auto"/>
        <w:ind w:firstLine="540"/>
        <w:jc w:val="both"/>
      </w:pPr>
      <w:r>
        <w:rPr>
          <w:sz w:val="20"/>
        </w:rPr>
        <w:t xml:space="preserve">2.10. Срок возврата в бюджет Санкт-Петербурга остатков средств субсидий, не использованных получателем субсидий в отчетном финансовом году.</w:t>
      </w:r>
    </w:p>
    <w:p>
      <w:pPr>
        <w:pStyle w:val="0"/>
        <w:spacing w:before="200" w:lineRule="auto"/>
        <w:ind w:firstLine="540"/>
        <w:jc w:val="both"/>
      </w:pPr>
      <w:r>
        <w:rPr>
          <w:sz w:val="20"/>
        </w:rPr>
        <w:t xml:space="preserve">2.11. Порядок и сроки проведения Комитетом оценки достижения получателем субсидий значений результата.</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Княгинина В.Н.</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21.05.2026 N 336</w:t>
      </w:r>
    </w:p>
    <w:p>
      <w:pPr>
        <w:pStyle w:val="0"/>
        <w:jc w:val="right"/>
      </w:pPr>
      <w:r>
        <w:rPr>
          <w:sz w:val="20"/>
        </w:rPr>
      </w:r>
    </w:p>
    <w:bookmarkStart w:id="42" w:name="P42"/>
    <w:bookmarkEnd w:id="42"/>
    <w:p>
      <w:pPr>
        <w:pStyle w:val="2"/>
        <w:jc w:val="center"/>
      </w:pPr>
      <w:r>
        <w:rPr>
          <w:sz w:val="20"/>
        </w:rPr>
        <w:t xml:space="preserve">ПОРЯДОК</w:t>
      </w:r>
    </w:p>
    <w:p>
      <w:pPr>
        <w:pStyle w:val="2"/>
        <w:jc w:val="center"/>
      </w:pPr>
      <w:r>
        <w:rPr>
          <w:sz w:val="20"/>
        </w:rPr>
        <w:t xml:space="preserve">ПРЕДОСТАВЛЕНИЯ В 2026 ГОДУ СУБСИДИЙ ОБЩЕСТВЕННЫМ</w:t>
      </w:r>
    </w:p>
    <w:p>
      <w:pPr>
        <w:pStyle w:val="2"/>
        <w:jc w:val="center"/>
      </w:pPr>
      <w:r>
        <w:rPr>
          <w:sz w:val="20"/>
        </w:rPr>
        <w:t xml:space="preserve">ОБЪЕДИНЕНИЯМ НАУЧНЫХ РАБОТНИКОВ, ИМЕЮЩИМ МЕСТО НАХОЖДЕНИЯ</w:t>
      </w:r>
    </w:p>
    <w:p>
      <w:pPr>
        <w:pStyle w:val="2"/>
        <w:jc w:val="center"/>
      </w:pPr>
      <w:r>
        <w:rPr>
          <w:sz w:val="20"/>
        </w:rPr>
        <w:t xml:space="preserve">В САНКТ-ПЕТЕРБУРГЕ, В ЦЕЛЯХ РАЗВИТИЯ ИХ</w:t>
      </w:r>
    </w:p>
    <w:p>
      <w:pPr>
        <w:pStyle w:val="2"/>
        <w:jc w:val="center"/>
      </w:pPr>
      <w:r>
        <w:rPr>
          <w:sz w:val="20"/>
        </w:rPr>
        <w:t xml:space="preserve">НАУЧНО-ПРОСВЕТИТЕЛЬСКОЙ, НАУЧНО-ИССЛЕДОВАТЕЛЬСКОЙ</w:t>
      </w:r>
    </w:p>
    <w:p>
      <w:pPr>
        <w:pStyle w:val="2"/>
        <w:jc w:val="center"/>
      </w:pPr>
      <w:r>
        <w:rPr>
          <w:sz w:val="20"/>
        </w:rPr>
        <w:t xml:space="preserve">И ПЕДАГОГИЧЕСКОЙ ДЕЯТЕЛЬНОСТИ</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1.1. Настоящий Порядок устанавливает правила предоставления в 2026 году субсидий общественным объединениям научных работников, имеющим место нахождения в Санкт-Петербурге, в целях развития их научно-просветительской, научно-исследовательской и педагогической деятельности, предусмотренных главному распорядителю бюджетных средств Санкт-Петербурга - Комитету по науке и высшей школе (далее - Комитет) </w:t>
      </w:r>
      <w:hyperlink w:history="0" r:id="rId17"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общественным объединениям научных работников, имеющим место нахождения в Санкт-Петербурге, в целях развития их научно-просветительской, научно-исследовательской и педагогической деятельности" (код целевой статьи 1150094410) в приложении 2 к Закону Санкт-Петербурга от 26.11.2025 N 659-124 "О бюджете Санкт-Петербурга на 2026 год и на плановый период 2027 и 2028 годов", в соответствии с общими </w:t>
      </w:r>
      <w:hyperlink w:history="0" r:id="rId1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и государственной </w:t>
      </w:r>
      <w:hyperlink w:history="0" r:id="rId19" w:tooltip="Постановление Правительства Санкт-Петербурга от 23.06.2014 N 496 (ред. от 26.08.2025) &quot;О государственной программе Санкт-Петербурга &quot;Экономика знаний в Санкт-Петербурге&quot; {КонсультантПлюс}">
        <w:r>
          <w:rPr>
            <w:sz w:val="20"/>
            <w:color w:val="0000ff"/>
          </w:rPr>
          <w:t xml:space="preserve">программой</w:t>
        </w:r>
      </w:hyperlink>
      <w:r>
        <w:rPr>
          <w:sz w:val="20"/>
        </w:rPr>
        <w:t xml:space="preserve"> Санкт-Петербурга "Экономика знаний в Санкт-Петербурге", утвержденной постановлением Правительства Санкт-Петербурга от 23.06.2014 N 496 (далее - субсидии).</w:t>
      </w:r>
    </w:p>
    <w:bookmarkStart w:id="52" w:name="P52"/>
    <w:bookmarkEnd w:id="52"/>
    <w:p>
      <w:pPr>
        <w:pStyle w:val="0"/>
        <w:spacing w:before="200" w:lineRule="auto"/>
        <w:ind w:firstLine="540"/>
        <w:jc w:val="both"/>
      </w:pPr>
      <w:r>
        <w:rPr>
          <w:sz w:val="20"/>
        </w:rPr>
        <w:t xml:space="preserve">1.2. Субсидии предоставляются на безвозмездной и безвозвратной основе общественным объединениям научных работников, зарегистрированным в качестве юридического лица, имеющим место нахождения в Санкт-Петербурге, в целях финансового обеспечения затрат, возникших в 2026 году, на проведение мероприятий в связи с осуществлением ими научно-просветительской, научно-исследовательской и педагогической деятельности (далее - затраты).</w:t>
      </w:r>
    </w:p>
    <w:p>
      <w:pPr>
        <w:pStyle w:val="0"/>
        <w:spacing w:before="200" w:lineRule="auto"/>
        <w:ind w:firstLine="540"/>
        <w:jc w:val="both"/>
      </w:pPr>
      <w:r>
        <w:rPr>
          <w:sz w:val="20"/>
        </w:rPr>
        <w:t xml:space="preserve">1.3. Субсидии предоставляются на основании отбора на право получения субсидий, который проводится в форме конкурса в целях определения получателей субсидий исходя из наилучших условий достижения результата предоставления субсидий (далее соответственно - конкурсный отбор, результат).</w:t>
      </w:r>
    </w:p>
    <w:p>
      <w:pPr>
        <w:pStyle w:val="0"/>
        <w:spacing w:before="200" w:lineRule="auto"/>
        <w:ind w:firstLine="540"/>
        <w:jc w:val="both"/>
      </w:pPr>
      <w:r>
        <w:rPr>
          <w:sz w:val="20"/>
        </w:rPr>
        <w:t xml:space="preserve">1.4. Конкурсный отбор проводится Комитетом, расположенным по адресу: Новгородская ул., д. 20, литера А, Санкт-Петербург, 191144, адрес электронной почты knvsh@gov.spb.ru. Организационно-техническое сопровождение конкурсного отбора осуществляется Комитетом путем закупки услуг у юридического лица (индивидуального предпринимателя) в соответствии с требованиями Федерального </w:t>
      </w:r>
      <w:hyperlink w:history="0" r:id="rId2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закона</w:t>
        </w:r>
      </w:hyperlink>
      <w:r>
        <w:rPr>
          <w:sz w:val="20"/>
        </w:rPr>
        <w:t xml:space="preserve"> "О контрактной системе в сфере закупок товаров, работ, услуг для обеспечения государственных и муниципальных нужд" (далее - сопровождающая организация).</w:t>
      </w:r>
    </w:p>
    <w:p>
      <w:pPr>
        <w:pStyle w:val="0"/>
        <w:spacing w:before="200" w:lineRule="auto"/>
        <w:ind w:firstLine="540"/>
        <w:jc w:val="both"/>
      </w:pPr>
      <w:r>
        <w:rPr>
          <w:sz w:val="20"/>
        </w:rPr>
        <w:t xml:space="preserve">1.5. Конкурсный отбор осуществляется на площадке подсистемы "Площадка отбора получателей субсидий" Автоматизированной информационной системы бюджетного процесса - электронного казначейства в информационно-телекоммуникационной сети "Интернет" (далее - АИС БП-ЭК). Руководство пользователя по проведению процедуры отбора размещено в разделе "Поддержка" //</w:t>
      </w:r>
      <w:hyperlink w:history="0" r:id="rId21">
        <w:r>
          <w:rPr>
            <w:sz w:val="20"/>
            <w:color w:val="0000ff"/>
          </w:rPr>
          <w:t xml:space="preserve">edo.fincom.gov.spb.ru/subsidy-lk/support</w:t>
        </w:r>
      </w:hyperlink>
      <w:r>
        <w:rPr>
          <w:sz w:val="20"/>
        </w:rPr>
        <w:t xml:space="preserve">.</w:t>
      </w:r>
    </w:p>
    <w:bookmarkStart w:id="56" w:name="P56"/>
    <w:bookmarkEnd w:id="56"/>
    <w:p>
      <w:pPr>
        <w:pStyle w:val="0"/>
        <w:spacing w:before="200" w:lineRule="auto"/>
        <w:ind w:firstLine="540"/>
        <w:jc w:val="both"/>
      </w:pPr>
      <w:r>
        <w:rPr>
          <w:sz w:val="20"/>
        </w:rPr>
        <w:t xml:space="preserve">1.6. Критериями определения победителей конкурсного отбора являются:</w:t>
      </w:r>
    </w:p>
    <w:p>
      <w:pPr>
        <w:pStyle w:val="0"/>
        <w:spacing w:before="200" w:lineRule="auto"/>
        <w:ind w:firstLine="540"/>
        <w:jc w:val="both"/>
      </w:pPr>
      <w:r>
        <w:rPr>
          <w:sz w:val="20"/>
        </w:rPr>
        <w:t xml:space="preserve">территориальная сфера деятельности общественного объединения научных работников (региональная, общероссийская, международная);</w:t>
      </w:r>
    </w:p>
    <w:p>
      <w:pPr>
        <w:pStyle w:val="0"/>
        <w:spacing w:before="200" w:lineRule="auto"/>
        <w:ind w:firstLine="540"/>
        <w:jc w:val="both"/>
      </w:pPr>
      <w:r>
        <w:rPr>
          <w:sz w:val="20"/>
        </w:rPr>
        <w:t xml:space="preserve">численность членов общественного объединения научных работников;</w:t>
      </w:r>
    </w:p>
    <w:p>
      <w:pPr>
        <w:pStyle w:val="0"/>
        <w:spacing w:before="200" w:lineRule="auto"/>
        <w:ind w:firstLine="540"/>
        <w:jc w:val="both"/>
      </w:pPr>
      <w:r>
        <w:rPr>
          <w:sz w:val="20"/>
        </w:rPr>
        <w:t xml:space="preserve">процент членов общественного объединения научных работников в возрасте до 35 лет (включительно);</w:t>
      </w:r>
    </w:p>
    <w:p>
      <w:pPr>
        <w:pStyle w:val="0"/>
        <w:spacing w:before="200" w:lineRule="auto"/>
        <w:ind w:firstLine="540"/>
        <w:jc w:val="both"/>
      </w:pPr>
      <w:r>
        <w:rPr>
          <w:sz w:val="20"/>
        </w:rPr>
        <w:t xml:space="preserve">процент членов общественного объединения научных работников высшей квалификации (кандидатов, докторов наук и членов государственных академий наук);</w:t>
      </w:r>
    </w:p>
    <w:p>
      <w:pPr>
        <w:pStyle w:val="0"/>
        <w:spacing w:before="200" w:lineRule="auto"/>
        <w:ind w:firstLine="540"/>
        <w:jc w:val="both"/>
      </w:pPr>
      <w:r>
        <w:rPr>
          <w:sz w:val="20"/>
        </w:rPr>
        <w:t xml:space="preserve">соответствие научно-просветительской, научно-исследовательской и педагогической деятельности общественного объединения научных работников приоритетным </w:t>
      </w:r>
      <w:hyperlink w:history="0" r:id="rId22" w:tooltip="Указ Президента РФ от 18.06.2024 N 529 &quot;Об утверждении приоритетных направлений научно-технологического развития и перечня важнейших наукоемких технологий&quot; {КонсультантПлюс}">
        <w:r>
          <w:rPr>
            <w:sz w:val="20"/>
            <w:color w:val="0000ff"/>
          </w:rPr>
          <w:t xml:space="preserve">направлениям</w:t>
        </w:r>
      </w:hyperlink>
      <w:r>
        <w:rPr>
          <w:sz w:val="20"/>
        </w:rPr>
        <w:t xml:space="preserve"> научно-технологического развития, утвержденным Указом Президента Российской Федерации от 18.06.2024 N 529 "Об утверждении приоритетных направлений научно-технологического развития и перечня важнейших наукоемких технологий", и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 (далее - Концепция);</w:t>
      </w:r>
    </w:p>
    <w:p>
      <w:pPr>
        <w:pStyle w:val="0"/>
        <w:spacing w:before="200" w:lineRule="auto"/>
        <w:ind w:firstLine="540"/>
        <w:jc w:val="both"/>
      </w:pPr>
      <w:r>
        <w:rPr>
          <w:sz w:val="20"/>
        </w:rPr>
        <w:t xml:space="preserve">соответствие мероприятий по осуществлению научно-просветительской, научно-исследовательской и педагогической деятельности на территории Санкт-Петербурга, на финансовое обеспечение затрат по которым запрашиваются субсидии (далее - мероприятия), приоритетам научно-технологического развития Санкт-Петербурга, изложенным в Концепции;</w:t>
      </w:r>
    </w:p>
    <w:p>
      <w:pPr>
        <w:pStyle w:val="0"/>
        <w:spacing w:before="200" w:lineRule="auto"/>
        <w:ind w:firstLine="540"/>
        <w:jc w:val="both"/>
      </w:pPr>
      <w:r>
        <w:rPr>
          <w:sz w:val="20"/>
        </w:rPr>
        <w:t xml:space="preserve">социально-экономический эффект от реализации мероприятий.</w:t>
      </w:r>
    </w:p>
    <w:bookmarkStart w:id="64" w:name="P64"/>
    <w:bookmarkEnd w:id="64"/>
    <w:p>
      <w:pPr>
        <w:pStyle w:val="0"/>
        <w:spacing w:before="200" w:lineRule="auto"/>
        <w:ind w:firstLine="540"/>
        <w:jc w:val="both"/>
      </w:pPr>
      <w:r>
        <w:rPr>
          <w:sz w:val="20"/>
        </w:rPr>
        <w:t xml:space="preserve">1.7. Информация о субсидиях размещается на едином портале бюджетной системы Российской Федерации (далее - единый портал) в информационно-телекоммуникационной сети "Интернет" (далее - сеть "Интернет")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w:t>
      </w:r>
    </w:p>
    <w:p>
      <w:pPr>
        <w:pStyle w:val="0"/>
        <w:ind w:firstLine="540"/>
        <w:jc w:val="both"/>
      </w:pPr>
      <w:r>
        <w:rPr>
          <w:sz w:val="20"/>
        </w:rPr>
      </w:r>
    </w:p>
    <w:p>
      <w:pPr>
        <w:pStyle w:val="2"/>
        <w:outlineLvl w:val="1"/>
        <w:jc w:val="center"/>
      </w:pPr>
      <w:r>
        <w:rPr>
          <w:sz w:val="20"/>
        </w:rPr>
        <w:t xml:space="preserve">2. Порядок проведения конкурсного отбора, условия и порядок</w:t>
      </w:r>
    </w:p>
    <w:p>
      <w:pPr>
        <w:pStyle w:val="2"/>
        <w:jc w:val="center"/>
      </w:pPr>
      <w:r>
        <w:rPr>
          <w:sz w:val="20"/>
        </w:rPr>
        <w:t xml:space="preserve">предоставления субсидий</w:t>
      </w:r>
    </w:p>
    <w:p>
      <w:pPr>
        <w:pStyle w:val="0"/>
        <w:ind w:firstLine="540"/>
        <w:jc w:val="both"/>
      </w:pPr>
      <w:r>
        <w:rPr>
          <w:sz w:val="20"/>
        </w:rPr>
      </w:r>
    </w:p>
    <w:p>
      <w:pPr>
        <w:pStyle w:val="0"/>
        <w:ind w:firstLine="540"/>
        <w:jc w:val="both"/>
      </w:pPr>
      <w:r>
        <w:rPr>
          <w:sz w:val="20"/>
        </w:rPr>
        <w:t xml:space="preserve">2.1. Субсидии предоставляются претендентам на получение субсидий, признанным победителями конкурсного отбора (далее - получатели субсидий), в пределах лимитов бюджетных обязательств, доведенных Комитету в установленном порядке.</w:t>
      </w:r>
    </w:p>
    <w:p>
      <w:pPr>
        <w:pStyle w:val="0"/>
        <w:spacing w:before="200" w:lineRule="auto"/>
        <w:ind w:firstLine="540"/>
        <w:jc w:val="both"/>
      </w:pPr>
      <w:r>
        <w:rPr>
          <w:sz w:val="20"/>
        </w:rPr>
        <w:t xml:space="preserve">2.2. Объявление о проведении конкурсного отбора (далее - объявление) размещается Комитетом на веб-странице Комитета на официальном сайте Администрации Санкт-Петербурга в сети "Интернет" (</w:t>
      </w:r>
      <w:hyperlink w:history="0" r:id="rId23">
        <w:r>
          <w:rPr>
            <w:sz w:val="20"/>
            <w:color w:val="0000ff"/>
          </w:rPr>
          <w:t xml:space="preserve">gov.spb.ru</w:t>
        </w:r>
      </w:hyperlink>
      <w:r>
        <w:rPr>
          <w:sz w:val="20"/>
        </w:rPr>
        <w:t xml:space="preserve">) (далее - официальный сайт Комитета) и в АИС БП-ЭК в сроки, установленные Комитетом, не позднее чем за 30 календарных дней до дня окончания приема заявок на участие в конкурсном отборе (далее - заявки).</w:t>
      </w:r>
    </w:p>
    <w:p>
      <w:pPr>
        <w:pStyle w:val="0"/>
        <w:spacing w:before="200" w:lineRule="auto"/>
        <w:ind w:firstLine="540"/>
        <w:jc w:val="both"/>
      </w:pPr>
      <w:r>
        <w:rPr>
          <w:sz w:val="20"/>
        </w:rPr>
        <w:t xml:space="preserve">Размещение объявления на официальном сайте Комитета и в АИС БП-ЭК осуществляется не ранее размещения информации о субсидиях на едином портале в соответствии с </w:t>
      </w:r>
      <w:hyperlink w:history="0" w:anchor="P64" w:tooltip="1.7. Информация о субсидиях размещается на едином портале бюджетной системы Российской Федерации (далее - единый портал) в информационно-телекоммуникационной сети &quot;Интернет&quot; (далее - сеть &quot;Интернет&quot;)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Комитета.">
        <w:r>
          <w:rPr>
            <w:sz w:val="20"/>
            <w:color w:val="0000ff"/>
          </w:rPr>
          <w:t xml:space="preserve">пунктом 1.7</w:t>
        </w:r>
      </w:hyperlink>
      <w:r>
        <w:rPr>
          <w:sz w:val="20"/>
        </w:rPr>
        <w:t xml:space="preserve"> настоящего Порядка.</w:t>
      </w:r>
    </w:p>
    <w:p>
      <w:pPr>
        <w:pStyle w:val="0"/>
        <w:spacing w:before="200" w:lineRule="auto"/>
        <w:ind w:firstLine="540"/>
        <w:jc w:val="both"/>
      </w:pPr>
      <w:r>
        <w:rPr>
          <w:sz w:val="20"/>
        </w:rPr>
        <w:t xml:space="preserve">Информация о странице официального сайта Комитета, на которой размещается объявление, объявление об отмене конкурсного отбора, а также информация о ходе и результатах конкурсного отбора публикуются на едином портале.</w:t>
      </w:r>
    </w:p>
    <w:p>
      <w:pPr>
        <w:pStyle w:val="0"/>
        <w:spacing w:before="200" w:lineRule="auto"/>
        <w:ind w:firstLine="540"/>
        <w:jc w:val="both"/>
      </w:pPr>
      <w:r>
        <w:rPr>
          <w:sz w:val="20"/>
        </w:rPr>
        <w:t xml:space="preserve">2.3. Объявление должно содержать сведения, указанные в </w:t>
      </w:r>
      <w:hyperlink w:history="0" r:id="rId24"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w:t>
      </w:r>
    </w:p>
    <w:p>
      <w:pPr>
        <w:pStyle w:val="0"/>
        <w:spacing w:before="200" w:lineRule="auto"/>
        <w:ind w:firstLine="540"/>
        <w:jc w:val="both"/>
      </w:pPr>
      <w:r>
        <w:rPr>
          <w:sz w:val="20"/>
        </w:rPr>
        <w:t xml:space="preserve">2.4. Результатом является проведение получателем субсидий в 2026 году мероприятий не позднее 01.12.2026, на подготовку и проведение которых предоставляются субсидии.</w:t>
      </w:r>
    </w:p>
    <w:p>
      <w:pPr>
        <w:pStyle w:val="0"/>
        <w:spacing w:before="200" w:lineRule="auto"/>
        <w:ind w:firstLine="540"/>
        <w:jc w:val="both"/>
      </w:pPr>
      <w:r>
        <w:rPr>
          <w:sz w:val="20"/>
        </w:rPr>
        <w:t xml:space="preserve">Характеристикой результата (далее - характеристика) является охват мероприятиями целевой аудитории в количестве не менее 25 человек. Под целевой аудиторией подразумеваются группы людей, интересы которых объединены общим научно-образовательным направлением, общей темой или специализацией, принявших участие в мероприятиях в очной форме или с помощью средств коммуникации.</w:t>
      </w:r>
    </w:p>
    <w:p>
      <w:pPr>
        <w:pStyle w:val="0"/>
        <w:spacing w:before="200" w:lineRule="auto"/>
        <w:ind w:firstLine="540"/>
        <w:jc w:val="both"/>
      </w:pPr>
      <w:r>
        <w:rPr>
          <w:sz w:val="20"/>
        </w:rPr>
        <w:t xml:space="preserve">Значение характеристики устанавливается в соглашениях о предоставлении субсидий (далее - соглашения) в соответствии с заявками.</w:t>
      </w:r>
    </w:p>
    <w:p>
      <w:pPr>
        <w:pStyle w:val="0"/>
        <w:spacing w:before="200" w:lineRule="auto"/>
        <w:ind w:firstLine="540"/>
        <w:jc w:val="both"/>
      </w:pPr>
      <w:r>
        <w:rPr>
          <w:sz w:val="20"/>
        </w:rPr>
        <w:t xml:space="preserve">Типом результата в соответствии с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утвержденным Министерством финансов Российской Федерации, является оказание услуг (выполнение работ).</w:t>
      </w:r>
    </w:p>
    <w:p>
      <w:pPr>
        <w:pStyle w:val="0"/>
        <w:spacing w:before="200" w:lineRule="auto"/>
        <w:ind w:firstLine="540"/>
        <w:jc w:val="both"/>
      </w:pPr>
      <w:r>
        <w:rPr>
          <w:sz w:val="20"/>
        </w:rPr>
        <w:t xml:space="preserve">2.5. Субсидии предоставляются при условии соответствия претендентов на получение субсидий (далее - претенденты) следующим условиям предоставления субсидий, включающим требования к претендентам:</w:t>
      </w:r>
    </w:p>
    <w:bookmarkStart w:id="79" w:name="P79"/>
    <w:bookmarkEnd w:id="79"/>
    <w:p>
      <w:pPr>
        <w:pStyle w:val="0"/>
        <w:spacing w:before="200" w:lineRule="auto"/>
        <w:ind w:firstLine="540"/>
        <w:jc w:val="both"/>
      </w:pPr>
      <w:r>
        <w:rPr>
          <w:sz w:val="20"/>
        </w:rPr>
        <w:t xml:space="preserve">2.5.1. На дату не ранее 30 календарных дней до даты подачи заявки:</w:t>
      </w:r>
    </w:p>
    <w:p>
      <w:pPr>
        <w:pStyle w:val="0"/>
        <w:spacing w:before="200" w:lineRule="auto"/>
        <w:ind w:firstLine="540"/>
        <w:jc w:val="both"/>
      </w:pPr>
      <w:r>
        <w:rPr>
          <w:sz w:val="20"/>
        </w:rPr>
        <w:t xml:space="preserve">у претендентов на едином налоговом счете должна отсутствовать или не превышать размер, определенный в </w:t>
      </w:r>
      <w:hyperlink w:history="0" r:id="rId25"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у претендентов должна отсутствовать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претенденты не должны находиться в процессе реорганизации (за исключением реорганизации в форме присоединения к претенденту другого юридического лица), ликвидации, в отношении них не введена процедура банкротства, деятельность претендента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претенденты не должны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претенденты не должны находиться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w:t>
      </w:r>
    </w:p>
    <w:p>
      <w:pPr>
        <w:pStyle w:val="0"/>
        <w:spacing w:before="200" w:lineRule="auto"/>
        <w:ind w:firstLine="540"/>
        <w:jc w:val="both"/>
      </w:pPr>
      <w:r>
        <w:rPr>
          <w:sz w:val="20"/>
        </w:rPr>
        <w:t xml:space="preserve">претенденты не должны являться иностранными юридическими лицами,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претенденты не должны являться иностранными агентами в соответствии с Федеральным </w:t>
      </w:r>
      <w:hyperlink w:history="0" r:id="rId2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претенденты не должны получать средства из бюджета Санкт-Петербурга на финансовое обеспечение (возмещение) затрат, на финансовое обеспечение которых запрашиваются субсидии, на основании иных нормативных правовых актов.</w:t>
      </w:r>
    </w:p>
    <w:p>
      <w:pPr>
        <w:pStyle w:val="0"/>
        <w:spacing w:before="200" w:lineRule="auto"/>
        <w:ind w:firstLine="540"/>
        <w:jc w:val="both"/>
      </w:pPr>
      <w:r>
        <w:rPr>
          <w:sz w:val="20"/>
        </w:rPr>
        <w:t xml:space="preserve">2.5.2. Соответствие претендента условиям, установленным в </w:t>
      </w:r>
      <w:hyperlink w:history="0" w:anchor="P52" w:tooltip="1.2. Субсидии предоставляются на безвозмездной и безвозвратной основе общественным объединениям научных работников, зарегистрированным в качестве юридического лица, имеющим место нахождения в Санкт-Петербурге, в целях финансового обеспечения затрат, возникших в 2026 году, на проведение мероприятий в связи с осуществлением ими научно-просветительской, научно-исследовательской и педагогической деятельности (далее - затраты).">
        <w:r>
          <w:rPr>
            <w:sz w:val="20"/>
            <w:color w:val="0000ff"/>
          </w:rPr>
          <w:t xml:space="preserve">пункте 1.2</w:t>
        </w:r>
      </w:hyperlink>
      <w:r>
        <w:rPr>
          <w:sz w:val="20"/>
        </w:rPr>
        <w:t xml:space="preserve"> настоящего Порядка.</w:t>
      </w:r>
    </w:p>
    <w:p>
      <w:pPr>
        <w:pStyle w:val="0"/>
        <w:spacing w:before="200" w:lineRule="auto"/>
        <w:ind w:firstLine="540"/>
        <w:jc w:val="both"/>
      </w:pPr>
      <w:r>
        <w:rPr>
          <w:sz w:val="20"/>
        </w:rPr>
        <w:t xml:space="preserve">2.5.3. Наличие обязательства претендента в случае признания его получателем субсидий по документальному подтверждению затрат в соответствии с </w:t>
      </w:r>
      <w:hyperlink w:history="0" w:anchor="P199" w:tooltip="3.2. Получатель субсидий в срок, установленный Комитетом, но не реже одного раза в квартал представляет в Комитет через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w:r>
          <w:rPr>
            <w:sz w:val="20"/>
            <w:color w:val="0000ff"/>
          </w:rPr>
          <w:t xml:space="preserve">пунктом 3.2</w:t>
        </w:r>
      </w:hyperlink>
      <w:r>
        <w:rPr>
          <w:sz w:val="20"/>
        </w:rPr>
        <w:t xml:space="preserve"> настоящего Порядка.</w:t>
      </w:r>
    </w:p>
    <w:p>
      <w:pPr>
        <w:pStyle w:val="0"/>
        <w:spacing w:before="200" w:lineRule="auto"/>
        <w:ind w:firstLine="540"/>
        <w:jc w:val="both"/>
      </w:pPr>
      <w:r>
        <w:rPr>
          <w:sz w:val="20"/>
        </w:rPr>
        <w:t xml:space="preserve">2.5.4. Наличие обязательства претендента в случае признания его получателем субсидий о достижении результата и его характеристики.</w:t>
      </w:r>
    </w:p>
    <w:p>
      <w:pPr>
        <w:pStyle w:val="0"/>
        <w:spacing w:before="200" w:lineRule="auto"/>
        <w:ind w:firstLine="540"/>
        <w:jc w:val="both"/>
      </w:pPr>
      <w:r>
        <w:rPr>
          <w:sz w:val="20"/>
        </w:rPr>
        <w:t xml:space="preserve">2.5.5. Наличие согласия претендента в случае признания его получателем субсидий на осуществление в отношении него Комитетом проверок соблюдения условий и порядка предоставления субсидий, в том числе в части достижения результата (далее - проверки), и проверок органами государственного финансового контроля в соответствии со </w:t>
      </w:r>
      <w:hyperlink w:history="0" r:id="rId27"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8"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а также обязательства претендента в случае признания его получателем субсидий по представлению согласия лиц, получающих за счет субсидий средства на основании договоров (соглашений), заключенных с получателем субсидий (далее - контрагенты)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Комитетом проверок и проверок органами государственного финансового контроля в соответствии со </w:t>
      </w:r>
      <w:hyperlink w:history="0" r:id="rId2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включение таких положений в соглашение.</w:t>
      </w:r>
    </w:p>
    <w:p>
      <w:pPr>
        <w:pStyle w:val="0"/>
        <w:spacing w:before="200" w:lineRule="auto"/>
        <w:ind w:firstLine="540"/>
        <w:jc w:val="both"/>
      </w:pPr>
      <w:r>
        <w:rPr>
          <w:sz w:val="20"/>
        </w:rPr>
        <w:t xml:space="preserve">2.5.6. Наличие согласия претендента в случае признания его получателем субсидий на возврат в бюджет Санкт-Петербурга остатков средств субсидий, не использованных в отчетном финансовом году, в срок, установленный Комитетом.</w:t>
      </w:r>
    </w:p>
    <w:p>
      <w:pPr>
        <w:pStyle w:val="0"/>
        <w:spacing w:before="200" w:lineRule="auto"/>
        <w:ind w:firstLine="540"/>
        <w:jc w:val="both"/>
      </w:pPr>
      <w:r>
        <w:rPr>
          <w:sz w:val="20"/>
        </w:rPr>
        <w:t xml:space="preserve">2.5.7. Наличие обязательства о неприобретении претендентом в случае признания его получателем субсидий, а также контрагентами - юридическими лицами за счет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претендентом в целях подготовки и проведения мероприятий у поставщиков (исполнителей), являющихся нерезидентами в соответствии с Федеральным </w:t>
      </w:r>
      <w:hyperlink w:history="0" r:id="rId31"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bookmarkStart w:id="95" w:name="P95"/>
    <w:bookmarkEnd w:id="95"/>
    <w:p>
      <w:pPr>
        <w:pStyle w:val="0"/>
        <w:spacing w:before="200" w:lineRule="auto"/>
        <w:ind w:firstLine="540"/>
        <w:jc w:val="both"/>
      </w:pPr>
      <w:r>
        <w:rPr>
          <w:sz w:val="20"/>
        </w:rPr>
        <w:t xml:space="preserve">2.5.8. Размер средней заработной платы каждого работника претендента (включая обособленные подразделения, находящиеся на территории Санкт-Петербурга), рассчитываемый в соответствии со </w:t>
      </w:r>
      <w:hyperlink w:history="0" r:id="rId32"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w:t>
      </w:r>
    </w:p>
    <w:bookmarkStart w:id="96" w:name="P96"/>
    <w:bookmarkEnd w:id="96"/>
    <w:p>
      <w:pPr>
        <w:pStyle w:val="0"/>
        <w:spacing w:before="200" w:lineRule="auto"/>
        <w:ind w:firstLine="540"/>
        <w:jc w:val="both"/>
      </w:pPr>
      <w:r>
        <w:rPr>
          <w:sz w:val="20"/>
        </w:rPr>
        <w:t xml:space="preserve">2.5.9. Размер средней заработной платы каждого работника претендента, признанного получателем субсидии (включая обособленные подразделения, находящиеся на территории Санкт-Петербурга), рассчитываемый в соответствии со </w:t>
      </w:r>
      <w:hyperlink w:history="0" r:id="rId33"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в течение периода с 01.01.2026 до даты, по состоянию на которую получателем субсидии формируется отчетность о достижении значений результата и характеристики,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w:t>
      </w:r>
    </w:p>
    <w:bookmarkStart w:id="97" w:name="P97"/>
    <w:bookmarkEnd w:id="97"/>
    <w:p>
      <w:pPr>
        <w:pStyle w:val="0"/>
        <w:spacing w:before="200" w:lineRule="auto"/>
        <w:ind w:firstLine="540"/>
        <w:jc w:val="both"/>
      </w:pPr>
      <w:r>
        <w:rPr>
          <w:sz w:val="20"/>
        </w:rPr>
        <w:t xml:space="preserve">2.5.10. Наличие обязательства претендента в случае признания его получателем субсидий представить справки, указанные в </w:t>
      </w:r>
      <w:hyperlink w:history="0" w:anchor="P183" w:tooltip="справку получателя субсидии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й)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и или упо...">
        <w:r>
          <w:rPr>
            <w:sz w:val="20"/>
            <w:color w:val="0000ff"/>
          </w:rPr>
          <w:t xml:space="preserve">абзацах втором</w:t>
        </w:r>
      </w:hyperlink>
      <w:r>
        <w:rPr>
          <w:sz w:val="20"/>
        </w:rPr>
        <w:t xml:space="preserve"> и </w:t>
      </w:r>
      <w:hyperlink w:history="0" w:anchor="P184"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й)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третьем пункта 2.23</w:t>
        </w:r>
      </w:hyperlink>
      <w:r>
        <w:rPr>
          <w:sz w:val="20"/>
        </w:rPr>
        <w:t xml:space="preserve"> настоящего Порядка.</w:t>
      </w:r>
    </w:p>
    <w:p>
      <w:pPr>
        <w:pStyle w:val="0"/>
        <w:spacing w:before="200" w:lineRule="auto"/>
        <w:ind w:firstLine="540"/>
        <w:jc w:val="both"/>
      </w:pPr>
      <w:r>
        <w:rPr>
          <w:sz w:val="20"/>
        </w:rPr>
        <w:t xml:space="preserve">2.5.11. У получателя субсидий на дату принятия решения о предоставлении субсидий на едином налоговом счете должна отсутствовать или не превышать размер, определенный в </w:t>
      </w:r>
      <w:hyperlink w:history="0" r:id="rId34"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и должна отсутствовать просроченная задолженность по возврату в бюджет Санкт-Петербурга иных субсидий, бюджетных инвестиций, а также иная просроченная (неурегулированная) задолженность по денежным обязательствам перед Санкт-Петербургом.</w:t>
      </w:r>
    </w:p>
    <w:p>
      <w:pPr>
        <w:pStyle w:val="0"/>
        <w:spacing w:before="200" w:lineRule="auto"/>
        <w:ind w:firstLine="540"/>
        <w:jc w:val="both"/>
      </w:pPr>
      <w:r>
        <w:rPr>
          <w:sz w:val="20"/>
        </w:rPr>
        <w:t xml:space="preserve">Соответствие получателя субсидий требованиям, указанным в настоящем пункте, подтверждается справками, указанными в </w:t>
      </w:r>
      <w:hyperlink w:history="0" w:anchor="P183" w:tooltip="справку получателя субсидии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й)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и или упо...">
        <w:r>
          <w:rPr>
            <w:sz w:val="20"/>
            <w:color w:val="0000ff"/>
          </w:rPr>
          <w:t xml:space="preserve">абзацах втором</w:t>
        </w:r>
      </w:hyperlink>
      <w:r>
        <w:rPr>
          <w:sz w:val="20"/>
        </w:rPr>
        <w:t xml:space="preserve"> и </w:t>
      </w:r>
      <w:hyperlink w:history="0" w:anchor="P184"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й)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третьем пункта 2.23</w:t>
        </w:r>
      </w:hyperlink>
      <w:r>
        <w:rPr>
          <w:sz w:val="20"/>
        </w:rPr>
        <w:t xml:space="preserve"> настоящего Порядка.</w:t>
      </w:r>
    </w:p>
    <w:bookmarkStart w:id="100" w:name="P100"/>
    <w:bookmarkEnd w:id="100"/>
    <w:p>
      <w:pPr>
        <w:pStyle w:val="0"/>
        <w:spacing w:before="200" w:lineRule="auto"/>
        <w:ind w:firstLine="540"/>
        <w:jc w:val="both"/>
      </w:pPr>
      <w:r>
        <w:rPr>
          <w:sz w:val="20"/>
        </w:rPr>
        <w:t xml:space="preserve">2.6. Субсидии предоставляются в целях финансового обеспечения следующих затрат получателя субсидий:</w:t>
      </w:r>
    </w:p>
    <w:p>
      <w:pPr>
        <w:pStyle w:val="0"/>
        <w:spacing w:before="200" w:lineRule="auto"/>
        <w:ind w:firstLine="540"/>
        <w:jc w:val="both"/>
      </w:pPr>
      <w:r>
        <w:rPr>
          <w:sz w:val="20"/>
        </w:rPr>
        <w:t xml:space="preserve">оплата труда работников получателя субсидий, участвующих в подготовке и проведении мероприятий, с начислениями на выплаты по оплате труда и(или) вознаграждение за оказание услуг по договорам гражданско-правового характера лиц, участвующих в подготовке и проведении мероприятий, - не более 50 процентов от суммы субсидий;</w:t>
      </w:r>
    </w:p>
    <w:p>
      <w:pPr>
        <w:pStyle w:val="0"/>
        <w:spacing w:before="200" w:lineRule="auto"/>
        <w:ind w:firstLine="540"/>
        <w:jc w:val="both"/>
      </w:pPr>
      <w:r>
        <w:rPr>
          <w:sz w:val="20"/>
        </w:rPr>
        <w:t xml:space="preserve">приобретение материальных запасов, необходимых для подготовки и проведения мероприятия, а именно: канцелярских товаров, картриджей, а также основных средств, необходимых для подготовки и проведения мероприятия, а именно: мебели, компьютерного и звукового оборудования со сроком полезного использования более 12 месяцев, - до 100 процентов от суммы субсидий;</w:t>
      </w:r>
    </w:p>
    <w:p>
      <w:pPr>
        <w:pStyle w:val="0"/>
        <w:spacing w:before="200" w:lineRule="auto"/>
        <w:ind w:firstLine="540"/>
        <w:jc w:val="both"/>
      </w:pPr>
      <w:r>
        <w:rPr>
          <w:sz w:val="20"/>
        </w:rPr>
        <w:t xml:space="preserve">услуги, работы привлекаемых организаций и(или) индивидуальных предпринимателей, необходимые для подготовки и проведения мероприятий, а именно: услуги по аренде помещений, обеспечению оснащения помещения звуковым и световым оборудованием, украшению помещения в соответствии с тематикой мероприятия, услуги перевода, полиграфические услуги, услуги связи, - не более 100 процентов от суммы субсидий.</w:t>
      </w:r>
    </w:p>
    <w:bookmarkStart w:id="104" w:name="P104"/>
    <w:bookmarkEnd w:id="104"/>
    <w:p>
      <w:pPr>
        <w:pStyle w:val="0"/>
        <w:spacing w:before="200" w:lineRule="auto"/>
        <w:ind w:firstLine="540"/>
        <w:jc w:val="both"/>
      </w:pPr>
      <w:r>
        <w:rPr>
          <w:sz w:val="20"/>
        </w:rPr>
        <w:t xml:space="preserve">2.7. Предельный объем финансового обеспечения затрат на подготовку и проведение мероприятий одного общественного объединения научных работников составляет 400000 руб.</w:t>
      </w:r>
    </w:p>
    <w:p>
      <w:pPr>
        <w:pStyle w:val="0"/>
        <w:spacing w:before="200" w:lineRule="auto"/>
        <w:ind w:firstLine="540"/>
        <w:jc w:val="both"/>
      </w:pPr>
      <w:r>
        <w:rPr>
          <w:sz w:val="20"/>
        </w:rPr>
        <w:t xml:space="preserve">2.8. Для участия в конкурсном отборе участники конкурсного отбора в сроки, установленные в объявлении, представляют заявки и документы для участия в конкурсном отборе, включая </w:t>
      </w:r>
      <w:hyperlink w:history="0" w:anchor="P355" w:tooltip="СМЕТА">
        <w:r>
          <w:rPr>
            <w:sz w:val="20"/>
            <w:color w:val="0000ff"/>
          </w:rPr>
          <w:t xml:space="preserve">смету</w:t>
        </w:r>
      </w:hyperlink>
      <w:r>
        <w:rPr>
          <w:sz w:val="20"/>
        </w:rPr>
        <w:t xml:space="preserve"> затрат (далее - смета) и </w:t>
      </w:r>
      <w:hyperlink w:history="0" w:anchor="P304" w:tooltip="СОГЛАСИЕ">
        <w:r>
          <w:rPr>
            <w:sz w:val="20"/>
            <w:color w:val="0000ff"/>
          </w:rPr>
          <w:t xml:space="preserve">согласия</w:t>
        </w:r>
      </w:hyperlink>
      <w:r>
        <w:rPr>
          <w:sz w:val="20"/>
        </w:rPr>
        <w:t xml:space="preserve"> на обработку персональных данных физических лиц, персональные данные которых содержатся в заявке и документах для участия в конкурсном отборе, в соответствии с порядком подачи заявок и документов, указанным в объявлении, в электронной форме посредством заполнения соответствующих экранных форм веб-интерфейса АИС БП-ЭК на площадке отбора с вложением электронных копий документов (документов на бумажном носителе, преобразованных в электронную форму путем сканирования), указанных в </w:t>
      </w:r>
      <w:hyperlink w:history="0" w:anchor="P253" w:tooltip="ПЕРЕЧЕНЬ">
        <w:r>
          <w:rPr>
            <w:sz w:val="20"/>
            <w:color w:val="0000ff"/>
          </w:rPr>
          <w:t xml:space="preserve">приложении N 1</w:t>
        </w:r>
      </w:hyperlink>
      <w:r>
        <w:rPr>
          <w:sz w:val="20"/>
        </w:rPr>
        <w:t xml:space="preserve"> к настоящему Порядку (далее - документы). Форма заявки устанавливается Комитетом. Форма </w:t>
      </w:r>
      <w:hyperlink w:history="0" w:anchor="P304" w:tooltip="СОГЛАСИЕ">
        <w:r>
          <w:rPr>
            <w:sz w:val="20"/>
            <w:color w:val="0000ff"/>
          </w:rPr>
          <w:t xml:space="preserve">согласия</w:t>
        </w:r>
      </w:hyperlink>
      <w:r>
        <w:rPr>
          <w:sz w:val="20"/>
        </w:rPr>
        <w:t xml:space="preserve"> на обработку персональных данных представлена в приложении N 2 к настоящему Порядку. Форма </w:t>
      </w:r>
      <w:hyperlink w:history="0" w:anchor="P355" w:tooltip="СМЕТА">
        <w:r>
          <w:rPr>
            <w:sz w:val="20"/>
            <w:color w:val="0000ff"/>
          </w:rPr>
          <w:t xml:space="preserve">сметы</w:t>
        </w:r>
      </w:hyperlink>
      <w:r>
        <w:rPr>
          <w:sz w:val="20"/>
        </w:rPr>
        <w:t xml:space="preserve"> представлена в приложении N 3 к настоящему Порядку.</w:t>
      </w:r>
    </w:p>
    <w:p>
      <w:pPr>
        <w:pStyle w:val="0"/>
        <w:spacing w:before="200" w:lineRule="auto"/>
        <w:ind w:firstLine="540"/>
        <w:jc w:val="both"/>
      </w:pPr>
      <w:r>
        <w:rPr>
          <w:sz w:val="20"/>
        </w:rPr>
        <w:t xml:space="preserve">2.9. Претенденты вправе направить в письменной форме в Комитет запрос, в том числе на адрес электронной почты, указанный в объявлении, о даче разъяснений положений, содержащихся в объявлении. В течение трех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 содержащихся в объявлении, если указанный запрос поступил не позднее чем за три рабочих дня до окончания срока приема заявок.</w:t>
      </w:r>
    </w:p>
    <w:p>
      <w:pPr>
        <w:pStyle w:val="0"/>
        <w:spacing w:before="200" w:lineRule="auto"/>
        <w:ind w:firstLine="540"/>
        <w:jc w:val="both"/>
      </w:pPr>
      <w:r>
        <w:rPr>
          <w:sz w:val="20"/>
        </w:rPr>
        <w:t xml:space="preserve">2.10. Заявка и документы могут быть отозваны участниками конкурсного отбора до окончания срока приема заявок и документов через АИС БП-ЭК.</w:t>
      </w:r>
    </w:p>
    <w:p>
      <w:pPr>
        <w:pStyle w:val="0"/>
        <w:spacing w:before="200" w:lineRule="auto"/>
        <w:ind w:firstLine="540"/>
        <w:jc w:val="both"/>
      </w:pPr>
      <w:r>
        <w:rPr>
          <w:sz w:val="20"/>
        </w:rPr>
        <w:t xml:space="preserve">Отзыв участником отбора заявки и(или) документов не лишает его права повторно в сроки, установленные для подачи заявок, подать заявку и документы в соответствии с настоящим Порядком до срока окончания подачи заявок и документов, указанного в объявлении.</w:t>
      </w:r>
    </w:p>
    <w:p>
      <w:pPr>
        <w:pStyle w:val="0"/>
        <w:spacing w:before="200" w:lineRule="auto"/>
        <w:ind w:firstLine="540"/>
        <w:jc w:val="both"/>
      </w:pPr>
      <w:r>
        <w:rPr>
          <w:sz w:val="20"/>
        </w:rPr>
        <w:t xml:space="preserve">Порядок внесения изменений в заявки и документы и порядок возврата заявок и документов на доработку утверждаются Комитетом.</w:t>
      </w:r>
    </w:p>
    <w:p>
      <w:pPr>
        <w:pStyle w:val="0"/>
        <w:spacing w:before="200" w:lineRule="auto"/>
        <w:ind w:firstLine="540"/>
        <w:jc w:val="both"/>
      </w:pPr>
      <w:r>
        <w:rPr>
          <w:sz w:val="20"/>
        </w:rPr>
        <w:t xml:space="preserve">2.11. Конкурсный отбор осуществляется конкурсной комиссией по предоставлению субсидий (далее - конкурсная комиссия). Состав конкурсной комиссии и положение о ней утверждаются Комитетом.</w:t>
      </w:r>
    </w:p>
    <w:p>
      <w:pPr>
        <w:pStyle w:val="0"/>
        <w:spacing w:before="200" w:lineRule="auto"/>
        <w:ind w:firstLine="540"/>
        <w:jc w:val="both"/>
      </w:pPr>
      <w:r>
        <w:rPr>
          <w:sz w:val="20"/>
        </w:rPr>
        <w:t xml:space="preserve">2.12. В течение 30 дней после окончания приема заявок Комитет организует проверку заявок и документов с привлечением сопровождающей организации (далее - экспертиза).</w:t>
      </w:r>
    </w:p>
    <w:p>
      <w:pPr>
        <w:pStyle w:val="0"/>
        <w:spacing w:before="200" w:lineRule="auto"/>
        <w:ind w:firstLine="540"/>
        <w:jc w:val="both"/>
      </w:pPr>
      <w:r>
        <w:rPr>
          <w:sz w:val="20"/>
        </w:rPr>
        <w:t xml:space="preserve">2.12.1. На первом этапе экспертизы рассматриваются заявки и документы на предмет их соответствия установленным в объявлении требованиям, на соблюдение условий предоставления субсидий, установленных настоящим Порядком, проводится проверка достоверности сведений, содержащихся в заявках и документах, формируется список заявок и документов, по которым имеются основания для их отклонения, с указанием причин отклонения (далее - список).</w:t>
      </w:r>
    </w:p>
    <w:p>
      <w:pPr>
        <w:pStyle w:val="0"/>
        <w:spacing w:before="200" w:lineRule="auto"/>
        <w:ind w:firstLine="540"/>
        <w:jc w:val="both"/>
      </w:pPr>
      <w:r>
        <w:rPr>
          <w:sz w:val="20"/>
        </w:rPr>
        <w:t xml:space="preserve">2.12.2. На втором этапе экспертизы проводится экспертная оценка заявок и документов не менее чем двумя независимыми экспертами в соответствии с критериями определения победителей конкурсного отбора, указанными в </w:t>
      </w:r>
      <w:hyperlink w:history="0" w:anchor="P56" w:tooltip="1.6. Критериями определения победителей конкурсного отбора являются:">
        <w:r>
          <w:rPr>
            <w:sz w:val="20"/>
            <w:color w:val="0000ff"/>
          </w:rPr>
          <w:t xml:space="preserve">пункте 1.6</w:t>
        </w:r>
      </w:hyperlink>
      <w:r>
        <w:rPr>
          <w:sz w:val="20"/>
        </w:rPr>
        <w:t xml:space="preserve"> настоящего Порядка и </w:t>
      </w:r>
      <w:hyperlink w:history="0" w:anchor="P419" w:tooltip="НОМЕНКЛАТУРА">
        <w:r>
          <w:rPr>
            <w:sz w:val="20"/>
            <w:color w:val="0000ff"/>
          </w:rPr>
          <w:t xml:space="preserve">приложении N 4</w:t>
        </w:r>
      </w:hyperlink>
      <w:r>
        <w:rPr>
          <w:sz w:val="20"/>
        </w:rPr>
        <w:t xml:space="preserve"> к настоящему Порядку. При этом начисление баллов по критериям оценки осуществляется с учетом положений </w:t>
      </w:r>
      <w:hyperlink w:history="0" r:id="rId35"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подпункта "а" пункта 22</w:t>
        </w:r>
      </w:hyperlink>
      <w:r>
        <w:rPr>
          <w:sz w:val="20"/>
        </w:rPr>
        <w:t xml:space="preserve"> общих требований.</w:t>
      </w:r>
    </w:p>
    <w:p>
      <w:pPr>
        <w:pStyle w:val="0"/>
        <w:spacing w:before="200" w:lineRule="auto"/>
        <w:ind w:firstLine="540"/>
        <w:jc w:val="both"/>
      </w:pPr>
      <w:r>
        <w:rPr>
          <w:sz w:val="20"/>
        </w:rPr>
        <w:t xml:space="preserve">По итогам оценки заявок в соответствии с критериями оценки заявок рассчитывается обобщенный рейтинг каждой заявки (далее - рейтинг заявки).</w:t>
      </w:r>
    </w:p>
    <w:p>
      <w:pPr>
        <w:pStyle w:val="0"/>
        <w:spacing w:before="200" w:lineRule="auto"/>
        <w:ind w:firstLine="540"/>
        <w:jc w:val="both"/>
      </w:pPr>
      <w:r>
        <w:rPr>
          <w:sz w:val="20"/>
        </w:rPr>
        <w:t xml:space="preserve">При расчете рейтинга заявки учитывается сумма оценок каждого критерия оценки заявок, представленных в заключениях экспертов, с учетом значений критериев оценки заявок, установленных в </w:t>
      </w:r>
      <w:hyperlink w:history="0" w:anchor="P419" w:tooltip="НОМЕНКЛАТУРА">
        <w:r>
          <w:rPr>
            <w:sz w:val="20"/>
            <w:color w:val="0000ff"/>
          </w:rPr>
          <w:t xml:space="preserve">приложении N 4</w:t>
        </w:r>
      </w:hyperlink>
      <w:r>
        <w:rPr>
          <w:sz w:val="20"/>
        </w:rPr>
        <w:t xml:space="preserve"> к настоящему Порядку.</w:t>
      </w:r>
    </w:p>
    <w:p>
      <w:pPr>
        <w:pStyle w:val="0"/>
        <w:spacing w:before="200" w:lineRule="auto"/>
        <w:ind w:firstLine="540"/>
        <w:jc w:val="both"/>
      </w:pPr>
      <w:r>
        <w:rPr>
          <w:sz w:val="20"/>
        </w:rPr>
        <w:t xml:space="preserve">Рейтинг заявки (P) определяется по следующей формуле:</w:t>
      </w:r>
    </w:p>
    <w:p>
      <w:pPr>
        <w:pStyle w:val="0"/>
        <w:ind w:firstLine="540"/>
        <w:jc w:val="both"/>
      </w:pPr>
      <w:r>
        <w:rPr>
          <w:sz w:val="20"/>
        </w:rPr>
      </w:r>
    </w:p>
    <w:p>
      <w:pPr>
        <w:pStyle w:val="0"/>
        <w:jc w:val="center"/>
      </w:pPr>
      <w:r>
        <w:rPr>
          <w:position w:val="-26"/>
        </w:rPr>
        <w:drawing>
          <wp:inline distT="0" distB="0" distL="0" distR="0">
            <wp:extent cx="2219325" cy="4667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2219325" cy="4667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A</w:t>
      </w:r>
      <w:r>
        <w:rPr>
          <w:sz w:val="20"/>
          <w:vertAlign w:val="subscript"/>
        </w:rPr>
        <w:t xml:space="preserve">i1</w:t>
      </w:r>
      <w:r>
        <w:rPr>
          <w:sz w:val="20"/>
        </w:rPr>
        <w:t xml:space="preserve"> - оценка i-го критерия оценки заявок первым экспертом;</w:t>
      </w:r>
    </w:p>
    <w:p>
      <w:pPr>
        <w:pStyle w:val="0"/>
        <w:spacing w:before="200" w:lineRule="auto"/>
        <w:ind w:firstLine="540"/>
        <w:jc w:val="both"/>
      </w:pPr>
      <w:r>
        <w:rPr>
          <w:sz w:val="20"/>
        </w:rPr>
        <w:t xml:space="preserve">A</w:t>
      </w:r>
      <w:r>
        <w:rPr>
          <w:sz w:val="20"/>
          <w:vertAlign w:val="subscript"/>
        </w:rPr>
        <w:t xml:space="preserve">i2</w:t>
      </w:r>
      <w:r>
        <w:rPr>
          <w:sz w:val="20"/>
        </w:rPr>
        <w:t xml:space="preserve"> - оценка i-го критерия оценки заявок вторым экспертом;</w:t>
      </w:r>
    </w:p>
    <w:p>
      <w:pPr>
        <w:pStyle w:val="0"/>
        <w:spacing w:before="200" w:lineRule="auto"/>
        <w:ind w:firstLine="540"/>
        <w:jc w:val="both"/>
      </w:pPr>
      <w:r>
        <w:rPr>
          <w:sz w:val="20"/>
        </w:rPr>
        <w:t xml:space="preserve">B</w:t>
      </w:r>
      <w:r>
        <w:rPr>
          <w:sz w:val="20"/>
          <w:vertAlign w:val="subscript"/>
        </w:rPr>
        <w:t xml:space="preserve">i</w:t>
      </w:r>
      <w:r>
        <w:rPr>
          <w:sz w:val="20"/>
        </w:rPr>
        <w:t xml:space="preserve"> - весовой коэффициент i-го критерия оценки заявок;</w:t>
      </w:r>
    </w:p>
    <w:p>
      <w:pPr>
        <w:pStyle w:val="0"/>
        <w:spacing w:before="200" w:lineRule="auto"/>
        <w:ind w:firstLine="540"/>
        <w:jc w:val="both"/>
      </w:pPr>
      <w:r>
        <w:rPr>
          <w:sz w:val="20"/>
        </w:rPr>
        <w:t xml:space="preserve">n - число критериев оценки заявок в соответствии с </w:t>
      </w:r>
      <w:hyperlink w:history="0" w:anchor="P419" w:tooltip="НОМЕНКЛАТУРА">
        <w:r>
          <w:rPr>
            <w:sz w:val="20"/>
            <w:color w:val="0000ff"/>
          </w:rPr>
          <w:t xml:space="preserve">приложением N 4</w:t>
        </w:r>
      </w:hyperlink>
      <w:r>
        <w:rPr>
          <w:sz w:val="20"/>
        </w:rPr>
        <w:t xml:space="preserve"> к настоящему Порядку.</w:t>
      </w:r>
    </w:p>
    <w:p>
      <w:pPr>
        <w:pStyle w:val="0"/>
        <w:ind w:firstLine="540"/>
        <w:jc w:val="both"/>
      </w:pPr>
      <w:r>
        <w:rPr>
          <w:sz w:val="20"/>
        </w:rPr>
      </w:r>
    </w:p>
    <w:p>
      <w:pPr>
        <w:pStyle w:val="0"/>
        <w:ind w:firstLine="540"/>
        <w:jc w:val="both"/>
      </w:pPr>
      <w:r>
        <w:rPr>
          <w:sz w:val="20"/>
        </w:rPr>
        <w:t xml:space="preserve">В случае привлечения к экспертизе третьего эксперта при расчете рейтинга заявки принимаются во внимание только две экспертные оценки, наиболее близкие по величине рейтинга заявки.</w:t>
      </w:r>
    </w:p>
    <w:p>
      <w:pPr>
        <w:pStyle w:val="0"/>
        <w:spacing w:before="200" w:lineRule="auto"/>
        <w:ind w:firstLine="540"/>
        <w:jc w:val="both"/>
      </w:pPr>
      <w:r>
        <w:rPr>
          <w:sz w:val="20"/>
        </w:rPr>
        <w:t xml:space="preserve">По результатам экспертизы и расчета рейтингов заявок осуществляется подготовка ранжированного списка участников отбора, где каждой заявке, за исключением заявок, включенных в список, присваивается порядковый номер (далее - ранжированный список).</w:t>
      </w:r>
    </w:p>
    <w:p>
      <w:pPr>
        <w:pStyle w:val="0"/>
        <w:spacing w:before="200" w:lineRule="auto"/>
        <w:ind w:firstLine="540"/>
        <w:jc w:val="both"/>
      </w:pPr>
      <w:r>
        <w:rPr>
          <w:sz w:val="20"/>
        </w:rPr>
        <w:t xml:space="preserve">Заявке и документам, набравшим наибольший балл, присваивается номер один. Порядковые номера от второго и далее присваиваются заявкам и документам по мере уменьшения количества набранных баллов.</w:t>
      </w:r>
    </w:p>
    <w:p>
      <w:pPr>
        <w:pStyle w:val="0"/>
        <w:spacing w:before="200" w:lineRule="auto"/>
        <w:ind w:firstLine="540"/>
        <w:jc w:val="both"/>
      </w:pPr>
      <w:r>
        <w:rPr>
          <w:sz w:val="20"/>
        </w:rPr>
        <w:t xml:space="preserve">В случае равенства баллов, набранных отдельными заявками и документами, меньший порядковый номер присваивается заявке, поданной раньше.</w:t>
      </w:r>
    </w:p>
    <w:bookmarkStart w:id="130" w:name="P130"/>
    <w:bookmarkEnd w:id="130"/>
    <w:p>
      <w:pPr>
        <w:pStyle w:val="0"/>
        <w:spacing w:before="200" w:lineRule="auto"/>
        <w:ind w:firstLine="540"/>
        <w:jc w:val="both"/>
      </w:pPr>
      <w:r>
        <w:rPr>
          <w:sz w:val="20"/>
        </w:rPr>
        <w:t xml:space="preserve">2.13. Результаты экспертизы Комитет передает в конкурсную комиссию в течение пяти рабочих дней после завершения экспертизы.</w:t>
      </w:r>
    </w:p>
    <w:p>
      <w:pPr>
        <w:pStyle w:val="0"/>
        <w:spacing w:before="200" w:lineRule="auto"/>
        <w:ind w:firstLine="540"/>
        <w:jc w:val="both"/>
      </w:pPr>
      <w:r>
        <w:rPr>
          <w:sz w:val="20"/>
        </w:rPr>
        <w:t xml:space="preserve">Правила рассмотрения и оценки заявок и документов утверждаются Комитетом и включают:</w:t>
      </w:r>
    </w:p>
    <w:p>
      <w:pPr>
        <w:pStyle w:val="0"/>
        <w:spacing w:before="200" w:lineRule="auto"/>
        <w:ind w:firstLine="540"/>
        <w:jc w:val="both"/>
      </w:pPr>
      <w:r>
        <w:rPr>
          <w:sz w:val="20"/>
        </w:rPr>
        <w:t xml:space="preserve">порядок рассмотрения конкурсной комиссией заявок и документов на предмет их соответствия установленным в объявлении требованиям;</w:t>
      </w:r>
    </w:p>
    <w:p>
      <w:pPr>
        <w:pStyle w:val="0"/>
        <w:spacing w:before="200" w:lineRule="auto"/>
        <w:ind w:firstLine="540"/>
        <w:jc w:val="both"/>
      </w:pPr>
      <w:r>
        <w:rPr>
          <w:sz w:val="20"/>
        </w:rPr>
        <w:t xml:space="preserve">порядок отклонения конкурсной комиссией заявок и документов;</w:t>
      </w:r>
    </w:p>
    <w:p>
      <w:pPr>
        <w:pStyle w:val="0"/>
        <w:spacing w:before="200" w:lineRule="auto"/>
        <w:ind w:firstLine="540"/>
        <w:jc w:val="both"/>
      </w:pPr>
      <w:r>
        <w:rPr>
          <w:sz w:val="20"/>
        </w:rPr>
        <w:t xml:space="preserve">сроки и порядок оценки конкурсной комиссией заявок и документов;</w:t>
      </w:r>
    </w:p>
    <w:p>
      <w:pPr>
        <w:pStyle w:val="0"/>
        <w:spacing w:before="200" w:lineRule="auto"/>
        <w:ind w:firstLine="540"/>
        <w:jc w:val="both"/>
      </w:pPr>
      <w:r>
        <w:rPr>
          <w:sz w:val="20"/>
        </w:rPr>
        <w:t xml:space="preserve">сроки размещения на официальном сайте Комитета и в АИС БП-ЭК документа об итогах проведения отбора, указанного в </w:t>
      </w:r>
      <w:hyperlink w:history="0" w:anchor="P159" w:tooltip="2.16. С учетом результатов экспертизы, а также в соответствии с критериями определения победителей конкурсного отбора, указанными в пункте 1.6 настоящего Порядка, конкурсная комиссия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и для каждого получателя субсидии, перечень отклоненных заявок и докум...">
        <w:r>
          <w:rPr>
            <w:sz w:val="20"/>
            <w:color w:val="0000ff"/>
          </w:rPr>
          <w:t xml:space="preserve">пункте 2.16</w:t>
        </w:r>
      </w:hyperlink>
      <w:r>
        <w:rPr>
          <w:sz w:val="20"/>
        </w:rPr>
        <w:t xml:space="preserve"> настоящего Порядка, содержащего следующие сведения:</w:t>
      </w:r>
    </w:p>
    <w:p>
      <w:pPr>
        <w:pStyle w:val="0"/>
        <w:spacing w:before="200" w:lineRule="auto"/>
        <w:ind w:firstLine="540"/>
        <w:jc w:val="both"/>
      </w:pPr>
      <w:r>
        <w:rPr>
          <w:sz w:val="20"/>
        </w:rPr>
        <w:t xml:space="preserve">дата, время и место проведения рассмотрения заявок и документов;</w:t>
      </w:r>
    </w:p>
    <w:p>
      <w:pPr>
        <w:pStyle w:val="0"/>
        <w:spacing w:before="200" w:lineRule="auto"/>
        <w:ind w:firstLine="540"/>
        <w:jc w:val="both"/>
      </w:pPr>
      <w:r>
        <w:rPr>
          <w:sz w:val="20"/>
        </w:rPr>
        <w:t xml:space="preserve">дата, время и место оценки заявок и документов;</w:t>
      </w:r>
    </w:p>
    <w:p>
      <w:pPr>
        <w:pStyle w:val="0"/>
        <w:spacing w:before="200" w:lineRule="auto"/>
        <w:ind w:firstLine="540"/>
        <w:jc w:val="both"/>
      </w:pPr>
      <w:r>
        <w:rPr>
          <w:sz w:val="20"/>
        </w:rPr>
        <w:t xml:space="preserve">информация о претендентах, заявки и документы которых были рассмотрены;</w:t>
      </w:r>
    </w:p>
    <w:p>
      <w:pPr>
        <w:pStyle w:val="0"/>
        <w:spacing w:before="200" w:lineRule="auto"/>
        <w:ind w:firstLine="540"/>
        <w:jc w:val="both"/>
      </w:pPr>
      <w:r>
        <w:rPr>
          <w:sz w:val="20"/>
        </w:rPr>
        <w:t xml:space="preserve">информация о претендентах, заявки и документы которых были отклонены, с указанием причин их отклонения, в том числе положений объявления, которым не соответствуют такие заявки и документы, а также претендентах, которым отказано в предоставлении субсидий, с указанием причин отказа;</w:t>
      </w:r>
    </w:p>
    <w:p>
      <w:pPr>
        <w:pStyle w:val="0"/>
        <w:spacing w:before="200" w:lineRule="auto"/>
        <w:ind w:firstLine="540"/>
        <w:jc w:val="both"/>
      </w:pPr>
      <w:r>
        <w:rPr>
          <w:sz w:val="20"/>
        </w:rPr>
        <w:t xml:space="preserve">последовательность оценки заявок и документов, присвоенные заявкам и документам значения по каждому из предусмотренных критериев определения победителей конкурсного отбора, принятое на основании результатов их оценки решение о присвоении таким заявкам и документам порядковых номеров;</w:t>
      </w:r>
    </w:p>
    <w:p>
      <w:pPr>
        <w:pStyle w:val="0"/>
        <w:spacing w:before="200" w:lineRule="auto"/>
        <w:ind w:firstLine="540"/>
        <w:jc w:val="both"/>
      </w:pPr>
      <w:r>
        <w:rPr>
          <w:sz w:val="20"/>
        </w:rPr>
        <w:t xml:space="preserve">наименование получателя (получателей) субсидии, с которым (которыми) заключается соглашение, и размер предоставляемых ему (им) субсидий.</w:t>
      </w:r>
    </w:p>
    <w:bookmarkStart w:id="142" w:name="P142"/>
    <w:bookmarkEnd w:id="142"/>
    <w:p>
      <w:pPr>
        <w:pStyle w:val="0"/>
        <w:spacing w:before="200" w:lineRule="auto"/>
        <w:ind w:firstLine="540"/>
        <w:jc w:val="both"/>
      </w:pPr>
      <w:r>
        <w:rPr>
          <w:sz w:val="20"/>
        </w:rPr>
        <w:t xml:space="preserve">2.14. Основаниями для принятия решения об отклонении заявки и документов являются:</w:t>
      </w:r>
    </w:p>
    <w:p>
      <w:pPr>
        <w:pStyle w:val="0"/>
        <w:spacing w:before="200" w:lineRule="auto"/>
        <w:ind w:firstLine="540"/>
        <w:jc w:val="both"/>
      </w:pPr>
      <w:r>
        <w:rPr>
          <w:sz w:val="20"/>
        </w:rPr>
        <w:t xml:space="preserve">несоответствие претендента условиям предоставления субсидий, указанным в </w:t>
      </w:r>
      <w:hyperlink w:history="0" w:anchor="P79" w:tooltip="2.5.1. На дату не ранее 30 календарных дней до даты подачи заявки:">
        <w:r>
          <w:rPr>
            <w:sz w:val="20"/>
            <w:color w:val="0000ff"/>
          </w:rPr>
          <w:t xml:space="preserve">пунктах 2.5.1</w:t>
        </w:r>
      </w:hyperlink>
      <w:r>
        <w:rPr>
          <w:sz w:val="20"/>
        </w:rPr>
        <w:t xml:space="preserve"> - </w:t>
      </w:r>
      <w:hyperlink w:history="0" w:anchor="P95" w:tooltip="2.5.8. Размер средней заработной платы каждого работника претендента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w:r>
          <w:rPr>
            <w:sz w:val="20"/>
            <w:color w:val="0000ff"/>
          </w:rPr>
          <w:t xml:space="preserve">2.5.8</w:t>
        </w:r>
      </w:hyperlink>
      <w:r>
        <w:rPr>
          <w:sz w:val="20"/>
        </w:rPr>
        <w:t xml:space="preserve"> и </w:t>
      </w:r>
      <w:hyperlink w:history="0" w:anchor="P97" w:tooltip="2.5.10. Наличие обязательства претендента в случае признания его получателем субсидий представить справки, указанные в абзацах втором и третьем пункта 2.23 настоящего Порядка.">
        <w:r>
          <w:rPr>
            <w:sz w:val="20"/>
            <w:color w:val="0000ff"/>
          </w:rPr>
          <w:t xml:space="preserve">2.5.10</w:t>
        </w:r>
      </w:hyperlink>
      <w:r>
        <w:rPr>
          <w:sz w:val="20"/>
        </w:rPr>
        <w:t xml:space="preserve"> настоящего Порядка;</w:t>
      </w:r>
    </w:p>
    <w:p>
      <w:pPr>
        <w:pStyle w:val="0"/>
        <w:spacing w:before="200" w:lineRule="auto"/>
        <w:ind w:firstLine="540"/>
        <w:jc w:val="both"/>
      </w:pPr>
      <w:r>
        <w:rPr>
          <w:sz w:val="20"/>
        </w:rPr>
        <w:t xml:space="preserve">несоответствие представленных претендентом заявки и(или) документов требованиям к ним, установленным настоящим Порядком, и(или) непредставление (представление не в полном объеме) заявки и документов;</w:t>
      </w:r>
    </w:p>
    <w:p>
      <w:pPr>
        <w:pStyle w:val="0"/>
        <w:spacing w:before="200" w:lineRule="auto"/>
        <w:ind w:firstLine="540"/>
        <w:jc w:val="both"/>
      </w:pPr>
      <w:r>
        <w:rPr>
          <w:sz w:val="20"/>
        </w:rPr>
        <w:t xml:space="preserve">недостоверность представленной претендентом информации;</w:t>
      </w:r>
    </w:p>
    <w:p>
      <w:pPr>
        <w:pStyle w:val="0"/>
        <w:spacing w:before="200" w:lineRule="auto"/>
        <w:ind w:firstLine="540"/>
        <w:jc w:val="both"/>
      </w:pPr>
      <w:r>
        <w:rPr>
          <w:sz w:val="20"/>
        </w:rPr>
        <w:t xml:space="preserve">поступление заявки после срока подачи заявок, указанного в объявлении;</w:t>
      </w:r>
    </w:p>
    <w:p>
      <w:pPr>
        <w:pStyle w:val="0"/>
        <w:spacing w:before="200" w:lineRule="auto"/>
        <w:ind w:firstLine="540"/>
        <w:jc w:val="both"/>
      </w:pPr>
      <w:r>
        <w:rPr>
          <w:sz w:val="20"/>
        </w:rPr>
        <w:t xml:space="preserve">подача заявки, в которой размер запрашиваемых субсидий превышает предельный объем финансового обеспечения затрат, установленный в </w:t>
      </w:r>
      <w:hyperlink w:history="0" w:anchor="P104" w:tooltip="2.7. Предельный объем финансового обеспечения затрат на подготовку и проведение мероприятий одного общественного объединения научных работников составляет 400000 руб.">
        <w:r>
          <w:rPr>
            <w:sz w:val="20"/>
            <w:color w:val="0000ff"/>
          </w:rPr>
          <w:t xml:space="preserve">пункте 2.7</w:t>
        </w:r>
      </w:hyperlink>
      <w:r>
        <w:rPr>
          <w:sz w:val="20"/>
        </w:rPr>
        <w:t xml:space="preserve"> настоящего Порядка;</w:t>
      </w:r>
    </w:p>
    <w:p>
      <w:pPr>
        <w:pStyle w:val="0"/>
        <w:spacing w:before="200" w:lineRule="auto"/>
        <w:ind w:firstLine="540"/>
        <w:jc w:val="both"/>
      </w:pPr>
      <w:r>
        <w:rPr>
          <w:sz w:val="20"/>
        </w:rPr>
        <w:t xml:space="preserve">подача претендентом более одной заявки;</w:t>
      </w:r>
    </w:p>
    <w:p>
      <w:pPr>
        <w:pStyle w:val="0"/>
        <w:spacing w:before="200" w:lineRule="auto"/>
        <w:ind w:firstLine="540"/>
        <w:jc w:val="both"/>
      </w:pPr>
      <w:r>
        <w:rPr>
          <w:sz w:val="20"/>
        </w:rPr>
        <w:t xml:space="preserve">подача заявки, сроки проведения мероприятий по которой позднее 01.12.2026;</w:t>
      </w:r>
    </w:p>
    <w:p>
      <w:pPr>
        <w:pStyle w:val="0"/>
        <w:spacing w:before="200" w:lineRule="auto"/>
        <w:ind w:firstLine="540"/>
        <w:jc w:val="both"/>
      </w:pPr>
      <w:r>
        <w:rPr>
          <w:sz w:val="20"/>
        </w:rPr>
        <w:t xml:space="preserve">подача заявки, охват целевой аудитории мероприятиями в которой менее 25 человек.</w:t>
      </w:r>
    </w:p>
    <w:p>
      <w:pPr>
        <w:pStyle w:val="0"/>
        <w:spacing w:before="200" w:lineRule="auto"/>
        <w:ind w:firstLine="540"/>
        <w:jc w:val="both"/>
      </w:pPr>
      <w:r>
        <w:rPr>
          <w:sz w:val="20"/>
        </w:rPr>
        <w:t xml:space="preserve">2.15. Основаниями для отказа в предоставлении (перечислении) субсидий являются:</w:t>
      </w:r>
    </w:p>
    <w:p>
      <w:pPr>
        <w:pStyle w:val="0"/>
        <w:spacing w:before="200" w:lineRule="auto"/>
        <w:ind w:firstLine="540"/>
        <w:jc w:val="both"/>
      </w:pPr>
      <w:r>
        <w:rPr>
          <w:sz w:val="20"/>
        </w:rPr>
        <w:t xml:space="preserve">отклонение заявки и документов по основаниям, указанным в </w:t>
      </w:r>
      <w:hyperlink w:history="0" w:anchor="P142" w:tooltip="2.14. Основаниями для принятия решения об отклонении заявки и документов являются:">
        <w:r>
          <w:rPr>
            <w:sz w:val="20"/>
            <w:color w:val="0000ff"/>
          </w:rPr>
          <w:t xml:space="preserve">пункте 2.14</w:t>
        </w:r>
      </w:hyperlink>
      <w:r>
        <w:rPr>
          <w:sz w:val="20"/>
        </w:rPr>
        <w:t xml:space="preserve"> настоящего Порядка;</w:t>
      </w:r>
    </w:p>
    <w:p>
      <w:pPr>
        <w:pStyle w:val="0"/>
        <w:spacing w:before="200" w:lineRule="auto"/>
        <w:ind w:firstLine="540"/>
        <w:jc w:val="both"/>
      </w:pPr>
      <w:r>
        <w:rPr>
          <w:sz w:val="20"/>
        </w:rPr>
        <w:t xml:space="preserve">отсутствие у Комитета бюджетных ассигнований на предоставление субсидий на дату рассмотрения заявки и документов;</w:t>
      </w:r>
    </w:p>
    <w:p>
      <w:pPr>
        <w:pStyle w:val="0"/>
        <w:spacing w:before="200" w:lineRule="auto"/>
        <w:ind w:firstLine="540"/>
        <w:jc w:val="both"/>
      </w:pPr>
      <w:r>
        <w:rPr>
          <w:sz w:val="20"/>
        </w:rPr>
        <w:t xml:space="preserve">непризнание претендентов победителями конкурсного отбора;</w:t>
      </w:r>
    </w:p>
    <w:p>
      <w:pPr>
        <w:pStyle w:val="0"/>
        <w:spacing w:before="200" w:lineRule="auto"/>
        <w:ind w:firstLine="540"/>
        <w:jc w:val="both"/>
      </w:pPr>
      <w:r>
        <w:rPr>
          <w:sz w:val="20"/>
        </w:rPr>
        <w:t xml:space="preserve">непредставление получателем субсидий в Комитет соглашения в сроки, указанные в </w:t>
      </w:r>
      <w:hyperlink w:history="0" w:anchor="P181" w:tooltip="2.22. В целях заключения соглашений Комитет не позднее 10 рабочих дней после подписания распоряжения Комитета о предоставлении субсидий формирует проект соглашения в форме электронного документа в АИС БП-ЭК и направляет в АИС БП-ЭК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в АИС БП-ЭК.">
        <w:r>
          <w:rPr>
            <w:sz w:val="20"/>
            <w:color w:val="0000ff"/>
          </w:rPr>
          <w:t xml:space="preserve">пункте 2.22</w:t>
        </w:r>
      </w:hyperlink>
      <w:r>
        <w:rPr>
          <w:sz w:val="20"/>
        </w:rPr>
        <w:t xml:space="preserve"> настоящего Порядка, и(или) представление соглашения, не соответствующего типовой форме соглашения, утвержденной Комитетом финансов Санкт-Петербурга;</w:t>
      </w:r>
    </w:p>
    <w:p>
      <w:pPr>
        <w:pStyle w:val="0"/>
        <w:spacing w:before="200" w:lineRule="auto"/>
        <w:ind w:firstLine="540"/>
        <w:jc w:val="both"/>
      </w:pPr>
      <w:r>
        <w:rPr>
          <w:sz w:val="20"/>
        </w:rPr>
        <w:t xml:space="preserve">непредставление получателем субсидий в Комитет справок, указанных в </w:t>
      </w:r>
      <w:hyperlink w:history="0" w:anchor="P183" w:tooltip="справку получателя субсидии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й)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и или упо...">
        <w:r>
          <w:rPr>
            <w:sz w:val="20"/>
            <w:color w:val="0000ff"/>
          </w:rPr>
          <w:t xml:space="preserve">абзацах втором</w:t>
        </w:r>
      </w:hyperlink>
      <w:r>
        <w:rPr>
          <w:sz w:val="20"/>
        </w:rPr>
        <w:t xml:space="preserve"> и </w:t>
      </w:r>
      <w:hyperlink w:history="0" w:anchor="P184"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й)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третьем пункта 2.23</w:t>
        </w:r>
      </w:hyperlink>
      <w:r>
        <w:rPr>
          <w:sz w:val="20"/>
        </w:rPr>
        <w:t xml:space="preserve"> настоящего Порядка;</w:t>
      </w:r>
    </w:p>
    <w:p>
      <w:pPr>
        <w:pStyle w:val="0"/>
        <w:spacing w:before="200" w:lineRule="auto"/>
        <w:ind w:firstLine="540"/>
        <w:jc w:val="both"/>
      </w:pPr>
      <w:r>
        <w:rPr>
          <w:sz w:val="20"/>
        </w:rPr>
        <w:t xml:space="preserve">наличие у получателя субсидий на едином налоговом счете задолженности по уплате налогов, сборов и страховых взносов в бюджеты бюджетной системы Российской Федерации, превышающей размер, определенный в </w:t>
      </w:r>
      <w:hyperlink w:history="0" r:id="rId37"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на дату принятия решения о предоставлении субсидий;</w:t>
      </w:r>
    </w:p>
    <w:p>
      <w:pPr>
        <w:pStyle w:val="0"/>
        <w:spacing w:before="200" w:lineRule="auto"/>
        <w:ind w:firstLine="540"/>
        <w:jc w:val="both"/>
      </w:pPr>
      <w:r>
        <w:rPr>
          <w:sz w:val="20"/>
        </w:rPr>
        <w:t xml:space="preserve">наличие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на дату принятия решения о предоставлении субсидий.</w:t>
      </w:r>
    </w:p>
    <w:bookmarkStart w:id="159" w:name="P159"/>
    <w:bookmarkEnd w:id="159"/>
    <w:p>
      <w:pPr>
        <w:pStyle w:val="0"/>
        <w:spacing w:before="200" w:lineRule="auto"/>
        <w:ind w:firstLine="540"/>
        <w:jc w:val="both"/>
      </w:pPr>
      <w:r>
        <w:rPr>
          <w:sz w:val="20"/>
        </w:rPr>
        <w:t xml:space="preserve">2.16. С учетом результатов экспертизы, а также в соответствии с критериями определения победителей конкурсного отбора, указанными в </w:t>
      </w:r>
      <w:hyperlink w:history="0" w:anchor="P56" w:tooltip="1.6. Критериями определения победителей конкурсного отбора являются:">
        <w:r>
          <w:rPr>
            <w:sz w:val="20"/>
            <w:color w:val="0000ff"/>
          </w:rPr>
          <w:t xml:space="preserve">пункте 1.6</w:t>
        </w:r>
      </w:hyperlink>
      <w:r>
        <w:rPr>
          <w:sz w:val="20"/>
        </w:rPr>
        <w:t xml:space="preserve"> настоящего Порядка, конкурсная комиссия в течение 20 рабочих дней со дня получения от Комитета результатов экспертизы в соответствии с </w:t>
      </w:r>
      <w:hyperlink w:history="0" w:anchor="P130" w:tooltip="2.13. Результаты экспертизы Комитет передает в конкурсную комиссию в течение пяти рабочих дней после завершения экспертизы.">
        <w:r>
          <w:rPr>
            <w:sz w:val="20"/>
            <w:color w:val="0000ff"/>
          </w:rPr>
          <w:t xml:space="preserve">пунктом 2.13</w:t>
        </w:r>
      </w:hyperlink>
      <w:r>
        <w:rPr>
          <w:sz w:val="20"/>
        </w:rPr>
        <w:t xml:space="preserve"> настоящего Порядка определяет перечень получателей субсидий, размеры предоставляемых субсидий по каждому получателю субсидий, значение характеристики для каждого получателя субсидии, перечень отклоненных заявок и документов с указанием причин отклонения, перечень претендентов, которым отказано в предоставлении субсидий, с указанием причины отказа. Решение конкурсной комиссии оформляется протоколом подведения итогов конкурсного отбора (далее - документ об итогах проведения отбора).</w:t>
      </w:r>
    </w:p>
    <w:p>
      <w:pPr>
        <w:pStyle w:val="0"/>
        <w:spacing w:before="200" w:lineRule="auto"/>
        <w:ind w:firstLine="540"/>
        <w:jc w:val="both"/>
      </w:pPr>
      <w:r>
        <w:rPr>
          <w:sz w:val="20"/>
        </w:rPr>
        <w:t xml:space="preserve">2.17. Конкурсная комиссия в пределах лимитов бюджетных обязательств, доведенных Комитету в установленном порядке, определяет размер предоставляемых субсидий каждому получателю субсидий (С) по следующей формуле:</w:t>
      </w:r>
    </w:p>
    <w:p>
      <w:pPr>
        <w:pStyle w:val="0"/>
        <w:ind w:firstLine="540"/>
        <w:jc w:val="both"/>
      </w:pPr>
      <w:r>
        <w:rPr>
          <w:sz w:val="20"/>
        </w:rPr>
      </w:r>
    </w:p>
    <w:p>
      <w:pPr>
        <w:pStyle w:val="0"/>
        <w:jc w:val="center"/>
      </w:pPr>
      <w:r>
        <w:rPr>
          <w:sz w:val="20"/>
        </w:rPr>
        <w:t xml:space="preserve">С = З</w:t>
      </w:r>
      <w:r>
        <w:rPr>
          <w:sz w:val="20"/>
          <w:vertAlign w:val="subscript"/>
        </w:rPr>
        <w:t xml:space="preserve">1</w:t>
      </w:r>
      <w:r>
        <w:rPr>
          <w:sz w:val="20"/>
        </w:rPr>
        <w:t xml:space="preserve"> + З</w:t>
      </w:r>
      <w:r>
        <w:rPr>
          <w:sz w:val="20"/>
          <w:vertAlign w:val="subscript"/>
        </w:rPr>
        <w:t xml:space="preserve">2</w:t>
      </w:r>
      <w:r>
        <w:rPr>
          <w:sz w:val="20"/>
        </w:rPr>
        <w:t xml:space="preserve"> + ... З</w:t>
      </w:r>
      <w:r>
        <w:rPr>
          <w:sz w:val="20"/>
          <w:vertAlign w:val="subscript"/>
        </w:rPr>
        <w:t xml:space="preserve">n</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З</w:t>
      </w:r>
      <w:r>
        <w:rPr>
          <w:sz w:val="20"/>
          <w:vertAlign w:val="subscript"/>
        </w:rPr>
        <w:t xml:space="preserve">1</w:t>
      </w:r>
      <w:r>
        <w:rPr>
          <w:sz w:val="20"/>
        </w:rPr>
        <w:t xml:space="preserve">, З</w:t>
      </w:r>
      <w:r>
        <w:rPr>
          <w:sz w:val="20"/>
          <w:vertAlign w:val="subscript"/>
        </w:rPr>
        <w:t xml:space="preserve">2</w:t>
      </w:r>
      <w:r>
        <w:rPr>
          <w:sz w:val="20"/>
        </w:rPr>
        <w:t xml:space="preserve">, ... З</w:t>
      </w:r>
      <w:r>
        <w:rPr>
          <w:sz w:val="20"/>
          <w:vertAlign w:val="subscript"/>
        </w:rPr>
        <w:t xml:space="preserve">n</w:t>
      </w:r>
      <w:r>
        <w:rPr>
          <w:sz w:val="20"/>
        </w:rPr>
        <w:t xml:space="preserve"> - суммы планируемых затрат, финансовое обеспечение которых осуществляется за счет субсидий, по видам затрат, указанным в </w:t>
      </w:r>
      <w:hyperlink w:history="0" w:anchor="P100"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w:t>
      </w:r>
    </w:p>
    <w:p>
      <w:pPr>
        <w:pStyle w:val="0"/>
        <w:ind w:firstLine="540"/>
        <w:jc w:val="both"/>
      </w:pPr>
      <w:r>
        <w:rPr>
          <w:sz w:val="20"/>
        </w:rPr>
      </w:r>
    </w:p>
    <w:p>
      <w:pPr>
        <w:pStyle w:val="0"/>
        <w:ind w:firstLine="540"/>
        <w:jc w:val="both"/>
      </w:pPr>
      <w:r>
        <w:rPr>
          <w:sz w:val="20"/>
        </w:rPr>
        <w:t xml:space="preserve">Суммы планируемых затрат по видам затрат, указанным в </w:t>
      </w:r>
      <w:hyperlink w:history="0" w:anchor="P100"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 определяются в соответствии со </w:t>
      </w:r>
      <w:hyperlink w:history="0" w:anchor="P355" w:tooltip="СМЕТА">
        <w:r>
          <w:rPr>
            <w:sz w:val="20"/>
            <w:color w:val="0000ff"/>
          </w:rPr>
          <w:t xml:space="preserve">сметой</w:t>
        </w:r>
      </w:hyperlink>
      <w:r>
        <w:rPr>
          <w:sz w:val="20"/>
        </w:rPr>
        <w:t xml:space="preserve"> по форме согласно приложению N 3 к настоящему Порядку.</w:t>
      </w:r>
    </w:p>
    <w:p>
      <w:pPr>
        <w:pStyle w:val="0"/>
        <w:spacing w:before="200" w:lineRule="auto"/>
        <w:ind w:firstLine="540"/>
        <w:jc w:val="both"/>
      </w:pPr>
      <w:r>
        <w:rPr>
          <w:sz w:val="20"/>
        </w:rPr>
        <w:t xml:space="preserve">При определении размера субсидий получателем субсидий в смету не включаются суммы налога на добавленную стоимость (далее - НДС), за исключением случая, если получатель субсидий применяет систему налогообложения, при которой НДС не уплачивается, или освобожден от исполнения обязанностей плательщика НДС в соответствии со </w:t>
      </w:r>
      <w:hyperlink w:history="0" r:id="rId38" w:tooltip="&quot;Налоговый кодекс Российской Федерации (часть вторая)&quot; от 05.08.2000 N 117-ФЗ (ред. от 25.05.2026) {КонсультантПлюс}">
        <w:r>
          <w:rPr>
            <w:sz w:val="20"/>
            <w:color w:val="0000ff"/>
          </w:rPr>
          <w:t xml:space="preserve">статьями 145</w:t>
        </w:r>
      </w:hyperlink>
      <w:r>
        <w:rPr>
          <w:sz w:val="20"/>
        </w:rPr>
        <w:t xml:space="preserve"> и </w:t>
      </w:r>
      <w:hyperlink w:history="0" r:id="rId39" w:tooltip="&quot;Налоговый кодекс Российской Федерации (часть вторая)&quot; от 05.08.2000 N 117-ФЗ (ред. от 25.05.2026) {КонсультантПлюс}">
        <w:r>
          <w:rPr>
            <w:sz w:val="20"/>
            <w:color w:val="0000ff"/>
          </w:rPr>
          <w:t xml:space="preserve">145.1</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В случае если размер субсидий, запрашиваемых претендентом, меньше или равен установленному в </w:t>
      </w:r>
      <w:hyperlink w:history="0" w:anchor="P104" w:tooltip="2.7. Предельный объем финансового обеспечения затрат на подготовку и проведение мероприятий одного общественного объединения научных работников составляет 400000 руб.">
        <w:r>
          <w:rPr>
            <w:sz w:val="20"/>
            <w:color w:val="0000ff"/>
          </w:rPr>
          <w:t xml:space="preserve">пункте 2.7</w:t>
        </w:r>
      </w:hyperlink>
      <w:r>
        <w:rPr>
          <w:sz w:val="20"/>
        </w:rPr>
        <w:t xml:space="preserve"> настоящего Порядка предельному объему финансового обеспечения затрат и суммы планируемых затрат соответствуют установленным в </w:t>
      </w:r>
      <w:hyperlink w:history="0" w:anchor="P100"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 требованиям, субсидии предоставляются претенденту, признанному получателем субсидий, в запрашиваемом им размере.</w:t>
      </w:r>
    </w:p>
    <w:p>
      <w:pPr>
        <w:pStyle w:val="0"/>
        <w:spacing w:before="200" w:lineRule="auto"/>
        <w:ind w:firstLine="540"/>
        <w:jc w:val="both"/>
      </w:pPr>
      <w:r>
        <w:rPr>
          <w:sz w:val="20"/>
        </w:rPr>
        <w:t xml:space="preserve">В случае включения в смету затрат, не соответствующих перечню, установленному в </w:t>
      </w:r>
      <w:hyperlink w:history="0" w:anchor="P100"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 такие затраты не подлежат финансовому обеспечению за счет субсидий, конкурсная комиссия определяет размер предоставляемых субсидий исходя из запрашиваемого претендентом размера субсидий за вычетом суммы затрат, не соответствующих перечню, установленному в </w:t>
      </w:r>
      <w:hyperlink w:history="0" w:anchor="P100"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w:t>
      </w:r>
    </w:p>
    <w:p>
      <w:pPr>
        <w:pStyle w:val="0"/>
        <w:spacing w:before="200" w:lineRule="auto"/>
        <w:ind w:firstLine="540"/>
        <w:jc w:val="both"/>
      </w:pPr>
      <w:r>
        <w:rPr>
          <w:sz w:val="20"/>
        </w:rPr>
        <w:t xml:space="preserve">В случае включения в смету затрат, которые превышают в процентном отношении установленные в </w:t>
      </w:r>
      <w:hyperlink w:history="0" w:anchor="P100" w:tooltip="2.6. Субсидии предоставляются в целях финансового обеспечения следующих затрат получателя субсидий:">
        <w:r>
          <w:rPr>
            <w:sz w:val="20"/>
            <w:color w:val="0000ff"/>
          </w:rPr>
          <w:t xml:space="preserve">пункте 2.6</w:t>
        </w:r>
      </w:hyperlink>
      <w:r>
        <w:rPr>
          <w:sz w:val="20"/>
        </w:rPr>
        <w:t xml:space="preserve"> настоящего Порядка требования, конкурсная комиссия определяет размер предоставляемых субсидий исходя из запрашиваемого претендентом размера субсидий за вычетом суммы соответствующего превышения.</w:t>
      </w:r>
    </w:p>
    <w:p>
      <w:pPr>
        <w:pStyle w:val="0"/>
        <w:spacing w:before="200" w:lineRule="auto"/>
        <w:ind w:firstLine="540"/>
        <w:jc w:val="both"/>
      </w:pPr>
      <w:r>
        <w:rPr>
          <w:sz w:val="20"/>
        </w:rPr>
        <w:t xml:space="preserve">2.18. Решение конкурсной комиссии, указанное в </w:t>
      </w:r>
      <w:hyperlink w:history="0" w:anchor="P159" w:tooltip="2.16. С учетом результатов экспертизы, а также в соответствии с критериями определения победителей конкурсного отбора, указанными в пункте 1.6 настоящего Порядка, конкурсная комиссия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и для каждого получателя субсидии, перечень отклоненных заявок и докум...">
        <w:r>
          <w:rPr>
            <w:sz w:val="20"/>
            <w:color w:val="0000ff"/>
          </w:rPr>
          <w:t xml:space="preserve">пункте 2.16</w:t>
        </w:r>
      </w:hyperlink>
      <w:r>
        <w:rPr>
          <w:sz w:val="20"/>
        </w:rPr>
        <w:t xml:space="preserve"> настоящего Порядка, в течение семи календарных дней со дня его принятия направляется в Комитет.</w:t>
      </w:r>
    </w:p>
    <w:p>
      <w:pPr>
        <w:pStyle w:val="0"/>
        <w:spacing w:before="200" w:lineRule="auto"/>
        <w:ind w:firstLine="540"/>
        <w:jc w:val="both"/>
      </w:pPr>
      <w:r>
        <w:rPr>
          <w:sz w:val="20"/>
        </w:rPr>
        <w:t xml:space="preserve">2.19. Решение о предоставлении субсидий в соответствии с решением конкурсной комиссии, указанным в </w:t>
      </w:r>
      <w:hyperlink w:history="0" w:anchor="P159" w:tooltip="2.16. С учетом результатов экспертизы, а также в соответствии с критериями определения победителей конкурсного отбора, указанными в пункте 1.6 настоящего Порядка, конкурсная комиссия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и для каждого получателя субсидии, перечень отклоненных заявок и докум...">
        <w:r>
          <w:rPr>
            <w:sz w:val="20"/>
            <w:color w:val="0000ff"/>
          </w:rPr>
          <w:t xml:space="preserve">пункте 2.16</w:t>
        </w:r>
      </w:hyperlink>
      <w:r>
        <w:rPr>
          <w:sz w:val="20"/>
        </w:rPr>
        <w:t xml:space="preserve"> настоящего Порядка, принимается Комитетом в течение пяти рабочих дней со дня поступления в Комитет указанного решения конкурсной комиссии в форме распоряжения Комитета, в котором указываются получатели субсидий и размер предоставляемых субсидий по каждому получателю субсидий (далее - распоряжение Комитета о предоставлении субсидий).</w:t>
      </w:r>
    </w:p>
    <w:p>
      <w:pPr>
        <w:pStyle w:val="0"/>
        <w:spacing w:before="200" w:lineRule="auto"/>
        <w:ind w:firstLine="540"/>
        <w:jc w:val="both"/>
      </w:pPr>
      <w:r>
        <w:rPr>
          <w:sz w:val="20"/>
        </w:rPr>
        <w:t xml:space="preserve">2.20. В случае отсутствия заявок и документов, допущенных к конкурсному отбору, или в случае, если по окончании срока подачи заявок не подано ни одной заявки, конкурсный отбор признается несостоявшимся.</w:t>
      </w:r>
    </w:p>
    <w:p>
      <w:pPr>
        <w:pStyle w:val="0"/>
        <w:spacing w:before="200" w:lineRule="auto"/>
        <w:ind w:firstLine="540"/>
        <w:jc w:val="both"/>
      </w:pPr>
      <w:r>
        <w:rPr>
          <w:sz w:val="20"/>
        </w:rPr>
        <w:t xml:space="preserve">Объявление о признании конкурсного отбора несостоявшимся размещается на официальном сайте Комитета и в АИС БП-ЭК.</w:t>
      </w:r>
    </w:p>
    <w:p>
      <w:pPr>
        <w:pStyle w:val="0"/>
        <w:spacing w:before="200" w:lineRule="auto"/>
        <w:ind w:firstLine="540"/>
        <w:jc w:val="both"/>
      </w:pPr>
      <w:r>
        <w:rPr>
          <w:sz w:val="20"/>
        </w:rPr>
        <w:t xml:space="preserve">В случае уменьшения лимитов бюджетных обязательств, ранее доведенных Комитету на предоставление субсидий, приводящего к невозможности проведения конкурсного отбора, Комитет принимает решение об отмене проведения конкурсного отбора.</w:t>
      </w:r>
    </w:p>
    <w:p>
      <w:pPr>
        <w:pStyle w:val="0"/>
        <w:spacing w:before="200" w:lineRule="auto"/>
        <w:ind w:firstLine="540"/>
        <w:jc w:val="both"/>
      </w:pPr>
      <w:r>
        <w:rPr>
          <w:sz w:val="20"/>
        </w:rPr>
        <w:t xml:space="preserve">Объявление об отмене проведения отбора размещается на официальном сайте Комитета и в АИС БП-ЭК в течение трех рабочих дней после принятия Комитетом решения об отмене проведения отбора.</w:t>
      </w:r>
    </w:p>
    <w:p>
      <w:pPr>
        <w:pStyle w:val="0"/>
        <w:spacing w:before="200" w:lineRule="auto"/>
        <w:ind w:firstLine="540"/>
        <w:jc w:val="both"/>
      </w:pPr>
      <w:r>
        <w:rPr>
          <w:sz w:val="20"/>
        </w:rPr>
        <w:t xml:space="preserve">2.21. В сроки, установленные Комитетом, но не позднее 14 календарных дней со дня определения победителей конкурсного отбора, на официальном сайте Комитета и в АИС БП-ЭК размещается документ об итогах проведения отбора, указанный в </w:t>
      </w:r>
      <w:hyperlink w:history="0" w:anchor="P159" w:tooltip="2.16. С учетом результатов экспертизы, а также в соответствии с критериями определения победителей конкурсного отбора, указанными в пункте 1.6 настоящего Порядка, конкурсная комиссия в течение 20 рабочих дней со дня получения от Комитета результатов экспертизы в соответствии с пунктом 2.13 настоящего Порядка определяет перечень получателей субсидий, размеры предоставляемых субсидий по каждому получателю субсидий, значение характеристики для каждого получателя субсидии, перечень отклоненных заявок и докум...">
        <w:r>
          <w:rPr>
            <w:sz w:val="20"/>
            <w:color w:val="0000ff"/>
          </w:rPr>
          <w:t xml:space="preserve">пункте 2.16</w:t>
        </w:r>
      </w:hyperlink>
      <w:r>
        <w:rPr>
          <w:sz w:val="20"/>
        </w:rPr>
        <w:t xml:space="preserve"> настоящего Порядка, а также информация о сроках представления подписанных получателями субсидий соглашений.</w:t>
      </w:r>
    </w:p>
    <w:p>
      <w:pPr>
        <w:pStyle w:val="0"/>
        <w:spacing w:before="200" w:lineRule="auto"/>
        <w:ind w:firstLine="540"/>
        <w:jc w:val="both"/>
      </w:pPr>
      <w:r>
        <w:rPr>
          <w:sz w:val="20"/>
        </w:rPr>
        <w:t xml:space="preserve">Соглашения заключаются в соответствии с типовой формой, утвержденной Комитетом финансов Санкт-Петербурга.</w:t>
      </w:r>
    </w:p>
    <w:p>
      <w:pPr>
        <w:pStyle w:val="0"/>
        <w:spacing w:before="200" w:lineRule="auto"/>
        <w:ind w:firstLine="540"/>
        <w:jc w:val="both"/>
      </w:pPr>
      <w:r>
        <w:rPr>
          <w:sz w:val="20"/>
        </w:rPr>
        <w:t xml:space="preserve">Соглашение формируется в форме электронного документа в АИС БП-ЭК и подписывается УКЭП каждой из сторон соглашения.</w:t>
      </w:r>
    </w:p>
    <w:bookmarkStart w:id="181" w:name="P181"/>
    <w:bookmarkEnd w:id="181"/>
    <w:p>
      <w:pPr>
        <w:pStyle w:val="0"/>
        <w:spacing w:before="200" w:lineRule="auto"/>
        <w:ind w:firstLine="540"/>
        <w:jc w:val="both"/>
      </w:pPr>
      <w:r>
        <w:rPr>
          <w:sz w:val="20"/>
        </w:rPr>
        <w:t xml:space="preserve">2.22. В целях заключения соглашений Комитет не позднее 10 рабочих дней после подписания распоряжения Комитета о предоставлении субсидий формирует проект соглашения в форме электронного документа в АИС БП-ЭК и направляет в АИС БП-ЭК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в АИС БП-ЭК.</w:t>
      </w:r>
    </w:p>
    <w:p>
      <w:pPr>
        <w:pStyle w:val="0"/>
        <w:spacing w:before="200" w:lineRule="auto"/>
        <w:ind w:firstLine="540"/>
        <w:jc w:val="both"/>
      </w:pPr>
      <w:r>
        <w:rPr>
          <w:sz w:val="20"/>
        </w:rPr>
        <w:t xml:space="preserve">2.23. Для получения субсидий получатель субсидий не позднее десяти рабочих дней после получения проекта соглашения представляет в Комитет в бумажном виде следующие справки:</w:t>
      </w:r>
    </w:p>
    <w:bookmarkStart w:id="183" w:name="P183"/>
    <w:bookmarkEnd w:id="183"/>
    <w:p>
      <w:pPr>
        <w:pStyle w:val="0"/>
        <w:spacing w:before="200" w:lineRule="auto"/>
        <w:ind w:firstLine="540"/>
        <w:jc w:val="both"/>
      </w:pPr>
      <w:r>
        <w:rPr>
          <w:sz w:val="20"/>
        </w:rPr>
        <w:t xml:space="preserve">справку получателя субсидии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субсидий) на едином налоговом счете отсутствует или не превышает размер, определенный в </w:t>
      </w:r>
      <w:hyperlink w:history="0" r:id="rId40"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субсидии или уполномоченным лицом и заверенную печатью получателя субсидии (при наличии);</w:t>
      </w:r>
    </w:p>
    <w:bookmarkStart w:id="184" w:name="P184"/>
    <w:bookmarkEnd w:id="184"/>
    <w:p>
      <w:pPr>
        <w:pStyle w:val="0"/>
        <w:spacing w:before="200" w:lineRule="auto"/>
        <w:ind w:firstLine="540"/>
        <w:jc w:val="both"/>
      </w:pPr>
      <w:r>
        <w:rPr>
          <w:sz w:val="20"/>
        </w:rPr>
        <w:t xml:space="preserve">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субсидий)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заверенную печатью получателя субсидий (при наличии).</w:t>
      </w:r>
    </w:p>
    <w:p>
      <w:pPr>
        <w:pStyle w:val="0"/>
        <w:spacing w:before="200" w:lineRule="auto"/>
        <w:ind w:firstLine="540"/>
        <w:jc w:val="both"/>
      </w:pPr>
      <w:r>
        <w:rPr>
          <w:sz w:val="20"/>
        </w:rPr>
        <w:t xml:space="preserve">2.24. В случае неподписания получателем субсидий проекта соглашения в сроки, указанные в </w:t>
      </w:r>
      <w:hyperlink w:history="0" w:anchor="P181" w:tooltip="2.22. В целях заключения соглашений Комитет не позднее 10 рабочих дней после подписания распоряжения Комитета о предоставлении субсидий формирует проект соглашения в форме электронного документа в АИС БП-ЭК и направляет в АИС БП-ЭК руководителю или уполномоченному представителю получателя субсидий проект соглашения, не подписанный уполномоченным лицом Комитета, который в течение 10 рабочих дней со дня его получения подписывается получателем субсидий и направляется в Комитет в АИС БП-ЭК.">
        <w:r>
          <w:rPr>
            <w:sz w:val="20"/>
            <w:color w:val="0000ff"/>
          </w:rPr>
          <w:t xml:space="preserve">пункте 2.22</w:t>
        </w:r>
      </w:hyperlink>
      <w:r>
        <w:rPr>
          <w:sz w:val="20"/>
        </w:rPr>
        <w:t xml:space="preserve"> настоящего Порядка, такой получатель субсидий признается уклонившимся от заключения соглашения, что является основанием для отказа в предоставлении субсидий.</w:t>
      </w:r>
    </w:p>
    <w:p>
      <w:pPr>
        <w:pStyle w:val="0"/>
        <w:spacing w:before="200" w:lineRule="auto"/>
        <w:ind w:firstLine="540"/>
        <w:jc w:val="both"/>
      </w:pPr>
      <w:r>
        <w:rPr>
          <w:sz w:val="20"/>
        </w:rPr>
        <w:t xml:space="preserve">2.25. Субсидии предоставляются на основании соглашения, заключаемого между Комитетом и получателем субсидий, в объеме средств, указанном в распоряжении Комитета о предоставлении субсидий. Соглашение заключается между Комитетом и получателем субсидий не позднее 30 рабочих дней после подписания распоряжения Комитета о предоставлении субсидий.</w:t>
      </w:r>
    </w:p>
    <w:p>
      <w:pPr>
        <w:pStyle w:val="0"/>
        <w:spacing w:before="200" w:lineRule="auto"/>
        <w:ind w:firstLine="540"/>
        <w:jc w:val="both"/>
      </w:pPr>
      <w:r>
        <w:rPr>
          <w:sz w:val="20"/>
        </w:rPr>
        <w:t xml:space="preserve">В соглашения подлежит включению условие о том, что в случае уменьшения лимитов бюджетных обязательств, ранее доведенных Комитету на предоставление субсидий, приводящего к невозможности предоставления субсидий в размерах, определенных в соглашениях, Комитет в течение пяти рабочих дней после уменьшения указанных лимитов бюджетных обязательств направляет получателям субсидий проекты дополнительных соглашений к соглашению об уменьшении размера субсидий (далее - дополнительные соглашения) в форме электронного документа в АИС БП-ЭК.</w:t>
      </w:r>
    </w:p>
    <w:bookmarkStart w:id="188" w:name="P188"/>
    <w:bookmarkEnd w:id="188"/>
    <w:p>
      <w:pPr>
        <w:pStyle w:val="0"/>
        <w:spacing w:before="200" w:lineRule="auto"/>
        <w:ind w:firstLine="540"/>
        <w:jc w:val="both"/>
      </w:pPr>
      <w:r>
        <w:rPr>
          <w:sz w:val="20"/>
        </w:rPr>
        <w:t xml:space="preserve">Получатели субсидий подписывают проекты дополнительных соглашений и направляют их в Комитет в течение пяти рабочих дней со дня их получения.</w:t>
      </w:r>
    </w:p>
    <w:p>
      <w:pPr>
        <w:pStyle w:val="0"/>
        <w:spacing w:before="200" w:lineRule="auto"/>
        <w:ind w:firstLine="540"/>
        <w:jc w:val="both"/>
      </w:pPr>
      <w:r>
        <w:rPr>
          <w:sz w:val="20"/>
        </w:rPr>
        <w:t xml:space="preserve">В случае неподписания получателями субсидий проектов дополнительных соглашений в срок, указанный в </w:t>
      </w:r>
      <w:hyperlink w:history="0" w:anchor="P188" w:tooltip="Получатели субсидий подписывают проекты дополнительных соглашений и направляют их в Комитет в течение пяти рабочих дней со дня их получения.">
        <w:r>
          <w:rPr>
            <w:sz w:val="20"/>
            <w:color w:val="0000ff"/>
          </w:rPr>
          <w:t xml:space="preserve">абзаце третьем</w:t>
        </w:r>
      </w:hyperlink>
      <w:r>
        <w:rPr>
          <w:sz w:val="20"/>
        </w:rPr>
        <w:t xml:space="preserve"> настоящего пункта, соглашения подлежат расторжению.</w:t>
      </w:r>
    </w:p>
    <w:p>
      <w:pPr>
        <w:pStyle w:val="0"/>
        <w:spacing w:before="200" w:lineRule="auto"/>
        <w:ind w:firstLine="540"/>
        <w:jc w:val="both"/>
      </w:pPr>
      <w:r>
        <w:rPr>
          <w:sz w:val="20"/>
        </w:rPr>
        <w:t xml:space="preserve">Соглашение и дополнительные соглашения заключаются в форме электронного документа в АИС БП-ЭК и подписываются усиленными квалифицированными электронными подписями каждой из сторон соглашения.</w:t>
      </w:r>
    </w:p>
    <w:p>
      <w:pPr>
        <w:pStyle w:val="0"/>
        <w:spacing w:before="200" w:lineRule="auto"/>
        <w:ind w:firstLine="540"/>
        <w:jc w:val="both"/>
      </w:pPr>
      <w:r>
        <w:rPr>
          <w:sz w:val="20"/>
        </w:rPr>
        <w:t xml:space="preserve">2.26. Субсидии перечисляются единовременно получателю субсидий не позднее 15 рабочих дней после заключения соглашения на счет, открытый получателем субсидий в учреждениях Центрального банка Российской Федерации или кредитных организациях, указанный в соглашении.</w:t>
      </w:r>
    </w:p>
    <w:p>
      <w:pPr>
        <w:pStyle w:val="0"/>
        <w:spacing w:before="200" w:lineRule="auto"/>
        <w:ind w:firstLine="540"/>
        <w:jc w:val="both"/>
      </w:pPr>
      <w:r>
        <w:rPr>
          <w:sz w:val="20"/>
        </w:rPr>
        <w:t xml:space="preserve">2.27. Дополнительные соглашения к соглашениям, в том числе дополнительные соглашения о расторжении соглашений (при необходимости), заключаются в соответствии с типовыми формами, утвержденными Комитетом финансов Санкт-Петербурга.</w:t>
      </w:r>
    </w:p>
    <w:p>
      <w:pPr>
        <w:pStyle w:val="0"/>
        <w:spacing w:before="200" w:lineRule="auto"/>
        <w:ind w:firstLine="540"/>
        <w:jc w:val="both"/>
      </w:pPr>
      <w:r>
        <w:rPr>
          <w:sz w:val="20"/>
        </w:rPr>
        <w:t xml:space="preserve">2.28. При реорганизации получателя субсидий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субсидий в форме разделения, выделения, а также при ликвидации получателя субсидий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являются субсидии, и возврате неиспользованного остатка субсидий в бюджет Санкт-Петербурга.</w:t>
      </w:r>
    </w:p>
    <w:p>
      <w:pPr>
        <w:pStyle w:val="0"/>
        <w:ind w:firstLine="540"/>
        <w:jc w:val="both"/>
      </w:pPr>
      <w:r>
        <w:rPr>
          <w:sz w:val="20"/>
        </w:rPr>
      </w:r>
    </w:p>
    <w:p>
      <w:pPr>
        <w:pStyle w:val="2"/>
        <w:outlineLvl w:val="1"/>
        <w:jc w:val="center"/>
      </w:pPr>
      <w:r>
        <w:rPr>
          <w:sz w:val="20"/>
        </w:rPr>
        <w:t xml:space="preserve">3. Требования к отчетности и порядок ее представления</w:t>
      </w:r>
    </w:p>
    <w:p>
      <w:pPr>
        <w:pStyle w:val="0"/>
        <w:ind w:firstLine="540"/>
        <w:jc w:val="both"/>
      </w:pPr>
      <w:r>
        <w:rPr>
          <w:sz w:val="20"/>
        </w:rPr>
      </w:r>
    </w:p>
    <w:bookmarkStart w:id="198" w:name="P198"/>
    <w:bookmarkEnd w:id="198"/>
    <w:p>
      <w:pPr>
        <w:pStyle w:val="0"/>
        <w:ind w:firstLine="540"/>
        <w:jc w:val="both"/>
      </w:pPr>
      <w:r>
        <w:rPr>
          <w:sz w:val="20"/>
        </w:rPr>
        <w:t xml:space="preserve">3.1. Получатель субсидий в срок, установленный Комитетом, но не реже одного раза в квартал представляет в Комитет через АИС БП-ЭК отчеты о достижении значений результата и характеристики по форме, определенной типовой формой соглашения, установленной Комитетом финансов Санкт-Петербурга. В сроки, установленные для представления отчетов о достижении значений результата и характеристики, получателем субсидий представляются в бумажном виде документы, подтверждающие достижение значений результата и характеристики, перечень которых и требования к которым устанавливаются Комитетом.</w:t>
      </w:r>
    </w:p>
    <w:bookmarkStart w:id="199" w:name="P199"/>
    <w:bookmarkEnd w:id="199"/>
    <w:p>
      <w:pPr>
        <w:pStyle w:val="0"/>
        <w:spacing w:before="200" w:lineRule="auto"/>
        <w:ind w:firstLine="540"/>
        <w:jc w:val="both"/>
      </w:pPr>
      <w:r>
        <w:rPr>
          <w:sz w:val="20"/>
        </w:rPr>
        <w:t xml:space="preserve">3.2. Получатель субсидий в срок, установленный Комитетом, но не реже одного раза в квартал представляет в Комитет через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в смете, по соответствующему направлению затрат. В случае если получатель субсидий является плательщиком НДС, в отчет об осуществлении расходов, источником финансового обеспечения которых являются субсидии, включаются суммы затрат без учета НДС.</w:t>
      </w:r>
    </w:p>
    <w:p>
      <w:pPr>
        <w:pStyle w:val="0"/>
        <w:spacing w:before="200" w:lineRule="auto"/>
        <w:ind w:firstLine="540"/>
        <w:jc w:val="both"/>
      </w:pPr>
      <w:r>
        <w:rPr>
          <w:sz w:val="20"/>
        </w:rPr>
        <w:t xml:space="preserve">В сроки, установленные для представления отчета об осуществлении расходов, источником финансового обеспечения которых являются субсидии, получателем субсидии представляются в бумажном виде документы в соответствии с </w:t>
      </w:r>
      <w:hyperlink w:history="0" w:anchor="P555" w:tooltip="ПЕРЕЧЕНЬ">
        <w:r>
          <w:rPr>
            <w:sz w:val="20"/>
            <w:color w:val="0000ff"/>
          </w:rPr>
          <w:t xml:space="preserve">перечнем</w:t>
        </w:r>
      </w:hyperlink>
      <w:r>
        <w:rPr>
          <w:sz w:val="20"/>
        </w:rPr>
        <w:t xml:space="preserve"> согласно приложению N 5 к настоящему Порядку.</w:t>
      </w:r>
    </w:p>
    <w:p>
      <w:pPr>
        <w:pStyle w:val="0"/>
        <w:spacing w:before="200" w:lineRule="auto"/>
        <w:ind w:firstLine="540"/>
        <w:jc w:val="both"/>
      </w:pPr>
      <w:r>
        <w:rPr>
          <w:sz w:val="20"/>
        </w:rPr>
        <w:t xml:space="preserve">3.3. Комитет осуществляет рассмотрение отчетных документов, поступивших в Комитет в соответствии с </w:t>
      </w:r>
      <w:hyperlink w:history="0" w:anchor="P198" w:tooltip="3.1. Получатель субсидий в срок, установленный Комитетом, но не реже одного раза в квартал представляет в Комитет через АИС БП-ЭК отчеты о достижении значений результата и характеристики по форме, определенной типовой формой соглашения, установленной Комитетом финансов Санкт-Петербурга. В сроки, установленные для представления отчетов о достижении значений результата и характеристики, получателем субсидий представляются в бумажном виде документы, подтверждающие достижение значений результата и характерис...">
        <w:r>
          <w:rPr>
            <w:sz w:val="20"/>
            <w:color w:val="0000ff"/>
          </w:rPr>
          <w:t xml:space="preserve">пунктами 3.1</w:t>
        </w:r>
      </w:hyperlink>
      <w:r>
        <w:rPr>
          <w:sz w:val="20"/>
        </w:rPr>
        <w:t xml:space="preserve"> и </w:t>
      </w:r>
      <w:hyperlink w:history="0" w:anchor="P199" w:tooltip="3.2. Получатель субсидий в срок, установленный Комитетом, но не реже одного раза в квартал представляет в Комитет через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w:r>
          <w:rPr>
            <w:sz w:val="20"/>
            <w:color w:val="0000ff"/>
          </w:rPr>
          <w:t xml:space="preserve">3.2</w:t>
        </w:r>
      </w:hyperlink>
      <w:r>
        <w:rPr>
          <w:sz w:val="20"/>
        </w:rPr>
        <w:t xml:space="preserve"> настоящего Порядка (далее - отчетные документы), начиная со срока их поступления, указанного в соглашении, и завершает их рассмотрение не позднее 25.12.2026.</w:t>
      </w:r>
    </w:p>
    <w:p>
      <w:pPr>
        <w:pStyle w:val="0"/>
        <w:spacing w:before="200" w:lineRule="auto"/>
        <w:ind w:firstLine="540"/>
        <w:jc w:val="both"/>
      </w:pPr>
      <w:r>
        <w:rPr>
          <w:sz w:val="20"/>
        </w:rPr>
        <w:t xml:space="preserve">Порядок и сроки проверки и принятия Комитетом отчетных документов устанавливается Комитетом.</w:t>
      </w:r>
    </w:p>
    <w:p>
      <w:pPr>
        <w:pStyle w:val="0"/>
        <w:spacing w:before="200" w:lineRule="auto"/>
        <w:ind w:firstLine="540"/>
        <w:jc w:val="both"/>
      </w:pPr>
      <w:r>
        <w:rPr>
          <w:sz w:val="20"/>
        </w:rPr>
        <w:t xml:space="preserve">3.4. Получатель субсидии ежеквартально в течение 10 календарных дней месяца, следующего за отчетным периодом, представляет в Комитет отчетность о реализации плана мероприятий по достижению результата по форме, определенной типовой формой соглашения, установленной Комитетом финансов Санкт-Петербурга.</w:t>
      </w:r>
    </w:p>
    <w:p>
      <w:pPr>
        <w:pStyle w:val="0"/>
        <w:ind w:firstLine="540"/>
        <w:jc w:val="both"/>
      </w:pPr>
      <w:r>
        <w:rPr>
          <w:sz w:val="20"/>
        </w:rPr>
      </w:r>
    </w:p>
    <w:p>
      <w:pPr>
        <w:pStyle w:val="2"/>
        <w:outlineLvl w:val="1"/>
        <w:jc w:val="center"/>
      </w:pPr>
      <w:r>
        <w:rPr>
          <w:sz w:val="20"/>
        </w:rPr>
        <w:t xml:space="preserve">4. Требования об осуществлении контроля (мониторинга)</w:t>
      </w:r>
    </w:p>
    <w:p>
      <w:pPr>
        <w:pStyle w:val="2"/>
        <w:jc w:val="center"/>
      </w:pPr>
      <w:r>
        <w:rPr>
          <w:sz w:val="20"/>
        </w:rPr>
        <w:t xml:space="preserve">за соблюдением условий и порядка предоставления</w:t>
      </w:r>
    </w:p>
    <w:p>
      <w:pPr>
        <w:pStyle w:val="2"/>
        <w:jc w:val="center"/>
      </w:pPr>
      <w:r>
        <w:rPr>
          <w:sz w:val="20"/>
        </w:rPr>
        <w:t xml:space="preserve">субсидий и ответственность за их нарушение, возврат</w:t>
      </w:r>
    </w:p>
    <w:p>
      <w:pPr>
        <w:pStyle w:val="2"/>
        <w:jc w:val="center"/>
      </w:pPr>
      <w:r>
        <w:rPr>
          <w:sz w:val="20"/>
        </w:rPr>
        <w:t xml:space="preserve">неиспользованных остатков средств субсидий</w:t>
      </w:r>
    </w:p>
    <w:p>
      <w:pPr>
        <w:pStyle w:val="0"/>
        <w:ind w:firstLine="540"/>
        <w:jc w:val="both"/>
      </w:pPr>
      <w:r>
        <w:rPr>
          <w:sz w:val="20"/>
        </w:rPr>
      </w:r>
    </w:p>
    <w:p>
      <w:pPr>
        <w:pStyle w:val="0"/>
        <w:ind w:firstLine="540"/>
        <w:jc w:val="both"/>
      </w:pPr>
      <w:r>
        <w:rPr>
          <w:sz w:val="20"/>
        </w:rPr>
        <w:t xml:space="preserve">4.1. Комитет в сроки и порядке, которые установлены Комитетом, но не позднее 25.12.2026 осуществляет проверки, по результатам которых составляются акты проведения проверок (далее - акты). Составление акта и его подписание осуществляются не позднее пяти рабочих дней со дня окончания срока проверок.</w:t>
      </w:r>
    </w:p>
    <w:p>
      <w:pPr>
        <w:pStyle w:val="0"/>
        <w:spacing w:before="200" w:lineRule="auto"/>
        <w:ind w:firstLine="540"/>
        <w:jc w:val="both"/>
      </w:pPr>
      <w:r>
        <w:rPr>
          <w:sz w:val="20"/>
        </w:rPr>
        <w:t xml:space="preserve">4.2. В случае выявления при проведении проверок нарушений получателем субсидий и(или) контрагентом условий предоставления субсидий и(или) нарушения получателем субсидий обязанности достижения результата (далее совместно - нарушения) Комитет одновременно с подписанием акта направляет получателю субсидий (контрагенту) уведомление о нарушениях (далее - уведомление), в котором указываются выявленные нарушения и сроки их устранения (достижения результата), которые не могут быть менее трех рабочих дней.</w:t>
      </w:r>
    </w:p>
    <w:p>
      <w:pPr>
        <w:pStyle w:val="0"/>
        <w:spacing w:before="200" w:lineRule="auto"/>
        <w:ind w:firstLine="540"/>
        <w:jc w:val="both"/>
      </w:pPr>
      <w:r>
        <w:rPr>
          <w:sz w:val="20"/>
        </w:rPr>
        <w:t xml:space="preserve">Копия акта и уведомления в течение трех рабочих дней после их подписания направляются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Комитет направляет в КГФК информацию о результатах устранения нарушений получателями субсидий (контрагентами) или о принятии решения о возврате средств субсидий и(или) средств, полученных контрагентами на основании договоров (соглашений), заключенных с получателями субсидий (далее - полученные средства), в бюджет Санкт-Петербурга в течение пяти рабочих дней после получения такой информации, принятия такого решения.</w:t>
      </w:r>
    </w:p>
    <w:bookmarkStart w:id="214" w:name="P214"/>
    <w:bookmarkEnd w:id="214"/>
    <w:p>
      <w:pPr>
        <w:pStyle w:val="0"/>
        <w:spacing w:before="200" w:lineRule="auto"/>
        <w:ind w:firstLine="540"/>
        <w:jc w:val="both"/>
      </w:pPr>
      <w:r>
        <w:rPr>
          <w:sz w:val="20"/>
        </w:rPr>
        <w:t xml:space="preserve">4.3. В случае неустранения нарушений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субсидий и(или) полученных средств в форме распоряжения и направляет копию указанного распоряжения получателю субсидий (контрагенту) и в КГФК вместе с требованием о возврате средств субсидий (полученных средств), в котором предусматриваются:</w:t>
      </w:r>
    </w:p>
    <w:p>
      <w:pPr>
        <w:pStyle w:val="0"/>
        <w:spacing w:before="200" w:lineRule="auto"/>
        <w:ind w:firstLine="540"/>
        <w:jc w:val="both"/>
      </w:pPr>
      <w:r>
        <w:rPr>
          <w:sz w:val="20"/>
        </w:rPr>
        <w:t xml:space="preserve">подлежащая возврату сумма денежных средств и сроки ее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субсидий (полученных средств).</w:t>
      </w:r>
    </w:p>
    <w:p>
      <w:pPr>
        <w:pStyle w:val="0"/>
        <w:spacing w:before="200" w:lineRule="auto"/>
        <w:ind w:firstLine="540"/>
        <w:jc w:val="both"/>
      </w:pPr>
      <w:r>
        <w:rPr>
          <w:sz w:val="20"/>
        </w:rPr>
        <w:t xml:space="preserve">Размер средств субсидий (полученных средств), подлежащих возврату по основаниям, указанным в </w:t>
      </w:r>
      <w:hyperlink w:history="0" w:anchor="P214" w:tooltip="4.3. В случае неустранения нарушений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й и(или) полученных средств в форме распоряжения и направляет копию указанного распоряжения получателю субсидий (контрагенту) и в КГФК вместе с требованием о возврате средств субсидий (полученных средств), в котором предусматриваются:">
        <w:r>
          <w:rPr>
            <w:sz w:val="20"/>
            <w:color w:val="0000ff"/>
          </w:rPr>
          <w:t xml:space="preserve">абзаце первом</w:t>
        </w:r>
      </w:hyperlink>
      <w:r>
        <w:rPr>
          <w:sz w:val="20"/>
        </w:rPr>
        <w:t xml:space="preserve"> настоящего пункта, ограничивается размером денежных средств, в отношении которых были установлены факты нарушений.</w:t>
      </w:r>
    </w:p>
    <w:p>
      <w:pPr>
        <w:pStyle w:val="0"/>
        <w:spacing w:before="200" w:lineRule="auto"/>
        <w:ind w:firstLine="540"/>
        <w:jc w:val="both"/>
      </w:pPr>
      <w:r>
        <w:rPr>
          <w:sz w:val="20"/>
        </w:rPr>
        <w:t xml:space="preserve">Размер средств субсидий, подлежащих возврату в случае неустранения нарушений в части достижения результата, определяется исходя из объема, соответствующего недостигнутой доле значений результата и(или) его характеристики (далее - средства, подлежащие возврату), и рассчитывается по формуле:</w:t>
      </w:r>
    </w:p>
    <w:p>
      <w:pPr>
        <w:pStyle w:val="0"/>
        <w:ind w:firstLine="540"/>
        <w:jc w:val="both"/>
      </w:pPr>
      <w:r>
        <w:rPr>
          <w:sz w:val="20"/>
        </w:rPr>
      </w:r>
    </w:p>
    <w:p>
      <w:pPr>
        <w:pStyle w:val="0"/>
        <w:jc w:val="center"/>
      </w:pPr>
      <w:r>
        <w:rPr>
          <w:position w:val="-23"/>
        </w:rPr>
        <w:drawing>
          <wp:inline distT="0" distB="0" distL="0" distR="0">
            <wp:extent cx="12192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1219200" cy="4286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B - средства, подлежащие возврату;</w:t>
      </w:r>
    </w:p>
    <w:p>
      <w:pPr>
        <w:pStyle w:val="0"/>
        <w:spacing w:before="200" w:lineRule="auto"/>
        <w:ind w:firstLine="540"/>
        <w:jc w:val="both"/>
      </w:pPr>
      <w:r>
        <w:rPr>
          <w:sz w:val="20"/>
        </w:rPr>
        <w:t xml:space="preserve">n - количество характеристик (n = 1);</w:t>
      </w:r>
    </w:p>
    <w:p>
      <w:pPr>
        <w:pStyle w:val="0"/>
        <w:spacing w:before="200" w:lineRule="auto"/>
        <w:ind w:firstLine="540"/>
        <w:jc w:val="both"/>
      </w:pPr>
      <w:r>
        <w:rPr>
          <w:sz w:val="20"/>
        </w:rPr>
        <w:t xml:space="preserve">F</w:t>
      </w:r>
      <w:r>
        <w:rPr>
          <w:sz w:val="20"/>
          <w:vertAlign w:val="subscript"/>
        </w:rPr>
        <w:t xml:space="preserve">i</w:t>
      </w:r>
      <w:r>
        <w:rPr>
          <w:sz w:val="20"/>
        </w:rPr>
        <w:t xml:space="preserve"> - фактическое значение i-й характеристики;</w:t>
      </w:r>
    </w:p>
    <w:p>
      <w:pPr>
        <w:pStyle w:val="0"/>
        <w:spacing w:before="200" w:lineRule="auto"/>
        <w:ind w:firstLine="540"/>
        <w:jc w:val="both"/>
      </w:pPr>
      <w:r>
        <w:rPr>
          <w:sz w:val="20"/>
        </w:rPr>
        <w:t xml:space="preserve">Pi - плановое значение i-й характеристики согласно соглашению о предоставлении субсидии;</w:t>
      </w:r>
    </w:p>
    <w:p>
      <w:pPr>
        <w:pStyle w:val="0"/>
        <w:spacing w:before="200" w:lineRule="auto"/>
        <w:ind w:firstLine="540"/>
        <w:jc w:val="both"/>
      </w:pPr>
      <w:r>
        <w:rPr>
          <w:sz w:val="20"/>
        </w:rPr>
        <w:t xml:space="preserve">V - размер субсидии, предоставленной получателю субсидии.</w:t>
      </w:r>
    </w:p>
    <w:p>
      <w:pPr>
        <w:pStyle w:val="0"/>
        <w:ind w:firstLine="540"/>
        <w:jc w:val="both"/>
      </w:pPr>
      <w:r>
        <w:rPr>
          <w:sz w:val="20"/>
        </w:rPr>
      </w:r>
    </w:p>
    <w:p>
      <w:pPr>
        <w:pStyle w:val="0"/>
        <w:ind w:firstLine="540"/>
        <w:jc w:val="both"/>
      </w:pPr>
      <w:r>
        <w:rPr>
          <w:sz w:val="20"/>
        </w:rPr>
        <w:t xml:space="preserve">4.4. Проверки органами государственного финансового контроля осуществляются в соответствии со </w:t>
      </w:r>
      <w:hyperlink w:history="0" r:id="rId4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4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bookmarkStart w:id="230" w:name="P230"/>
    <w:bookmarkEnd w:id="230"/>
    <w:p>
      <w:pPr>
        <w:pStyle w:val="0"/>
        <w:spacing w:before="200" w:lineRule="auto"/>
        <w:ind w:firstLine="540"/>
        <w:jc w:val="both"/>
      </w:pPr>
      <w:r>
        <w:rPr>
          <w:sz w:val="20"/>
        </w:rPr>
        <w:t xml:space="preserve">4.5. Неиспользованные в отчетном финансовом году остатки средств субсидий подлежат возврату получателем субсидий в бюджет Санкт-Петербурга в срок, установленный Комитетом.</w:t>
      </w:r>
    </w:p>
    <w:p>
      <w:pPr>
        <w:pStyle w:val="0"/>
        <w:spacing w:before="200" w:lineRule="auto"/>
        <w:ind w:firstLine="540"/>
        <w:jc w:val="both"/>
      </w:pPr>
      <w:r>
        <w:rPr>
          <w:sz w:val="20"/>
        </w:rPr>
        <w:t xml:space="preserve">Возврат неиспользованных остатков средств субсидий осуществляется получателем субсидий в бюджет Санкт-Петербурга по коду бюджетной классификации, указанному в уведомлении о возврате средств субсидий, направленном Комитетом в адрес получателя субсидий. Уведомление о возврате средств субсидий формируется на основании заявления получателя субсидий.</w:t>
      </w:r>
    </w:p>
    <w:bookmarkStart w:id="232" w:name="P232"/>
    <w:bookmarkEnd w:id="232"/>
    <w:p>
      <w:pPr>
        <w:pStyle w:val="0"/>
        <w:spacing w:before="200" w:lineRule="auto"/>
        <w:ind w:firstLine="540"/>
        <w:jc w:val="both"/>
      </w:pPr>
      <w:r>
        <w:rPr>
          <w:sz w:val="20"/>
        </w:rPr>
        <w:t xml:space="preserve">4.6. Получатель субсидий (контрагент) обязан осуществить возврат средств субсидий (полученных средств) в бюджет Санкт-Петербурга в течение семи рабочих дней со дня получения требования о возврате средств субсидий (полученных средств) и копии распоряжения, указанных в </w:t>
      </w:r>
      <w:hyperlink w:history="0" w:anchor="P214" w:tooltip="4.3. В случае неустранения нарушений в установленные в уведомлении сроки Комитет в течение трех рабочих дней со дня истечения указанных сроков принимает решение о возврате в бюджет Санкт-Петербурга средств субсидий и(или) полученных средств в форме распоряжения и направляет копию указанного распоряжения получателю субсидий (контрагенту) и в КГФК вместе с требованием о возврате средств субсидий (полученных средств), в котором предусматриваются:">
        <w:r>
          <w:rPr>
            <w:sz w:val="20"/>
            <w:color w:val="0000ff"/>
          </w:rPr>
          <w:t xml:space="preserve">пункте 4.3</w:t>
        </w:r>
      </w:hyperlink>
      <w:r>
        <w:rPr>
          <w:sz w:val="20"/>
        </w:rPr>
        <w:t xml:space="preserve"> настоящего Порядка.</w:t>
      </w:r>
    </w:p>
    <w:p>
      <w:pPr>
        <w:pStyle w:val="0"/>
        <w:spacing w:before="200" w:lineRule="auto"/>
        <w:ind w:firstLine="540"/>
        <w:jc w:val="both"/>
      </w:pPr>
      <w:r>
        <w:rPr>
          <w:sz w:val="20"/>
        </w:rPr>
        <w:t xml:space="preserve">4.7. В случае если средства субсидии (полученные средства) не возвращены в бюджет Санкт-Петербурга получателем субсидий (контрагентом) в установленные в </w:t>
      </w:r>
      <w:hyperlink w:history="0" w:anchor="P230" w:tooltip="4.5. Неиспользованные в отчетном финансовом году остатки средств субсидий подлежат возврату получателем субсидий в бюджет Санкт-Петербурга в срок, установленный Комитетом.">
        <w:r>
          <w:rPr>
            <w:sz w:val="20"/>
            <w:color w:val="0000ff"/>
          </w:rPr>
          <w:t xml:space="preserve">пунктах 4.5</w:t>
        </w:r>
      </w:hyperlink>
      <w:r>
        <w:rPr>
          <w:sz w:val="20"/>
        </w:rPr>
        <w:t xml:space="preserve"> и </w:t>
      </w:r>
      <w:hyperlink w:history="0" w:anchor="P232" w:tooltip="4.6. Получатель субсидий (контрагент) обязан осуществить возврат средств субсидий (полученных средств) в бюджет Санкт-Петербурга в течение семи рабочих дней со дня получения требования о возврате средств субсидий (полученных средств) и копии распоряжения, указанных в пункте 4.3 настоящего Порядка.">
        <w:r>
          <w:rPr>
            <w:sz w:val="20"/>
            <w:color w:val="0000ff"/>
          </w:rPr>
          <w:t xml:space="preserve">4.6</w:t>
        </w:r>
      </w:hyperlink>
      <w:r>
        <w:rPr>
          <w:sz w:val="20"/>
        </w:rPr>
        <w:t xml:space="preserve"> настоящего Порядка сроки, Комитет в течение 15 рабочих дней со дня истечения сроков, установленных в </w:t>
      </w:r>
      <w:hyperlink w:history="0" w:anchor="P230" w:tooltip="4.5. Неиспользованные в отчетном финансовом году остатки средств субсидий подлежат возврату получателем субсидий в бюджет Санкт-Петербурга в срок, установленный Комитетом.">
        <w:r>
          <w:rPr>
            <w:sz w:val="20"/>
            <w:color w:val="0000ff"/>
          </w:rPr>
          <w:t xml:space="preserve">пунктах 4.5</w:t>
        </w:r>
      </w:hyperlink>
      <w:r>
        <w:rPr>
          <w:sz w:val="20"/>
        </w:rPr>
        <w:t xml:space="preserve"> и </w:t>
      </w:r>
      <w:hyperlink w:history="0" w:anchor="P232" w:tooltip="4.6. Получатель субсидий (контрагент) обязан осуществить возврат средств субсидий (полученных средств) в бюджет Санкт-Петербурга в течение семи рабочих дней со дня получения требования о возврате средств субсидий (полученных средств) и копии распоряжения, указанных в пункте 4.3 настоящего Порядка.">
        <w:r>
          <w:rPr>
            <w:sz w:val="20"/>
            <w:color w:val="0000ff"/>
          </w:rPr>
          <w:t xml:space="preserve">4.6</w:t>
        </w:r>
      </w:hyperlink>
      <w:r>
        <w:rPr>
          <w:sz w:val="20"/>
        </w:rPr>
        <w:t xml:space="preserve"> настоящего Порядка, направляет в суд исковое заявление о возврате средств субсидий (полученных средств) в бюджет Санкт-Петербурга.</w:t>
      </w:r>
    </w:p>
    <w:p>
      <w:pPr>
        <w:pStyle w:val="0"/>
        <w:spacing w:before="200" w:lineRule="auto"/>
        <w:ind w:firstLine="540"/>
        <w:jc w:val="both"/>
      </w:pPr>
      <w:r>
        <w:rPr>
          <w:sz w:val="20"/>
        </w:rPr>
        <w:t xml:space="preserve">4.8. Мониторинг достижения результата исходя из достижения значений результата, определенных соглашением, и событий, отражающих факт завершения соответствующего мероприятия по получению результата (контрольная точка), осуществляется в порядке и по формам, которые утверждены Министерством финансов Российской Федерации.</w:t>
      </w:r>
    </w:p>
    <w:p>
      <w:pPr>
        <w:pStyle w:val="0"/>
        <w:spacing w:before="200" w:lineRule="auto"/>
        <w:ind w:firstLine="540"/>
        <w:jc w:val="both"/>
      </w:pPr>
      <w:r>
        <w:rPr>
          <w:sz w:val="20"/>
        </w:rPr>
        <w:t xml:space="preserve">Порядок и сроки проведения Комитетом оценки достижения значений результата утверждаются Комитетом.</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термины и принятые сокращения в приложениях к настоящему Порядку используются в значениях, определенных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w:t>
      </w:r>
    </w:p>
    <w:p>
      <w:pPr>
        <w:pStyle w:val="0"/>
        <w:jc w:val="right"/>
      </w:pPr>
      <w:r>
        <w:rPr>
          <w:sz w:val="20"/>
        </w:rPr>
        <w:t xml:space="preserve">в 2026 году субсидий общественным</w:t>
      </w:r>
    </w:p>
    <w:p>
      <w:pPr>
        <w:pStyle w:val="0"/>
        <w:jc w:val="right"/>
      </w:pPr>
      <w:r>
        <w:rPr>
          <w:sz w:val="20"/>
        </w:rPr>
        <w:t xml:space="preserve">объединениям научных работников,</w:t>
      </w:r>
    </w:p>
    <w:p>
      <w:pPr>
        <w:pStyle w:val="0"/>
        <w:jc w:val="right"/>
      </w:pPr>
      <w:r>
        <w:rPr>
          <w:sz w:val="20"/>
        </w:rPr>
        <w:t xml:space="preserve">имеющим место нахождения</w:t>
      </w:r>
    </w:p>
    <w:p>
      <w:pPr>
        <w:pStyle w:val="0"/>
        <w:jc w:val="right"/>
      </w:pPr>
      <w:r>
        <w:rPr>
          <w:sz w:val="20"/>
        </w:rPr>
        <w:t xml:space="preserve">в Санкт-Петербурге, в целях развития</w:t>
      </w:r>
    </w:p>
    <w:p>
      <w:pPr>
        <w:pStyle w:val="0"/>
        <w:jc w:val="right"/>
      </w:pPr>
      <w:r>
        <w:rPr>
          <w:sz w:val="20"/>
        </w:rPr>
        <w:t xml:space="preserve">их научно-просветительской,</w:t>
      </w:r>
    </w:p>
    <w:p>
      <w:pPr>
        <w:pStyle w:val="0"/>
        <w:jc w:val="right"/>
      </w:pPr>
      <w:r>
        <w:rPr>
          <w:sz w:val="20"/>
        </w:rPr>
        <w:t xml:space="preserve">научно-исследовательской</w:t>
      </w:r>
    </w:p>
    <w:p>
      <w:pPr>
        <w:pStyle w:val="0"/>
        <w:jc w:val="right"/>
      </w:pPr>
      <w:r>
        <w:rPr>
          <w:sz w:val="20"/>
        </w:rPr>
        <w:t xml:space="preserve">и педагогической деятельности</w:t>
      </w:r>
    </w:p>
    <w:p>
      <w:pPr>
        <w:pStyle w:val="0"/>
        <w:jc w:val="right"/>
      </w:pPr>
      <w:r>
        <w:rPr>
          <w:sz w:val="20"/>
        </w:rPr>
      </w:r>
    </w:p>
    <w:bookmarkStart w:id="253" w:name="P253"/>
    <w:bookmarkEnd w:id="253"/>
    <w:p>
      <w:pPr>
        <w:pStyle w:val="2"/>
        <w:jc w:val="center"/>
      </w:pPr>
      <w:r>
        <w:rPr>
          <w:sz w:val="20"/>
        </w:rPr>
        <w:t xml:space="preserve">ПЕРЕЧЕНЬ</w:t>
      </w:r>
    </w:p>
    <w:p>
      <w:pPr>
        <w:pStyle w:val="2"/>
        <w:jc w:val="center"/>
      </w:pPr>
      <w:r>
        <w:rPr>
          <w:sz w:val="20"/>
        </w:rPr>
        <w:t xml:space="preserve">ДОКУМЕНТОВ, ПРЕДСТАВЛЯЕМЫХ ДЛЯ УЧАСТИЯ В КОНКУРСНОМ ОТБОРЕ</w:t>
      </w:r>
    </w:p>
    <w:p>
      <w:pPr>
        <w:pStyle w:val="2"/>
        <w:jc w:val="center"/>
      </w:pPr>
      <w:r>
        <w:rPr>
          <w:sz w:val="20"/>
        </w:rPr>
        <w:t xml:space="preserve">НА ПРАВО ПОЛУЧЕНИЯ В 2026 ГОДУ СУБСИДИЙ ОБЩЕСТВЕННЫМИ</w:t>
      </w:r>
    </w:p>
    <w:p>
      <w:pPr>
        <w:pStyle w:val="2"/>
        <w:jc w:val="center"/>
      </w:pPr>
      <w:r>
        <w:rPr>
          <w:sz w:val="20"/>
        </w:rPr>
        <w:t xml:space="preserve">ОБЪЕДИНЕНИЯМИ НАУЧНЫХ РАБОТНИКОВ, ИМЕЮЩИМИ МЕСТО</w:t>
      </w:r>
    </w:p>
    <w:p>
      <w:pPr>
        <w:pStyle w:val="2"/>
        <w:jc w:val="center"/>
      </w:pPr>
      <w:r>
        <w:rPr>
          <w:sz w:val="20"/>
        </w:rPr>
        <w:t xml:space="preserve">НАХОЖДЕНИЯ В САНКТ-ПЕТЕРБУРГЕ, В ЦЕЛЯХ РАЗВИТИЯ</w:t>
      </w:r>
    </w:p>
    <w:p>
      <w:pPr>
        <w:pStyle w:val="2"/>
        <w:jc w:val="center"/>
      </w:pPr>
      <w:r>
        <w:rPr>
          <w:sz w:val="20"/>
        </w:rPr>
        <w:t xml:space="preserve">ИХ НАУЧНО-ПРОСВЕТИТЕЛЬСКОЙ, НАУЧНО-ИССЛЕДОВАТЕЛЬСКОЙ</w:t>
      </w:r>
    </w:p>
    <w:p>
      <w:pPr>
        <w:pStyle w:val="2"/>
        <w:jc w:val="center"/>
      </w:pPr>
      <w:r>
        <w:rPr>
          <w:sz w:val="20"/>
        </w:rPr>
        <w:t xml:space="preserve">И ПЕДАГОГИЧЕСКОЙ ДЕЯТЕЛЬНОСТИ, И ТРЕБОВАНИЯ К НИМ</w:t>
      </w:r>
    </w:p>
    <w:p>
      <w:pPr>
        <w:pStyle w:val="0"/>
        <w:ind w:firstLine="540"/>
        <w:jc w:val="both"/>
      </w:pPr>
      <w:r>
        <w:rPr>
          <w:sz w:val="20"/>
        </w:rPr>
      </w:r>
    </w:p>
    <w:p>
      <w:pPr>
        <w:pStyle w:val="0"/>
        <w:ind w:firstLine="540"/>
        <w:jc w:val="both"/>
      </w:pPr>
      <w:r>
        <w:rPr>
          <w:sz w:val="20"/>
        </w:rPr>
        <w:t xml:space="preserve">Для участия в конкурсном отборе на право получения в 2026 году субсидий общественными объединениями научных работников, имеющими место нахождения в Санкт-Петербурге, в целях развития их научно-просветительской, научно-исследовательской и педагогической деятельности представляются претендентами в АИС БП-ЭК в электронном виде электронные образы (документы, преобразованные в электронную форму путем сканирования документов на бумажном носителе с сохранением их реквизитов) следующих документов:</w:t>
      </w:r>
    </w:p>
    <w:p>
      <w:pPr>
        <w:pStyle w:val="0"/>
        <w:spacing w:before="200" w:lineRule="auto"/>
        <w:ind w:firstLine="540"/>
        <w:jc w:val="both"/>
      </w:pPr>
      <w:r>
        <w:rPr>
          <w:sz w:val="20"/>
        </w:rPr>
        <w:t xml:space="preserve">1. Документ, подтверждающий полномочия лица на осуществление действий от имени претендента (далее - руководитель):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для уполномоченного лица - также доверенность на осуществление действий от имени претендента, заверенная руководителем, или иной документ, предусмотренный в </w:t>
      </w:r>
      <w:hyperlink w:history="0" r:id="rId44"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0"/>
            <w:color w:val="0000ff"/>
          </w:rPr>
          <w:t xml:space="preserve">пункте 4 статьи 185</w:t>
        </w:r>
      </w:hyperlink>
      <w:r>
        <w:rPr>
          <w:sz w:val="20"/>
        </w:rPr>
        <w:t xml:space="preserve"> Гражданского кодекса Российской Федерации, подтверждающий соответствующие полномочия.</w:t>
      </w:r>
    </w:p>
    <w:p>
      <w:pPr>
        <w:pStyle w:val="0"/>
        <w:spacing w:before="200" w:lineRule="auto"/>
        <w:ind w:firstLine="540"/>
        <w:jc w:val="both"/>
      </w:pPr>
      <w:r>
        <w:rPr>
          <w:sz w:val="20"/>
        </w:rPr>
        <w:t xml:space="preserve">2. Копия свидетельства о государственной регистрации претендента, заверенная подписью руководителя (уполномоченного лица) и оттиском печати претендента (при наличии печати). В случае если претендент зарегистрирован после 01.01.2017, представляется копия листа записи Единого государственного реестра юридических лиц,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3. Копии учредительных документов, заверенные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4. Справка об отнесении претендента к общественному объединению научных работников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5. Краткая информация о деятельности претендента и его кадровом составе (членах общественного объединения научных работников) (в свободной форме), включая информацию о территориальной сфере деятельности общественного объединения научных работников, численности членов общественного объединения научных работников, проценте членов общественного объединения научных работников в возрасте до 35 лет (включительно), проценте членов общественного объединения научных работников высшей квалификации, соответствии научно-просветительской, научно-исследовательской и педагогической деятельности общественного объединения научных работников приоритетным </w:t>
      </w:r>
      <w:hyperlink w:history="0" r:id="rId45" w:tooltip="Указ Президента РФ от 18.06.2024 N 529 &quot;Об утверждении приоритетных направлений научно-технологического развития и перечня важнейших наукоемких технологий&quot; {КонсультантПлюс}">
        <w:r>
          <w:rPr>
            <w:sz w:val="20"/>
            <w:color w:val="0000ff"/>
          </w:rPr>
          <w:t xml:space="preserve">направлениям</w:t>
        </w:r>
      </w:hyperlink>
      <w:r>
        <w:rPr>
          <w:sz w:val="20"/>
        </w:rPr>
        <w:t xml:space="preserve"> научно-технологического развития, утвержденным Указом Президента Российской Федерации от 18.06.2024 N 529 "Об утверждении приоритетных направлений научно-технологического развития и перечня важнейших наукоемких технологий", и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 (далее - Концепция).</w:t>
      </w:r>
    </w:p>
    <w:p>
      <w:pPr>
        <w:pStyle w:val="0"/>
        <w:spacing w:before="200" w:lineRule="auto"/>
        <w:ind w:firstLine="540"/>
        <w:jc w:val="both"/>
      </w:pPr>
      <w:r>
        <w:rPr>
          <w:sz w:val="20"/>
        </w:rPr>
        <w:t xml:space="preserve">6. Описание мероприятий, включая социально-экономический эффект от реализации мероприятий и информацию о соответствии мероприятий приоритетам научно-технологического развития Санкт-Петербурга, изложенным в Концепции (в свободной форме).</w:t>
      </w:r>
    </w:p>
    <w:p>
      <w:pPr>
        <w:pStyle w:val="0"/>
        <w:spacing w:before="200" w:lineRule="auto"/>
        <w:ind w:firstLine="540"/>
        <w:jc w:val="both"/>
      </w:pPr>
      <w:r>
        <w:rPr>
          <w:sz w:val="20"/>
        </w:rPr>
        <w:t xml:space="preserve">7. </w:t>
      </w:r>
      <w:hyperlink w:history="0" w:anchor="P355" w:tooltip="СМЕТА">
        <w:r>
          <w:rPr>
            <w:sz w:val="20"/>
            <w:color w:val="0000ff"/>
          </w:rPr>
          <w:t xml:space="preserve">Смета</w:t>
        </w:r>
      </w:hyperlink>
      <w:r>
        <w:rPr>
          <w:sz w:val="20"/>
        </w:rPr>
        <w:t xml:space="preserve"> затрат на подготовку и проведение мероприятий за счет запрашиваемых субсидий с экономическим обоснованием и расшифровкой статей расходов, заверенная подписью руководителя (уполномоченного лица), подписью главного бухгалтера (или иного лица, на которое претендентом возложено ведение бухгалтерского учета) и оттиском печати претендента (при наличии печати), в соответствии с перечнем затрат и предельными объемами их финансового обеспечения, указанными в </w:t>
      </w:r>
      <w:hyperlink w:history="0" w:anchor="P100" w:tooltip="2.6. Субсидии предоставляются в целях финансового обеспечения следующих затрат получателя субсидий:">
        <w:r>
          <w:rPr>
            <w:sz w:val="20"/>
            <w:color w:val="0000ff"/>
          </w:rPr>
          <w:t xml:space="preserve">пунктах 2.6</w:t>
        </w:r>
      </w:hyperlink>
      <w:r>
        <w:rPr>
          <w:sz w:val="20"/>
        </w:rPr>
        <w:t xml:space="preserve"> и </w:t>
      </w:r>
      <w:hyperlink w:history="0" w:anchor="P104" w:tooltip="2.7. Предельный объем финансового обеспечения затрат на подготовку и проведение мероприятий одного общественного объединения научных работников составляет 400000 руб.">
        <w:r>
          <w:rPr>
            <w:sz w:val="20"/>
            <w:color w:val="0000ff"/>
          </w:rPr>
          <w:t xml:space="preserve">2.7</w:t>
        </w:r>
      </w:hyperlink>
      <w:r>
        <w:rPr>
          <w:sz w:val="20"/>
        </w:rPr>
        <w:t xml:space="preserve"> Порядка предоставления в 2026 году субсидий общественным объединениям научных работников, имеющим место нахождения в Санкт-Петербурге, в целях развития их научно-просветительской, научно-исследовательской и педагогической деятельности, утвержденного настоящим постановлением (далее - Порядок), по форме согласно приложению N 3 к Порядку. При определении размера субсидий получателем субсидий в смету не включаются суммы налога на добавленную стоимость (далее - НДС), за исключением случая, если получатель субсидий применяет систему налогообложения, при которой НДС не уплачивается, или освобожден от исполнения обязанностей плательщика НДС в соответствии со </w:t>
      </w:r>
      <w:hyperlink w:history="0" r:id="rId46" w:tooltip="&quot;Налоговый кодекс Российской Федерации (часть вторая)&quot; от 05.08.2000 N 117-ФЗ (ред. от 25.05.2026) {КонсультантПлюс}">
        <w:r>
          <w:rPr>
            <w:sz w:val="20"/>
            <w:color w:val="0000ff"/>
          </w:rPr>
          <w:t xml:space="preserve">статьями 145</w:t>
        </w:r>
      </w:hyperlink>
      <w:r>
        <w:rPr>
          <w:sz w:val="20"/>
        </w:rPr>
        <w:t xml:space="preserve"> и </w:t>
      </w:r>
      <w:hyperlink w:history="0" r:id="rId47" w:tooltip="&quot;Налоговый кодекс Российской Федерации (часть вторая)&quot; от 05.08.2000 N 117-ФЗ (ред. от 25.05.2026) {КонсультантПлюс}">
        <w:r>
          <w:rPr>
            <w:sz w:val="20"/>
            <w:color w:val="0000ff"/>
          </w:rPr>
          <w:t xml:space="preserve">145.1</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8. Справка о применяемой системе налогообложения в свободной форме, содержащая информацию о выбранном претендентом в соответствии с Налоговым </w:t>
      </w:r>
      <w:hyperlink w:history="0" r:id="rId48" w:tooltip="&quot;Налоговый кодекс Российской Федерации (часть первая)&quot; от 31.07.1998 N 146-ФЗ (ред. от 17.04.2026) {КонсультантПлюс}">
        <w:r>
          <w:rPr>
            <w:sz w:val="20"/>
            <w:color w:val="0000ff"/>
          </w:rPr>
          <w:t xml:space="preserve">кодексом</w:t>
        </w:r>
      </w:hyperlink>
      <w:r>
        <w:rPr>
          <w:sz w:val="20"/>
        </w:rPr>
        <w:t xml:space="preserve"> Российской Федерации режиме налогообложения в качестве основного, заверенная подписью руководителя (уполномоченного лица), подписью главного бухгалтера (или иного лица, на которое претендентом возложено ведение бухгалтерского учета) и оттиском печати претендента (при наличии печати).</w:t>
      </w:r>
    </w:p>
    <w:p>
      <w:pPr>
        <w:pStyle w:val="0"/>
        <w:spacing w:before="200" w:lineRule="auto"/>
        <w:ind w:firstLine="540"/>
        <w:jc w:val="both"/>
      </w:pPr>
      <w:r>
        <w:rPr>
          <w:sz w:val="20"/>
        </w:rPr>
        <w:t xml:space="preserve">9. Согласие претендента в случае признания его получателем субсидий на осуществление Комитетом проверок и проверок органами государственного финансового контроля в соответствии со </w:t>
      </w:r>
      <w:hyperlink w:history="0" r:id="rId49"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50"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10. Справка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 на дату не ранее 30 календарных дней до даты подачи заявки, подписанная руководителем (заместителем руководителя) налогового органа и заверенная печатью или сформированная в электронной форме и подписанная усиленной квалифицированной электронной подписью, позволяющей идентифицировать выдавший налоговый орган (владельца квалифицированного сертификата).</w:t>
      </w:r>
    </w:p>
    <w:p>
      <w:pPr>
        <w:pStyle w:val="0"/>
        <w:spacing w:before="200" w:lineRule="auto"/>
        <w:ind w:firstLine="540"/>
        <w:jc w:val="both"/>
      </w:pPr>
      <w:r>
        <w:rPr>
          <w:sz w:val="20"/>
        </w:rPr>
        <w:t xml:space="preserve">11. Справка об отсутствии у претендента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составленная в свободной форме, на дату не ранее 30 календарных дней до даты подачи заявки,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12. Справка претендента о том, что претендент не находится в процессе реорганизации (за исключением реорганизации в форме присоединения к претенденту другого юридического лица), ликвидации, в отношении претендента не введена процедура банкротства, деятельность претендента не приостановлена в порядке, предусмотренном законодательством Российской Федерации,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13. Справка об отсутствии на дату не ранее 30 календарных дней до даты подачи заявки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претендента, составленная в свободной форме, заверенная подписью руководителя (уполномоченного лица) и оттиском печати претендента (при наличии).</w:t>
      </w:r>
    </w:p>
    <w:p>
      <w:pPr>
        <w:pStyle w:val="0"/>
        <w:spacing w:before="200" w:lineRule="auto"/>
        <w:ind w:firstLine="540"/>
        <w:jc w:val="both"/>
      </w:pPr>
      <w:r>
        <w:rPr>
          <w:sz w:val="20"/>
        </w:rPr>
        <w:t xml:space="preserve">14. Справка, подтверждающая, что претендент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15. Справка, подтверждающая, что претендент не является иностранным агентом в соответствии с Федеральным </w:t>
      </w:r>
      <w:hyperlink w:history="0" r:id="rId51"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на дату не ранее 30 календарных дней до даты подачи заявки,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16. Справка об отсутствии на дату не ранее 30 календарных дней до даты подачи заявки средств из бюджета Санкт-Петербурга на основании иных нормативных правовых актов на финансовое обеспечение и(или) возмещение затрат на подготовку и проведение мероприятий, на финансовое обеспечение которых запрашиваются субсидии, составленная в свободной форме,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17. Обязательство претендента о неприобретении претендентом, а также иными юридическими лицами, получающими средства на основании договоров (соглашений), заключенных с получателем субсидий, за счет полученных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претендентом в целях подготовки и проведения мероприятий у поставщиков (исполнителей), являющихся нерезидентами в соответствии с Федеральным </w:t>
      </w:r>
      <w:hyperlink w:history="0" r:id="rId52"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18. Обязательство претендента в случае признания его получателем субсидий о достижении получателем субсидий результата предоставления субсидий и его характеристики (дополнительного количественного параметра, которому должен соответствовать результат предоставления субсидий),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19. Согласие претендента в случае признания его получателем субсидий на возврат в бюджет Санкт-Петербурга в срок, установленный Комитетом, остатков средств субсидий, не использованных в отчетном финансовом году,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20. Обязательство претендента в случае признания его получателем субсидий представить согласия лиц, получающих средства на основании договоров (соглашений), заключенных с получателем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Комитетом проверок, а также проверок органами государственного финансового контроля в соответствии со </w:t>
      </w:r>
      <w:hyperlink w:history="0" r:id="rId53"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54"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21. Справка претендента о том, что размер средней заработной платы каждого работника претендента (включая обособленные подразделения, находящиеся на территории Санкт-Петербурга), рассчитываемый в соответствии со </w:t>
      </w:r>
      <w:hyperlink w:history="0" r:id="rId55"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был в течение 2025 года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на соответствующий период 2025 года (в свободной форме), заверенная подписью руководителя (уполномоченного лица) и оттиском печати претендента (при наличии печати)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 физических лиц).</w:t>
      </w:r>
    </w:p>
    <w:p>
      <w:pPr>
        <w:pStyle w:val="0"/>
        <w:spacing w:before="200" w:lineRule="auto"/>
        <w:ind w:firstLine="540"/>
        <w:jc w:val="both"/>
      </w:pPr>
      <w:r>
        <w:rPr>
          <w:sz w:val="20"/>
        </w:rPr>
        <w:t xml:space="preserve">22. Справка, составленная претендентом в свободной форме, об отсутствии на дату не ранее 30 календарных дней до даты подачи заявки претендента в перечне организаций и физических лиц, в отношении которых имеются сведения об их причастности к экстремистской деятельности или терроризму, заверенная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23. Справка, составленная претендентом в свободной форме, об отсутствии на дату не ранее 30 календарных дней до даты подачи заявки претендента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w:t>
      </w:r>
    </w:p>
    <w:p>
      <w:pPr>
        <w:pStyle w:val="0"/>
        <w:spacing w:before="200" w:lineRule="auto"/>
        <w:ind w:firstLine="540"/>
        <w:jc w:val="both"/>
      </w:pPr>
      <w:r>
        <w:rPr>
          <w:sz w:val="20"/>
        </w:rPr>
        <w:t xml:space="preserve">24. Обязательство претендента в случае признания его получателем субсидий представить справки, указанные в </w:t>
      </w:r>
      <w:hyperlink w:history="0" w:anchor="P183" w:tooltip="справку получателя субсидии (в свободной форме), подтверждающую, что у получателя субсидий на дату принятия решения о предоставлении субсидий (дату подписания распоряжения Комитета о предоставлении субсидий) на едином налоговом счете отсутствует или не превышает размер, определенный в пункте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дписанную руководителем получателя субсидии или упо...">
        <w:r>
          <w:rPr>
            <w:sz w:val="20"/>
            <w:color w:val="0000ff"/>
          </w:rPr>
          <w:t xml:space="preserve">абзацах втором</w:t>
        </w:r>
      </w:hyperlink>
      <w:r>
        <w:rPr>
          <w:sz w:val="20"/>
        </w:rPr>
        <w:t xml:space="preserve"> и </w:t>
      </w:r>
      <w:hyperlink w:history="0" w:anchor="P184" w:tooltip="справку получателя субсидий (в свободной форме), подтверждающую отсутствие на дату принятия решения о предоставлении субсидий (дату подписания распоряжения Комитета о предоставлении субсидий) у получателя субсидий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дписанную руководителем получателя субсидий или уполномоченным лицом и заверенн...">
        <w:r>
          <w:rPr>
            <w:sz w:val="20"/>
            <w:color w:val="0000ff"/>
          </w:rPr>
          <w:t xml:space="preserve">третьем пункта 2.23</w:t>
        </w:r>
      </w:hyperlink>
      <w:r>
        <w:rPr>
          <w:sz w:val="20"/>
        </w:rPr>
        <w:t xml:space="preserve"> Порядка,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25. Обязательство претендента в случае признания его получателем субсидий по документальному подтверждению затрат на подготовку и проведение мероприятий в соответствии с </w:t>
      </w:r>
      <w:hyperlink w:history="0" w:anchor="P199" w:tooltip="3.2. Получатель субсидий в срок, установленный Комитетом, но не реже одного раза в квартал представляет в Комитет через АИС БП-ЭК отчет об осуществлении расходов, источником финансового обеспечения которых являются субсидии, по форме, определенной типовой формой соглашения, установленной Комитетом финансов Санкт-Петербурга. В отчет об осуществлении расходов, источником финансового обеспечения которых являются субсидии, включаются расходы, предусмотренные сметой, в размере, не превышающем суммы, указанной...">
        <w:r>
          <w:rPr>
            <w:sz w:val="20"/>
            <w:color w:val="0000ff"/>
          </w:rPr>
          <w:t xml:space="preserve">пунктом 3.2</w:t>
        </w:r>
      </w:hyperlink>
      <w:r>
        <w:rPr>
          <w:sz w:val="20"/>
        </w:rPr>
        <w:t xml:space="preserve"> Порядка, составленное в свободной форме, заверенное подписью руководителя (уполномоченного лица) и оттиском печати претендента (при наличии печати).</w:t>
      </w:r>
    </w:p>
    <w:p>
      <w:pPr>
        <w:pStyle w:val="0"/>
        <w:spacing w:before="200" w:lineRule="auto"/>
        <w:ind w:firstLine="540"/>
        <w:jc w:val="both"/>
      </w:pPr>
      <w:r>
        <w:rPr>
          <w:sz w:val="20"/>
        </w:rPr>
        <w:t xml:space="preserve">26. Обязательство участника отбора в случае предоставления ему субсидии обеспечить размер средней заработной платы каждого работника получателя субсидии (включая обособленные подразделения, находящиеся на территории Санкт-Петербурга), рассчитываемый в соответствии со </w:t>
      </w:r>
      <w:hyperlink w:history="0" r:id="rId56"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 01.01.2026 до даты, по состоянию на которую получателем субсидии формируется отчетность о достижении значений результата и характеристики,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составленное в свободной форме, заверенное подписью руководителя (уполномоченного лица) и оттиском печати участника отбора (при наличии печати).</w:t>
      </w:r>
    </w:p>
    <w:p>
      <w:pPr>
        <w:pStyle w:val="0"/>
        <w:spacing w:before="200" w:lineRule="auto"/>
        <w:ind w:firstLine="540"/>
        <w:jc w:val="both"/>
      </w:pPr>
      <w:r>
        <w:rPr>
          <w:sz w:val="20"/>
        </w:rPr>
        <w:t xml:space="preserve">27. </w:t>
      </w:r>
      <w:hyperlink w:history="0" w:anchor="P304" w:tooltip="СОГЛАСИЕ">
        <w:r>
          <w:rPr>
            <w:sz w:val="20"/>
            <w:color w:val="0000ff"/>
          </w:rPr>
          <w:t xml:space="preserve">Согласия</w:t>
        </w:r>
      </w:hyperlink>
      <w:r>
        <w:rPr>
          <w:sz w:val="20"/>
        </w:rPr>
        <w:t xml:space="preserve"> на обработку персональных данных физических лиц, персональные данные которых содержатся в заявке и документах, указанных в настоящем Перечне, по форме согласно приложению N 2 к Порядку.</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w:t>
      </w:r>
    </w:p>
    <w:p>
      <w:pPr>
        <w:pStyle w:val="0"/>
        <w:jc w:val="right"/>
      </w:pPr>
      <w:r>
        <w:rPr>
          <w:sz w:val="20"/>
        </w:rPr>
        <w:t xml:space="preserve">в 2026 году субсидий общественным</w:t>
      </w:r>
    </w:p>
    <w:p>
      <w:pPr>
        <w:pStyle w:val="0"/>
        <w:jc w:val="right"/>
      </w:pPr>
      <w:r>
        <w:rPr>
          <w:sz w:val="20"/>
        </w:rPr>
        <w:t xml:space="preserve">объединениям научных работников,</w:t>
      </w:r>
    </w:p>
    <w:p>
      <w:pPr>
        <w:pStyle w:val="0"/>
        <w:jc w:val="right"/>
      </w:pPr>
      <w:r>
        <w:rPr>
          <w:sz w:val="20"/>
        </w:rPr>
        <w:t xml:space="preserve">имеющим место нахождения</w:t>
      </w:r>
    </w:p>
    <w:p>
      <w:pPr>
        <w:pStyle w:val="0"/>
        <w:jc w:val="right"/>
      </w:pPr>
      <w:r>
        <w:rPr>
          <w:sz w:val="20"/>
        </w:rPr>
        <w:t xml:space="preserve">в Санкт-Петербурге, в целях развития</w:t>
      </w:r>
    </w:p>
    <w:p>
      <w:pPr>
        <w:pStyle w:val="0"/>
        <w:jc w:val="right"/>
      </w:pPr>
      <w:r>
        <w:rPr>
          <w:sz w:val="20"/>
        </w:rPr>
        <w:t xml:space="preserve">их научно-просветительской,</w:t>
      </w:r>
    </w:p>
    <w:p>
      <w:pPr>
        <w:pStyle w:val="0"/>
        <w:jc w:val="right"/>
      </w:pPr>
      <w:r>
        <w:rPr>
          <w:sz w:val="20"/>
        </w:rPr>
        <w:t xml:space="preserve">научно-исследовательской</w:t>
      </w:r>
    </w:p>
    <w:p>
      <w:pPr>
        <w:pStyle w:val="0"/>
        <w:jc w:val="right"/>
      </w:pPr>
      <w:r>
        <w:rPr>
          <w:sz w:val="20"/>
        </w:rPr>
        <w:t xml:space="preserve">и педагогической деятельности</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737"/>
        <w:gridCol w:w="1644"/>
        <w:gridCol w:w="350"/>
        <w:gridCol w:w="1060"/>
        <w:gridCol w:w="1518"/>
        <w:gridCol w:w="340"/>
        <w:gridCol w:w="3061"/>
        <w:gridCol w:w="340"/>
      </w:tblGrid>
      <w:tr>
        <w:tc>
          <w:tcPr>
            <w:gridSpan w:val="8"/>
            <w:tcW w:w="9050" w:type="dxa"/>
            <w:tcBorders>
              <w:top w:val="nil"/>
              <w:left w:val="nil"/>
              <w:bottom w:val="nil"/>
              <w:right w:val="nil"/>
            </w:tcBorders>
          </w:tcPr>
          <w:bookmarkStart w:id="304" w:name="P304"/>
          <w:bookmarkEnd w:id="304"/>
          <w:p>
            <w:pPr>
              <w:pStyle w:val="0"/>
              <w:jc w:val="center"/>
            </w:pPr>
            <w:r>
              <w:rPr>
                <w:sz w:val="20"/>
                <w:b w:val="on"/>
              </w:rPr>
              <w:t xml:space="preserve">СОГЛАСИЕ</w:t>
            </w:r>
          </w:p>
          <w:p>
            <w:pPr>
              <w:pStyle w:val="0"/>
              <w:jc w:val="center"/>
            </w:pPr>
            <w:r>
              <w:rPr>
                <w:sz w:val="20"/>
                <w:b w:val="on"/>
              </w:rPr>
              <w:t xml:space="preserve">на обработку персональных данных</w:t>
            </w:r>
          </w:p>
        </w:tc>
      </w:tr>
      <w:tr>
        <w:tc>
          <w:tcPr>
            <w:gridSpan w:val="8"/>
            <w:tcW w:w="9050" w:type="dxa"/>
            <w:tcBorders>
              <w:top w:val="nil"/>
              <w:left w:val="nil"/>
              <w:bottom w:val="nil"/>
              <w:right w:val="nil"/>
            </w:tcBorders>
          </w:tcPr>
          <w:p>
            <w:pPr>
              <w:pStyle w:val="0"/>
            </w:pPr>
            <w:r>
              <w:rPr>
                <w:sz w:val="20"/>
              </w:rPr>
            </w:r>
          </w:p>
        </w:tc>
      </w:tr>
      <w:tr>
        <w:tc>
          <w:tcPr>
            <w:tcW w:w="737" w:type="dxa"/>
            <w:tcBorders>
              <w:top w:val="nil"/>
              <w:left w:val="nil"/>
              <w:bottom w:val="nil"/>
              <w:right w:val="nil"/>
            </w:tcBorders>
          </w:tcPr>
          <w:p>
            <w:pPr>
              <w:pStyle w:val="0"/>
              <w:ind w:firstLine="283"/>
              <w:jc w:val="both"/>
            </w:pPr>
            <w:r>
              <w:rPr>
                <w:sz w:val="20"/>
              </w:rPr>
              <w:t xml:space="preserve">Я,</w:t>
            </w:r>
          </w:p>
        </w:tc>
        <w:tc>
          <w:tcPr>
            <w:gridSpan w:val="6"/>
            <w:tcW w:w="7973"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pPr>
            <w:r>
              <w:rPr>
                <w:sz w:val="20"/>
              </w:rPr>
            </w:r>
          </w:p>
        </w:tc>
        <w:tc>
          <w:tcPr>
            <w:gridSpan w:val="6"/>
            <w:tcW w:w="7973" w:type="dxa"/>
            <w:tcBorders>
              <w:top w:val="single" w:sz="4"/>
              <w:left w:val="nil"/>
              <w:bottom w:val="nil"/>
              <w:right w:val="nil"/>
            </w:tcBorders>
          </w:tcPr>
          <w:p>
            <w:pPr>
              <w:pStyle w:val="0"/>
              <w:jc w:val="center"/>
            </w:pPr>
            <w:r>
              <w:rPr>
                <w:sz w:val="20"/>
              </w:rPr>
              <w:t xml:space="preserve">(Фамилия, имя, отчество)</w:t>
            </w:r>
          </w:p>
        </w:tc>
        <w:tc>
          <w:tcPr>
            <w:tcW w:w="340" w:type="dxa"/>
            <w:tcBorders>
              <w:top w:val="nil"/>
              <w:left w:val="nil"/>
              <w:bottom w:val="nil"/>
              <w:right w:val="nil"/>
            </w:tcBorders>
          </w:tcPr>
          <w:p>
            <w:pPr>
              <w:pStyle w:val="0"/>
              <w:jc w:val="both"/>
            </w:pPr>
            <w:r>
              <w:rPr>
                <w:sz w:val="20"/>
              </w:rPr>
            </w:r>
          </w:p>
        </w:tc>
      </w:tr>
      <w:tr>
        <w:tc>
          <w:tcPr>
            <w:gridSpan w:val="7"/>
            <w:tcW w:w="8710"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7"/>
            <w:tcW w:w="8710" w:type="dxa"/>
            <w:tcBorders>
              <w:top w:val="single" w:sz="4"/>
              <w:left w:val="nil"/>
              <w:bottom w:val="nil"/>
              <w:right w:val="nil"/>
            </w:tcBorders>
          </w:tcPr>
          <w:p>
            <w:pPr>
              <w:pStyle w:val="0"/>
              <w:jc w:val="center"/>
            </w:pPr>
            <w:r>
              <w:rPr>
                <w:sz w:val="20"/>
              </w:rPr>
              <w:t xml:space="preserve">Реквизиты документа, удостоверяющего личность, включая дату выдачи и сведения о выдавшем его органе)</w:t>
            </w:r>
          </w:p>
        </w:tc>
        <w:tc>
          <w:tcPr>
            <w:tcW w:w="340" w:type="dxa"/>
            <w:tcBorders>
              <w:top w:val="nil"/>
              <w:left w:val="nil"/>
              <w:bottom w:val="nil"/>
              <w:right w:val="nil"/>
            </w:tcBorders>
          </w:tcPr>
          <w:p>
            <w:pPr>
              <w:pStyle w:val="0"/>
              <w:jc w:val="both"/>
            </w:pPr>
            <w:r>
              <w:rPr>
                <w:sz w:val="20"/>
              </w:rPr>
            </w:r>
          </w:p>
        </w:tc>
      </w:tr>
      <w:tr>
        <w:tc>
          <w:tcPr>
            <w:gridSpan w:val="4"/>
            <w:tcW w:w="3791" w:type="dxa"/>
            <w:tcBorders>
              <w:top w:val="nil"/>
              <w:left w:val="nil"/>
              <w:bottom w:val="nil"/>
              <w:right w:val="nil"/>
            </w:tcBorders>
          </w:tcPr>
          <w:p>
            <w:pPr>
              <w:pStyle w:val="0"/>
            </w:pPr>
            <w:r>
              <w:rPr>
                <w:sz w:val="20"/>
              </w:rPr>
              <w:t xml:space="preserve">зарегистрированный по адресу:</w:t>
            </w:r>
          </w:p>
        </w:tc>
        <w:tc>
          <w:tcPr>
            <w:gridSpan w:val="3"/>
            <w:tcW w:w="4919"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8"/>
            <w:tcW w:w="9050" w:type="dxa"/>
            <w:tcBorders>
              <w:top w:val="nil"/>
              <w:left w:val="nil"/>
              <w:bottom w:val="nil"/>
              <w:right w:val="nil"/>
            </w:tcBorders>
          </w:tcPr>
          <w:p>
            <w:pPr>
              <w:pStyle w:val="0"/>
              <w:jc w:val="both"/>
            </w:pPr>
            <w:r>
              <w:rPr>
                <w:sz w:val="20"/>
              </w:rPr>
              <w:t xml:space="preserve">в соответствии со </w:t>
            </w:r>
            <w:hyperlink w:history="0" r:id="rId57" w:tooltip="Федеральный закон от 27.07.2006 N 152-ФЗ (ред. от 24.06.2025) &quot;О персональных данных&quot; {КонсультантПлюс}">
              <w:r>
                <w:rPr>
                  <w:sz w:val="20"/>
                  <w:color w:val="0000ff"/>
                </w:rPr>
                <w:t xml:space="preserve">статьями 6</w:t>
              </w:r>
            </w:hyperlink>
            <w:r>
              <w:rPr>
                <w:sz w:val="20"/>
              </w:rPr>
              <w:t xml:space="preserve"> и </w:t>
            </w:r>
            <w:hyperlink w:history="0" r:id="rId58" w:tooltip="Федеральный закон от 27.07.2006 N 152-ФЗ (ред. от 24.06.2025) &quot;О персональных данных&quot; {КонсультантПлюс}">
              <w:r>
                <w:rPr>
                  <w:sz w:val="20"/>
                  <w:color w:val="0000ff"/>
                </w:rPr>
                <w:t xml:space="preserve">9</w:t>
              </w:r>
            </w:hyperlink>
            <w:r>
              <w:rPr>
                <w:sz w:val="20"/>
              </w:rPr>
              <w:t xml:space="preserve"> Федерального закона "О персональных данных" свободно, своей волей и в своем интересе даю согласие должностным лицам Комитета по науке и высшей школе (далее - Комитет), расположенного по адресу: 191144, Санкт-Петербург, Новгородская ул., д. 20, литера А, а также</w:t>
            </w:r>
          </w:p>
        </w:tc>
      </w:tr>
      <w:tr>
        <w:tc>
          <w:tcPr>
            <w:gridSpan w:val="8"/>
            <w:tcW w:w="9050" w:type="dxa"/>
            <w:tcBorders>
              <w:top w:val="nil"/>
              <w:left w:val="nil"/>
              <w:bottom w:val="single" w:sz="4"/>
              <w:right w:val="nil"/>
            </w:tcBorders>
          </w:tcPr>
          <w:p>
            <w:pPr>
              <w:pStyle w:val="0"/>
              <w:jc w:val="both"/>
            </w:pPr>
            <w:r>
              <w:rPr>
                <w:sz w:val="20"/>
              </w:rPr>
            </w:r>
          </w:p>
        </w:tc>
      </w:tr>
      <w:tr>
        <w:tc>
          <w:tcPr>
            <w:gridSpan w:val="8"/>
            <w:tcW w:w="9050" w:type="dxa"/>
            <w:tcBorders>
              <w:top w:val="single" w:sz="4"/>
              <w:left w:val="nil"/>
              <w:bottom w:val="nil"/>
              <w:right w:val="nil"/>
            </w:tcBorders>
          </w:tcPr>
          <w:p>
            <w:pPr>
              <w:pStyle w:val="0"/>
              <w:jc w:val="both"/>
            </w:pPr>
            <w:r>
              <w:rPr>
                <w:sz w:val="20"/>
              </w:rPr>
              <w:t xml:space="preserve">(Указываются наименование и адрес экспертной организации, привлекаемой Комитетом путем закупки услуг в соответствии с требованиями Федерального </w:t>
            </w:r>
            <w:hyperlink w:history="0" r:id="rId5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закона</w:t>
              </w:r>
            </w:hyperlink>
            <w:r>
              <w:rPr>
                <w:sz w:val="20"/>
              </w:rPr>
              <w:t xml:space="preserve"> "О контрактной системе в сфере закупок товаров, работ, услуг для обеспечения государственных и муниципальных нужд" для организационно-технического сопровождения конкурсного отбора на право получения в 2026 году субсидий общественными объединениями научных работников, имеющими место нахождения в Санкт-Петербурге, в целях развития их научно-просветительской, научно-исследовательской и педагогической деятельности)</w:t>
            </w:r>
          </w:p>
        </w:tc>
      </w:tr>
      <w:tr>
        <w:tc>
          <w:tcPr>
            <w:gridSpan w:val="8"/>
            <w:tcW w:w="9050" w:type="dxa"/>
            <w:tcBorders>
              <w:top w:val="nil"/>
              <w:left w:val="nil"/>
              <w:bottom w:val="nil"/>
              <w:right w:val="nil"/>
            </w:tcBorders>
          </w:tcPr>
          <w:p>
            <w:pPr>
              <w:pStyle w:val="0"/>
              <w:jc w:val="both"/>
            </w:pPr>
            <w:r>
              <w:rPr>
                <w:sz w:val="20"/>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адреса, реквизитов документа, удостоверяющего личность, номера телефона, адреса электронной почты), иных сведений, содержащихся в заявке и документах, направляемых для участия в конкурсном отборе на право получения в 2026 году субсидий общественными объединениями научных работников, имеющими место нахождения в Санкт-Петербурге, в целях развития их научно-просветительской, научно-исследовательской и педагогической деятельности (далее соответственно - конкурсный отбор, субсидии).</w:t>
            </w:r>
          </w:p>
          <w:p>
            <w:pPr>
              <w:pStyle w:val="0"/>
              <w:ind w:firstLine="283"/>
              <w:jc w:val="both"/>
            </w:pPr>
            <w:r>
              <w:rPr>
                <w:sz w:val="20"/>
              </w:rPr>
              <w:t xml:space="preserve">Настоящее Согласие действует со дня его подписания до 25.12.2026.</w:t>
            </w:r>
          </w:p>
          <w:p>
            <w:pPr>
              <w:pStyle w:val="0"/>
              <w:ind w:firstLine="283"/>
              <w:jc w:val="both"/>
            </w:pPr>
            <w:r>
              <w:rPr>
                <w:sz w:val="20"/>
              </w:rPr>
              <w:t xml:space="preserve">Даю свое согласие на использование представленных в заявке на участие в конкурсном отборе и прилагаемых к ней документах персональных данных в целях проверки соблюдения условий и порядка предоставления субсидий в соответствии с Порядком предоставления в 2026 году субсидий общественным объединениям научных работников, имеющим место нахождения в Санкт-Петербурге, в целях развития их научно-просветительской, научно-исследовательской и педагогической деятельности, утвержденным постановлением Правительства Санкт-Петербурга от _____________ N ______, и осуществления взаимодействия с Комитетом по вопросам предоставления субсидий.</w:t>
            </w:r>
          </w:p>
          <w:p>
            <w:pPr>
              <w:pStyle w:val="0"/>
              <w:ind w:firstLine="283"/>
              <w:jc w:val="both"/>
            </w:pPr>
            <w:r>
              <w:rPr>
                <w:sz w:val="20"/>
              </w:rPr>
              <w:t xml:space="preserve">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Комитета по почте заказным письмом с уведомлением о вручении либо вручен лично или через законного представителя под расписку уполномоченному представителю Комитета.</w:t>
            </w:r>
          </w:p>
          <w:p>
            <w:pPr>
              <w:pStyle w:val="0"/>
              <w:ind w:firstLine="283"/>
              <w:jc w:val="both"/>
            </w:pPr>
            <w:r>
              <w:rPr>
                <w:sz w:val="20"/>
              </w:rPr>
              <w:t xml:space="preserve">В случае получения моего письменного заявления об отзыве настоящего Согласия Комитет обязан уничтожить мои персональные данные, но не ранее срока, необходимого для достижения целей обработки моих персональных данных.</w:t>
            </w:r>
          </w:p>
          <w:p>
            <w:pPr>
              <w:pStyle w:val="0"/>
              <w:ind w:firstLine="283"/>
              <w:jc w:val="both"/>
            </w:pPr>
            <w:r>
              <w:rPr>
                <w:sz w:val="20"/>
              </w:rPr>
              <w:t xml:space="preserve">Я ознакомлен (ознакомлена) с правами субъекта персональных данных, предусмотренными в </w:t>
            </w:r>
            <w:hyperlink w:history="0" r:id="rId60" w:tooltip="Федеральный закон от 27.07.2006 N 152-ФЗ (ред. от 24.06.2025) &quot;О персональных данных&quot; {КонсультантПлюс}">
              <w:r>
                <w:rPr>
                  <w:sz w:val="20"/>
                  <w:color w:val="0000ff"/>
                </w:rPr>
                <w:t xml:space="preserve">главе 3</w:t>
              </w:r>
            </w:hyperlink>
            <w:r>
              <w:rPr>
                <w:sz w:val="20"/>
              </w:rPr>
              <w:t xml:space="preserve"> Федерального закона "О персональных данных". Все вышеизложенное мною прочитано, мне понятно и подтверждается собственноручной подписью.</w:t>
            </w:r>
          </w:p>
        </w:tc>
      </w:tr>
      <w:tr>
        <w:tc>
          <w:tcPr>
            <w:gridSpan w:val="8"/>
            <w:tcW w:w="9050" w:type="dxa"/>
            <w:tcBorders>
              <w:top w:val="nil"/>
              <w:left w:val="nil"/>
              <w:bottom w:val="nil"/>
              <w:right w:val="nil"/>
            </w:tcBorders>
          </w:tcPr>
          <w:p>
            <w:pPr>
              <w:pStyle w:val="0"/>
            </w:pPr>
            <w:r>
              <w:rPr>
                <w:sz w:val="20"/>
              </w:rPr>
            </w:r>
          </w:p>
        </w:tc>
      </w:tr>
      <w:tr>
        <w:tc>
          <w:tcPr>
            <w:gridSpan w:val="2"/>
            <w:tcW w:w="2381" w:type="dxa"/>
            <w:tcBorders>
              <w:top w:val="nil"/>
              <w:left w:val="nil"/>
              <w:bottom w:val="single" w:sz="4"/>
              <w:right w:val="nil"/>
            </w:tcBorders>
          </w:tcPr>
          <w:p>
            <w:pPr>
              <w:pStyle w:val="0"/>
            </w:pPr>
            <w:r>
              <w:rPr>
                <w:sz w:val="20"/>
              </w:rPr>
            </w:r>
          </w:p>
        </w:tc>
        <w:tc>
          <w:tcPr>
            <w:tcW w:w="350" w:type="dxa"/>
            <w:tcBorders>
              <w:top w:val="nil"/>
              <w:left w:val="nil"/>
              <w:bottom w:val="nil"/>
              <w:right w:val="nil"/>
            </w:tcBorders>
          </w:tcPr>
          <w:p>
            <w:pPr>
              <w:pStyle w:val="0"/>
            </w:pPr>
            <w:r>
              <w:rPr>
                <w:sz w:val="20"/>
              </w:rPr>
            </w:r>
          </w:p>
        </w:tc>
        <w:tc>
          <w:tcPr>
            <w:gridSpan w:val="2"/>
            <w:tcW w:w="2578"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3401" w:type="dxa"/>
            <w:tcBorders>
              <w:top w:val="nil"/>
              <w:left w:val="nil"/>
              <w:bottom w:val="single" w:sz="4"/>
              <w:right w:val="nil"/>
            </w:tcBorders>
          </w:tcPr>
          <w:p>
            <w:pPr>
              <w:pStyle w:val="0"/>
            </w:pPr>
            <w:r>
              <w:rPr>
                <w:sz w:val="20"/>
              </w:rPr>
            </w:r>
          </w:p>
        </w:tc>
      </w:tr>
      <w:tr>
        <w:tblPrEx>
          <w:tblBorders>
            <w:insideH w:val="single" w:sz="4"/>
          </w:tblBorders>
        </w:tblPrEx>
        <w:tc>
          <w:tcPr>
            <w:gridSpan w:val="2"/>
            <w:tcW w:w="2381" w:type="dxa"/>
            <w:tcBorders>
              <w:top w:val="single" w:sz="4"/>
              <w:left w:val="nil"/>
              <w:bottom w:val="nil"/>
              <w:right w:val="nil"/>
            </w:tcBorders>
          </w:tcPr>
          <w:p>
            <w:pPr>
              <w:pStyle w:val="0"/>
              <w:jc w:val="center"/>
            </w:pPr>
            <w:r>
              <w:rPr>
                <w:sz w:val="20"/>
              </w:rPr>
              <w:t xml:space="preserve">(Дата)</w:t>
            </w:r>
          </w:p>
        </w:tc>
        <w:tc>
          <w:tcPr>
            <w:tcW w:w="350" w:type="dxa"/>
            <w:tcBorders>
              <w:top w:val="nil"/>
              <w:left w:val="nil"/>
              <w:bottom w:val="nil"/>
              <w:right w:val="nil"/>
            </w:tcBorders>
          </w:tcPr>
          <w:p>
            <w:pPr>
              <w:pStyle w:val="0"/>
            </w:pPr>
            <w:r>
              <w:rPr>
                <w:sz w:val="20"/>
              </w:rPr>
            </w:r>
          </w:p>
        </w:tc>
        <w:tc>
          <w:tcPr>
            <w:gridSpan w:val="2"/>
            <w:tcW w:w="2578"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3401" w:type="dxa"/>
            <w:tcBorders>
              <w:top w:val="single" w:sz="4"/>
              <w:left w:val="nil"/>
              <w:bottom w:val="nil"/>
              <w:right w:val="nil"/>
            </w:tcBorders>
          </w:tcPr>
          <w:p>
            <w:pPr>
              <w:pStyle w:val="0"/>
              <w:jc w:val="center"/>
            </w:pPr>
            <w:r>
              <w:rPr>
                <w:sz w:val="20"/>
              </w:rPr>
              <w:t xml:space="preserve">(Расшифровка подписи)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3</w:t>
      </w:r>
    </w:p>
    <w:p>
      <w:pPr>
        <w:pStyle w:val="0"/>
        <w:jc w:val="right"/>
      </w:pPr>
      <w:r>
        <w:rPr>
          <w:sz w:val="20"/>
        </w:rPr>
        <w:t xml:space="preserve">к Порядку предоставления</w:t>
      </w:r>
    </w:p>
    <w:p>
      <w:pPr>
        <w:pStyle w:val="0"/>
        <w:jc w:val="right"/>
      </w:pPr>
      <w:r>
        <w:rPr>
          <w:sz w:val="20"/>
        </w:rPr>
        <w:t xml:space="preserve">в 2026 году субсидий общественным</w:t>
      </w:r>
    </w:p>
    <w:p>
      <w:pPr>
        <w:pStyle w:val="0"/>
        <w:jc w:val="right"/>
      </w:pPr>
      <w:r>
        <w:rPr>
          <w:sz w:val="20"/>
        </w:rPr>
        <w:t xml:space="preserve">объединениям научных работников,</w:t>
      </w:r>
    </w:p>
    <w:p>
      <w:pPr>
        <w:pStyle w:val="0"/>
        <w:jc w:val="right"/>
      </w:pPr>
      <w:r>
        <w:rPr>
          <w:sz w:val="20"/>
        </w:rPr>
        <w:t xml:space="preserve">имеющим место нахождения</w:t>
      </w:r>
    </w:p>
    <w:p>
      <w:pPr>
        <w:pStyle w:val="0"/>
        <w:jc w:val="right"/>
      </w:pPr>
      <w:r>
        <w:rPr>
          <w:sz w:val="20"/>
        </w:rPr>
        <w:t xml:space="preserve">в Санкт-Петербурге, в целях развития</w:t>
      </w:r>
    </w:p>
    <w:p>
      <w:pPr>
        <w:pStyle w:val="0"/>
        <w:jc w:val="right"/>
      </w:pPr>
      <w:r>
        <w:rPr>
          <w:sz w:val="20"/>
        </w:rPr>
        <w:t xml:space="preserve">их научно-просветительской,</w:t>
      </w:r>
    </w:p>
    <w:p>
      <w:pPr>
        <w:pStyle w:val="0"/>
        <w:jc w:val="right"/>
      </w:pPr>
      <w:r>
        <w:rPr>
          <w:sz w:val="20"/>
        </w:rPr>
        <w:t xml:space="preserve">научно-исследовательской</w:t>
      </w:r>
    </w:p>
    <w:p>
      <w:pPr>
        <w:pStyle w:val="0"/>
        <w:jc w:val="right"/>
      </w:pPr>
      <w:r>
        <w:rPr>
          <w:sz w:val="20"/>
        </w:rPr>
        <w:t xml:space="preserve">и педагогической деятельности</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55" w:name="P355"/>
          <w:bookmarkEnd w:id="355"/>
          <w:p>
            <w:pPr>
              <w:pStyle w:val="0"/>
              <w:jc w:val="center"/>
            </w:pPr>
            <w:r>
              <w:rPr>
                <w:sz w:val="20"/>
                <w:b w:val="on"/>
              </w:rPr>
              <w:t xml:space="preserve">СМЕТА</w:t>
            </w:r>
          </w:p>
          <w:p>
            <w:pPr>
              <w:pStyle w:val="0"/>
              <w:jc w:val="center"/>
            </w:pPr>
            <w:r>
              <w:rPr>
                <w:sz w:val="20"/>
                <w:b w:val="on"/>
              </w:rPr>
              <w:t xml:space="preserve">затрат на подготовку и проведение мероприятий по осуществлению научно-просветительской, научно-исследовательской и педагогической деятельности</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613"/>
        <w:gridCol w:w="1020"/>
        <w:gridCol w:w="1928"/>
      </w:tblGrid>
      <w:tr>
        <w:tc>
          <w:tcPr>
            <w:tcW w:w="510" w:type="dxa"/>
          </w:tcPr>
          <w:p>
            <w:pPr>
              <w:pStyle w:val="0"/>
              <w:jc w:val="center"/>
            </w:pPr>
            <w:r>
              <w:rPr>
                <w:sz w:val="20"/>
                <w:b w:val="on"/>
              </w:rPr>
              <w:t xml:space="preserve">N п/п</w:t>
            </w:r>
          </w:p>
        </w:tc>
        <w:tc>
          <w:tcPr>
            <w:tcW w:w="5613" w:type="dxa"/>
          </w:tcPr>
          <w:p>
            <w:pPr>
              <w:pStyle w:val="0"/>
              <w:jc w:val="center"/>
            </w:pPr>
            <w:r>
              <w:rPr>
                <w:sz w:val="20"/>
                <w:b w:val="on"/>
              </w:rPr>
              <w:t xml:space="preserve">Наименование вида затрат</w:t>
            </w:r>
          </w:p>
        </w:tc>
        <w:tc>
          <w:tcPr>
            <w:tcW w:w="1020" w:type="dxa"/>
          </w:tcPr>
          <w:p>
            <w:pPr>
              <w:pStyle w:val="0"/>
              <w:jc w:val="center"/>
            </w:pPr>
            <w:r>
              <w:rPr>
                <w:sz w:val="20"/>
                <w:b w:val="on"/>
              </w:rPr>
              <w:t xml:space="preserve">Сумма, руб.</w:t>
            </w:r>
          </w:p>
        </w:tc>
        <w:tc>
          <w:tcPr>
            <w:tcW w:w="1928" w:type="dxa"/>
          </w:tcPr>
          <w:bookmarkStart w:id="361" w:name="P361"/>
          <w:bookmarkEnd w:id="361"/>
          <w:p>
            <w:pPr>
              <w:pStyle w:val="0"/>
              <w:jc w:val="center"/>
            </w:pPr>
            <w:r>
              <w:rPr>
                <w:sz w:val="20"/>
                <w:b w:val="on"/>
              </w:rPr>
              <w:t xml:space="preserve">Экономическое обоснование вида затрат</w:t>
            </w:r>
          </w:p>
        </w:tc>
      </w:tr>
      <w:tr>
        <w:tc>
          <w:tcPr>
            <w:tcW w:w="510" w:type="dxa"/>
          </w:tcPr>
          <w:p>
            <w:pPr>
              <w:pStyle w:val="0"/>
              <w:jc w:val="center"/>
            </w:pPr>
            <w:r>
              <w:rPr>
                <w:sz w:val="20"/>
                <w:b w:val="on"/>
              </w:rPr>
              <w:t xml:space="preserve">1</w:t>
            </w:r>
          </w:p>
        </w:tc>
        <w:tc>
          <w:tcPr>
            <w:tcW w:w="5613" w:type="dxa"/>
          </w:tcPr>
          <w:p>
            <w:pPr>
              <w:pStyle w:val="0"/>
              <w:jc w:val="center"/>
            </w:pPr>
            <w:r>
              <w:rPr>
                <w:sz w:val="20"/>
                <w:b w:val="on"/>
              </w:rPr>
              <w:t xml:space="preserve">2</w:t>
            </w:r>
          </w:p>
        </w:tc>
        <w:tc>
          <w:tcPr>
            <w:tcW w:w="1020" w:type="dxa"/>
          </w:tcPr>
          <w:p>
            <w:pPr>
              <w:pStyle w:val="0"/>
              <w:jc w:val="center"/>
            </w:pPr>
            <w:r>
              <w:rPr>
                <w:sz w:val="20"/>
                <w:b w:val="on"/>
              </w:rPr>
              <w:t xml:space="preserve">3</w:t>
            </w:r>
          </w:p>
        </w:tc>
        <w:tc>
          <w:tcPr>
            <w:tcW w:w="1928" w:type="dxa"/>
          </w:tcPr>
          <w:p>
            <w:pPr>
              <w:pStyle w:val="0"/>
              <w:jc w:val="center"/>
            </w:pPr>
            <w:r>
              <w:rPr>
                <w:sz w:val="20"/>
                <w:b w:val="on"/>
              </w:rPr>
              <w:t xml:space="preserve">4</w:t>
            </w:r>
          </w:p>
        </w:tc>
      </w:tr>
      <w:tr>
        <w:tc>
          <w:tcPr>
            <w:tcW w:w="510" w:type="dxa"/>
          </w:tcPr>
          <w:p>
            <w:pPr>
              <w:pStyle w:val="0"/>
              <w:jc w:val="center"/>
            </w:pPr>
            <w:r>
              <w:rPr>
                <w:sz w:val="20"/>
              </w:rPr>
              <w:t xml:space="preserve">1</w:t>
            </w:r>
          </w:p>
        </w:tc>
        <w:tc>
          <w:tcPr>
            <w:tcW w:w="5613" w:type="dxa"/>
          </w:tcPr>
          <w:p>
            <w:pPr>
              <w:pStyle w:val="0"/>
            </w:pPr>
            <w:r>
              <w:rPr>
                <w:sz w:val="20"/>
              </w:rPr>
              <w:t xml:space="preserve">Оплата труда работников претендента, участвующих в подготовке и проведении мероприятий, с начислениями на выплаты по оплате труда и(или) вознаграждение за оказание услуг по договорам гражданско-правового характера лиц, участвующих в подготовке и проведении мероприятий</w:t>
            </w:r>
          </w:p>
        </w:tc>
        <w:tc>
          <w:tcPr>
            <w:tcW w:w="1020" w:type="dxa"/>
          </w:tcPr>
          <w:p>
            <w:pPr>
              <w:pStyle w:val="0"/>
            </w:pPr>
            <w:r>
              <w:rPr>
                <w:sz w:val="20"/>
              </w:rPr>
            </w:r>
          </w:p>
        </w:tc>
        <w:tc>
          <w:tcPr>
            <w:tcW w:w="1928" w:type="dxa"/>
          </w:tcPr>
          <w:p>
            <w:pPr>
              <w:pStyle w:val="0"/>
            </w:pPr>
            <w:r>
              <w:rPr>
                <w:sz w:val="20"/>
              </w:rPr>
            </w:r>
          </w:p>
        </w:tc>
      </w:tr>
      <w:tr>
        <w:tc>
          <w:tcPr>
            <w:tcW w:w="510" w:type="dxa"/>
          </w:tcPr>
          <w:p>
            <w:pPr>
              <w:pStyle w:val="0"/>
              <w:jc w:val="center"/>
            </w:pPr>
            <w:r>
              <w:rPr>
                <w:sz w:val="20"/>
              </w:rPr>
              <w:t xml:space="preserve">2</w:t>
            </w:r>
          </w:p>
        </w:tc>
        <w:tc>
          <w:tcPr>
            <w:tcW w:w="5613" w:type="dxa"/>
          </w:tcPr>
          <w:p>
            <w:pPr>
              <w:pStyle w:val="0"/>
            </w:pPr>
            <w:r>
              <w:rPr>
                <w:sz w:val="20"/>
              </w:rPr>
              <w:t xml:space="preserve">Приобретение материальных запасов, необходимых для подготовки и проведения мероприятий, а именно: канцелярских товаров, картриджей, а также основных средств, необходимых для подготовки и проведения мероприятия, а именно: мебели, компьютерного и звукового оборудования со сроком полезного использования более 12 месяцев</w:t>
            </w:r>
          </w:p>
        </w:tc>
        <w:tc>
          <w:tcPr>
            <w:tcW w:w="1020" w:type="dxa"/>
          </w:tcPr>
          <w:p>
            <w:pPr>
              <w:pStyle w:val="0"/>
            </w:pPr>
            <w:r>
              <w:rPr>
                <w:sz w:val="20"/>
              </w:rPr>
            </w:r>
          </w:p>
        </w:tc>
        <w:tc>
          <w:tcPr>
            <w:tcW w:w="1928" w:type="dxa"/>
          </w:tcPr>
          <w:p>
            <w:pPr>
              <w:pStyle w:val="0"/>
            </w:pPr>
            <w:r>
              <w:rPr>
                <w:sz w:val="20"/>
              </w:rPr>
            </w:r>
          </w:p>
        </w:tc>
      </w:tr>
      <w:tr>
        <w:tc>
          <w:tcPr>
            <w:tcW w:w="510" w:type="dxa"/>
          </w:tcPr>
          <w:p>
            <w:pPr>
              <w:pStyle w:val="0"/>
              <w:jc w:val="center"/>
            </w:pPr>
            <w:r>
              <w:rPr>
                <w:sz w:val="20"/>
              </w:rPr>
              <w:t xml:space="preserve">3</w:t>
            </w:r>
          </w:p>
        </w:tc>
        <w:tc>
          <w:tcPr>
            <w:tcW w:w="5613" w:type="dxa"/>
          </w:tcPr>
          <w:p>
            <w:pPr>
              <w:pStyle w:val="0"/>
            </w:pPr>
            <w:r>
              <w:rPr>
                <w:sz w:val="20"/>
              </w:rPr>
              <w:t xml:space="preserve">Услуги, работы привлекаемых организаций и(или) индивидуальных предпринимателей, необходимые для подготовки и проведения мероприятий, а именно: услуги по аренде помещений, обеспечению оснащения помещения звуковым и световым оборудованием, украшению помещения в соответствии с тематикой мероприятия, услуги перевода, полиграфические услуги, услуги связи</w:t>
            </w:r>
          </w:p>
        </w:tc>
        <w:tc>
          <w:tcPr>
            <w:tcW w:w="1020" w:type="dxa"/>
          </w:tcPr>
          <w:p>
            <w:pPr>
              <w:pStyle w:val="0"/>
            </w:pPr>
            <w:r>
              <w:rPr>
                <w:sz w:val="20"/>
              </w:rPr>
            </w:r>
          </w:p>
        </w:tc>
        <w:tc>
          <w:tcPr>
            <w:tcW w:w="1928" w:type="dxa"/>
          </w:tcPr>
          <w:p>
            <w:pPr>
              <w:pStyle w:val="0"/>
            </w:pPr>
            <w:r>
              <w:rPr>
                <w:sz w:val="20"/>
              </w:rPr>
            </w:r>
          </w:p>
        </w:tc>
      </w:tr>
      <w:tr>
        <w:tc>
          <w:tcPr>
            <w:tcW w:w="510" w:type="dxa"/>
          </w:tcPr>
          <w:p>
            <w:pPr>
              <w:pStyle w:val="0"/>
            </w:pPr>
            <w:r>
              <w:rPr>
                <w:sz w:val="20"/>
              </w:rPr>
            </w:r>
          </w:p>
        </w:tc>
        <w:tc>
          <w:tcPr>
            <w:tcW w:w="5613" w:type="dxa"/>
          </w:tcPr>
          <w:p>
            <w:pPr>
              <w:pStyle w:val="0"/>
            </w:pPr>
            <w:r>
              <w:rPr>
                <w:sz w:val="20"/>
              </w:rPr>
              <w:t xml:space="preserve">ИТОГО</w:t>
            </w:r>
          </w:p>
        </w:tc>
        <w:tc>
          <w:tcPr>
            <w:tcW w:w="1020" w:type="dxa"/>
          </w:tcPr>
          <w:p>
            <w:pPr>
              <w:pStyle w:val="0"/>
            </w:pPr>
            <w:r>
              <w:rPr>
                <w:sz w:val="20"/>
              </w:rPr>
            </w:r>
          </w:p>
        </w:tc>
        <w:tc>
          <w:tcPr>
            <w:tcW w:w="1928"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3855"/>
        <w:gridCol w:w="1531"/>
        <w:gridCol w:w="737"/>
        <w:gridCol w:w="2948"/>
      </w:tblGrid>
      <w:tr>
        <w:tc>
          <w:tcPr>
            <w:tcW w:w="3855" w:type="dxa"/>
            <w:tcBorders>
              <w:top w:val="nil"/>
              <w:left w:val="nil"/>
              <w:bottom w:val="nil"/>
              <w:right w:val="nil"/>
            </w:tcBorders>
          </w:tcPr>
          <w:p>
            <w:pPr>
              <w:pStyle w:val="0"/>
            </w:pPr>
            <w:r>
              <w:rPr>
                <w:sz w:val="20"/>
              </w:rPr>
              <w:t xml:space="preserve">Руководитель претендента на получение субсидии (уполномоченное лицо)</w:t>
            </w:r>
          </w:p>
        </w:tc>
        <w:tc>
          <w:tcPr>
            <w:tcW w:w="1531" w:type="dxa"/>
            <w:tcBorders>
              <w:top w:val="nil"/>
              <w:left w:val="nil"/>
              <w:bottom w:val="single" w:sz="4"/>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2948" w:type="dxa"/>
            <w:tcBorders>
              <w:top w:val="nil"/>
              <w:left w:val="nil"/>
              <w:bottom w:val="single" w:sz="4"/>
              <w:right w:val="nil"/>
            </w:tcBorders>
          </w:tcPr>
          <w:p>
            <w:pPr>
              <w:pStyle w:val="0"/>
            </w:pPr>
            <w:r>
              <w:rPr>
                <w:sz w:val="20"/>
              </w:rPr>
            </w:r>
          </w:p>
        </w:tc>
      </w:tr>
      <w:tr>
        <w:tc>
          <w:tcPr>
            <w:tcW w:w="3855"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737" w:type="dxa"/>
            <w:tcBorders>
              <w:top w:val="nil"/>
              <w:left w:val="nil"/>
              <w:bottom w:val="nil"/>
              <w:right w:val="nil"/>
            </w:tcBorders>
          </w:tcPr>
          <w:p>
            <w:pPr>
              <w:pStyle w:val="0"/>
              <w:jc w:val="center"/>
            </w:pPr>
            <w:r>
              <w:rPr>
                <w:sz w:val="20"/>
              </w:rPr>
              <w:t xml:space="preserve">МП</w:t>
            </w:r>
          </w:p>
        </w:tc>
        <w:tc>
          <w:tcPr>
            <w:tcW w:w="2948" w:type="dxa"/>
            <w:tcBorders>
              <w:top w:val="single" w:sz="4"/>
              <w:left w:val="nil"/>
              <w:bottom w:val="nil"/>
              <w:right w:val="nil"/>
            </w:tcBorders>
          </w:tcPr>
          <w:p>
            <w:pPr>
              <w:pStyle w:val="0"/>
              <w:jc w:val="center"/>
            </w:pPr>
            <w:r>
              <w:rPr>
                <w:sz w:val="20"/>
              </w:rPr>
              <w:t xml:space="preserve">(Расшифровка подписи)</w:t>
            </w:r>
          </w:p>
        </w:tc>
      </w:tr>
      <w:tr>
        <w:tc>
          <w:tcPr>
            <w:gridSpan w:val="4"/>
            <w:tcW w:w="9071" w:type="dxa"/>
            <w:tcBorders>
              <w:top w:val="nil"/>
              <w:left w:val="nil"/>
              <w:bottom w:val="nil"/>
              <w:right w:val="nil"/>
            </w:tcBorders>
          </w:tcPr>
          <w:p>
            <w:pPr>
              <w:pStyle w:val="0"/>
            </w:pPr>
            <w:r>
              <w:rPr>
                <w:sz w:val="20"/>
              </w:rPr>
            </w:r>
          </w:p>
        </w:tc>
      </w:tr>
      <w:tr>
        <w:tc>
          <w:tcPr>
            <w:tcW w:w="3855" w:type="dxa"/>
            <w:tcBorders>
              <w:top w:val="nil"/>
              <w:left w:val="nil"/>
              <w:bottom w:val="nil"/>
              <w:right w:val="nil"/>
            </w:tcBorders>
          </w:tcPr>
          <w:p>
            <w:pPr>
              <w:pStyle w:val="0"/>
            </w:pPr>
            <w:r>
              <w:rPr>
                <w:sz w:val="20"/>
              </w:rPr>
              <w:t xml:space="preserve">Главный бухгалтер претендента (или иное лицо, на которое претендентом возложено ведение бухгалтерского учета)</w:t>
            </w:r>
          </w:p>
        </w:tc>
        <w:tc>
          <w:tcPr>
            <w:tcW w:w="1531" w:type="dxa"/>
            <w:tcBorders>
              <w:top w:val="nil"/>
              <w:left w:val="nil"/>
              <w:bottom w:val="single" w:sz="4"/>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2948" w:type="dxa"/>
            <w:tcBorders>
              <w:top w:val="nil"/>
              <w:left w:val="nil"/>
              <w:bottom w:val="single" w:sz="4"/>
              <w:right w:val="nil"/>
            </w:tcBorders>
          </w:tcPr>
          <w:p>
            <w:pPr>
              <w:pStyle w:val="0"/>
            </w:pPr>
            <w:r>
              <w:rPr>
                <w:sz w:val="20"/>
              </w:rPr>
            </w:r>
          </w:p>
        </w:tc>
      </w:tr>
      <w:tr>
        <w:tc>
          <w:tcPr>
            <w:tcW w:w="3855"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(Подпись)</w:t>
            </w:r>
          </w:p>
        </w:tc>
        <w:tc>
          <w:tcPr>
            <w:tcW w:w="737" w:type="dxa"/>
            <w:tcBorders>
              <w:top w:val="nil"/>
              <w:left w:val="nil"/>
              <w:bottom w:val="nil"/>
              <w:right w:val="nil"/>
            </w:tcBorders>
          </w:tcPr>
          <w:p>
            <w:pPr>
              <w:pStyle w:val="0"/>
            </w:pPr>
            <w:r>
              <w:rPr>
                <w:sz w:val="20"/>
              </w:rPr>
            </w:r>
          </w:p>
        </w:tc>
        <w:tc>
          <w:tcPr>
            <w:tcW w:w="2948" w:type="dxa"/>
            <w:tcBorders>
              <w:top w:val="single" w:sz="4"/>
              <w:left w:val="nil"/>
              <w:bottom w:val="nil"/>
              <w:right w:val="nil"/>
            </w:tcBorders>
          </w:tcPr>
          <w:p>
            <w:pPr>
              <w:pStyle w:val="0"/>
              <w:jc w:val="center"/>
            </w:pPr>
            <w:r>
              <w:rPr>
                <w:sz w:val="20"/>
              </w:rPr>
              <w:t xml:space="preserve">(Расшифровка подписи)</w:t>
            </w:r>
          </w:p>
        </w:tc>
      </w:tr>
    </w:tbl>
    <w:p>
      <w:pPr>
        <w:pStyle w:val="0"/>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Примечания:</w:t>
            </w:r>
          </w:p>
          <w:p>
            <w:pPr>
              <w:pStyle w:val="0"/>
              <w:ind w:firstLine="283"/>
              <w:jc w:val="both"/>
            </w:pPr>
            <w:r>
              <w:rPr>
                <w:sz w:val="20"/>
              </w:rPr>
              <w:t xml:space="preserve">1. Печать ставится при наличии.</w:t>
            </w:r>
          </w:p>
          <w:p>
            <w:pPr>
              <w:pStyle w:val="0"/>
              <w:ind w:firstLine="283"/>
              <w:jc w:val="both"/>
            </w:pPr>
            <w:r>
              <w:rPr>
                <w:sz w:val="20"/>
              </w:rPr>
              <w:t xml:space="preserve">2. В </w:t>
            </w:r>
            <w:hyperlink w:history="0" w:anchor="P361" w:tooltip="Экономическое обоснование вида затрат">
              <w:r>
                <w:rPr>
                  <w:sz w:val="20"/>
                  <w:color w:val="0000ff"/>
                </w:rPr>
                <w:t xml:space="preserve">графе</w:t>
              </w:r>
            </w:hyperlink>
            <w:r>
              <w:rPr>
                <w:sz w:val="20"/>
              </w:rPr>
              <w:t xml:space="preserve"> "Экономическое обоснование вида затрат" настоящей сметы указывается обоснование необходимости соответствующих затрат для подготовки и проведения мероприятий по осуществлению научно-просветительской, научно-исследовательской и педагогической деятельности.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4</w:t>
      </w:r>
    </w:p>
    <w:p>
      <w:pPr>
        <w:pStyle w:val="0"/>
        <w:jc w:val="right"/>
      </w:pPr>
      <w:r>
        <w:rPr>
          <w:sz w:val="20"/>
        </w:rPr>
        <w:t xml:space="preserve">к Порядку предоставления</w:t>
      </w:r>
    </w:p>
    <w:p>
      <w:pPr>
        <w:pStyle w:val="0"/>
        <w:jc w:val="right"/>
      </w:pPr>
      <w:r>
        <w:rPr>
          <w:sz w:val="20"/>
        </w:rPr>
        <w:t xml:space="preserve">в 2026 году субсидий общественным</w:t>
      </w:r>
    </w:p>
    <w:p>
      <w:pPr>
        <w:pStyle w:val="0"/>
        <w:jc w:val="right"/>
      </w:pPr>
      <w:r>
        <w:rPr>
          <w:sz w:val="20"/>
        </w:rPr>
        <w:t xml:space="preserve">объединениям научных работников,</w:t>
      </w:r>
    </w:p>
    <w:p>
      <w:pPr>
        <w:pStyle w:val="0"/>
        <w:jc w:val="right"/>
      </w:pPr>
      <w:r>
        <w:rPr>
          <w:sz w:val="20"/>
        </w:rPr>
        <w:t xml:space="preserve">имеющим место нахождения</w:t>
      </w:r>
    </w:p>
    <w:p>
      <w:pPr>
        <w:pStyle w:val="0"/>
        <w:jc w:val="right"/>
      </w:pPr>
      <w:r>
        <w:rPr>
          <w:sz w:val="20"/>
        </w:rPr>
        <w:t xml:space="preserve">в Санкт-Петербурге, в целях развития</w:t>
      </w:r>
    </w:p>
    <w:p>
      <w:pPr>
        <w:pStyle w:val="0"/>
        <w:jc w:val="right"/>
      </w:pPr>
      <w:r>
        <w:rPr>
          <w:sz w:val="20"/>
        </w:rPr>
        <w:t xml:space="preserve">их научно-просветительской,</w:t>
      </w:r>
    </w:p>
    <w:p>
      <w:pPr>
        <w:pStyle w:val="0"/>
        <w:jc w:val="right"/>
      </w:pPr>
      <w:r>
        <w:rPr>
          <w:sz w:val="20"/>
        </w:rPr>
        <w:t xml:space="preserve">научно-исследовательской</w:t>
      </w:r>
    </w:p>
    <w:p>
      <w:pPr>
        <w:pStyle w:val="0"/>
        <w:jc w:val="right"/>
      </w:pPr>
      <w:r>
        <w:rPr>
          <w:sz w:val="20"/>
        </w:rPr>
        <w:t xml:space="preserve">и педагогической деятельности</w:t>
      </w:r>
    </w:p>
    <w:p>
      <w:pPr>
        <w:pStyle w:val="0"/>
        <w:jc w:val="right"/>
      </w:pPr>
      <w:r>
        <w:rPr>
          <w:sz w:val="20"/>
        </w:rPr>
      </w:r>
    </w:p>
    <w:bookmarkStart w:id="419" w:name="P419"/>
    <w:bookmarkEnd w:id="419"/>
    <w:p>
      <w:pPr>
        <w:pStyle w:val="2"/>
        <w:jc w:val="center"/>
      </w:pPr>
      <w:r>
        <w:rPr>
          <w:sz w:val="20"/>
        </w:rPr>
        <w:t xml:space="preserve">НОМЕНКЛАТУРА</w:t>
      </w:r>
    </w:p>
    <w:p>
      <w:pPr>
        <w:pStyle w:val="2"/>
        <w:jc w:val="center"/>
      </w:pPr>
      <w:r>
        <w:rPr>
          <w:sz w:val="20"/>
        </w:rPr>
        <w:t xml:space="preserve">КРИТЕРИЕВ ОПРЕДЕЛЕНИЯ ПОБЕДИТЕЛЕЙ КОНКУРСНОГО ОТБОРА</w:t>
      </w:r>
    </w:p>
    <w:p>
      <w:pPr>
        <w:pStyle w:val="2"/>
        <w:jc w:val="center"/>
      </w:pPr>
      <w:r>
        <w:rPr>
          <w:sz w:val="20"/>
        </w:rPr>
        <w:t xml:space="preserve">НА ПРАВО ПОЛУЧЕНИЯ В 2026 ГОДУ СУБСИДИЙ ОБЩЕСТВЕННЫМ</w:t>
      </w:r>
    </w:p>
    <w:p>
      <w:pPr>
        <w:pStyle w:val="2"/>
        <w:jc w:val="center"/>
      </w:pPr>
      <w:r>
        <w:rPr>
          <w:sz w:val="20"/>
        </w:rPr>
        <w:t xml:space="preserve">ОБЪЕДИНЕНИЯМ НАУЧНЫХ РАБОТНИКОВ, ИМЕЮЩИМ МЕСТО</w:t>
      </w:r>
    </w:p>
    <w:p>
      <w:pPr>
        <w:pStyle w:val="2"/>
        <w:jc w:val="center"/>
      </w:pPr>
      <w:r>
        <w:rPr>
          <w:sz w:val="20"/>
        </w:rPr>
        <w:t xml:space="preserve">НАХОЖДЕНИЯ В САНКТ-ПЕТЕРБУРГЕ, В ЦЕЛЯХ РАЗВИТИЯ</w:t>
      </w:r>
    </w:p>
    <w:p>
      <w:pPr>
        <w:pStyle w:val="2"/>
        <w:jc w:val="center"/>
      </w:pPr>
      <w:r>
        <w:rPr>
          <w:sz w:val="20"/>
        </w:rPr>
        <w:t xml:space="preserve">ИХ НАУЧНО-ПРОСВЕТИТЕЛЬСКОЙ, НАУЧНО-ИССЛЕДОВАТЕЛЬСКОЙ</w:t>
      </w:r>
    </w:p>
    <w:p>
      <w:pPr>
        <w:pStyle w:val="2"/>
        <w:jc w:val="center"/>
      </w:pPr>
      <w:r>
        <w:rPr>
          <w:sz w:val="20"/>
        </w:rPr>
        <w:t xml:space="preserve">И ПЕДАГОГИЧЕСКОЙ ДЕЯТЕЛЬНОСТИ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5896"/>
        <w:gridCol w:w="907"/>
        <w:gridCol w:w="1587"/>
      </w:tblGrid>
      <w:tr>
        <w:tc>
          <w:tcPr>
            <w:tcW w:w="680" w:type="dxa"/>
          </w:tcPr>
          <w:p>
            <w:pPr>
              <w:pStyle w:val="0"/>
              <w:jc w:val="center"/>
            </w:pPr>
            <w:r>
              <w:rPr>
                <w:sz w:val="20"/>
              </w:rPr>
              <w:t xml:space="preserve">N п/п</w:t>
            </w:r>
          </w:p>
        </w:tc>
        <w:tc>
          <w:tcPr>
            <w:tcW w:w="5896" w:type="dxa"/>
          </w:tcPr>
          <w:p>
            <w:pPr>
              <w:pStyle w:val="0"/>
              <w:jc w:val="center"/>
            </w:pPr>
            <w:r>
              <w:rPr>
                <w:sz w:val="20"/>
              </w:rPr>
              <w:t xml:space="preserve">Наименование критерия</w:t>
            </w:r>
          </w:p>
        </w:tc>
        <w:tc>
          <w:tcPr>
            <w:tcW w:w="907" w:type="dxa"/>
          </w:tcPr>
          <w:p>
            <w:pPr>
              <w:pStyle w:val="0"/>
              <w:jc w:val="center"/>
            </w:pPr>
            <w:r>
              <w:rPr>
                <w:sz w:val="20"/>
              </w:rPr>
              <w:t xml:space="preserve">Баллы</w:t>
            </w:r>
          </w:p>
        </w:tc>
        <w:tc>
          <w:tcPr>
            <w:tcW w:w="1587" w:type="dxa"/>
          </w:tcPr>
          <w:p>
            <w:pPr>
              <w:pStyle w:val="0"/>
              <w:jc w:val="center"/>
            </w:pPr>
            <w:r>
              <w:rPr>
                <w:sz w:val="20"/>
              </w:rPr>
              <w:t xml:space="preserve">Весовой коэффициент (доля от общей оценки), %</w:t>
            </w:r>
          </w:p>
        </w:tc>
      </w:tr>
      <w:tr>
        <w:tc>
          <w:tcPr>
            <w:tcW w:w="680" w:type="dxa"/>
          </w:tcPr>
          <w:p>
            <w:pPr>
              <w:pStyle w:val="0"/>
              <w:jc w:val="center"/>
            </w:pPr>
            <w:r>
              <w:rPr>
                <w:sz w:val="20"/>
              </w:rPr>
              <w:t xml:space="preserve">1</w:t>
            </w:r>
          </w:p>
        </w:tc>
        <w:tc>
          <w:tcPr>
            <w:tcW w:w="5896" w:type="dxa"/>
          </w:tcPr>
          <w:p>
            <w:pPr>
              <w:pStyle w:val="0"/>
              <w:jc w:val="center"/>
            </w:pPr>
            <w:r>
              <w:rPr>
                <w:sz w:val="20"/>
              </w:rPr>
              <w:t xml:space="preserve">2</w:t>
            </w:r>
          </w:p>
        </w:tc>
        <w:tc>
          <w:tcPr>
            <w:tcW w:w="907" w:type="dxa"/>
          </w:tcPr>
          <w:p>
            <w:pPr>
              <w:pStyle w:val="0"/>
              <w:jc w:val="center"/>
            </w:pPr>
            <w:r>
              <w:rPr>
                <w:sz w:val="20"/>
              </w:rPr>
              <w:t xml:space="preserve">3</w:t>
            </w:r>
          </w:p>
        </w:tc>
        <w:tc>
          <w:tcPr>
            <w:tcW w:w="1587" w:type="dxa"/>
          </w:tcPr>
          <w:p>
            <w:pPr>
              <w:pStyle w:val="0"/>
              <w:jc w:val="center"/>
            </w:pPr>
            <w:r>
              <w:rPr>
                <w:sz w:val="20"/>
              </w:rPr>
              <w:t xml:space="preserve">4</w:t>
            </w:r>
          </w:p>
        </w:tc>
      </w:tr>
      <w:tr>
        <w:tc>
          <w:tcPr>
            <w:tcW w:w="680" w:type="dxa"/>
          </w:tcPr>
          <w:p>
            <w:pPr>
              <w:pStyle w:val="0"/>
              <w:jc w:val="center"/>
            </w:pPr>
            <w:r>
              <w:rPr>
                <w:sz w:val="20"/>
              </w:rPr>
              <w:t xml:space="preserve">1</w:t>
            </w:r>
          </w:p>
        </w:tc>
        <w:tc>
          <w:tcPr>
            <w:gridSpan w:val="3"/>
            <w:tcW w:w="8390" w:type="dxa"/>
          </w:tcPr>
          <w:p>
            <w:pPr>
              <w:pStyle w:val="0"/>
            </w:pPr>
            <w:r>
              <w:rPr>
                <w:sz w:val="20"/>
              </w:rPr>
              <w:t xml:space="preserve">Территориальная сфера деятельности общественного объединения научных работников:</w:t>
            </w:r>
          </w:p>
        </w:tc>
      </w:tr>
      <w:tr>
        <w:tc>
          <w:tcPr>
            <w:tcW w:w="680" w:type="dxa"/>
          </w:tcPr>
          <w:p>
            <w:pPr>
              <w:pStyle w:val="0"/>
              <w:jc w:val="center"/>
            </w:pPr>
            <w:r>
              <w:rPr>
                <w:sz w:val="20"/>
              </w:rPr>
              <w:t xml:space="preserve">1.1</w:t>
            </w:r>
          </w:p>
        </w:tc>
        <w:tc>
          <w:tcPr>
            <w:tcW w:w="5896" w:type="dxa"/>
          </w:tcPr>
          <w:p>
            <w:pPr>
              <w:pStyle w:val="0"/>
            </w:pPr>
            <w:r>
              <w:rPr>
                <w:sz w:val="20"/>
              </w:rPr>
              <w:t xml:space="preserve">международная</w:t>
            </w:r>
          </w:p>
        </w:tc>
        <w:tc>
          <w:tcPr>
            <w:tcW w:w="907" w:type="dxa"/>
          </w:tcPr>
          <w:p>
            <w:pPr>
              <w:pStyle w:val="0"/>
              <w:jc w:val="center"/>
            </w:pPr>
            <w:r>
              <w:rPr>
                <w:sz w:val="20"/>
              </w:rPr>
              <w:t xml:space="preserve">100</w:t>
            </w:r>
          </w:p>
        </w:tc>
        <w:tc>
          <w:tcPr>
            <w:tcW w:w="1587" w:type="dxa"/>
            <w:vMerge w:val="restart"/>
          </w:tcPr>
          <w:p>
            <w:pPr>
              <w:pStyle w:val="0"/>
              <w:jc w:val="center"/>
            </w:pPr>
            <w:r>
              <w:rPr>
                <w:sz w:val="20"/>
              </w:rPr>
              <w:t xml:space="preserve">15</w:t>
            </w:r>
          </w:p>
        </w:tc>
      </w:tr>
      <w:tr>
        <w:tc>
          <w:tcPr>
            <w:tcW w:w="680" w:type="dxa"/>
          </w:tcPr>
          <w:p>
            <w:pPr>
              <w:pStyle w:val="0"/>
              <w:jc w:val="center"/>
            </w:pPr>
            <w:r>
              <w:rPr>
                <w:sz w:val="20"/>
              </w:rPr>
              <w:t xml:space="preserve">1.2</w:t>
            </w:r>
          </w:p>
        </w:tc>
        <w:tc>
          <w:tcPr>
            <w:tcW w:w="5896" w:type="dxa"/>
          </w:tcPr>
          <w:p>
            <w:pPr>
              <w:pStyle w:val="0"/>
            </w:pPr>
            <w:r>
              <w:rPr>
                <w:sz w:val="20"/>
              </w:rPr>
              <w:t xml:space="preserve">общероссийская</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1.3</w:t>
            </w:r>
          </w:p>
        </w:tc>
        <w:tc>
          <w:tcPr>
            <w:tcW w:w="5896" w:type="dxa"/>
          </w:tcPr>
          <w:p>
            <w:pPr>
              <w:pStyle w:val="0"/>
            </w:pPr>
            <w:r>
              <w:rPr>
                <w:sz w:val="20"/>
              </w:rPr>
              <w:t xml:space="preserve">региональная</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2</w:t>
            </w:r>
          </w:p>
        </w:tc>
        <w:tc>
          <w:tcPr>
            <w:gridSpan w:val="3"/>
            <w:tcW w:w="8390" w:type="dxa"/>
          </w:tcPr>
          <w:p>
            <w:pPr>
              <w:pStyle w:val="0"/>
            </w:pPr>
            <w:r>
              <w:rPr>
                <w:sz w:val="20"/>
              </w:rPr>
              <w:t xml:space="preserve">Численность членов общественного объединения научных работников:</w:t>
            </w:r>
          </w:p>
        </w:tc>
      </w:tr>
      <w:tr>
        <w:tc>
          <w:tcPr>
            <w:tcW w:w="680" w:type="dxa"/>
          </w:tcPr>
          <w:p>
            <w:pPr>
              <w:pStyle w:val="0"/>
              <w:jc w:val="center"/>
            </w:pPr>
            <w:r>
              <w:rPr>
                <w:sz w:val="20"/>
              </w:rPr>
              <w:t xml:space="preserve">2.1</w:t>
            </w:r>
          </w:p>
        </w:tc>
        <w:tc>
          <w:tcPr>
            <w:tcW w:w="5896" w:type="dxa"/>
          </w:tcPr>
          <w:p>
            <w:pPr>
              <w:pStyle w:val="0"/>
            </w:pPr>
            <w:r>
              <w:rPr>
                <w:sz w:val="20"/>
              </w:rPr>
              <w:t xml:space="preserve">более 300</w:t>
            </w:r>
          </w:p>
        </w:tc>
        <w:tc>
          <w:tcPr>
            <w:tcW w:w="907" w:type="dxa"/>
          </w:tcPr>
          <w:p>
            <w:pPr>
              <w:pStyle w:val="0"/>
              <w:jc w:val="center"/>
            </w:pPr>
            <w:r>
              <w:rPr>
                <w:sz w:val="20"/>
              </w:rPr>
              <w:t xml:space="preserve">100</w:t>
            </w:r>
          </w:p>
        </w:tc>
        <w:tc>
          <w:tcPr>
            <w:tcW w:w="1587" w:type="dxa"/>
            <w:vMerge w:val="restart"/>
          </w:tcPr>
          <w:p>
            <w:pPr>
              <w:pStyle w:val="0"/>
              <w:jc w:val="center"/>
            </w:pPr>
            <w:r>
              <w:rPr>
                <w:sz w:val="20"/>
              </w:rPr>
              <w:t xml:space="preserve">15</w:t>
            </w:r>
          </w:p>
        </w:tc>
      </w:tr>
      <w:tr>
        <w:tc>
          <w:tcPr>
            <w:tcW w:w="680" w:type="dxa"/>
          </w:tcPr>
          <w:p>
            <w:pPr>
              <w:pStyle w:val="0"/>
              <w:jc w:val="center"/>
            </w:pPr>
            <w:r>
              <w:rPr>
                <w:sz w:val="20"/>
              </w:rPr>
              <w:t xml:space="preserve">2.2</w:t>
            </w:r>
          </w:p>
        </w:tc>
        <w:tc>
          <w:tcPr>
            <w:tcW w:w="5896" w:type="dxa"/>
          </w:tcPr>
          <w:p>
            <w:pPr>
              <w:pStyle w:val="0"/>
            </w:pPr>
            <w:r>
              <w:rPr>
                <w:sz w:val="20"/>
              </w:rPr>
              <w:t xml:space="preserve">от 201 до 300</w:t>
            </w:r>
          </w:p>
        </w:tc>
        <w:tc>
          <w:tcPr>
            <w:tcW w:w="907" w:type="dxa"/>
          </w:tcPr>
          <w:p>
            <w:pPr>
              <w:pStyle w:val="0"/>
              <w:jc w:val="center"/>
            </w:pPr>
            <w:r>
              <w:rPr>
                <w:sz w:val="20"/>
              </w:rPr>
              <w:t xml:space="preserve">80</w:t>
            </w:r>
          </w:p>
        </w:tc>
        <w:tc>
          <w:tcPr>
            <w:vMerge w:val="continue"/>
          </w:tcPr>
          <w:p/>
        </w:tc>
      </w:tr>
      <w:tr>
        <w:tc>
          <w:tcPr>
            <w:tcW w:w="680" w:type="dxa"/>
          </w:tcPr>
          <w:p>
            <w:pPr>
              <w:pStyle w:val="0"/>
              <w:jc w:val="center"/>
            </w:pPr>
            <w:r>
              <w:rPr>
                <w:sz w:val="20"/>
              </w:rPr>
              <w:t xml:space="preserve">2.3</w:t>
            </w:r>
          </w:p>
        </w:tc>
        <w:tc>
          <w:tcPr>
            <w:tcW w:w="5896" w:type="dxa"/>
          </w:tcPr>
          <w:p>
            <w:pPr>
              <w:pStyle w:val="0"/>
            </w:pPr>
            <w:r>
              <w:rPr>
                <w:sz w:val="20"/>
              </w:rPr>
              <w:t xml:space="preserve">от 151 до 200</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2.4</w:t>
            </w:r>
          </w:p>
        </w:tc>
        <w:tc>
          <w:tcPr>
            <w:tcW w:w="5896" w:type="dxa"/>
          </w:tcPr>
          <w:p>
            <w:pPr>
              <w:pStyle w:val="0"/>
            </w:pPr>
            <w:r>
              <w:rPr>
                <w:sz w:val="20"/>
              </w:rPr>
              <w:t xml:space="preserve">от 101 до 150</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2.5</w:t>
            </w:r>
          </w:p>
        </w:tc>
        <w:tc>
          <w:tcPr>
            <w:tcW w:w="5896" w:type="dxa"/>
          </w:tcPr>
          <w:p>
            <w:pPr>
              <w:pStyle w:val="0"/>
            </w:pPr>
            <w:r>
              <w:rPr>
                <w:sz w:val="20"/>
              </w:rPr>
              <w:t xml:space="preserve">100 и менее</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3</w:t>
            </w:r>
          </w:p>
        </w:tc>
        <w:tc>
          <w:tcPr>
            <w:gridSpan w:val="3"/>
            <w:tcW w:w="8390" w:type="dxa"/>
          </w:tcPr>
          <w:p>
            <w:pPr>
              <w:pStyle w:val="0"/>
            </w:pPr>
            <w:r>
              <w:rPr>
                <w:sz w:val="20"/>
              </w:rPr>
              <w:t xml:space="preserve">Процент членов общественного объединения научных работников в возрасте до 35 лет (включительно):</w:t>
            </w:r>
          </w:p>
        </w:tc>
      </w:tr>
      <w:tr>
        <w:tc>
          <w:tcPr>
            <w:tcW w:w="680" w:type="dxa"/>
          </w:tcPr>
          <w:p>
            <w:pPr>
              <w:pStyle w:val="0"/>
              <w:jc w:val="center"/>
            </w:pPr>
            <w:r>
              <w:rPr>
                <w:sz w:val="20"/>
              </w:rPr>
              <w:t xml:space="preserve">3.1</w:t>
            </w:r>
          </w:p>
        </w:tc>
        <w:tc>
          <w:tcPr>
            <w:tcW w:w="5896" w:type="dxa"/>
          </w:tcPr>
          <w:p>
            <w:pPr>
              <w:pStyle w:val="0"/>
            </w:pPr>
            <w:r>
              <w:rPr>
                <w:sz w:val="20"/>
              </w:rPr>
              <w:t xml:space="preserve">более 30%</w:t>
            </w:r>
          </w:p>
        </w:tc>
        <w:tc>
          <w:tcPr>
            <w:tcW w:w="907" w:type="dxa"/>
          </w:tcPr>
          <w:p>
            <w:pPr>
              <w:pStyle w:val="0"/>
              <w:jc w:val="center"/>
            </w:pPr>
            <w:r>
              <w:rPr>
                <w:sz w:val="20"/>
              </w:rPr>
              <w:t xml:space="preserve">100</w:t>
            </w:r>
          </w:p>
        </w:tc>
        <w:tc>
          <w:tcPr>
            <w:tcW w:w="1587" w:type="dxa"/>
            <w:vMerge w:val="restart"/>
          </w:tcPr>
          <w:p>
            <w:pPr>
              <w:pStyle w:val="0"/>
              <w:jc w:val="center"/>
            </w:pPr>
            <w:r>
              <w:rPr>
                <w:sz w:val="20"/>
              </w:rPr>
              <w:t xml:space="preserve">10</w:t>
            </w:r>
          </w:p>
        </w:tc>
      </w:tr>
      <w:tr>
        <w:tc>
          <w:tcPr>
            <w:tcW w:w="680" w:type="dxa"/>
          </w:tcPr>
          <w:p>
            <w:pPr>
              <w:pStyle w:val="0"/>
              <w:jc w:val="center"/>
            </w:pPr>
            <w:r>
              <w:rPr>
                <w:sz w:val="20"/>
              </w:rPr>
              <w:t xml:space="preserve">3.2</w:t>
            </w:r>
          </w:p>
        </w:tc>
        <w:tc>
          <w:tcPr>
            <w:tcW w:w="5896" w:type="dxa"/>
          </w:tcPr>
          <w:p>
            <w:pPr>
              <w:pStyle w:val="0"/>
            </w:pPr>
            <w:r>
              <w:rPr>
                <w:sz w:val="20"/>
              </w:rPr>
              <w:t xml:space="preserve">более 15%, но не превышает 30%</w:t>
            </w:r>
          </w:p>
        </w:tc>
        <w:tc>
          <w:tcPr>
            <w:tcW w:w="907" w:type="dxa"/>
          </w:tcPr>
          <w:p>
            <w:pPr>
              <w:pStyle w:val="0"/>
              <w:jc w:val="center"/>
            </w:pPr>
            <w:r>
              <w:rPr>
                <w:sz w:val="20"/>
              </w:rPr>
              <w:t xml:space="preserve">80</w:t>
            </w:r>
          </w:p>
        </w:tc>
        <w:tc>
          <w:tcPr>
            <w:vMerge w:val="continue"/>
          </w:tcPr>
          <w:p/>
        </w:tc>
      </w:tr>
      <w:tr>
        <w:tc>
          <w:tcPr>
            <w:tcW w:w="680" w:type="dxa"/>
          </w:tcPr>
          <w:p>
            <w:pPr>
              <w:pStyle w:val="0"/>
              <w:jc w:val="center"/>
            </w:pPr>
            <w:r>
              <w:rPr>
                <w:sz w:val="20"/>
              </w:rPr>
              <w:t xml:space="preserve">3.3</w:t>
            </w:r>
          </w:p>
        </w:tc>
        <w:tc>
          <w:tcPr>
            <w:tcW w:w="5896" w:type="dxa"/>
          </w:tcPr>
          <w:p>
            <w:pPr>
              <w:pStyle w:val="0"/>
            </w:pPr>
            <w:r>
              <w:rPr>
                <w:sz w:val="20"/>
              </w:rPr>
              <w:t xml:space="preserve">более 10%, но не превышает 15%</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3.4</w:t>
            </w:r>
          </w:p>
        </w:tc>
        <w:tc>
          <w:tcPr>
            <w:tcW w:w="5896" w:type="dxa"/>
          </w:tcPr>
          <w:p>
            <w:pPr>
              <w:pStyle w:val="0"/>
            </w:pPr>
            <w:r>
              <w:rPr>
                <w:sz w:val="20"/>
              </w:rPr>
              <w:t xml:space="preserve">более 5%, но не превышает 10%</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3.5</w:t>
            </w:r>
          </w:p>
        </w:tc>
        <w:tc>
          <w:tcPr>
            <w:tcW w:w="5896" w:type="dxa"/>
          </w:tcPr>
          <w:p>
            <w:pPr>
              <w:pStyle w:val="0"/>
            </w:pPr>
            <w:r>
              <w:rPr>
                <w:sz w:val="20"/>
              </w:rPr>
              <w:t xml:space="preserve">более 1%, но не превышает 5%</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3.6</w:t>
            </w:r>
          </w:p>
        </w:tc>
        <w:tc>
          <w:tcPr>
            <w:tcW w:w="5896" w:type="dxa"/>
          </w:tcPr>
          <w:p>
            <w:pPr>
              <w:pStyle w:val="0"/>
            </w:pPr>
            <w:r>
              <w:rPr>
                <w:sz w:val="20"/>
              </w:rPr>
              <w:t xml:space="preserve">1% и менее</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4</w:t>
            </w:r>
          </w:p>
        </w:tc>
        <w:tc>
          <w:tcPr>
            <w:gridSpan w:val="3"/>
            <w:tcW w:w="8390" w:type="dxa"/>
          </w:tcPr>
          <w:p>
            <w:pPr>
              <w:pStyle w:val="0"/>
            </w:pPr>
            <w:r>
              <w:rPr>
                <w:sz w:val="20"/>
              </w:rPr>
              <w:t xml:space="preserve">Процент членов общественного объединения научных работников высшей квалификации (кандидатов, докторов наук и членов государственных академий наук):</w:t>
            </w:r>
          </w:p>
        </w:tc>
      </w:tr>
      <w:tr>
        <w:tc>
          <w:tcPr>
            <w:tcW w:w="680" w:type="dxa"/>
          </w:tcPr>
          <w:p>
            <w:pPr>
              <w:pStyle w:val="0"/>
              <w:jc w:val="center"/>
            </w:pPr>
            <w:r>
              <w:rPr>
                <w:sz w:val="20"/>
              </w:rPr>
              <w:t xml:space="preserve">4.1</w:t>
            </w:r>
          </w:p>
        </w:tc>
        <w:tc>
          <w:tcPr>
            <w:tcW w:w="5896" w:type="dxa"/>
          </w:tcPr>
          <w:p>
            <w:pPr>
              <w:pStyle w:val="0"/>
            </w:pPr>
            <w:r>
              <w:rPr>
                <w:sz w:val="20"/>
              </w:rPr>
              <w:t xml:space="preserve">более 50%</w:t>
            </w:r>
          </w:p>
        </w:tc>
        <w:tc>
          <w:tcPr>
            <w:tcW w:w="907" w:type="dxa"/>
          </w:tcPr>
          <w:p>
            <w:pPr>
              <w:pStyle w:val="0"/>
              <w:jc w:val="center"/>
            </w:pPr>
            <w:r>
              <w:rPr>
                <w:sz w:val="20"/>
              </w:rPr>
              <w:t xml:space="preserve">100</w:t>
            </w:r>
          </w:p>
        </w:tc>
        <w:tc>
          <w:tcPr>
            <w:tcW w:w="1587" w:type="dxa"/>
            <w:vMerge w:val="restart"/>
          </w:tcPr>
          <w:p>
            <w:pPr>
              <w:pStyle w:val="0"/>
              <w:jc w:val="center"/>
            </w:pPr>
            <w:r>
              <w:rPr>
                <w:sz w:val="20"/>
              </w:rPr>
              <w:t xml:space="preserve">15</w:t>
            </w:r>
          </w:p>
        </w:tc>
      </w:tr>
      <w:tr>
        <w:tc>
          <w:tcPr>
            <w:tcW w:w="680" w:type="dxa"/>
          </w:tcPr>
          <w:p>
            <w:pPr>
              <w:pStyle w:val="0"/>
              <w:jc w:val="center"/>
            </w:pPr>
            <w:r>
              <w:rPr>
                <w:sz w:val="20"/>
              </w:rPr>
              <w:t xml:space="preserve">4.2</w:t>
            </w:r>
          </w:p>
        </w:tc>
        <w:tc>
          <w:tcPr>
            <w:tcW w:w="5896" w:type="dxa"/>
          </w:tcPr>
          <w:p>
            <w:pPr>
              <w:pStyle w:val="0"/>
            </w:pPr>
            <w:r>
              <w:rPr>
                <w:sz w:val="20"/>
              </w:rPr>
              <w:t xml:space="preserve">более 40%, но не превышает 50%</w:t>
            </w:r>
          </w:p>
        </w:tc>
        <w:tc>
          <w:tcPr>
            <w:tcW w:w="907" w:type="dxa"/>
          </w:tcPr>
          <w:p>
            <w:pPr>
              <w:pStyle w:val="0"/>
              <w:jc w:val="center"/>
            </w:pPr>
            <w:r>
              <w:rPr>
                <w:sz w:val="20"/>
              </w:rPr>
              <w:t xml:space="preserve">80</w:t>
            </w:r>
          </w:p>
        </w:tc>
        <w:tc>
          <w:tcPr>
            <w:vMerge w:val="continue"/>
          </w:tcPr>
          <w:p/>
        </w:tc>
      </w:tr>
      <w:tr>
        <w:tc>
          <w:tcPr>
            <w:tcW w:w="680" w:type="dxa"/>
          </w:tcPr>
          <w:p>
            <w:pPr>
              <w:pStyle w:val="0"/>
              <w:jc w:val="center"/>
            </w:pPr>
            <w:r>
              <w:rPr>
                <w:sz w:val="20"/>
              </w:rPr>
              <w:t xml:space="preserve">4.3</w:t>
            </w:r>
          </w:p>
        </w:tc>
        <w:tc>
          <w:tcPr>
            <w:tcW w:w="5896" w:type="dxa"/>
          </w:tcPr>
          <w:p>
            <w:pPr>
              <w:pStyle w:val="0"/>
            </w:pPr>
            <w:r>
              <w:rPr>
                <w:sz w:val="20"/>
              </w:rPr>
              <w:t xml:space="preserve">более 30%, но не превышает 40%</w:t>
            </w:r>
          </w:p>
        </w:tc>
        <w:tc>
          <w:tcPr>
            <w:tcW w:w="907" w:type="dxa"/>
          </w:tcPr>
          <w:p>
            <w:pPr>
              <w:pStyle w:val="0"/>
              <w:jc w:val="center"/>
            </w:pPr>
            <w:r>
              <w:rPr>
                <w:sz w:val="20"/>
              </w:rPr>
              <w:t xml:space="preserve">60</w:t>
            </w:r>
          </w:p>
        </w:tc>
        <w:tc>
          <w:tcPr>
            <w:vMerge w:val="continue"/>
          </w:tcPr>
          <w:p/>
        </w:tc>
      </w:tr>
      <w:tr>
        <w:tc>
          <w:tcPr>
            <w:tcW w:w="680" w:type="dxa"/>
          </w:tcPr>
          <w:p>
            <w:pPr>
              <w:pStyle w:val="0"/>
              <w:jc w:val="center"/>
            </w:pPr>
            <w:r>
              <w:rPr>
                <w:sz w:val="20"/>
              </w:rPr>
              <w:t xml:space="preserve">4.4</w:t>
            </w:r>
          </w:p>
        </w:tc>
        <w:tc>
          <w:tcPr>
            <w:tcW w:w="5896" w:type="dxa"/>
          </w:tcPr>
          <w:p>
            <w:pPr>
              <w:pStyle w:val="0"/>
            </w:pPr>
            <w:r>
              <w:rPr>
                <w:sz w:val="20"/>
              </w:rPr>
              <w:t xml:space="preserve">более 20%, но не превышает 30%</w:t>
            </w:r>
          </w:p>
        </w:tc>
        <w:tc>
          <w:tcPr>
            <w:tcW w:w="907" w:type="dxa"/>
          </w:tcPr>
          <w:p>
            <w:pPr>
              <w:pStyle w:val="0"/>
              <w:jc w:val="center"/>
            </w:pPr>
            <w:r>
              <w:rPr>
                <w:sz w:val="20"/>
              </w:rPr>
              <w:t xml:space="preserve">40</w:t>
            </w:r>
          </w:p>
        </w:tc>
        <w:tc>
          <w:tcPr>
            <w:vMerge w:val="continue"/>
          </w:tcPr>
          <w:p/>
        </w:tc>
      </w:tr>
      <w:tr>
        <w:tc>
          <w:tcPr>
            <w:tcW w:w="680" w:type="dxa"/>
          </w:tcPr>
          <w:p>
            <w:pPr>
              <w:pStyle w:val="0"/>
              <w:jc w:val="center"/>
            </w:pPr>
            <w:r>
              <w:rPr>
                <w:sz w:val="20"/>
              </w:rPr>
              <w:t xml:space="preserve">4.5</w:t>
            </w:r>
          </w:p>
        </w:tc>
        <w:tc>
          <w:tcPr>
            <w:tcW w:w="5896" w:type="dxa"/>
          </w:tcPr>
          <w:p>
            <w:pPr>
              <w:pStyle w:val="0"/>
            </w:pPr>
            <w:r>
              <w:rPr>
                <w:sz w:val="20"/>
              </w:rPr>
              <w:t xml:space="preserve">более 10%, но не превышает 20%</w:t>
            </w:r>
          </w:p>
        </w:tc>
        <w:tc>
          <w:tcPr>
            <w:tcW w:w="907" w:type="dxa"/>
          </w:tcPr>
          <w:p>
            <w:pPr>
              <w:pStyle w:val="0"/>
              <w:jc w:val="center"/>
            </w:pPr>
            <w:r>
              <w:rPr>
                <w:sz w:val="20"/>
              </w:rPr>
              <w:t xml:space="preserve">20</w:t>
            </w:r>
          </w:p>
        </w:tc>
        <w:tc>
          <w:tcPr>
            <w:vMerge w:val="continue"/>
          </w:tcPr>
          <w:p/>
        </w:tc>
      </w:tr>
      <w:tr>
        <w:tc>
          <w:tcPr>
            <w:tcW w:w="680" w:type="dxa"/>
          </w:tcPr>
          <w:p>
            <w:pPr>
              <w:pStyle w:val="0"/>
              <w:jc w:val="center"/>
            </w:pPr>
            <w:r>
              <w:rPr>
                <w:sz w:val="20"/>
              </w:rPr>
              <w:t xml:space="preserve">4.6</w:t>
            </w:r>
          </w:p>
        </w:tc>
        <w:tc>
          <w:tcPr>
            <w:tcW w:w="5896" w:type="dxa"/>
          </w:tcPr>
          <w:p>
            <w:pPr>
              <w:pStyle w:val="0"/>
            </w:pPr>
            <w:r>
              <w:rPr>
                <w:sz w:val="20"/>
              </w:rPr>
              <w:t xml:space="preserve">10% и менее</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5</w:t>
            </w:r>
          </w:p>
        </w:tc>
        <w:tc>
          <w:tcPr>
            <w:gridSpan w:val="3"/>
            <w:tcW w:w="8390" w:type="dxa"/>
          </w:tcPr>
          <w:p>
            <w:pPr>
              <w:pStyle w:val="0"/>
            </w:pPr>
            <w:r>
              <w:rPr>
                <w:sz w:val="20"/>
              </w:rPr>
              <w:t xml:space="preserve">Соответствие научно-просветительской, научно-исследовательской и педагогической деятельности общественного объединения научных работников приоритетным </w:t>
            </w:r>
            <w:hyperlink w:history="0" r:id="rId61" w:tooltip="Указ Президента РФ от 18.06.2024 N 529 &quot;Об утверждении приоритетных направлений научно-технологического развития и перечня важнейших наукоемких технологий&quot; {КонсультантПлюс}">
              <w:r>
                <w:rPr>
                  <w:sz w:val="20"/>
                  <w:color w:val="0000ff"/>
                </w:rPr>
                <w:t xml:space="preserve">направлениям</w:t>
              </w:r>
            </w:hyperlink>
            <w:r>
              <w:rPr>
                <w:sz w:val="20"/>
              </w:rPr>
              <w:t xml:space="preserve"> научно-технологического развития, утвержденным Указом Президента Российской Федерации от 18.06.2024 N 529 "Об утверждении приоритетных направлений научно-технологического развития и перечня важнейших наукоемких технологий", и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w:t>
            </w:r>
          </w:p>
        </w:tc>
      </w:tr>
      <w:tr>
        <w:tc>
          <w:tcPr>
            <w:tcW w:w="680" w:type="dxa"/>
          </w:tcPr>
          <w:p>
            <w:pPr>
              <w:pStyle w:val="0"/>
              <w:jc w:val="center"/>
            </w:pPr>
            <w:r>
              <w:rPr>
                <w:sz w:val="20"/>
              </w:rPr>
              <w:t xml:space="preserve">5.1</w:t>
            </w:r>
          </w:p>
        </w:tc>
        <w:tc>
          <w:tcPr>
            <w:tcW w:w="5896" w:type="dxa"/>
          </w:tcPr>
          <w:p>
            <w:pPr>
              <w:pStyle w:val="0"/>
            </w:pPr>
            <w:r>
              <w:rPr>
                <w:sz w:val="20"/>
              </w:rPr>
              <w:t xml:space="preserve">соответствует двум и более приоритетным направлениям (приоритетам) научно-технологического развития</w:t>
            </w:r>
          </w:p>
        </w:tc>
        <w:tc>
          <w:tcPr>
            <w:tcW w:w="907" w:type="dxa"/>
          </w:tcPr>
          <w:p>
            <w:pPr>
              <w:pStyle w:val="0"/>
              <w:jc w:val="center"/>
            </w:pPr>
            <w:r>
              <w:rPr>
                <w:sz w:val="20"/>
              </w:rPr>
              <w:t xml:space="preserve">100</w:t>
            </w:r>
          </w:p>
        </w:tc>
        <w:tc>
          <w:tcPr>
            <w:tcW w:w="1587" w:type="dxa"/>
            <w:vMerge w:val="restart"/>
          </w:tcPr>
          <w:p>
            <w:pPr>
              <w:pStyle w:val="0"/>
              <w:jc w:val="center"/>
            </w:pPr>
            <w:r>
              <w:rPr>
                <w:sz w:val="20"/>
              </w:rPr>
              <w:t xml:space="preserve">15</w:t>
            </w:r>
          </w:p>
        </w:tc>
      </w:tr>
      <w:tr>
        <w:tc>
          <w:tcPr>
            <w:tcW w:w="680" w:type="dxa"/>
          </w:tcPr>
          <w:p>
            <w:pPr>
              <w:pStyle w:val="0"/>
              <w:jc w:val="center"/>
            </w:pPr>
            <w:r>
              <w:rPr>
                <w:sz w:val="20"/>
              </w:rPr>
              <w:t xml:space="preserve">5.2</w:t>
            </w:r>
          </w:p>
        </w:tc>
        <w:tc>
          <w:tcPr>
            <w:tcW w:w="5896" w:type="dxa"/>
          </w:tcPr>
          <w:p>
            <w:pPr>
              <w:pStyle w:val="0"/>
            </w:pPr>
            <w:r>
              <w:rPr>
                <w:sz w:val="20"/>
              </w:rPr>
              <w:t xml:space="preserve">соответствует одному из приоритетных направлений (приоритетов) научно-технологического развития</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5.3</w:t>
            </w:r>
          </w:p>
        </w:tc>
        <w:tc>
          <w:tcPr>
            <w:tcW w:w="5896" w:type="dxa"/>
          </w:tcPr>
          <w:p>
            <w:pPr>
              <w:pStyle w:val="0"/>
            </w:pPr>
            <w:r>
              <w:rPr>
                <w:sz w:val="20"/>
              </w:rPr>
              <w:t xml:space="preserve">не соответствует ни одному из приоритетных направлений (приоритетов) научно-технологического развития</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6</w:t>
            </w:r>
          </w:p>
        </w:tc>
        <w:tc>
          <w:tcPr>
            <w:gridSpan w:val="3"/>
            <w:tcW w:w="8390" w:type="dxa"/>
          </w:tcPr>
          <w:p>
            <w:pPr>
              <w:pStyle w:val="0"/>
            </w:pPr>
            <w:r>
              <w:rPr>
                <w:sz w:val="20"/>
              </w:rPr>
              <w:t xml:space="preserve">Соответствие мероприятий по осуществлению научно-просветительской, научно-исследовательской и педагогической деятельности на территории Санкт-Петербурга, на финансовое обеспечение затрат по которым запрашиваются субсидии, приоритетам научно-технологического развития Санкт-Петербурга, изложенным в Концепции научно-технологического развития Санкт-Петербурга на период до 2030 года, утвержденной Губернатором Санкт-Петербурга 25.09.2024</w:t>
            </w:r>
          </w:p>
        </w:tc>
      </w:tr>
      <w:tr>
        <w:tc>
          <w:tcPr>
            <w:tcW w:w="680" w:type="dxa"/>
          </w:tcPr>
          <w:p>
            <w:pPr>
              <w:pStyle w:val="0"/>
              <w:jc w:val="center"/>
            </w:pPr>
            <w:r>
              <w:rPr>
                <w:sz w:val="20"/>
              </w:rPr>
              <w:t xml:space="preserve">6.1</w:t>
            </w:r>
          </w:p>
        </w:tc>
        <w:tc>
          <w:tcPr>
            <w:tcW w:w="5896" w:type="dxa"/>
          </w:tcPr>
          <w:p>
            <w:pPr>
              <w:pStyle w:val="0"/>
            </w:pPr>
            <w:r>
              <w:rPr>
                <w:sz w:val="20"/>
              </w:rPr>
              <w:t xml:space="preserve">соответствует двум и более приоритетам научно-технологического развития Санкт-Петербурга</w:t>
            </w:r>
          </w:p>
        </w:tc>
        <w:tc>
          <w:tcPr>
            <w:tcW w:w="907" w:type="dxa"/>
          </w:tcPr>
          <w:p>
            <w:pPr>
              <w:pStyle w:val="0"/>
              <w:jc w:val="center"/>
            </w:pPr>
            <w:r>
              <w:rPr>
                <w:sz w:val="20"/>
              </w:rPr>
              <w:t xml:space="preserve">100</w:t>
            </w:r>
          </w:p>
        </w:tc>
        <w:tc>
          <w:tcPr>
            <w:tcW w:w="1587" w:type="dxa"/>
            <w:vMerge w:val="restart"/>
          </w:tcPr>
          <w:p>
            <w:pPr>
              <w:pStyle w:val="0"/>
              <w:jc w:val="center"/>
            </w:pPr>
            <w:r>
              <w:rPr>
                <w:sz w:val="20"/>
              </w:rPr>
              <w:t xml:space="preserve">15</w:t>
            </w:r>
          </w:p>
        </w:tc>
      </w:tr>
      <w:tr>
        <w:tc>
          <w:tcPr>
            <w:tcW w:w="680" w:type="dxa"/>
          </w:tcPr>
          <w:p>
            <w:pPr>
              <w:pStyle w:val="0"/>
              <w:jc w:val="center"/>
            </w:pPr>
            <w:r>
              <w:rPr>
                <w:sz w:val="20"/>
              </w:rPr>
              <w:t xml:space="preserve">6.2</w:t>
            </w:r>
          </w:p>
        </w:tc>
        <w:tc>
          <w:tcPr>
            <w:tcW w:w="5896" w:type="dxa"/>
          </w:tcPr>
          <w:p>
            <w:pPr>
              <w:pStyle w:val="0"/>
            </w:pPr>
            <w:r>
              <w:rPr>
                <w:sz w:val="20"/>
              </w:rPr>
              <w:t xml:space="preserve">соответствует одному из приоритетов научно-технологического развития Санкт-Петербурга</w:t>
            </w:r>
          </w:p>
        </w:tc>
        <w:tc>
          <w:tcPr>
            <w:tcW w:w="907" w:type="dxa"/>
          </w:tcPr>
          <w:p>
            <w:pPr>
              <w:pStyle w:val="0"/>
              <w:jc w:val="center"/>
            </w:pPr>
            <w:r>
              <w:rPr>
                <w:sz w:val="20"/>
              </w:rPr>
              <w:t xml:space="preserve">50</w:t>
            </w:r>
          </w:p>
        </w:tc>
        <w:tc>
          <w:tcPr>
            <w:vMerge w:val="continue"/>
          </w:tcPr>
          <w:p/>
        </w:tc>
      </w:tr>
      <w:tr>
        <w:tc>
          <w:tcPr>
            <w:tcW w:w="680" w:type="dxa"/>
          </w:tcPr>
          <w:p>
            <w:pPr>
              <w:pStyle w:val="0"/>
              <w:jc w:val="center"/>
            </w:pPr>
            <w:r>
              <w:rPr>
                <w:sz w:val="20"/>
              </w:rPr>
              <w:t xml:space="preserve">6.3</w:t>
            </w:r>
          </w:p>
        </w:tc>
        <w:tc>
          <w:tcPr>
            <w:tcW w:w="5896" w:type="dxa"/>
          </w:tcPr>
          <w:p>
            <w:pPr>
              <w:pStyle w:val="0"/>
            </w:pPr>
            <w:r>
              <w:rPr>
                <w:sz w:val="20"/>
              </w:rPr>
              <w:t xml:space="preserve">не соответствует ни одному из приоритетов научно-технологического развития Санкт-Петербурга</w:t>
            </w:r>
          </w:p>
        </w:tc>
        <w:tc>
          <w:tcPr>
            <w:tcW w:w="907" w:type="dxa"/>
          </w:tcPr>
          <w:p>
            <w:pPr>
              <w:pStyle w:val="0"/>
              <w:jc w:val="center"/>
            </w:pPr>
            <w:r>
              <w:rPr>
                <w:sz w:val="20"/>
              </w:rPr>
              <w:t xml:space="preserve">0</w:t>
            </w:r>
          </w:p>
        </w:tc>
        <w:tc>
          <w:tcPr>
            <w:vMerge w:val="continue"/>
          </w:tcPr>
          <w:p/>
        </w:tc>
      </w:tr>
      <w:tr>
        <w:tc>
          <w:tcPr>
            <w:tcW w:w="680" w:type="dxa"/>
          </w:tcPr>
          <w:p>
            <w:pPr>
              <w:pStyle w:val="0"/>
              <w:jc w:val="center"/>
            </w:pPr>
            <w:r>
              <w:rPr>
                <w:sz w:val="20"/>
              </w:rPr>
              <w:t xml:space="preserve">7</w:t>
            </w:r>
          </w:p>
        </w:tc>
        <w:tc>
          <w:tcPr>
            <w:gridSpan w:val="3"/>
            <w:tcW w:w="8390" w:type="dxa"/>
          </w:tcPr>
          <w:p>
            <w:pPr>
              <w:pStyle w:val="0"/>
            </w:pPr>
            <w:r>
              <w:rPr>
                <w:sz w:val="20"/>
              </w:rPr>
              <w:t xml:space="preserve">Социально-экономический эффект от реализации мероприятий по осуществлению научно-просветительской, научно-исследовательской и педагогической деятельности на территории Санкт-Петербурга, на финансовое обеспечение затрат по которым запрашиваются субсидии</w:t>
            </w:r>
          </w:p>
        </w:tc>
      </w:tr>
      <w:tr>
        <w:tc>
          <w:tcPr>
            <w:tcW w:w="680" w:type="dxa"/>
          </w:tcPr>
          <w:p>
            <w:pPr>
              <w:pStyle w:val="0"/>
              <w:jc w:val="center"/>
            </w:pPr>
            <w:r>
              <w:rPr>
                <w:sz w:val="20"/>
              </w:rPr>
              <w:t xml:space="preserve">7.1</w:t>
            </w:r>
          </w:p>
        </w:tc>
        <w:tc>
          <w:tcPr>
            <w:tcW w:w="5896" w:type="dxa"/>
          </w:tcPr>
          <w:p>
            <w:pPr>
              <w:pStyle w:val="0"/>
            </w:pPr>
            <w:r>
              <w:rPr>
                <w:sz w:val="20"/>
              </w:rPr>
              <w:t xml:space="preserve">представлен обоснованный анализ социально-экономического эффекта</w:t>
            </w:r>
          </w:p>
        </w:tc>
        <w:tc>
          <w:tcPr>
            <w:tcW w:w="907" w:type="dxa"/>
          </w:tcPr>
          <w:p>
            <w:pPr>
              <w:pStyle w:val="0"/>
              <w:jc w:val="center"/>
            </w:pPr>
            <w:r>
              <w:rPr>
                <w:sz w:val="20"/>
              </w:rPr>
              <w:t xml:space="preserve">100</w:t>
            </w:r>
          </w:p>
        </w:tc>
        <w:tc>
          <w:tcPr>
            <w:tcW w:w="1587" w:type="dxa"/>
            <w:vMerge w:val="restart"/>
          </w:tcPr>
          <w:p>
            <w:pPr>
              <w:pStyle w:val="0"/>
              <w:jc w:val="center"/>
            </w:pPr>
            <w:r>
              <w:rPr>
                <w:sz w:val="20"/>
              </w:rPr>
              <w:t xml:space="preserve">15</w:t>
            </w:r>
          </w:p>
        </w:tc>
      </w:tr>
      <w:tr>
        <w:tc>
          <w:tcPr>
            <w:tcW w:w="680" w:type="dxa"/>
          </w:tcPr>
          <w:p>
            <w:pPr>
              <w:pStyle w:val="0"/>
              <w:jc w:val="center"/>
            </w:pPr>
            <w:r>
              <w:rPr>
                <w:sz w:val="20"/>
              </w:rPr>
              <w:t xml:space="preserve">7.2</w:t>
            </w:r>
          </w:p>
        </w:tc>
        <w:tc>
          <w:tcPr>
            <w:tcW w:w="5896" w:type="dxa"/>
          </w:tcPr>
          <w:p>
            <w:pPr>
              <w:pStyle w:val="0"/>
            </w:pPr>
            <w:r>
              <w:rPr>
                <w:sz w:val="20"/>
              </w:rPr>
              <w:t xml:space="preserve">анализ социально-экономического эффекта отсутствует либо социально-экономический эффект не обоснован</w:t>
            </w:r>
          </w:p>
        </w:tc>
        <w:tc>
          <w:tcPr>
            <w:tcW w:w="907" w:type="dxa"/>
          </w:tcPr>
          <w:p>
            <w:pPr>
              <w:pStyle w:val="0"/>
              <w:jc w:val="center"/>
            </w:pPr>
            <w:r>
              <w:rPr>
                <w:sz w:val="20"/>
              </w:rPr>
              <w:t xml:space="preserve">0</w:t>
            </w:r>
          </w:p>
        </w:tc>
        <w:tc>
          <w:tcPr>
            <w:vMerge w:val="continue"/>
          </w:tcP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5</w:t>
      </w:r>
    </w:p>
    <w:p>
      <w:pPr>
        <w:pStyle w:val="0"/>
        <w:jc w:val="right"/>
      </w:pPr>
      <w:r>
        <w:rPr>
          <w:sz w:val="20"/>
        </w:rPr>
        <w:t xml:space="preserve">к Порядку предоставления</w:t>
      </w:r>
    </w:p>
    <w:p>
      <w:pPr>
        <w:pStyle w:val="0"/>
        <w:jc w:val="right"/>
      </w:pPr>
      <w:r>
        <w:rPr>
          <w:sz w:val="20"/>
        </w:rPr>
        <w:t xml:space="preserve">в 2026 году субсидий общественным</w:t>
      </w:r>
    </w:p>
    <w:p>
      <w:pPr>
        <w:pStyle w:val="0"/>
        <w:jc w:val="right"/>
      </w:pPr>
      <w:r>
        <w:rPr>
          <w:sz w:val="20"/>
        </w:rPr>
        <w:t xml:space="preserve">объединениям научных работников,</w:t>
      </w:r>
    </w:p>
    <w:p>
      <w:pPr>
        <w:pStyle w:val="0"/>
        <w:jc w:val="right"/>
      </w:pPr>
      <w:r>
        <w:rPr>
          <w:sz w:val="20"/>
        </w:rPr>
        <w:t xml:space="preserve">имеющим место нахождения</w:t>
      </w:r>
    </w:p>
    <w:p>
      <w:pPr>
        <w:pStyle w:val="0"/>
        <w:jc w:val="right"/>
      </w:pPr>
      <w:r>
        <w:rPr>
          <w:sz w:val="20"/>
        </w:rPr>
        <w:t xml:space="preserve">в Санкт-Петербурге, в целях развития</w:t>
      </w:r>
    </w:p>
    <w:p>
      <w:pPr>
        <w:pStyle w:val="0"/>
        <w:jc w:val="right"/>
      </w:pPr>
      <w:r>
        <w:rPr>
          <w:sz w:val="20"/>
        </w:rPr>
        <w:t xml:space="preserve">их научно-просветительской,</w:t>
      </w:r>
    </w:p>
    <w:p>
      <w:pPr>
        <w:pStyle w:val="0"/>
        <w:jc w:val="right"/>
      </w:pPr>
      <w:r>
        <w:rPr>
          <w:sz w:val="20"/>
        </w:rPr>
        <w:t xml:space="preserve">научно-исследовательской</w:t>
      </w:r>
    </w:p>
    <w:p>
      <w:pPr>
        <w:pStyle w:val="0"/>
        <w:jc w:val="right"/>
      </w:pPr>
      <w:r>
        <w:rPr>
          <w:sz w:val="20"/>
        </w:rPr>
        <w:t xml:space="preserve">и педагогической деятельности</w:t>
      </w:r>
    </w:p>
    <w:p>
      <w:pPr>
        <w:pStyle w:val="0"/>
        <w:jc w:val="right"/>
      </w:pPr>
      <w:r>
        <w:rPr>
          <w:sz w:val="20"/>
        </w:rPr>
      </w:r>
    </w:p>
    <w:bookmarkStart w:id="555" w:name="P555"/>
    <w:bookmarkEnd w:id="555"/>
    <w:p>
      <w:pPr>
        <w:pStyle w:val="2"/>
        <w:jc w:val="center"/>
      </w:pPr>
      <w:r>
        <w:rPr>
          <w:sz w:val="20"/>
        </w:rPr>
        <w:t xml:space="preserve">ПЕРЕЧЕНЬ</w:t>
      </w:r>
    </w:p>
    <w:p>
      <w:pPr>
        <w:pStyle w:val="2"/>
        <w:jc w:val="center"/>
      </w:pPr>
      <w:r>
        <w:rPr>
          <w:sz w:val="20"/>
        </w:rPr>
        <w:t xml:space="preserve">ДОКУМЕНТОВ, ПОДТВЕРЖДАЮЩИХ ЗАТРАТЫ ПОЛУЧАТЕЛЯ СУБСИДИЙ,</w:t>
      </w:r>
    </w:p>
    <w:p>
      <w:pPr>
        <w:pStyle w:val="2"/>
        <w:jc w:val="center"/>
      </w:pPr>
      <w:r>
        <w:rPr>
          <w:sz w:val="20"/>
        </w:rPr>
        <w:t xml:space="preserve">ПРИЛАГАЕМЫХ К ОТЧЕТУ ОБ ОСУЩЕСТВЛЕНИИ РАСХОДОВ, ИСТОЧНИКОМ</w:t>
      </w:r>
    </w:p>
    <w:p>
      <w:pPr>
        <w:pStyle w:val="2"/>
        <w:jc w:val="center"/>
      </w:pPr>
      <w:r>
        <w:rPr>
          <w:sz w:val="20"/>
        </w:rPr>
        <w:t xml:space="preserve">ФИНАНСОВОГО ОБЕСПЕЧЕНИЯ КОТОРЫХ ЯВЛЯЮТСЯ СУБСИДИИ</w:t>
      </w:r>
    </w:p>
    <w:p>
      <w:pPr>
        <w:pStyle w:val="0"/>
        <w:ind w:firstLine="540"/>
        <w:jc w:val="both"/>
      </w:pPr>
      <w:r>
        <w:rPr>
          <w:sz w:val="20"/>
        </w:rPr>
      </w:r>
    </w:p>
    <w:p>
      <w:pPr>
        <w:pStyle w:val="0"/>
        <w:ind w:firstLine="540"/>
        <w:jc w:val="both"/>
      </w:pPr>
      <w:r>
        <w:rPr>
          <w:sz w:val="20"/>
        </w:rPr>
        <w:t xml:space="preserve">1. Итоговый аналитический отчет о подготовке и проведении мероприятий, заверенный подписью руководителя (уполномоченного лица) получателя субсидий и оттиском печати получателя субсидий (при наличии печати), составленный в свободной форме, требования к содержанию и оформлению которого устанавливаются Комитетом.</w:t>
      </w:r>
    </w:p>
    <w:p>
      <w:pPr>
        <w:pStyle w:val="0"/>
        <w:spacing w:before="200" w:lineRule="auto"/>
        <w:ind w:firstLine="540"/>
        <w:jc w:val="both"/>
      </w:pPr>
      <w:r>
        <w:rPr>
          <w:sz w:val="20"/>
        </w:rPr>
        <w:t xml:space="preserve">2. Согласия лиц, получающих средства на основании договоров (соглашений),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Комитетом по науке и высшей школе проверок соблюдения условий и порядка предоставления субсидий, в том числе в части достижения результата предоставления субсидий (далее - проверки), и проверок органами государственного финансового контроля в соответствии со </w:t>
      </w:r>
      <w:hyperlink w:history="0" r:id="rId6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6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3. Копии документов, подтверждающих затраты, произведенные получателем субсидий при подготовке и проведении мероприятий, заверенные подписью руководителя получателя субсидий (уполномоченного лица) и оттиском печати получателя субсидий (при наличии печати):</w:t>
      </w:r>
    </w:p>
    <w:p>
      <w:pPr>
        <w:pStyle w:val="0"/>
        <w:spacing w:before="200" w:lineRule="auto"/>
        <w:ind w:firstLine="540"/>
        <w:jc w:val="both"/>
      </w:pPr>
      <w:r>
        <w:rPr>
          <w:sz w:val="20"/>
        </w:rPr>
        <w:t xml:space="preserve">3.1. По затратам на оплату труда работников получателя субсидий, участвующих в подготовке и проведении мероприятий, с начислениями на выплаты по оплате труда: документы, являющиеся основанием для начисления заработной платы, - приказы или другие распорядительные документы, используемые получателем субсидий; выписка из расчетной ведомости с начислениями и удержаниями; платежные поручения о перечислении денежных средств (с отметкой банка); платежная ведомость и расходный ордер (в случае выплаты из кассы); платежные поручения о перечислении налогов, иных обязательных платежей и начислений (с отметкой банка).</w:t>
      </w:r>
    </w:p>
    <w:p>
      <w:pPr>
        <w:pStyle w:val="0"/>
        <w:spacing w:before="200" w:lineRule="auto"/>
        <w:ind w:firstLine="540"/>
        <w:jc w:val="both"/>
      </w:pPr>
      <w:r>
        <w:rPr>
          <w:sz w:val="20"/>
        </w:rPr>
        <w:t xml:space="preserve">По затратам на оплату денежного вознаграждения за оказание услуг по договорам гражданско-правового характера лиц, участвующих в подготовке и проведении мероприятий: документы, являющиеся основанием для оплаты денежного вознаграждения, - приказы или другие распорядительные документы, используемые получателем субсидий; договоры гражданско-правового характера; платежные поручения о перечислении денежных средств (с отметкой банка); расходный ордер (в случае выплаты из кассы); платежные поручения о перечислении налогов, иных обязательных платежей и начислений (с отметкой банка).</w:t>
      </w:r>
    </w:p>
    <w:p>
      <w:pPr>
        <w:pStyle w:val="0"/>
        <w:spacing w:before="200" w:lineRule="auto"/>
        <w:ind w:firstLine="540"/>
        <w:jc w:val="both"/>
      </w:pPr>
      <w:r>
        <w:rPr>
          <w:sz w:val="20"/>
        </w:rPr>
        <w:t xml:space="preserve">3.2. По затратам на приобретение материальных запасов, необходимых для подготовки и проведения мероприятий, а именно: канцелярских товаров, картриджей: счета; счета-фактуры (или универсальные передаточные документы); накладные (товарные чеки - при оплате за наличный расчет); платежные поручения с отметкой банка; чеки контрольно-кассовой машины (при оплате за наличный расчет); авансовые отчеты (при оплате за наличный расчет); акты выдачи (списания) материалов, приобретенных и израсходованных в целях подготовки и проведения мероприятий.</w:t>
      </w:r>
    </w:p>
    <w:p>
      <w:pPr>
        <w:pStyle w:val="0"/>
        <w:spacing w:before="200" w:lineRule="auto"/>
        <w:ind w:firstLine="540"/>
        <w:jc w:val="both"/>
      </w:pPr>
      <w:r>
        <w:rPr>
          <w:sz w:val="20"/>
        </w:rPr>
        <w:t xml:space="preserve">3.3. По затратам на приобретение основных средств, необходимых для подготовки и проведения мероприятий, а именно: мебели, компьютерного и звукового оборудования со сроком полезного использования более 12 месяцев: счета; счета-фактуры (или универсальные передаточные документы); накладные (товарные чеки - при оплате за наличный расчет); платежные поручения с отметкой банка; чеки контрольно-кассовой машины (при оплате за наличный расчет); авансовые отчеты (при оплате за наличный расчет); акты ввода в эксплуатацию объектов основных средств и(или) документы о принятии на бухгалтерский учет юридическим лицом основных средств, приобретенных в целях подготовки и проведения мероприятий.</w:t>
      </w:r>
    </w:p>
    <w:p>
      <w:pPr>
        <w:pStyle w:val="0"/>
        <w:spacing w:before="200" w:lineRule="auto"/>
        <w:ind w:firstLine="540"/>
        <w:jc w:val="both"/>
      </w:pPr>
      <w:r>
        <w:rPr>
          <w:sz w:val="20"/>
        </w:rPr>
        <w:t xml:space="preserve">3.4. По затратам на услуги, работы привлекаемых организаций и(или) индивидуальных предпринимателей, необходимые для подготовки и проведения мероприятий, а именно: услуги по аренде помещений, обеспечению оснащения помещения звуковым и световым оборудованием, украшению помещения в соответствии с тематикой мероприятия, услуги перевода полиграфические услуги, услуги связи: договоры; акты выполненных работ (оказанных услуг); счета; счета-фактуры (или универсальные передаточные документы); платежные поручения с отметкой банка; чеки контрольно-кассовой машины (при оплате за наличный расчет); авансовые отчеты (при оплате за наличный расчет).</w:t>
      </w:r>
    </w:p>
    <w:p>
      <w:pPr>
        <w:pStyle w:val="0"/>
        <w:spacing w:before="200" w:lineRule="auto"/>
        <w:ind w:firstLine="540"/>
        <w:jc w:val="both"/>
      </w:pPr>
      <w:r>
        <w:rPr>
          <w:sz w:val="20"/>
        </w:rPr>
        <w:t xml:space="preserve">4. Справка получателя субсидий (в свободной форме) о соблюдении им условия предоставления субсидий, предусмотренного в </w:t>
      </w:r>
      <w:hyperlink w:history="0" w:anchor="P96" w:tooltip="2.5.9. Размер средней заработной платы каждого работника претендента, признанного получателем субсидии (включая обособленные подразделения, находящиеся на территории Санкт-Петербурга), рассчитываемый в соответствии со статьей 139 Трудового кодекса Российской Федерации, должен быть в течение периода с 01.01.2026 до даты, по состоянию на которую получателем субсидии формируется отчетность о достижении значений результата и характеристики, не ниже размера минимальной заработной платы в Санкт-Петербурге, уст...">
        <w:r>
          <w:rPr>
            <w:sz w:val="20"/>
            <w:color w:val="0000ff"/>
          </w:rPr>
          <w:t xml:space="preserve">пункте 2.5.9</w:t>
        </w:r>
      </w:hyperlink>
      <w:r>
        <w:rPr>
          <w:sz w:val="20"/>
        </w:rPr>
        <w:t xml:space="preserve"> Порядка предоставления в 2026 году субсидий общественным объединениям научных работников, имеющим место нахождения в Санкт-Петербурге, в целях развития их научно-просветительской, научно-исследовательской и педагогической деятельности, утвержденного настоящим постановлением, подписанная руководителем получателя субсидий или уполномоченным лицом и заверенная оттиском печати получателя субсидий (при наличии печати), по сформированной за указанный период отчетности (в свободной форме),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(без разделов, содержащих персональные данные физических лиц), за соответствующий период.</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21.05.2026 N 336</w:t>
            <w:br/>
            <w:t>"О Порядке предоставления в 2026 году субсидий обществе...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0743" TargetMode = "External"/><Relationship Id="rId11" Type="http://schemas.openxmlformats.org/officeDocument/2006/relationships/hyperlink" Target="https://login.consultant.ru/link/?req=doc&amp;base=SPB&amp;n=327808&amp;dst=100100" TargetMode = "External"/><Relationship Id="rId12" Type="http://schemas.openxmlformats.org/officeDocument/2006/relationships/hyperlink" Target="https://login.consultant.ru/link/?req=doc&amp;base=SPB&amp;n=329737&amp;dst=100074" TargetMode = "External"/><Relationship Id="rId13" Type="http://schemas.openxmlformats.org/officeDocument/2006/relationships/hyperlink" Target="https://login.consultant.ru/link/?req=doc&amp;base=SPB&amp;n=316628&amp;dst=164218" TargetMode = "External"/><Relationship Id="rId14" Type="http://schemas.openxmlformats.org/officeDocument/2006/relationships/hyperlink" Target="https://login.consultant.ru/link/?req=doc&amp;base=LAW&amp;n=535012&amp;dst=7460" TargetMode = "External"/><Relationship Id="rId15" Type="http://schemas.openxmlformats.org/officeDocument/2006/relationships/hyperlink" Target="http://www.gov.spb.ru" TargetMode = "External"/><Relationship Id="rId16" Type="http://schemas.openxmlformats.org/officeDocument/2006/relationships/hyperlink" Target="https://login.consultant.ru/link/?req=doc&amp;base=LAW&amp;n=528132&amp;dst=100157" TargetMode = "External"/><Relationship Id="rId17" Type="http://schemas.openxmlformats.org/officeDocument/2006/relationships/hyperlink" Target="https://login.consultant.ru/link/?req=doc&amp;base=SPB&amp;n=320743&amp;dst=108615" TargetMode = "External"/><Relationship Id="rId18" Type="http://schemas.openxmlformats.org/officeDocument/2006/relationships/hyperlink" Target="https://login.consultant.ru/link/?req=doc&amp;base=LAW&amp;n=528132&amp;dst=100029" TargetMode = "External"/><Relationship Id="rId19" Type="http://schemas.openxmlformats.org/officeDocument/2006/relationships/hyperlink" Target="https://login.consultant.ru/link/?req=doc&amp;base=SPB&amp;n=316628&amp;dst=164218" TargetMode = "External"/><Relationship Id="rId20" Type="http://schemas.openxmlformats.org/officeDocument/2006/relationships/hyperlink" Target="https://login.consultant.ru/link/?req=doc&amp;base=LAW&amp;n=495181" TargetMode = "External"/><Relationship Id="rId21" Type="http://schemas.openxmlformats.org/officeDocument/2006/relationships/hyperlink" Target="https://edo.fincom.gov.spb.ru/subsidy-lk/support" TargetMode = "External"/><Relationship Id="rId22" Type="http://schemas.openxmlformats.org/officeDocument/2006/relationships/hyperlink" Target="https://login.consultant.ru/link/?req=doc&amp;base=LAW&amp;n=478980&amp;dst=100019" TargetMode = "External"/><Relationship Id="rId23" Type="http://schemas.openxmlformats.org/officeDocument/2006/relationships/hyperlink" Target="http://www.gov.spb.ru" TargetMode = "External"/><Relationship Id="rId24" Type="http://schemas.openxmlformats.org/officeDocument/2006/relationships/hyperlink" Target="https://login.consultant.ru/link/?req=doc&amp;base=LAW&amp;n=528132&amp;dst=100157" TargetMode = "External"/><Relationship Id="rId25" Type="http://schemas.openxmlformats.org/officeDocument/2006/relationships/hyperlink" Target="https://login.consultant.ru/link/?req=doc&amp;base=LAW&amp;n=532255&amp;dst=5769" TargetMode = "External"/><Relationship Id="rId26" Type="http://schemas.openxmlformats.org/officeDocument/2006/relationships/hyperlink" Target="https://login.consultant.ru/link/?req=doc&amp;base=LAW&amp;n=503698" TargetMode = "External"/><Relationship Id="rId27" Type="http://schemas.openxmlformats.org/officeDocument/2006/relationships/hyperlink" Target="https://login.consultant.ru/link/?req=doc&amp;base=LAW&amp;n=535012&amp;dst=3704" TargetMode = "External"/><Relationship Id="rId28" Type="http://schemas.openxmlformats.org/officeDocument/2006/relationships/hyperlink" Target="https://login.consultant.ru/link/?req=doc&amp;base=LAW&amp;n=535012&amp;dst=3722" TargetMode = "External"/><Relationship Id="rId29" Type="http://schemas.openxmlformats.org/officeDocument/2006/relationships/hyperlink" Target="https://login.consultant.ru/link/?req=doc&amp;base=LAW&amp;n=535012&amp;dst=3704" TargetMode = "External"/><Relationship Id="rId30" Type="http://schemas.openxmlformats.org/officeDocument/2006/relationships/hyperlink" Target="https://login.consultant.ru/link/?req=doc&amp;base=LAW&amp;n=535012&amp;dst=3722" TargetMode = "External"/><Relationship Id="rId31" Type="http://schemas.openxmlformats.org/officeDocument/2006/relationships/hyperlink" Target="https://login.consultant.ru/link/?req=doc&amp;base=LAW&amp;n=495002" TargetMode = "External"/><Relationship Id="rId32" Type="http://schemas.openxmlformats.org/officeDocument/2006/relationships/hyperlink" Target="https://login.consultant.ru/link/?req=doc&amp;base=LAW&amp;n=519026&amp;dst=100948" TargetMode = "External"/><Relationship Id="rId33" Type="http://schemas.openxmlformats.org/officeDocument/2006/relationships/hyperlink" Target="https://login.consultant.ru/link/?req=doc&amp;base=LAW&amp;n=519026&amp;dst=100948" TargetMode = "External"/><Relationship Id="rId34" Type="http://schemas.openxmlformats.org/officeDocument/2006/relationships/hyperlink" Target="https://login.consultant.ru/link/?req=doc&amp;base=LAW&amp;n=532255&amp;dst=5769" TargetMode = "External"/><Relationship Id="rId35" Type="http://schemas.openxmlformats.org/officeDocument/2006/relationships/hyperlink" Target="https://login.consultant.ru/link/?req=doc&amp;base=LAW&amp;n=528132&amp;dst=16" TargetMode = "External"/><Relationship Id="rId36" Type="http://schemas.openxmlformats.org/officeDocument/2006/relationships/image" Target="media/image2.wmf"/><Relationship Id="rId37" Type="http://schemas.openxmlformats.org/officeDocument/2006/relationships/hyperlink" Target="https://login.consultant.ru/link/?req=doc&amp;base=LAW&amp;n=532255&amp;dst=5769" TargetMode = "External"/><Relationship Id="rId38" Type="http://schemas.openxmlformats.org/officeDocument/2006/relationships/hyperlink" Target="https://login.consultant.ru/link/?req=doc&amp;base=LAW&amp;n=532972&amp;dst=100018" TargetMode = "External"/><Relationship Id="rId39" Type="http://schemas.openxmlformats.org/officeDocument/2006/relationships/hyperlink" Target="https://login.consultant.ru/link/?req=doc&amp;base=LAW&amp;n=532972&amp;dst=16810" TargetMode = "External"/><Relationship Id="rId40" Type="http://schemas.openxmlformats.org/officeDocument/2006/relationships/hyperlink" Target="https://login.consultant.ru/link/?req=doc&amp;base=LAW&amp;n=532255&amp;dst=5769" TargetMode = "External"/><Relationship Id="rId41" Type="http://schemas.openxmlformats.org/officeDocument/2006/relationships/image" Target="media/image3.wmf"/><Relationship Id="rId42" Type="http://schemas.openxmlformats.org/officeDocument/2006/relationships/hyperlink" Target="https://login.consultant.ru/link/?req=doc&amp;base=LAW&amp;n=535012&amp;dst=3704" TargetMode = "External"/><Relationship Id="rId43" Type="http://schemas.openxmlformats.org/officeDocument/2006/relationships/hyperlink" Target="https://login.consultant.ru/link/?req=doc&amp;base=LAW&amp;n=535012&amp;dst=3722" TargetMode = "External"/><Relationship Id="rId44" Type="http://schemas.openxmlformats.org/officeDocument/2006/relationships/hyperlink" Target="https://login.consultant.ru/link/?req=doc&amp;base=LAW&amp;n=508490&amp;dst=470" TargetMode = "External"/><Relationship Id="rId45" Type="http://schemas.openxmlformats.org/officeDocument/2006/relationships/hyperlink" Target="https://login.consultant.ru/link/?req=doc&amp;base=LAW&amp;n=478980&amp;dst=100019" TargetMode = "External"/><Relationship Id="rId46" Type="http://schemas.openxmlformats.org/officeDocument/2006/relationships/hyperlink" Target="https://login.consultant.ru/link/?req=doc&amp;base=LAW&amp;n=532972&amp;dst=100018" TargetMode = "External"/><Relationship Id="rId47" Type="http://schemas.openxmlformats.org/officeDocument/2006/relationships/hyperlink" Target="https://login.consultant.ru/link/?req=doc&amp;base=LAW&amp;n=532972&amp;dst=16810" TargetMode = "External"/><Relationship Id="rId48" Type="http://schemas.openxmlformats.org/officeDocument/2006/relationships/hyperlink" Target="https://login.consultant.ru/link/?req=doc&amp;base=LAW&amp;n=532255" TargetMode = "External"/><Relationship Id="rId49" Type="http://schemas.openxmlformats.org/officeDocument/2006/relationships/hyperlink" Target="https://login.consultant.ru/link/?req=doc&amp;base=LAW&amp;n=535012&amp;dst=3704" TargetMode = "External"/><Relationship Id="rId50" Type="http://schemas.openxmlformats.org/officeDocument/2006/relationships/hyperlink" Target="https://login.consultant.ru/link/?req=doc&amp;base=LAW&amp;n=535012&amp;dst=3722" TargetMode = "External"/><Relationship Id="rId51" Type="http://schemas.openxmlformats.org/officeDocument/2006/relationships/hyperlink" Target="https://login.consultant.ru/link/?req=doc&amp;base=LAW&amp;n=503698" TargetMode = "External"/><Relationship Id="rId52" Type="http://schemas.openxmlformats.org/officeDocument/2006/relationships/hyperlink" Target="https://login.consultant.ru/link/?req=doc&amp;base=LAW&amp;n=495002" TargetMode = "External"/><Relationship Id="rId53" Type="http://schemas.openxmlformats.org/officeDocument/2006/relationships/hyperlink" Target="https://login.consultant.ru/link/?req=doc&amp;base=LAW&amp;n=535012&amp;dst=3704" TargetMode = "External"/><Relationship Id="rId54" Type="http://schemas.openxmlformats.org/officeDocument/2006/relationships/hyperlink" Target="https://login.consultant.ru/link/?req=doc&amp;base=LAW&amp;n=535012&amp;dst=3722" TargetMode = "External"/><Relationship Id="rId55" Type="http://schemas.openxmlformats.org/officeDocument/2006/relationships/hyperlink" Target="https://login.consultant.ru/link/?req=doc&amp;base=LAW&amp;n=519026&amp;dst=100948" TargetMode = "External"/><Relationship Id="rId56" Type="http://schemas.openxmlformats.org/officeDocument/2006/relationships/hyperlink" Target="https://login.consultant.ru/link/?req=doc&amp;base=LAW&amp;n=519026&amp;dst=100948" TargetMode = "External"/><Relationship Id="rId57" Type="http://schemas.openxmlformats.org/officeDocument/2006/relationships/hyperlink" Target="https://login.consultant.ru/link/?req=doc&amp;base=LAW&amp;n=499769&amp;dst=100257" TargetMode = "External"/><Relationship Id="rId58" Type="http://schemas.openxmlformats.org/officeDocument/2006/relationships/hyperlink" Target="https://login.consultant.ru/link/?req=doc&amp;base=LAW&amp;n=499769&amp;dst=100278" TargetMode = "External"/><Relationship Id="rId59" Type="http://schemas.openxmlformats.org/officeDocument/2006/relationships/hyperlink" Target="https://login.consultant.ru/link/?req=doc&amp;base=LAW&amp;n=495181" TargetMode = "External"/><Relationship Id="rId60" Type="http://schemas.openxmlformats.org/officeDocument/2006/relationships/hyperlink" Target="https://login.consultant.ru/link/?req=doc&amp;base=LAW&amp;n=499769&amp;dst=100109" TargetMode = "External"/><Relationship Id="rId61" Type="http://schemas.openxmlformats.org/officeDocument/2006/relationships/hyperlink" Target="https://login.consultant.ru/link/?req=doc&amp;base=LAW&amp;n=478980&amp;dst=100019" TargetMode = "External"/><Relationship Id="rId62" Type="http://schemas.openxmlformats.org/officeDocument/2006/relationships/hyperlink" Target="https://login.consultant.ru/link/?req=doc&amp;base=LAW&amp;n=535012&amp;dst=3704" TargetMode = "External"/><Relationship Id="rId63" Type="http://schemas.openxmlformats.org/officeDocument/2006/relationships/hyperlink" Target="https://login.consultant.ru/link/?req=doc&amp;base=LAW&amp;n=535012&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21.05.2026 N 336
"О Порядке предоставления в 2026 году субсидий общественным объединениям научных работников, имеющим место нахождения в Санкт-Петербурге, в целях развития их научно-просветительской, научно-исследовательской и педагогической деятельности"</dc:title>
  <dcterms:created xsi:type="dcterms:W3CDTF">2026-06-12T13:31:24Z</dcterms:created>
</cp:coreProperties>
</file>