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09.06.2022 N 511</w:t>
              <w:br/>
              <w:t xml:space="preserve">"О Порядке предоставления в 2022 году субсидий социально ориентированным некоммерческим организациям, осуществляющим деятельность в области науки и образования, реализующим аккредитованные программы высшего образования, в целях внедрения современных программ непрерывного образования"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pPr>
      <w:r>
        <w:rPr>
          <w:sz w:val="20"/>
        </w:rPr>
      </w:r>
    </w:p>
    <w:p>
      <w:pPr>
        <w:pStyle w:val="2"/>
        <w:jc w:val="center"/>
      </w:pPr>
      <w:r>
        <w:rPr>
          <w:sz w:val="20"/>
        </w:rPr>
        <w:t xml:space="preserve">ПОСТАНОВЛЕНИЕ</w:t>
      </w:r>
    </w:p>
    <w:p>
      <w:pPr>
        <w:pStyle w:val="2"/>
        <w:jc w:val="center"/>
      </w:pPr>
      <w:r>
        <w:rPr>
          <w:sz w:val="20"/>
        </w:rPr>
        <w:t xml:space="preserve">от 9 июня 2022 г. N 511</w:t>
      </w:r>
    </w:p>
    <w:p>
      <w:pPr>
        <w:pStyle w:val="2"/>
      </w:pPr>
      <w:r>
        <w:rPr>
          <w:sz w:val="20"/>
        </w:rPr>
      </w:r>
    </w:p>
    <w:p>
      <w:pPr>
        <w:pStyle w:val="2"/>
        <w:jc w:val="center"/>
      </w:pPr>
      <w:r>
        <w:rPr>
          <w:sz w:val="20"/>
        </w:rPr>
        <w:t xml:space="preserve">О ПОРЯДКЕ ПРЕДОСТАВЛЕНИЯ В 2022 ГОДУ СУБСИДИЙ СОЦИАЛЬНО</w:t>
      </w:r>
    </w:p>
    <w:p>
      <w:pPr>
        <w:pStyle w:val="2"/>
        <w:jc w:val="center"/>
      </w:pPr>
      <w:r>
        <w:rPr>
          <w:sz w:val="20"/>
        </w:rPr>
        <w:t xml:space="preserve">ОРИЕНТИРОВАННЫМ НЕКОММЕРЧЕСКИМ ОРГАНИЗАЦИЯМ, ОСУЩЕСТВЛЯЮЩИМ</w:t>
      </w:r>
    </w:p>
    <w:p>
      <w:pPr>
        <w:pStyle w:val="2"/>
        <w:jc w:val="center"/>
      </w:pPr>
      <w:r>
        <w:rPr>
          <w:sz w:val="20"/>
        </w:rPr>
        <w:t xml:space="preserve">ДЕЯТЕЛЬНОСТЬ В ОБЛАСТИ НАУКИ И ОБРАЗОВАНИЯ, РЕАЛИЗУЮЩИМ</w:t>
      </w:r>
    </w:p>
    <w:p>
      <w:pPr>
        <w:pStyle w:val="2"/>
        <w:jc w:val="center"/>
      </w:pPr>
      <w:r>
        <w:rPr>
          <w:sz w:val="20"/>
        </w:rPr>
        <w:t xml:space="preserve">АККРЕДИТОВАННЫЕ ПРОГРАММЫ ВЫСШЕГО ОБРАЗОВАНИЯ, В ЦЕЛЯХ</w:t>
      </w:r>
    </w:p>
    <w:p>
      <w:pPr>
        <w:pStyle w:val="2"/>
        <w:jc w:val="center"/>
      </w:pPr>
      <w:r>
        <w:rPr>
          <w:sz w:val="20"/>
        </w:rPr>
        <w:t xml:space="preserve">ВНЕДРЕНИЯ СОВРЕМЕННЫХ ПРОГРАММ НЕПРЕРЫВНОГО ОБРАЗОВАНИЯ</w:t>
      </w:r>
    </w:p>
    <w:p>
      <w:pPr>
        <w:pStyle w:val="0"/>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w:t>
      </w:r>
      <w:hyperlink w:history="0" r:id="rId8" w:tooltip="Закон Санкт-Петербурга от 25.11.2021 N 558-119 (ред. от 10.11.2022) &quot;О бюджете Санкт-Петербурга на 2022 год и на плановый период 2023 и 2024 годов&quot; (принят ЗС СПб 24.11.2021) {КонсультантПлюс}">
        <w:r>
          <w:rPr>
            <w:sz w:val="20"/>
            <w:color w:val="0000ff"/>
          </w:rPr>
          <w:t xml:space="preserve">Законом</w:t>
        </w:r>
      </w:hyperlink>
      <w:r>
        <w:rPr>
          <w:sz w:val="20"/>
        </w:rPr>
        <w:t xml:space="preserve"> Санкт-Петербурга от 24.11.2021 N 558-119 "О бюджете Санкт-Петербурга на 2022 год и на плановый период 2023 и 2024 годов", </w:t>
      </w:r>
      <w:hyperlink w:history="0" r:id="rId9" w:tooltip="Закон Санкт-Петербурга от 11.04.2011 N 153-41 (ред. от 17.10.2022)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Законом</w:t>
        </w:r>
      </w:hyperlink>
      <w:r>
        <w:rPr>
          <w:sz w:val="20"/>
        </w:rPr>
        <w:t xml:space="preserve"> Санкт-Петербурга от 23.03.2011 N 153-41 "О поддержке социально ориентированных некоммерческих организаций в Санкт-Петербурге", общими </w:t>
      </w:r>
      <w:hyperlink w:history="0" r:id="rId10"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и </w:t>
      </w:r>
      <w:hyperlink w:history="0" r:id="rId11" w:tooltip="Постановление Правительства Санкт-Петербурга от 23.06.2014 N 496 (ред. от 09.08.2022) &quot;О государственной программе Санкт-Петербурга &quot;Экономика знаний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23.06.2014 N 496 "О государственной программе Санкт-Петербурга "Экономика знаний в Санкт-Петербурге" Правительство Санкт-Петербурга постановляет:</w:t>
      </w:r>
    </w:p>
    <w:p>
      <w:pPr>
        <w:pStyle w:val="0"/>
      </w:pPr>
      <w:r>
        <w:rPr>
          <w:sz w:val="20"/>
        </w:rPr>
      </w:r>
    </w:p>
    <w:p>
      <w:pPr>
        <w:pStyle w:val="0"/>
        <w:ind w:firstLine="540"/>
        <w:jc w:val="both"/>
      </w:pPr>
      <w:r>
        <w:rPr>
          <w:sz w:val="20"/>
        </w:rPr>
        <w:t xml:space="preserve">1. Утвердить </w:t>
      </w:r>
      <w:hyperlink w:history="0" w:anchor="P40" w:tooltip="ПОРЯДОК">
        <w:r>
          <w:rPr>
            <w:sz w:val="20"/>
            <w:color w:val="0000ff"/>
          </w:rPr>
          <w:t xml:space="preserve">Порядок</w:t>
        </w:r>
      </w:hyperlink>
      <w:r>
        <w:rPr>
          <w:sz w:val="20"/>
        </w:rPr>
        <w:t xml:space="preserve"> предоставления в 2022 году субсидий социально ориентированным некоммерческим организациям, осуществляющим деятельность в области науки и образования, реализующим аккредитованные программы высшего образования, в целях внедрения современных программ непрерывного образования (далее - Порядок) согласно приложению.</w:t>
      </w:r>
    </w:p>
    <w:p>
      <w:pPr>
        <w:pStyle w:val="0"/>
        <w:spacing w:before="200" w:line-rule="auto"/>
        <w:ind w:firstLine="540"/>
        <w:jc w:val="both"/>
      </w:pPr>
      <w:r>
        <w:rPr>
          <w:sz w:val="20"/>
        </w:rPr>
        <w:t xml:space="preserve">2. Комитету по науке и высшей школе (далее - Комитет) в месячный срок в соответствии с </w:t>
      </w:r>
      <w:hyperlink w:history="0" r:id="rId12" w:tooltip="&quot;Бюджетный кодекс Российской Федерации&quot; от 31.07.1998 N 145-ФЗ (ред. от 21.11.2022) {КонсультантПлюс}">
        <w:r>
          <w:rPr>
            <w:sz w:val="20"/>
            <w:color w:val="0000ff"/>
          </w:rPr>
          <w:t xml:space="preserve">абзацем третьим пункта 2 статьи 78.1</w:t>
        </w:r>
      </w:hyperlink>
      <w:r>
        <w:rPr>
          <w:sz w:val="20"/>
        </w:rPr>
        <w:t xml:space="preserve"> Бюджетного кодекса Российской Федерации и общими требованиями и в целях реализации Порядка принять нормативный правовой акт, регулирующий предоставление субсидий в соответствии с Порядком (далее - субсидии), которым установить:</w:t>
      </w:r>
    </w:p>
    <w:p>
      <w:pPr>
        <w:pStyle w:val="0"/>
        <w:spacing w:before="200" w:line-rule="auto"/>
        <w:ind w:firstLine="540"/>
        <w:jc w:val="both"/>
      </w:pPr>
      <w:r>
        <w:rPr>
          <w:sz w:val="20"/>
        </w:rPr>
        <w:t xml:space="preserve">2.1. Сроки размещения на официальном сайте Комитета в информационно-телекоммуникационной сети "Интернет" (далее - сайт Комитета) объявления о проведении отбора в форме конкурса на предоставление субсидий (далее - отбор).</w:t>
      </w:r>
    </w:p>
    <w:p>
      <w:pPr>
        <w:pStyle w:val="0"/>
        <w:spacing w:before="200" w:line-rule="auto"/>
        <w:ind w:firstLine="540"/>
        <w:jc w:val="both"/>
      </w:pPr>
      <w:r>
        <w:rPr>
          <w:sz w:val="20"/>
        </w:rPr>
        <w:t xml:space="preserve">2.2. Срок возврата получателем субсидий в бюджет Санкт-Петербурга остатка субсидий, не использованного в отчетном финансовом году.</w:t>
      </w:r>
    </w:p>
    <w:p>
      <w:pPr>
        <w:pStyle w:val="0"/>
        <w:spacing w:before="200" w:line-rule="auto"/>
        <w:ind w:firstLine="540"/>
        <w:jc w:val="both"/>
      </w:pPr>
      <w:r>
        <w:rPr>
          <w:sz w:val="20"/>
        </w:rPr>
        <w:t xml:space="preserve">2.3. Порядок проведения отбора в части, не урегулированной Порядком, устанавливающий в том числе:</w:t>
      </w:r>
    </w:p>
    <w:p>
      <w:pPr>
        <w:pStyle w:val="0"/>
        <w:spacing w:before="200" w:line-rule="auto"/>
        <w:ind w:firstLine="540"/>
        <w:jc w:val="both"/>
      </w:pPr>
      <w:r>
        <w:rPr>
          <w:sz w:val="20"/>
        </w:rPr>
        <w:t xml:space="preserve">сроки проведения отбора;</w:t>
      </w:r>
    </w:p>
    <w:p>
      <w:pPr>
        <w:pStyle w:val="0"/>
        <w:spacing w:before="200" w:line-rule="auto"/>
        <w:ind w:firstLine="540"/>
        <w:jc w:val="both"/>
      </w:pPr>
      <w:r>
        <w:rPr>
          <w:sz w:val="20"/>
        </w:rPr>
        <w:t xml:space="preserve">порядок подачи участниками отбора заявок на участие в отборе (далее - заявки) и документов, представляемых участниками отбора в Комитет для участия в отборе (далее - документы);</w:t>
      </w:r>
    </w:p>
    <w:p>
      <w:pPr>
        <w:pStyle w:val="0"/>
        <w:spacing w:before="200" w:line-rule="auto"/>
        <w:ind w:firstLine="540"/>
        <w:jc w:val="both"/>
      </w:pPr>
      <w:r>
        <w:rPr>
          <w:sz w:val="20"/>
        </w:rPr>
        <w:t xml:space="preserve">правила рассмотрения и оценки заявок и документов, которые должны содержать:</w:t>
      </w:r>
    </w:p>
    <w:p>
      <w:pPr>
        <w:pStyle w:val="0"/>
        <w:spacing w:before="200" w:line-rule="auto"/>
        <w:ind w:firstLine="540"/>
        <w:jc w:val="both"/>
      </w:pPr>
      <w:r>
        <w:rPr>
          <w:sz w:val="20"/>
        </w:rPr>
        <w:t xml:space="preserve">порядок рассмотрения заявок и документов на предмет их соответствия установленным в объявлении о проведении отбора требованиям;</w:t>
      </w:r>
    </w:p>
    <w:p>
      <w:pPr>
        <w:pStyle w:val="0"/>
        <w:spacing w:before="200" w:line-rule="auto"/>
        <w:ind w:firstLine="540"/>
        <w:jc w:val="both"/>
      </w:pPr>
      <w:r>
        <w:rPr>
          <w:sz w:val="20"/>
        </w:rPr>
        <w:t xml:space="preserve">значение весового коэффициента критериев отбора в общей оценке заявки и документов, порядок присвоения баллов по каждому критерию отбора и порядок принятия комиссией для рассмотрения и оценки заявок решения о результатах отбора.</w:t>
      </w:r>
    </w:p>
    <w:p>
      <w:pPr>
        <w:pStyle w:val="0"/>
        <w:spacing w:before="200" w:line-rule="auto"/>
        <w:ind w:firstLine="540"/>
        <w:jc w:val="both"/>
      </w:pPr>
      <w:r>
        <w:rPr>
          <w:sz w:val="20"/>
        </w:rPr>
        <w:t xml:space="preserve">2.4. Порядок формирования комиссии для рассмотрения и оценки заявок, ее состав и положение о ней.</w:t>
      </w:r>
    </w:p>
    <w:p>
      <w:pPr>
        <w:pStyle w:val="0"/>
        <w:spacing w:before="200" w:line-rule="auto"/>
        <w:ind w:firstLine="540"/>
        <w:jc w:val="both"/>
      </w:pPr>
      <w:r>
        <w:rPr>
          <w:sz w:val="20"/>
        </w:rPr>
        <w:t xml:space="preserve">2.5. Порядок представления и рассмотрения отчетности о достижении значений результата предоставления субсидий (далее - результат) и показателя, необходимого для достижения значений результата (далее - показатель), отчетности об осуществлении расходов, источником финансового обеспечения которых являются субсидии, в части, не урегулированной Порядком, сроки представления получателем субсидий в Комитет отчета о достижении значений результата и показателя, отчета об осуществлении расходов, источником финансового обеспечения которых являются субсидии, а также сроки проведения Комитетом проверок соблюдения получателем субсидий порядка и условий предоставления субсидий, в том числе в части достижения результатов их предоставления и проверок соблюдения лицами, получающими за счет субсидий средства на основании договоров, заключенных с получателем субсидий, порядка и условий предоставления субсидий, в том числе в части достижения результатов их предоставления.</w:t>
      </w:r>
    </w:p>
    <w:p>
      <w:pPr>
        <w:pStyle w:val="0"/>
        <w:spacing w:before="200" w:line-rule="auto"/>
        <w:ind w:firstLine="540"/>
        <w:jc w:val="both"/>
      </w:pPr>
      <w:r>
        <w:rPr>
          <w:sz w:val="20"/>
        </w:rPr>
        <w:t xml:space="preserve">3. Контроль за выполнением постановления возложить на вице-губернатора Санкт-Петербурга Княгинина В.Н.</w:t>
      </w:r>
    </w:p>
    <w:p>
      <w:pPr>
        <w:pStyle w:val="0"/>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09.06.2022 N 511</w:t>
      </w:r>
    </w:p>
    <w:p>
      <w:pPr>
        <w:pStyle w:val="0"/>
      </w:pPr>
      <w:r>
        <w:rPr>
          <w:sz w:val="20"/>
        </w:rPr>
      </w:r>
    </w:p>
    <w:bookmarkStart w:id="40" w:name="P40"/>
    <w:bookmarkEnd w:id="40"/>
    <w:p>
      <w:pPr>
        <w:pStyle w:val="2"/>
        <w:jc w:val="center"/>
      </w:pPr>
      <w:r>
        <w:rPr>
          <w:sz w:val="20"/>
        </w:rPr>
        <w:t xml:space="preserve">ПОРЯДОК</w:t>
      </w:r>
    </w:p>
    <w:p>
      <w:pPr>
        <w:pStyle w:val="2"/>
        <w:jc w:val="center"/>
      </w:pPr>
      <w:r>
        <w:rPr>
          <w:sz w:val="20"/>
        </w:rPr>
        <w:t xml:space="preserve">ПРЕДОСТАВЛЕНИЯ В 2022 ГОДУ СУБСИДИЙ СОЦИАЛЬНО</w:t>
      </w:r>
    </w:p>
    <w:p>
      <w:pPr>
        <w:pStyle w:val="2"/>
        <w:jc w:val="center"/>
      </w:pPr>
      <w:r>
        <w:rPr>
          <w:sz w:val="20"/>
        </w:rPr>
        <w:t xml:space="preserve">ОРИЕНТИРОВАННЫМ НЕКОММЕРЧЕСКИМ ОРГАНИЗАЦИЯМ, ОСУЩЕСТВЛЯЮЩИМ</w:t>
      </w:r>
    </w:p>
    <w:p>
      <w:pPr>
        <w:pStyle w:val="2"/>
        <w:jc w:val="center"/>
      </w:pPr>
      <w:r>
        <w:rPr>
          <w:sz w:val="20"/>
        </w:rPr>
        <w:t xml:space="preserve">ДЕЯТЕЛЬНОСТЬ В ОБЛАСТИ НАУКИ И ОБРАЗОВАНИЯ, РЕАЛИЗУЮЩИМ</w:t>
      </w:r>
    </w:p>
    <w:p>
      <w:pPr>
        <w:pStyle w:val="2"/>
        <w:jc w:val="center"/>
      </w:pPr>
      <w:r>
        <w:rPr>
          <w:sz w:val="20"/>
        </w:rPr>
        <w:t xml:space="preserve">АККРЕДИТОВАННЫЕ ПРОГРАММЫ ВЫСШЕГО ОБРАЗОВАНИЯ, В ЦЕЛЯХ</w:t>
      </w:r>
    </w:p>
    <w:p>
      <w:pPr>
        <w:pStyle w:val="2"/>
        <w:jc w:val="center"/>
      </w:pPr>
      <w:r>
        <w:rPr>
          <w:sz w:val="20"/>
        </w:rPr>
        <w:t xml:space="preserve">ВНЕДРЕНИЯ СОВРЕМЕННЫХ ПРОГРАММ НЕПРЕРЫВНОГО ОБРАЗОВАНИЯ</w:t>
      </w:r>
    </w:p>
    <w:p>
      <w:pPr>
        <w:pStyle w:val="0"/>
      </w:pPr>
      <w:r>
        <w:rPr>
          <w:sz w:val="20"/>
        </w:rPr>
      </w:r>
    </w:p>
    <w:p>
      <w:pPr>
        <w:pStyle w:val="2"/>
        <w:outlineLvl w:val="1"/>
        <w:jc w:val="center"/>
      </w:pPr>
      <w:r>
        <w:rPr>
          <w:sz w:val="20"/>
        </w:rPr>
        <w:t xml:space="preserve">1. Общие положения</w:t>
      </w:r>
    </w:p>
    <w:p>
      <w:pPr>
        <w:pStyle w:val="0"/>
      </w:pPr>
      <w:r>
        <w:rPr>
          <w:sz w:val="20"/>
        </w:rPr>
      </w:r>
    </w:p>
    <w:p>
      <w:pPr>
        <w:pStyle w:val="0"/>
        <w:ind w:firstLine="540"/>
        <w:jc w:val="both"/>
      </w:pPr>
      <w:r>
        <w:rPr>
          <w:sz w:val="20"/>
        </w:rPr>
        <w:t xml:space="preserve">1.1. Настоящий Порядок устанавливает правила предоставления в 2022 году субсидий, предусмотренных Комитету по науке и высшей школе (далее - Комитет) </w:t>
      </w:r>
      <w:hyperlink w:history="0" r:id="rId13" w:tooltip="Закон Санкт-Петербурга от 25.11.2021 N 558-119 (ред. от 10.11.2022) &quot;О бюджете Санкт-Петербурга на 2022 год и на плановый период 2023 и 2024 годов&quot; (принят ЗС СПб 24.11.2021) {КонсультантПлюс}">
        <w:r>
          <w:rPr>
            <w:sz w:val="20"/>
            <w:color w:val="0000ff"/>
          </w:rPr>
          <w:t xml:space="preserve">статьей расходов</w:t>
        </w:r>
      </w:hyperlink>
      <w:r>
        <w:rPr>
          <w:sz w:val="20"/>
        </w:rPr>
        <w:t xml:space="preserve"> "Субсидии социально ориентированным некоммерческим организациям, осуществляющим деятельность в области науки и образования, реализующим аккредитованные программы высшего образования, в целях внедрения современных программ непрерывного образования" (код целевой статьи 1140096440) в приложении 2 к Закону Санкт-Петербурга от 24.11.2021 N 558-119 "О бюджете Санкт-Петербурга на 2022 год и на плановый период 2023 и 2024 годов" (далее - Закон о бюджете Санкт-Петербурга) в соответствии с </w:t>
      </w:r>
      <w:hyperlink w:history="0" r:id="rId14" w:tooltip="Закон Санкт-Петербурга от 11.04.2011 N 153-41 (ред. от 17.10.2022)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Законом</w:t>
        </w:r>
      </w:hyperlink>
      <w:r>
        <w:rPr>
          <w:sz w:val="20"/>
        </w:rPr>
        <w:t xml:space="preserve"> Санкт-Петербурга от 23.03.2011 N 153-41 "О поддержке социально ориентированных некоммерческих организаций в Санкт-Петербурге" и </w:t>
      </w:r>
      <w:hyperlink w:history="0" r:id="rId15" w:tooltip="Постановление Правительства Санкт-Петербурга от 23.06.2014 N 496 (ред. от 09.08.2022) &quot;О государственной программе Санкт-Петербурга &quot;Экономика знаний в Санкт-Петербурге&quot; {КонсультантПлюс}">
        <w:r>
          <w:rPr>
            <w:sz w:val="20"/>
            <w:color w:val="0000ff"/>
          </w:rPr>
          <w:t xml:space="preserve">подпрограммой 4</w:t>
        </w:r>
      </w:hyperlink>
      <w:r>
        <w:rPr>
          <w:sz w:val="20"/>
        </w:rPr>
        <w:t xml:space="preserve"> государственной программы Санкт-Петербурга "Экономика знаний в Санкт-Петербурге", утвержденной постановлением Правительства Санкт-Петербурга от 23.06.2014 N 496, в целях финансового обеспечения затрат социально ориентированных некоммерческих организаций, осуществляющих деятельность в области науки и образования, реализующих аккредитованные программы высшего образования, на реализацию современных программ непрерывного образования (далее - субсидия).</w:t>
      </w:r>
    </w:p>
    <w:p>
      <w:pPr>
        <w:pStyle w:val="0"/>
        <w:spacing w:before="200" w:line-rule="auto"/>
        <w:ind w:firstLine="540"/>
        <w:jc w:val="both"/>
      </w:pPr>
      <w:r>
        <w:rPr>
          <w:sz w:val="20"/>
        </w:rPr>
        <w:t xml:space="preserve">1.2. В настоящем Порядке применяются следующие понятия:</w:t>
      </w:r>
    </w:p>
    <w:p>
      <w:pPr>
        <w:pStyle w:val="0"/>
        <w:spacing w:before="200" w:line-rule="auto"/>
        <w:ind w:firstLine="540"/>
        <w:jc w:val="both"/>
      </w:pPr>
      <w:r>
        <w:rPr>
          <w:sz w:val="20"/>
        </w:rPr>
        <w:t xml:space="preserve">документы - материалы и документы, в том числе на электронном носителе, включая опись документов с указанием страниц, на которых находятся соответствующие материалы и документы, представляемые для участия в отборе, проводимом в форме конкурса, на право получения в 2022 году субсидии (далее - отбор);</w:t>
      </w:r>
    </w:p>
    <w:p>
      <w:pPr>
        <w:pStyle w:val="0"/>
        <w:spacing w:before="200" w:line-rule="auto"/>
        <w:ind w:firstLine="540"/>
        <w:jc w:val="both"/>
      </w:pPr>
      <w:r>
        <w:rPr>
          <w:sz w:val="20"/>
        </w:rPr>
        <w:t xml:space="preserve">заявка - заявка на участие в отборе, представляемая участником отбора в Комитет;</w:t>
      </w:r>
    </w:p>
    <w:p>
      <w:pPr>
        <w:pStyle w:val="0"/>
        <w:spacing w:before="200" w:line-rule="auto"/>
        <w:ind w:firstLine="540"/>
        <w:jc w:val="both"/>
      </w:pPr>
      <w:r>
        <w:rPr>
          <w:sz w:val="20"/>
        </w:rPr>
        <w:t xml:space="preserve">получатель субсидий - участник отбора, в отношении которого Комитетом принято решение о предоставлении субсидий;</w:t>
      </w:r>
    </w:p>
    <w:p>
      <w:pPr>
        <w:pStyle w:val="0"/>
        <w:spacing w:before="200" w:line-rule="auto"/>
        <w:ind w:firstLine="540"/>
        <w:jc w:val="both"/>
      </w:pPr>
      <w:r>
        <w:rPr>
          <w:sz w:val="20"/>
        </w:rPr>
        <w:t xml:space="preserve">слушатель - гражданин в возрасте 35-50 лет (на дату подписания приказа о зачислении на обучение), успешно завершивший обучение по современной программе непрерывного образования в области подготовки кадров для цифровой трансформации экономики и получивший удостоверение о повышении квалификации;</w:t>
      </w:r>
    </w:p>
    <w:p>
      <w:pPr>
        <w:pStyle w:val="0"/>
        <w:spacing w:before="200" w:line-rule="auto"/>
        <w:ind w:firstLine="540"/>
        <w:jc w:val="both"/>
      </w:pPr>
      <w:r>
        <w:rPr>
          <w:sz w:val="20"/>
        </w:rPr>
        <w:t xml:space="preserve">современная программа непрерывного образования в области подготовки кадров для цифровой трансформации экономики - программа повышения квалификации для граждан в возрасте 35-50 лет (на дату издания приказа о зачислении на обучение) по компетенциям цифровой экономики в одной из областей: большие данные; программирование и создание ИТ-продуктов; разработка мобильных приложений; распределенные и облачные вычисления; цифровой маркетинг и медиа; системный аналитик, - реализуемая с применением электронного обучения и дистанционных образовательных технологий. Указанные программы могут быть реализованы на базовом уровне (не менее 24 академических часов) и углубленном (продвинутом) уровне (не менее 36 академических часов);</w:t>
      </w:r>
    </w:p>
    <w:p>
      <w:pPr>
        <w:pStyle w:val="0"/>
        <w:spacing w:before="200" w:line-rule="auto"/>
        <w:ind w:firstLine="540"/>
        <w:jc w:val="both"/>
      </w:pPr>
      <w:r>
        <w:rPr>
          <w:sz w:val="20"/>
        </w:rPr>
        <w:t xml:space="preserve">участники отбора - социально ориентированные некоммерческие организации, осуществляющие на территории Санкт-Петербурга в соответствии с учредительными документами деятельность в области науки и образования, предусмотренную в </w:t>
      </w:r>
      <w:hyperlink w:history="0" r:id="rId16" w:tooltip="Закон Санкт-Петербурга от 11.04.2011 N 153-41 (ред. от 17.10.2022)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пункте 9 статьи 3</w:t>
        </w:r>
      </w:hyperlink>
      <w:r>
        <w:rPr>
          <w:sz w:val="20"/>
        </w:rPr>
        <w:t xml:space="preserve"> Закона Санкт-Петербурга от 23.03.2011 N 153-41 "О поддержке социально ориентированных некоммерческих организаций в Санкт-Петербурге", и подавшие заявку и документы в Комитет;</w:t>
      </w:r>
    </w:p>
    <w:p>
      <w:pPr>
        <w:pStyle w:val="0"/>
        <w:spacing w:before="200" w:line-rule="auto"/>
        <w:ind w:firstLine="540"/>
        <w:jc w:val="both"/>
      </w:pPr>
      <w:r>
        <w:rPr>
          <w:sz w:val="20"/>
        </w:rPr>
        <w:t xml:space="preserve">человеко-программа - величина, характеризующая количество реализуемых современных программ непрерывного образования в области подготовки кадров для цифровой трансформации экономики и количество слушателей, обучаемых по ним, которая определяется произведением таких программ и слушателей (плановое значение человеко-программ рассчитывается на этапе представления заявки исходя из планируемого количества таких программ и слушателей, фактическое значение человеко-программ - после завершения обучения исходя из количества фактически реализованных программ и количества слушателей, успешно завершивших обучение).</w:t>
      </w:r>
    </w:p>
    <w:bookmarkStart w:id="58" w:name="P58"/>
    <w:bookmarkEnd w:id="58"/>
    <w:p>
      <w:pPr>
        <w:pStyle w:val="0"/>
        <w:spacing w:before="200" w:line-rule="auto"/>
        <w:ind w:firstLine="540"/>
        <w:jc w:val="both"/>
      </w:pPr>
      <w:r>
        <w:rPr>
          <w:sz w:val="20"/>
        </w:rPr>
        <w:t xml:space="preserve">1.3. Субсидия предоставляется на безвозмездной и безвозвратной основе получателю субсидии в целях финансового обеспечения затрат, возникших в 2022 году, но не позднее 05.12.2022, в связи реализацией в 2022 году современных программ непрерывного образования в области подготовки кадров для цифровой трансформации экономики по направлениям затрат, указанным в </w:t>
      </w:r>
      <w:hyperlink w:history="0" w:anchor="P587" w:tooltip="СМЕТА ПО НАПРАВЛЕНИЯМ ЗАТРАТ">
        <w:r>
          <w:rPr>
            <w:sz w:val="20"/>
            <w:color w:val="0000ff"/>
          </w:rPr>
          <w:t xml:space="preserve">приложении N 3</w:t>
        </w:r>
      </w:hyperlink>
      <w:r>
        <w:rPr>
          <w:sz w:val="20"/>
        </w:rPr>
        <w:t xml:space="preserve"> к настоящему Порядку (далее - затраты).</w:t>
      </w:r>
    </w:p>
    <w:p>
      <w:pPr>
        <w:pStyle w:val="0"/>
        <w:spacing w:before="200" w:line-rule="auto"/>
        <w:ind w:firstLine="540"/>
        <w:jc w:val="both"/>
      </w:pPr>
      <w:r>
        <w:rPr>
          <w:sz w:val="20"/>
        </w:rPr>
        <w:t xml:space="preserve">1.4. Субсидии предоставляются получателю субсидий, признанному победителем отбора, в пределах лимитов бюджетных обязательств, доведенных Комитету в установленном порядке и предусмотренных в Законе о бюджете Санкт-Петербурга.</w:t>
      </w:r>
    </w:p>
    <w:p>
      <w:pPr>
        <w:pStyle w:val="0"/>
        <w:spacing w:before="200" w:line-rule="auto"/>
        <w:ind w:firstLine="540"/>
        <w:jc w:val="both"/>
      </w:pPr>
      <w:r>
        <w:rPr>
          <w:sz w:val="20"/>
        </w:rPr>
        <w:t xml:space="preserve">1.5. Субсидии предоставляются по результатам отбора. Способом проведения отбора является конкурс, который проводится в целях определения победителя отбора исходя из наилучших условий достижения целей (результатов) предоставления субсидий. Порядок проведения отбора в части, не урегулированной настоящим Порядком, утверждается Комитетом.</w:t>
      </w:r>
    </w:p>
    <w:p>
      <w:pPr>
        <w:pStyle w:val="0"/>
        <w:spacing w:before="200" w:line-rule="auto"/>
        <w:ind w:firstLine="540"/>
        <w:jc w:val="both"/>
      </w:pPr>
      <w:r>
        <w:rPr>
          <w:sz w:val="20"/>
        </w:rPr>
        <w:t xml:space="preserve">В целях проведения отбора Комитетом создается комиссия для рассмотрения и оценки заявок (далее - комиссия). Порядок формирования комиссии, ее состав и положение о ней утверждаются Комитетом.</w:t>
      </w:r>
    </w:p>
    <w:bookmarkStart w:id="62" w:name="P62"/>
    <w:bookmarkEnd w:id="62"/>
    <w:p>
      <w:pPr>
        <w:pStyle w:val="0"/>
        <w:spacing w:before="200" w:line-rule="auto"/>
        <w:ind w:firstLine="540"/>
        <w:jc w:val="both"/>
      </w:pPr>
      <w:r>
        <w:rPr>
          <w:sz w:val="20"/>
        </w:rPr>
        <w:t xml:space="preserve">1.6. Критериями определения победителя отбора являются (далее - критерии);</w:t>
      </w:r>
    </w:p>
    <w:bookmarkStart w:id="63" w:name="P63"/>
    <w:bookmarkEnd w:id="63"/>
    <w:p>
      <w:pPr>
        <w:pStyle w:val="0"/>
        <w:spacing w:before="200" w:line-rule="auto"/>
        <w:ind w:firstLine="540"/>
        <w:jc w:val="both"/>
      </w:pPr>
      <w:r>
        <w:rPr>
          <w:sz w:val="20"/>
        </w:rPr>
        <w:t xml:space="preserve">1.6.1. Критерии профессиональной компетенции:</w:t>
      </w:r>
    </w:p>
    <w:p>
      <w:pPr>
        <w:pStyle w:val="0"/>
        <w:spacing w:before="200" w:line-rule="auto"/>
        <w:ind w:firstLine="540"/>
        <w:jc w:val="both"/>
      </w:pPr>
      <w:r>
        <w:rPr>
          <w:sz w:val="20"/>
        </w:rPr>
        <w:t xml:space="preserve">срок осуществления участником отбора своей уставной деятельности - от 0 до 5 баллов;</w:t>
      </w:r>
    </w:p>
    <w:p>
      <w:pPr>
        <w:pStyle w:val="0"/>
        <w:spacing w:before="200" w:line-rule="auto"/>
        <w:ind w:firstLine="540"/>
        <w:jc w:val="both"/>
      </w:pPr>
      <w:r>
        <w:rPr>
          <w:sz w:val="20"/>
        </w:rPr>
        <w:t xml:space="preserve">наличие у участника отбора опыта реализации в 2021 году современных программ непрерывного образования в области подготовки кадров для цифровой трансформации экономики - от 0 до 5 баллов;</w:t>
      </w:r>
    </w:p>
    <w:p>
      <w:pPr>
        <w:pStyle w:val="0"/>
        <w:spacing w:before="200" w:line-rule="auto"/>
        <w:ind w:firstLine="540"/>
        <w:jc w:val="both"/>
      </w:pPr>
      <w:r>
        <w:rPr>
          <w:sz w:val="20"/>
        </w:rPr>
        <w:t xml:space="preserve">наличие у участника отбора необходимой материально-технической базы для реализации современных программ непрерывного образования в области подготовки кадров для цифровой трансформации экономики с применением электронного обучения и дистанционных образовательных технологий - от 0 до 5 баллов;</w:t>
      </w:r>
    </w:p>
    <w:p>
      <w:pPr>
        <w:pStyle w:val="0"/>
        <w:spacing w:before="200" w:line-rule="auto"/>
        <w:ind w:firstLine="540"/>
        <w:jc w:val="both"/>
      </w:pPr>
      <w:r>
        <w:rPr>
          <w:sz w:val="20"/>
        </w:rPr>
        <w:t xml:space="preserve">наличие у участника отбора опыта использования целевых поступлений (грантов, субсидий) в 2021 году на реализацию современных программ непрерывного образования в области подготовки кадров для цифровой трансформации экономики - от 0 до 5 баллов.</w:t>
      </w:r>
    </w:p>
    <w:bookmarkStart w:id="68" w:name="P68"/>
    <w:bookmarkEnd w:id="68"/>
    <w:p>
      <w:pPr>
        <w:pStyle w:val="0"/>
        <w:spacing w:before="200" w:line-rule="auto"/>
        <w:ind w:firstLine="540"/>
        <w:jc w:val="both"/>
      </w:pPr>
      <w:r>
        <w:rPr>
          <w:sz w:val="20"/>
        </w:rPr>
        <w:t xml:space="preserve">1.6.2. Критерии экономической эффективности:</w:t>
      </w:r>
    </w:p>
    <w:p>
      <w:pPr>
        <w:pStyle w:val="0"/>
        <w:spacing w:before="200" w:line-rule="auto"/>
        <w:ind w:firstLine="540"/>
        <w:jc w:val="both"/>
      </w:pPr>
      <w:r>
        <w:rPr>
          <w:sz w:val="20"/>
        </w:rPr>
        <w:t xml:space="preserve">соотношение планируемых расходов на реализацию современных программ непрерывного образования в области подготовки кадров для цифровой трансформации экономики и ее ожидаемых результатов (количество программ, которые будут реализованы; количество слушателей) - от 0 до 5 баллов;</w:t>
      </w:r>
    </w:p>
    <w:p>
      <w:pPr>
        <w:pStyle w:val="0"/>
        <w:spacing w:before="200" w:line-rule="auto"/>
        <w:ind w:firstLine="540"/>
        <w:jc w:val="both"/>
      </w:pPr>
      <w:r>
        <w:rPr>
          <w:sz w:val="20"/>
        </w:rPr>
        <w:t xml:space="preserve">реалистичность и обоснованность расходов на реализацию современных программ непрерывного образования в области подготовки кадров для цифровой трансформации экономики - от 0 до 5 баллов;</w:t>
      </w:r>
    </w:p>
    <w:p>
      <w:pPr>
        <w:pStyle w:val="0"/>
        <w:spacing w:before="200" w:line-rule="auto"/>
        <w:ind w:firstLine="540"/>
        <w:jc w:val="both"/>
      </w:pPr>
      <w:r>
        <w:rPr>
          <w:sz w:val="20"/>
        </w:rPr>
        <w:t xml:space="preserve">объем предполагаемых поступлений на реализацию современных программ непрерывного образования в области подготовки кадров для цифровой трансформации экономики из иных источников, включая денежные средства, иное имущество, имущественные права, безвозмездно выполняемые работы и оказываемые услуги - от 0 до 2 баллов.</w:t>
      </w:r>
    </w:p>
    <w:p>
      <w:pPr>
        <w:pStyle w:val="0"/>
        <w:spacing w:before="200" w:line-rule="auto"/>
        <w:ind w:firstLine="540"/>
        <w:jc w:val="both"/>
      </w:pPr>
      <w:r>
        <w:rPr>
          <w:sz w:val="20"/>
        </w:rPr>
        <w:t xml:space="preserve">1.6.3. Значение весового коэффициента критериев по каждому из критериев, указанных в </w:t>
      </w:r>
      <w:hyperlink w:history="0" w:anchor="P63" w:tooltip="1.6.1. Критерии профессиональной компетенции:">
        <w:r>
          <w:rPr>
            <w:sz w:val="20"/>
            <w:color w:val="0000ff"/>
          </w:rPr>
          <w:t xml:space="preserve">пунктах 1.6.1</w:t>
        </w:r>
      </w:hyperlink>
      <w:r>
        <w:rPr>
          <w:sz w:val="20"/>
        </w:rPr>
        <w:t xml:space="preserve"> и </w:t>
      </w:r>
      <w:hyperlink w:history="0" w:anchor="P68" w:tooltip="1.6.2. Критерии экономической эффективности:">
        <w:r>
          <w:rPr>
            <w:sz w:val="20"/>
            <w:color w:val="0000ff"/>
          </w:rPr>
          <w:t xml:space="preserve">1.6.2</w:t>
        </w:r>
      </w:hyperlink>
      <w:r>
        <w:rPr>
          <w:sz w:val="20"/>
        </w:rPr>
        <w:t xml:space="preserve"> настоящего Порядка, утверждается Комитетом.</w:t>
      </w:r>
    </w:p>
    <w:p>
      <w:pPr>
        <w:pStyle w:val="0"/>
      </w:pPr>
      <w:r>
        <w:rPr>
          <w:sz w:val="20"/>
        </w:rPr>
      </w:r>
    </w:p>
    <w:p>
      <w:pPr>
        <w:pStyle w:val="2"/>
        <w:outlineLvl w:val="1"/>
        <w:jc w:val="center"/>
      </w:pPr>
      <w:r>
        <w:rPr>
          <w:sz w:val="20"/>
        </w:rPr>
        <w:t xml:space="preserve">2. Порядок проведения отбора, условия и порядок</w:t>
      </w:r>
    </w:p>
    <w:p>
      <w:pPr>
        <w:pStyle w:val="2"/>
        <w:jc w:val="center"/>
      </w:pPr>
      <w:r>
        <w:rPr>
          <w:sz w:val="20"/>
        </w:rPr>
        <w:t xml:space="preserve">предоставления субсидий</w:t>
      </w:r>
    </w:p>
    <w:p>
      <w:pPr>
        <w:pStyle w:val="0"/>
      </w:pPr>
      <w:r>
        <w:rPr>
          <w:sz w:val="20"/>
        </w:rPr>
      </w:r>
    </w:p>
    <w:p>
      <w:pPr>
        <w:pStyle w:val="0"/>
        <w:ind w:firstLine="540"/>
        <w:jc w:val="both"/>
      </w:pPr>
      <w:r>
        <w:rPr>
          <w:sz w:val="20"/>
        </w:rPr>
        <w:t xml:space="preserve">2.1. Для получения субсидий участники отбора представляют в Комитет </w:t>
      </w:r>
      <w:hyperlink w:history="0" w:anchor="P223" w:tooltip="ЗАЯВКА">
        <w:r>
          <w:rPr>
            <w:sz w:val="20"/>
            <w:color w:val="0000ff"/>
          </w:rPr>
          <w:t xml:space="preserve">заявку</w:t>
        </w:r>
      </w:hyperlink>
      <w:r>
        <w:rPr>
          <w:sz w:val="20"/>
        </w:rPr>
        <w:t xml:space="preserve"> по форме, указанной в приложении N 1 к настоящему Порядку, и документы в соответствии с </w:t>
      </w:r>
      <w:hyperlink w:history="0" w:anchor="P534" w:tooltip="ПЕРЕЧЕНЬ">
        <w:r>
          <w:rPr>
            <w:sz w:val="20"/>
            <w:color w:val="0000ff"/>
          </w:rPr>
          <w:t xml:space="preserve">перечнем</w:t>
        </w:r>
      </w:hyperlink>
      <w:r>
        <w:rPr>
          <w:sz w:val="20"/>
        </w:rPr>
        <w:t xml:space="preserve"> документов, указанным в приложении N 2 к настоящему Порядку.</w:t>
      </w:r>
    </w:p>
    <w:p>
      <w:pPr>
        <w:pStyle w:val="0"/>
        <w:spacing w:before="200" w:line-rule="auto"/>
        <w:ind w:firstLine="540"/>
        <w:jc w:val="both"/>
      </w:pPr>
      <w:r>
        <w:rPr>
          <w:sz w:val="20"/>
        </w:rPr>
        <w:t xml:space="preserve">Заявка должна содержать согласие на публикацию (размещение) в информационно-телекоммуникационной сети "Интернет" (далее - сеть "Интернет") информации об участнике отбора, подаваемой заявке и иной информации об участнике отбора, связанной с отбором.</w:t>
      </w:r>
    </w:p>
    <w:bookmarkStart w:id="79" w:name="P79"/>
    <w:bookmarkEnd w:id="79"/>
    <w:p>
      <w:pPr>
        <w:pStyle w:val="0"/>
        <w:spacing w:before="200" w:line-rule="auto"/>
        <w:ind w:firstLine="540"/>
        <w:jc w:val="both"/>
      </w:pPr>
      <w:r>
        <w:rPr>
          <w:sz w:val="20"/>
        </w:rPr>
        <w:t xml:space="preserve">Электронный графический образ заявки (заявка на бумажном носителе, преобразованная в электронную форму путем сканирования с сохранением ее реквизитов) направляется участником отбора в Комитет без приложения документов с последующим представлением заявки и документов на бумажном носителе с сопроводительным письмом, заверенным подписью руководителя участника отбора и оттиском печати участника отбора (при ее наличии), не позднее двух суток с момента подачи электронного графического образа заявки, но не позднее 17 часов 00 минут последнего дня приема заявок и документов.</w:t>
      </w:r>
    </w:p>
    <w:p>
      <w:pPr>
        <w:pStyle w:val="0"/>
        <w:spacing w:before="200" w:line-rule="auto"/>
        <w:ind w:firstLine="540"/>
        <w:jc w:val="both"/>
      </w:pPr>
      <w:r>
        <w:rPr>
          <w:sz w:val="20"/>
        </w:rPr>
        <w:t xml:space="preserve">Заявка, поданная на бумажном носителе, не соответствующая заявке, поданной в виде электронного графического образа, или поданная после истечения срока, указанного в </w:t>
      </w:r>
      <w:hyperlink w:history="0" w:anchor="P79" w:tooltip="Электронный графический образ заявки (заявка на бумажном носителе, преобразованная в электронную форму путем сканирования с сохранением ее реквизитов) направляется участником отбора в Комитет без приложения документов с последующим представлением заявки и документов на бумажном носителе с сопроводительным письмом, заверенным подписью руководителя участника отбора и оттиском печати участника отбора (при ее наличии), не позднее двух суток с момента подачи электронного графического образа заявки, но не позд...">
        <w:r>
          <w:rPr>
            <w:sz w:val="20"/>
            <w:color w:val="0000ff"/>
          </w:rPr>
          <w:t xml:space="preserve">абзаце третьем</w:t>
        </w:r>
      </w:hyperlink>
      <w:r>
        <w:rPr>
          <w:sz w:val="20"/>
        </w:rPr>
        <w:t xml:space="preserve"> настоящего пункта, не принимается и не рассматривается.</w:t>
      </w:r>
    </w:p>
    <w:p>
      <w:pPr>
        <w:pStyle w:val="0"/>
        <w:spacing w:before="200" w:line-rule="auto"/>
        <w:ind w:firstLine="540"/>
        <w:jc w:val="both"/>
      </w:pPr>
      <w:r>
        <w:rPr>
          <w:sz w:val="20"/>
        </w:rPr>
        <w:t xml:space="preserve">Каждым участником отбора может быть подано не больше одной заявки.</w:t>
      </w:r>
    </w:p>
    <w:p>
      <w:pPr>
        <w:pStyle w:val="0"/>
        <w:spacing w:before="200" w:line-rule="auto"/>
        <w:ind w:firstLine="540"/>
        <w:jc w:val="both"/>
      </w:pPr>
      <w:r>
        <w:rPr>
          <w:sz w:val="20"/>
        </w:rPr>
        <w:t xml:space="preserve">Порядок подачи заявок и документов в части, не урегулированной настоящим Порядком, устанавливается Комитетом.</w:t>
      </w:r>
    </w:p>
    <w:p>
      <w:pPr>
        <w:pStyle w:val="0"/>
        <w:spacing w:before="200" w:line-rule="auto"/>
        <w:ind w:firstLine="540"/>
        <w:jc w:val="both"/>
      </w:pPr>
      <w:r>
        <w:rPr>
          <w:sz w:val="20"/>
        </w:rPr>
        <w:t xml:space="preserve">2.2. Все листы документов, представляемых на бумажном носителе одновременно с заявкой, а также листы заявки должны быть прошиты и пронумерованы сквозной нумерацией в составе единого комплекта документов. Комплект документов должен содержать опись документов с указанием страниц, на которых находятся соответствующие материалы и документы, представляемые для участия в отборе. Документы должны быть подписаны, а копии документов заверены подписью руководителя участника отбора и оттиском печати участника отбора (при ее наличии).</w:t>
      </w:r>
    </w:p>
    <w:p>
      <w:pPr>
        <w:pStyle w:val="0"/>
        <w:spacing w:before="200" w:line-rule="auto"/>
        <w:ind w:firstLine="540"/>
        <w:jc w:val="both"/>
      </w:pPr>
      <w:r>
        <w:rPr>
          <w:sz w:val="20"/>
        </w:rPr>
        <w:t xml:space="preserve">2.3. Электронный графический образ заявки, заявка и документы представляются участниками отбора по адресу электронной почты, в сроки и месте, которые указаны в объявлении о проведении отбора (далее - объявление). Объявление размещается Комитетом на сайте Комитета в сети "Интернет" по адресу </w:t>
      </w:r>
      <w:r>
        <w:rPr>
          <w:sz w:val="20"/>
        </w:rPr>
        <w:t xml:space="preserve">http://knvsh.gov.spb.ru/</w:t>
      </w:r>
      <w:r>
        <w:rPr>
          <w:sz w:val="20"/>
        </w:rPr>
        <w:t xml:space="preserve"> (далее - сайт Комитета) в сроки, устанавливаемые Комитетом.</w:t>
      </w:r>
    </w:p>
    <w:p>
      <w:pPr>
        <w:pStyle w:val="0"/>
        <w:spacing w:before="200" w:line-rule="auto"/>
        <w:ind w:firstLine="540"/>
        <w:jc w:val="both"/>
      </w:pPr>
      <w:r>
        <w:rPr>
          <w:sz w:val="20"/>
        </w:rPr>
        <w:t xml:space="preserve">В объявлении указываются:</w:t>
      </w:r>
    </w:p>
    <w:p>
      <w:pPr>
        <w:pStyle w:val="0"/>
        <w:spacing w:before="200" w:line-rule="auto"/>
        <w:ind w:firstLine="540"/>
        <w:jc w:val="both"/>
      </w:pPr>
      <w:r>
        <w:rPr>
          <w:sz w:val="20"/>
        </w:rPr>
        <w:t xml:space="preserve">сроки проведения отбора;</w:t>
      </w:r>
    </w:p>
    <w:p>
      <w:pPr>
        <w:pStyle w:val="0"/>
        <w:spacing w:before="200" w:line-rule="auto"/>
        <w:ind w:firstLine="540"/>
        <w:jc w:val="both"/>
      </w:pPr>
      <w:r>
        <w:rPr>
          <w:sz w:val="20"/>
        </w:rPr>
        <w:t xml:space="preserve">даты начала подачи и окончания приема заявок, которые не могут быть ранее десятого календарного дня, следующего за днем размещения объявления;</w:t>
      </w:r>
    </w:p>
    <w:p>
      <w:pPr>
        <w:pStyle w:val="0"/>
        <w:spacing w:before="200" w:line-rule="auto"/>
        <w:ind w:firstLine="540"/>
        <w:jc w:val="both"/>
      </w:pPr>
      <w:r>
        <w:rPr>
          <w:sz w:val="20"/>
        </w:rPr>
        <w:t xml:space="preserve">наименование, место нахождения, почтовый адрес, адрес электронной почты Комитета;</w:t>
      </w:r>
    </w:p>
    <w:p>
      <w:pPr>
        <w:pStyle w:val="0"/>
        <w:spacing w:before="200" w:line-rule="auto"/>
        <w:ind w:firstLine="540"/>
        <w:jc w:val="both"/>
      </w:pPr>
      <w:r>
        <w:rPr>
          <w:sz w:val="20"/>
        </w:rPr>
        <w:t xml:space="preserve">результат предоставления субсидий (далее - результат) и показатель, необходимый для достижения значений результата (далее - показатель);</w:t>
      </w:r>
    </w:p>
    <w:p>
      <w:pPr>
        <w:pStyle w:val="0"/>
        <w:spacing w:before="200" w:line-rule="auto"/>
        <w:ind w:firstLine="540"/>
        <w:jc w:val="both"/>
      </w:pPr>
      <w:r>
        <w:rPr>
          <w:sz w:val="20"/>
        </w:rPr>
        <w:t xml:space="preserve">указатели страниц сайта в сети "Интернет", на котором обеспечивается проведение отбора;</w:t>
      </w:r>
    </w:p>
    <w:p>
      <w:pPr>
        <w:pStyle w:val="0"/>
        <w:spacing w:before="200" w:line-rule="auto"/>
        <w:ind w:firstLine="540"/>
        <w:jc w:val="both"/>
      </w:pPr>
      <w:r>
        <w:rPr>
          <w:sz w:val="20"/>
        </w:rPr>
        <w:t xml:space="preserve">требования к участникам отбора;</w:t>
      </w:r>
    </w:p>
    <w:p>
      <w:pPr>
        <w:pStyle w:val="0"/>
        <w:spacing w:before="200" w:line-rule="auto"/>
        <w:ind w:firstLine="540"/>
        <w:jc w:val="both"/>
      </w:pPr>
      <w:r>
        <w:rPr>
          <w:sz w:val="20"/>
        </w:rPr>
        <w:t xml:space="preserve">условия предоставления субсидий и перечень документов;</w:t>
      </w:r>
    </w:p>
    <w:p>
      <w:pPr>
        <w:pStyle w:val="0"/>
        <w:spacing w:before="200" w:line-rule="auto"/>
        <w:ind w:firstLine="540"/>
        <w:jc w:val="both"/>
      </w:pPr>
      <w:r>
        <w:rPr>
          <w:sz w:val="20"/>
        </w:rPr>
        <w:t xml:space="preserve">порядок подачи заявок и документов, требования, предъявляемые к форме и содержанию заявки и документов в соответствии с настоящим Порядком;</w:t>
      </w:r>
    </w:p>
    <w:p>
      <w:pPr>
        <w:pStyle w:val="0"/>
        <w:spacing w:before="200" w:line-rule="auto"/>
        <w:ind w:firstLine="540"/>
        <w:jc w:val="both"/>
      </w:pPr>
      <w:r>
        <w:rPr>
          <w:sz w:val="20"/>
        </w:rPr>
        <w:t xml:space="preserve">порядок отзыва заявок и документов, порядок возврата заявок и документов, определяющий в том числе основания для возврата заявок и документов, порядок внесения изменений в заявки и документы;</w:t>
      </w:r>
    </w:p>
    <w:p>
      <w:pPr>
        <w:pStyle w:val="0"/>
        <w:spacing w:before="200" w:line-rule="auto"/>
        <w:ind w:firstLine="540"/>
        <w:jc w:val="both"/>
      </w:pPr>
      <w:r>
        <w:rPr>
          <w:sz w:val="20"/>
        </w:rPr>
        <w:t xml:space="preserve">правила рассмотрения и оценки заявок и документов;</w:t>
      </w:r>
    </w:p>
    <w:p>
      <w:pPr>
        <w:pStyle w:val="0"/>
        <w:spacing w:before="200" w:line-rule="auto"/>
        <w:ind w:firstLine="540"/>
        <w:jc w:val="both"/>
      </w:pPr>
      <w:r>
        <w:rPr>
          <w:sz w:val="20"/>
        </w:rPr>
        <w:t xml:space="preserve">порядок предоставления участникам отбора разъяснений положений объявления,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получатель субсидий должен подписать соглашение о предоставлении субсидий (далее - соглашение);</w:t>
      </w:r>
    </w:p>
    <w:p>
      <w:pPr>
        <w:pStyle w:val="0"/>
        <w:spacing w:before="200" w:line-rule="auto"/>
        <w:ind w:firstLine="540"/>
        <w:jc w:val="both"/>
      </w:pPr>
      <w:r>
        <w:rPr>
          <w:sz w:val="20"/>
        </w:rPr>
        <w:t xml:space="preserve">условия признания получателя субсидий уклонившимся от заключения соглашения;</w:t>
      </w:r>
    </w:p>
    <w:p>
      <w:pPr>
        <w:pStyle w:val="0"/>
        <w:spacing w:before="200" w:line-rule="auto"/>
        <w:ind w:firstLine="540"/>
        <w:jc w:val="both"/>
      </w:pPr>
      <w:r>
        <w:rPr>
          <w:sz w:val="20"/>
        </w:rPr>
        <w:t xml:space="preserve">даты размещения результатов отбора на сайте Комитета;</w:t>
      </w:r>
    </w:p>
    <w:p>
      <w:pPr>
        <w:pStyle w:val="0"/>
        <w:spacing w:before="200" w:line-rule="auto"/>
        <w:ind w:firstLine="540"/>
        <w:jc w:val="both"/>
      </w:pPr>
      <w:r>
        <w:rPr>
          <w:sz w:val="20"/>
        </w:rPr>
        <w:t xml:space="preserve">иная информация (в случае необходимости).</w:t>
      </w:r>
    </w:p>
    <w:p>
      <w:pPr>
        <w:pStyle w:val="0"/>
        <w:spacing w:before="200" w:line-rule="auto"/>
        <w:ind w:firstLine="540"/>
        <w:jc w:val="both"/>
      </w:pPr>
      <w:r>
        <w:rPr>
          <w:sz w:val="20"/>
        </w:rPr>
        <w:t xml:space="preserve">2.4. Субсидии предоставляются при условии соответствия участника отбора следующим условиям предоставления субсидий:</w:t>
      </w:r>
    </w:p>
    <w:bookmarkStart w:id="102" w:name="P102"/>
    <w:bookmarkEnd w:id="102"/>
    <w:p>
      <w:pPr>
        <w:pStyle w:val="0"/>
        <w:spacing w:before="200" w:line-rule="auto"/>
        <w:ind w:firstLine="540"/>
        <w:jc w:val="both"/>
      </w:pPr>
      <w:r>
        <w:rPr>
          <w:sz w:val="20"/>
        </w:rPr>
        <w:t xml:space="preserve">2.4.1. Наличие обязательства участника отбора в случае признания его получателем субсидий о достижении значений результата и показателя.</w:t>
      </w:r>
    </w:p>
    <w:p>
      <w:pPr>
        <w:pStyle w:val="0"/>
        <w:spacing w:before="200" w:line-rule="auto"/>
        <w:ind w:firstLine="540"/>
        <w:jc w:val="both"/>
      </w:pPr>
      <w:r>
        <w:rPr>
          <w:sz w:val="20"/>
        </w:rPr>
        <w:t xml:space="preserve">2.4.2. Наличие у участника отбора лицензии на осуществление образовательной деятельности по образовательным программам высшего образования.</w:t>
      </w:r>
    </w:p>
    <w:p>
      <w:pPr>
        <w:pStyle w:val="0"/>
        <w:spacing w:before="200" w:line-rule="auto"/>
        <w:ind w:firstLine="540"/>
        <w:jc w:val="both"/>
      </w:pPr>
      <w:r>
        <w:rPr>
          <w:sz w:val="20"/>
        </w:rPr>
        <w:t xml:space="preserve">2.4.3. Реализация участником отбора образовательных программ высшего образования, имеющих государственную аккредитацию.</w:t>
      </w:r>
    </w:p>
    <w:p>
      <w:pPr>
        <w:pStyle w:val="0"/>
        <w:spacing w:before="200" w:line-rule="auto"/>
        <w:ind w:firstLine="540"/>
        <w:jc w:val="both"/>
      </w:pPr>
      <w:r>
        <w:rPr>
          <w:sz w:val="20"/>
        </w:rPr>
        <w:t xml:space="preserve">2.4.4. Документальное обоснование участником отбора планируемых затрат.</w:t>
      </w:r>
    </w:p>
    <w:p>
      <w:pPr>
        <w:pStyle w:val="0"/>
        <w:spacing w:before="200" w:line-rule="auto"/>
        <w:ind w:firstLine="540"/>
        <w:jc w:val="both"/>
      </w:pPr>
      <w:r>
        <w:rPr>
          <w:sz w:val="20"/>
        </w:rPr>
        <w:t xml:space="preserve">2.4.5. Наличие обязательства участника отбора в случае признания его получателем субсидий по документальному подтверждению затрат в соответствии с </w:t>
      </w:r>
      <w:hyperlink w:history="0" w:anchor="P183" w:tooltip="3.1. Получатель субсидий в срок, установленный Комитетом, представляет в Комитет отчет о достижении значений результата и показателя, а также отчет об осуществлении расходов, источником финансового обеспечения которых являются субсидии, по формам, утвержденным Комитетом финансов Санкт-Петербурга. К отчету о достижении значений результата и показателя получателем субсидий прилагаются презентация по итогам реализации современных программ непрерывного образования в области подготовки кадров для цифровой тра...">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2.4.6. Требования, которым должен соответствовать участник отбора на дату не ранее 30 календарных дней до дня представления заявки и документов в Комитет:</w:t>
      </w:r>
    </w:p>
    <w:p>
      <w:pPr>
        <w:pStyle w:val="0"/>
        <w:spacing w:before="200" w:line-rule="auto"/>
        <w:ind w:firstLine="540"/>
        <w:jc w:val="both"/>
      </w:pPr>
      <w:r>
        <w:rPr>
          <w:sz w:val="20"/>
        </w:rPr>
        <w:t xml:space="preserve">отсутствие у участника отбора превышающей 300 тыс. руб.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отсутствие у участника отбора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Санкт-Петербургом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pPr>
        <w:pStyle w:val="0"/>
        <w:spacing w:before="200" w:line-rule="auto"/>
        <w:ind w:firstLine="540"/>
        <w:jc w:val="both"/>
      </w:pPr>
      <w:r>
        <w:rPr>
          <w:sz w:val="20"/>
        </w:rPr>
        <w:t xml:space="preserve">участник отбора не должен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0"/>
        <w:spacing w:before="200" w:line-rule="auto"/>
        <w:ind w:firstLine="540"/>
        <w:jc w:val="both"/>
      </w:pPr>
      <w:r>
        <w:rPr>
          <w:sz w:val="20"/>
        </w:rPr>
        <w:t xml:space="preserve">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pPr>
        <w:pStyle w:val="0"/>
        <w:spacing w:before="200" w:line-rule="auto"/>
        <w:ind w:firstLine="540"/>
        <w:jc w:val="both"/>
      </w:pPr>
      <w:r>
        <w:rPr>
          <w:sz w:val="20"/>
        </w:rPr>
        <w:t xml:space="preserve">отсутствие у участника отбора средств из бюджета Санкт-Петербурга на финансовое обеспечение и(или) возмещение затрат на основании иных нормативных правовых актов на цели, указанные в </w:t>
      </w:r>
      <w:hyperlink w:history="0" w:anchor="P58" w:tooltip="1.3. Субсидия предоставляется на безвозмездной и безвозвратной основе получателю субсидии в целях финансового обеспечения затрат, возникших в 2022 году, но не позднее 05.12.2022, в связи реализацией в 2022 году современных программ непрерывного образования в области подготовки кадров для цифровой трансформации экономики по направлениям затрат, указанным в приложении N 3 к настоящему Порядку (далее - затраты).">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2.4.7. Наличие согласия участника отбора на осуществление в отношении его Комитетом проверок соблюдения порядка и условий предоставления субсидий, в том числе в части достижения результатов предоставления субсидии, а также согласия участника отбора на осуществление в отношении него органами государственного финансового контроля проверок соблюдения порядка и условий предоставления субсидий в соответствии со </w:t>
      </w:r>
      <w:hyperlink w:history="0" r:id="rId17"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18"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 (далее - проверки участника) и обязательства участника отбора по представлению согласия лиц, получающих за счет субсидий средства на основании договоров, заключенных с получателем субсидий (далее - контрагенты) (за исключением государственных и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Комитетом проверок соблюдения порядка и условий предоставления субсидий, в том числе в части достижения результатов предоставления субсидии, а также согласия участников отбора на осуществление в отношении них органами государственного финансового контроля проверок соблюдения порядка и условий предоставления субсидий в соответствии со </w:t>
      </w:r>
      <w:hyperlink w:history="0" r:id="rId19"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20"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 (далее - проверки).</w:t>
      </w:r>
    </w:p>
    <w:p>
      <w:pPr>
        <w:pStyle w:val="0"/>
        <w:spacing w:before="200" w:line-rule="auto"/>
        <w:ind w:firstLine="540"/>
        <w:jc w:val="both"/>
      </w:pPr>
      <w:r>
        <w:rPr>
          <w:sz w:val="20"/>
        </w:rPr>
        <w:t xml:space="preserve">2.4.8. Наличие согласия органа, осуществляющего функции и полномочия учредителя в отношении участника отбора, являющегося бюджетным или автономным учреждением, на участие в конкурсном отборе, оформленное на бланке указанного органа, в том числе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pPr>
        <w:pStyle w:val="0"/>
        <w:spacing w:before="200" w:line-rule="auto"/>
        <w:ind w:firstLine="540"/>
        <w:jc w:val="both"/>
      </w:pPr>
      <w:r>
        <w:rPr>
          <w:sz w:val="20"/>
        </w:rPr>
        <w:t xml:space="preserve">2.4.9. Участники отбора не должны находиться в реестре недобросовестных поставщиков (подрядчиков, исполнителей), ведение которого осуществляется в соответствии с Федеральным </w:t>
      </w:r>
      <w:hyperlink w:history="0" r:id="rId21"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w:t>
      </w:r>
    </w:p>
    <w:p>
      <w:pPr>
        <w:pStyle w:val="0"/>
        <w:spacing w:before="200" w:line-rule="auto"/>
        <w:ind w:firstLine="540"/>
        <w:jc w:val="both"/>
      </w:pPr>
      <w:r>
        <w:rPr>
          <w:sz w:val="20"/>
        </w:rPr>
        <w:t xml:space="preserve">2.4.10. Отсутствие у участников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субсидий, по которым не исполнены требования о возврате средств бюджета Санкт-Петербурга и(или) вступило в силу постановление о назначении административного наказания.</w:t>
      </w:r>
    </w:p>
    <w:bookmarkStart w:id="119" w:name="P119"/>
    <w:bookmarkEnd w:id="119"/>
    <w:p>
      <w:pPr>
        <w:pStyle w:val="0"/>
        <w:spacing w:before="200" w:line-rule="auto"/>
        <w:ind w:firstLine="540"/>
        <w:jc w:val="both"/>
      </w:pPr>
      <w:r>
        <w:rPr>
          <w:sz w:val="20"/>
        </w:rPr>
        <w:t xml:space="preserve">2.4.11. Наличие обязательства участника отбора о неприобретении участником отбора, а также контрагентами - юридическими лицами за счет полученных из бюджета Санкт-Петербурга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 и услуг, приобретаемых получателем субсидий в целях реализации в 2022 году современных программ непрерывного образования в области подготовки кадров для цифровой трансформации экономики у поставщиков (исполнителей), являющихся нерезидентами в соответствии с Федеральным </w:t>
      </w:r>
      <w:hyperlink w:history="0" r:id="rId22" w:tooltip="Федеральный закон от 10.12.2003 N 173-ФЗ (ред. от 14.07.2022) &quot;О валютном регулировании и валютном контроле&quot; (с изм. и доп., вступ. в силу с 13.10.2022) {КонсультантПлюс}">
        <w:r>
          <w:rPr>
            <w:sz w:val="20"/>
            <w:color w:val="0000ff"/>
          </w:rPr>
          <w:t xml:space="preserve">законом</w:t>
        </w:r>
      </w:hyperlink>
      <w:r>
        <w:rPr>
          <w:sz w:val="20"/>
        </w:rPr>
        <w:t xml:space="preserve"> "О валютном регулировании и валютном контроле".</w:t>
      </w:r>
    </w:p>
    <w:p>
      <w:pPr>
        <w:pStyle w:val="0"/>
        <w:spacing w:before="200" w:line-rule="auto"/>
        <w:ind w:firstLine="540"/>
        <w:jc w:val="both"/>
      </w:pPr>
      <w:r>
        <w:rPr>
          <w:sz w:val="20"/>
        </w:rPr>
        <w:t xml:space="preserve">2.4.12. Наличие обязательства участника отбора о возврате в бюджет Санкт-Петербурга остатка субсидий, не использованного в отчетном финансовом году, в срок, установленный Комитетом.</w:t>
      </w:r>
    </w:p>
    <w:p>
      <w:pPr>
        <w:pStyle w:val="0"/>
        <w:spacing w:before="200" w:line-rule="auto"/>
        <w:ind w:firstLine="540"/>
        <w:jc w:val="both"/>
      </w:pPr>
      <w:r>
        <w:rPr>
          <w:sz w:val="20"/>
        </w:rPr>
        <w:t xml:space="preserve">2.4.13. Признание комиссией участника отбора победителем отбора.</w:t>
      </w:r>
    </w:p>
    <w:p>
      <w:pPr>
        <w:pStyle w:val="0"/>
        <w:spacing w:before="200" w:line-rule="auto"/>
        <w:ind w:firstLine="540"/>
        <w:jc w:val="both"/>
      </w:pPr>
      <w:r>
        <w:rPr>
          <w:sz w:val="20"/>
        </w:rPr>
        <w:t xml:space="preserve">2.5. Заявка и документы могут быть отозваны до окончания срока приема заявок и документов путем направления участниками отбора соответствующего обращения в Комитет. Возврат отозванных заявки и документов осуществляется Комитетом в течение трех рабочих дней со дня их отзыва путем их вручения уполномоченным представителям участников отбора.</w:t>
      </w:r>
    </w:p>
    <w:p>
      <w:pPr>
        <w:pStyle w:val="0"/>
        <w:spacing w:before="200" w:line-rule="auto"/>
        <w:ind w:firstLine="540"/>
        <w:jc w:val="both"/>
      </w:pPr>
      <w:r>
        <w:rPr>
          <w:sz w:val="20"/>
        </w:rPr>
        <w:t xml:space="preserve">Внесение участниками отбора изменений в представленные в Комитет заявки и документы, а также представление в Комитет дополнительных документов после представления заявки и документов на бумажном носителе не допускаются.</w:t>
      </w:r>
    </w:p>
    <w:p>
      <w:pPr>
        <w:pStyle w:val="0"/>
        <w:spacing w:before="200" w:line-rule="auto"/>
        <w:ind w:firstLine="540"/>
        <w:jc w:val="both"/>
      </w:pPr>
      <w:r>
        <w:rPr>
          <w:sz w:val="20"/>
        </w:rPr>
        <w:t xml:space="preserve">Участники отбора вправе направить в письменной форме в Комитет запрос, в том числе по адресу электронной почты knvsh@gov.spb.ru, о даче разъяснений положений, содержащихся в объявлении. В течение двух рабочих дней с даты поступления указанного запроса Комитет обязан направить в письменной форме или в форме электронного документа разъяснения положений, содержащихся в объявлении, если указанный запрос поступил в Комитет не позднее чем за пять дней до даты окончания срока подачи заявок и документов.</w:t>
      </w:r>
    </w:p>
    <w:bookmarkStart w:id="125" w:name="P125"/>
    <w:bookmarkEnd w:id="125"/>
    <w:p>
      <w:pPr>
        <w:pStyle w:val="0"/>
        <w:spacing w:before="200" w:line-rule="auto"/>
        <w:ind w:firstLine="540"/>
        <w:jc w:val="both"/>
      </w:pPr>
      <w:r>
        <w:rPr>
          <w:sz w:val="20"/>
        </w:rPr>
        <w:t xml:space="preserve">2.6. В течение десяти рабочих дней со дня окончания приема заявок и документов Комитет рассматривает заявки и документы на предмет их соответствия установленным в объявлении форме заявки, перечню документов и требованиям к ним, на соответствие участника отбора условиям предоставления субсидий, установленным настоящим Порядком, проводит проверку сведений, содержащихся в заявке и документах, проводит проверку обоснованности представленного участником отбора расчета размера субсидий и принимает решение об отклонении заявок и документов или о допуске заявок и документов к отбору.</w:t>
      </w:r>
    </w:p>
    <w:p>
      <w:pPr>
        <w:pStyle w:val="0"/>
        <w:spacing w:before="200" w:line-rule="auto"/>
        <w:ind w:firstLine="540"/>
        <w:jc w:val="both"/>
      </w:pPr>
      <w:r>
        <w:rPr>
          <w:sz w:val="20"/>
        </w:rPr>
        <w:t xml:space="preserve">Основаниями для принятия решения об отклонении заявок и документов являются:</w:t>
      </w:r>
    </w:p>
    <w:p>
      <w:pPr>
        <w:pStyle w:val="0"/>
        <w:spacing w:before="200" w:line-rule="auto"/>
        <w:ind w:firstLine="540"/>
        <w:jc w:val="both"/>
      </w:pPr>
      <w:r>
        <w:rPr>
          <w:sz w:val="20"/>
        </w:rPr>
        <w:t xml:space="preserve">несоответствие участников отбора условиям предоставления субсидий, установленным в </w:t>
      </w:r>
      <w:hyperlink w:history="0" w:anchor="P102" w:tooltip="2.4.1. Наличие обязательства участника отбора в случае признания его получателем субсидий о достижении значений результата и показателя.">
        <w:r>
          <w:rPr>
            <w:sz w:val="20"/>
            <w:color w:val="0000ff"/>
          </w:rPr>
          <w:t xml:space="preserve">пунктах 2.4.1</w:t>
        </w:r>
      </w:hyperlink>
      <w:r>
        <w:rPr>
          <w:sz w:val="20"/>
        </w:rPr>
        <w:t xml:space="preserve"> - </w:t>
      </w:r>
      <w:hyperlink w:history="0" w:anchor="P119" w:tooltip="2.4.11. Наличие обязательства участника отбора о неприобретении участником отбора, а также контрагентами - юридическими лицами за счет полученных из бюджета Санкт-Петербург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 и услуг, приобретаемых получателем субсидий в целях реализации в 2022 году совр...">
        <w:r>
          <w:rPr>
            <w:sz w:val="20"/>
            <w:color w:val="0000ff"/>
          </w:rPr>
          <w:t xml:space="preserve">2.4.11</w:t>
        </w:r>
      </w:hyperlink>
      <w:r>
        <w:rPr>
          <w:sz w:val="20"/>
        </w:rPr>
        <w:t xml:space="preserve"> настоящего Порядка;</w:t>
      </w:r>
    </w:p>
    <w:p>
      <w:pPr>
        <w:pStyle w:val="0"/>
        <w:spacing w:before="200" w:line-rule="auto"/>
        <w:ind w:firstLine="540"/>
        <w:jc w:val="both"/>
      </w:pPr>
      <w:r>
        <w:rPr>
          <w:sz w:val="20"/>
        </w:rPr>
        <w:t xml:space="preserve">непредставление (представление не в полном объеме) участниками отбора заявки и документов;</w:t>
      </w:r>
    </w:p>
    <w:p>
      <w:pPr>
        <w:pStyle w:val="0"/>
        <w:spacing w:before="200" w:line-rule="auto"/>
        <w:ind w:firstLine="540"/>
        <w:jc w:val="both"/>
      </w:pPr>
      <w:r>
        <w:rPr>
          <w:sz w:val="20"/>
        </w:rPr>
        <w:t xml:space="preserve">несоответствие представленных участниками отбора заявок и документов форме заявки и требованиям к документам, установленным в объявлении;</w:t>
      </w:r>
    </w:p>
    <w:p>
      <w:pPr>
        <w:pStyle w:val="0"/>
        <w:spacing w:before="200" w:line-rule="auto"/>
        <w:ind w:firstLine="540"/>
        <w:jc w:val="both"/>
      </w:pPr>
      <w:r>
        <w:rPr>
          <w:sz w:val="20"/>
        </w:rPr>
        <w:t xml:space="preserve">недостоверность представленной участниками отбора информации, в том числе информации о месте нахождения и адресе участников отбора;</w:t>
      </w:r>
    </w:p>
    <w:p>
      <w:pPr>
        <w:pStyle w:val="0"/>
        <w:spacing w:before="200" w:line-rule="auto"/>
        <w:ind w:firstLine="540"/>
        <w:jc w:val="both"/>
      </w:pPr>
      <w:r>
        <w:rPr>
          <w:sz w:val="20"/>
        </w:rPr>
        <w:t xml:space="preserve">подача участниками отбора заявки и(или) документов после даты и(или) времени, определенных для их подачи;</w:t>
      </w:r>
    </w:p>
    <w:p>
      <w:pPr>
        <w:pStyle w:val="0"/>
        <w:spacing w:before="200" w:line-rule="auto"/>
        <w:ind w:firstLine="540"/>
        <w:jc w:val="both"/>
      </w:pPr>
      <w:r>
        <w:rPr>
          <w:sz w:val="20"/>
        </w:rPr>
        <w:t xml:space="preserve">подача участниками отбора более одной заявки;</w:t>
      </w:r>
    </w:p>
    <w:p>
      <w:pPr>
        <w:pStyle w:val="0"/>
        <w:spacing w:before="200" w:line-rule="auto"/>
        <w:ind w:firstLine="540"/>
        <w:jc w:val="both"/>
      </w:pPr>
      <w:r>
        <w:rPr>
          <w:sz w:val="20"/>
        </w:rPr>
        <w:t xml:space="preserve">подача заявки, в которой размер запрашиваемых субсидий и(или) объем затрат на обучение одного слушателя превышает предельный объем финансового обеспечения затрат, установленный в </w:t>
      </w:r>
      <w:hyperlink w:history="0" w:anchor="P145" w:tooltip="2.9. Предельный объем финансового обеспечения затрат составляет 5 млн руб., при этом предельный объем затрат на обучение одного слушателя не может превышать 15384 руб.">
        <w:r>
          <w:rPr>
            <w:sz w:val="20"/>
            <w:color w:val="0000ff"/>
          </w:rPr>
          <w:t xml:space="preserve">пункте 2.9</w:t>
        </w:r>
      </w:hyperlink>
      <w:r>
        <w:rPr>
          <w:sz w:val="20"/>
        </w:rPr>
        <w:t xml:space="preserve"> настоящего Порядка.</w:t>
      </w:r>
    </w:p>
    <w:p>
      <w:pPr>
        <w:pStyle w:val="0"/>
        <w:spacing w:before="200" w:line-rule="auto"/>
        <w:ind w:firstLine="540"/>
        <w:jc w:val="both"/>
      </w:pPr>
      <w:r>
        <w:rPr>
          <w:sz w:val="20"/>
        </w:rPr>
        <w:t xml:space="preserve">В случае принятия решения об отклонении заявки и документов участника отбора Комитет в течение трех рабочих дней направляет письмо участнику отбора об отклонении заявки и документов участника отбора посредством почтовой связи либо вручает его уполномоченному представителю участника отбора. При этом возврат заявки и документов не осуществляется.</w:t>
      </w:r>
    </w:p>
    <w:bookmarkStart w:id="135" w:name="P135"/>
    <w:bookmarkEnd w:id="135"/>
    <w:p>
      <w:pPr>
        <w:pStyle w:val="0"/>
        <w:spacing w:before="200" w:line-rule="auto"/>
        <w:ind w:firstLine="540"/>
        <w:jc w:val="both"/>
      </w:pPr>
      <w:r>
        <w:rPr>
          <w:sz w:val="20"/>
        </w:rPr>
        <w:t xml:space="preserve">2.7. Заявки и документы, допущенные к отбору, после их рассмотрения в соответствии с </w:t>
      </w:r>
      <w:hyperlink w:history="0" w:anchor="P125" w:tooltip="2.6. В течение десяти рабочих дней со дня окончания приема заявок и документов Комитет рассматривает заявки и документы на предмет их соответствия установленным в объявлении форме заявки, перечню документов и требованиям к ним, на соответствие участника отбора условиям предоставления субсидий, установленным настоящим Порядком, проводит проверку сведений, содержащихся в заявке и документах, проводит проверку обоснованности представленного участником отбора расчета размера субсидий и принимает решение об о...">
        <w:r>
          <w:rPr>
            <w:sz w:val="20"/>
            <w:color w:val="0000ff"/>
          </w:rPr>
          <w:t xml:space="preserve">пунктом 2.6</w:t>
        </w:r>
      </w:hyperlink>
      <w:r>
        <w:rPr>
          <w:sz w:val="20"/>
        </w:rPr>
        <w:t xml:space="preserve"> настоящего Порядка в течение трех рабочих дней передаются на рассмотрение комиссии.</w:t>
      </w:r>
    </w:p>
    <w:p>
      <w:pPr>
        <w:pStyle w:val="0"/>
        <w:spacing w:before="200" w:line-rule="auto"/>
        <w:ind w:firstLine="540"/>
        <w:jc w:val="both"/>
      </w:pPr>
      <w:r>
        <w:rPr>
          <w:sz w:val="20"/>
        </w:rPr>
        <w:t xml:space="preserve">Комиссия принимает решение о результатах отбора не позднее 15 рабочих дней после поступления заявок и документов в комиссию.</w:t>
      </w:r>
    </w:p>
    <w:p>
      <w:pPr>
        <w:pStyle w:val="0"/>
        <w:spacing w:before="200" w:line-rule="auto"/>
        <w:ind w:firstLine="540"/>
        <w:jc w:val="both"/>
      </w:pPr>
      <w:r>
        <w:rPr>
          <w:sz w:val="20"/>
        </w:rPr>
        <w:t xml:space="preserve">Заявки и документы по итогам отбора ранжируются комиссией по критериям, указанным в </w:t>
      </w:r>
      <w:hyperlink w:history="0" w:anchor="P62" w:tooltip="1.6. Критериями определения победителя отбора являются (далее - критерии);">
        <w:r>
          <w:rPr>
            <w:sz w:val="20"/>
            <w:color w:val="0000ff"/>
          </w:rPr>
          <w:t xml:space="preserve">пункте 1.6</w:t>
        </w:r>
      </w:hyperlink>
      <w:r>
        <w:rPr>
          <w:sz w:val="20"/>
        </w:rPr>
        <w:t xml:space="preserve"> настоящего Порядка.</w:t>
      </w:r>
    </w:p>
    <w:p>
      <w:pPr>
        <w:pStyle w:val="0"/>
        <w:spacing w:before="200" w:line-rule="auto"/>
        <w:ind w:firstLine="540"/>
        <w:jc w:val="both"/>
      </w:pPr>
      <w:r>
        <w:rPr>
          <w:sz w:val="20"/>
        </w:rPr>
        <w:t xml:space="preserve">По результатам рассмотрения заявок и документов комиссия определяет:</w:t>
      </w:r>
    </w:p>
    <w:p>
      <w:pPr>
        <w:pStyle w:val="0"/>
        <w:spacing w:before="200" w:line-rule="auto"/>
        <w:ind w:firstLine="540"/>
        <w:jc w:val="both"/>
      </w:pPr>
      <w:r>
        <w:rPr>
          <w:sz w:val="20"/>
        </w:rPr>
        <w:t xml:space="preserve">баллы по каждому критерию, указанному в </w:t>
      </w:r>
      <w:hyperlink w:history="0" w:anchor="P62" w:tooltip="1.6. Критериями определения победителя отбора являются (далее - критерии);">
        <w:r>
          <w:rPr>
            <w:sz w:val="20"/>
            <w:color w:val="0000ff"/>
          </w:rPr>
          <w:t xml:space="preserve">пункте 1.6</w:t>
        </w:r>
      </w:hyperlink>
      <w:r>
        <w:rPr>
          <w:sz w:val="20"/>
        </w:rPr>
        <w:t xml:space="preserve"> настоящего Порядка;</w:t>
      </w:r>
    </w:p>
    <w:p>
      <w:pPr>
        <w:pStyle w:val="0"/>
        <w:spacing w:before="200" w:line-rule="auto"/>
        <w:ind w:firstLine="540"/>
        <w:jc w:val="both"/>
      </w:pPr>
      <w:r>
        <w:rPr>
          <w:sz w:val="20"/>
        </w:rPr>
        <w:t xml:space="preserve">победителя отбора.</w:t>
      </w:r>
    </w:p>
    <w:p>
      <w:pPr>
        <w:pStyle w:val="0"/>
        <w:spacing w:before="200" w:line-rule="auto"/>
        <w:ind w:firstLine="540"/>
        <w:jc w:val="both"/>
      </w:pPr>
      <w:r>
        <w:rPr>
          <w:sz w:val="20"/>
        </w:rPr>
        <w:t xml:space="preserve">В случае равенства баллов, набранных отдельными заявками и документами, допущенными к отбору, меньший порядковый номер присваивается заявке, электронный графический образ которой подан раньше.</w:t>
      </w:r>
    </w:p>
    <w:p>
      <w:pPr>
        <w:pStyle w:val="0"/>
        <w:spacing w:before="200" w:line-rule="auto"/>
        <w:ind w:firstLine="540"/>
        <w:jc w:val="both"/>
      </w:pPr>
      <w:r>
        <w:rPr>
          <w:sz w:val="20"/>
        </w:rPr>
        <w:t xml:space="preserve">Заявкам и документам присваиваются порядковые номера. Заявке и документам, набравшим наибольший балл, присваивается номер один. Порядковые номера от второго и далее присваиваются заявкам и документам по мере уменьшения количества присужденных баллов. Определение победителя отбора осуществляется на основании количества набранных баллов. Победителем отбора является участник отбора, заявке которого присвоен наибольший балл и порядковый номер один.</w:t>
      </w:r>
    </w:p>
    <w:p>
      <w:pPr>
        <w:pStyle w:val="0"/>
        <w:spacing w:before="200" w:line-rule="auto"/>
        <w:ind w:firstLine="540"/>
        <w:jc w:val="both"/>
      </w:pPr>
      <w:r>
        <w:rPr>
          <w:sz w:val="20"/>
        </w:rPr>
        <w:t xml:space="preserve">В случае поступления на отбор одной заявки и отсутствия оснований для принятия решения об отказе в предоставлении субсидий участник отбора, подавший такую заявку, признается получателем субсидий.</w:t>
      </w:r>
    </w:p>
    <w:p>
      <w:pPr>
        <w:pStyle w:val="0"/>
        <w:spacing w:before="200" w:line-rule="auto"/>
        <w:ind w:firstLine="540"/>
        <w:jc w:val="both"/>
      </w:pPr>
      <w:r>
        <w:rPr>
          <w:sz w:val="20"/>
        </w:rPr>
        <w:t xml:space="preserve">2.8. Результаты работы комиссии оформляются протоколом (далее - протокол) в течение трех рабочих дней со дня заседания комиссии.</w:t>
      </w:r>
    </w:p>
    <w:bookmarkStart w:id="145" w:name="P145"/>
    <w:bookmarkEnd w:id="145"/>
    <w:p>
      <w:pPr>
        <w:pStyle w:val="0"/>
        <w:spacing w:before="200" w:line-rule="auto"/>
        <w:ind w:firstLine="540"/>
        <w:jc w:val="both"/>
      </w:pPr>
      <w:r>
        <w:rPr>
          <w:sz w:val="20"/>
        </w:rPr>
        <w:t xml:space="preserve">2.9. Предельный объем финансового обеспечения затрат составляет 5 млн руб., при этом предельный объем затрат на обучение одного слушателя не может превышать 15384 руб.</w:t>
      </w:r>
    </w:p>
    <w:p>
      <w:pPr>
        <w:pStyle w:val="0"/>
        <w:spacing w:before="200" w:line-rule="auto"/>
        <w:ind w:firstLine="540"/>
        <w:jc w:val="both"/>
      </w:pPr>
      <w:r>
        <w:rPr>
          <w:sz w:val="20"/>
        </w:rPr>
        <w:t xml:space="preserve">2.10. Конкурсная комиссия определяет размер предоставляемой субсидии по следующей формуле:</w:t>
      </w:r>
    </w:p>
    <w:p>
      <w:pPr>
        <w:pStyle w:val="0"/>
      </w:pPr>
      <w:r>
        <w:rPr>
          <w:sz w:val="20"/>
        </w:rPr>
      </w:r>
    </w:p>
    <w:p>
      <w:pPr>
        <w:pStyle w:val="0"/>
        <w:jc w:val="center"/>
      </w:pPr>
      <w:r>
        <w:rPr>
          <w:sz w:val="20"/>
        </w:rPr>
        <w:t xml:space="preserve">С = З</w:t>
      </w:r>
      <w:r>
        <w:rPr>
          <w:sz w:val="20"/>
          <w:vertAlign w:val="subscript"/>
        </w:rPr>
        <w:t xml:space="preserve">1</w:t>
      </w:r>
      <w:r>
        <w:rPr>
          <w:sz w:val="20"/>
        </w:rPr>
        <w:t xml:space="preserve"> + З</w:t>
      </w:r>
      <w:r>
        <w:rPr>
          <w:sz w:val="20"/>
          <w:vertAlign w:val="subscript"/>
        </w:rPr>
        <w:t xml:space="preserve">2</w:t>
      </w:r>
      <w:r>
        <w:rPr>
          <w:sz w:val="20"/>
        </w:rPr>
        <w:t xml:space="preserve"> + ... + З</w:t>
      </w:r>
      <w:r>
        <w:rPr>
          <w:sz w:val="20"/>
          <w:vertAlign w:val="subscript"/>
        </w:rPr>
        <w:t xml:space="preserve">n</w:t>
      </w:r>
      <w:r>
        <w:rPr>
          <w:sz w:val="20"/>
        </w:rPr>
        <w:t xml:space="preserve">,</w:t>
      </w:r>
    </w:p>
    <w:p>
      <w:pPr>
        <w:pStyle w:val="0"/>
      </w:pPr>
      <w:r>
        <w:rPr>
          <w:sz w:val="20"/>
        </w:rPr>
      </w:r>
    </w:p>
    <w:p>
      <w:pPr>
        <w:pStyle w:val="0"/>
        <w:ind w:firstLine="540"/>
        <w:jc w:val="both"/>
      </w:pPr>
      <w:r>
        <w:rPr>
          <w:sz w:val="20"/>
        </w:rPr>
        <w:t xml:space="preserve">где: С - размер предоставляемой субсидии;</w:t>
      </w:r>
    </w:p>
    <w:p>
      <w:pPr>
        <w:pStyle w:val="0"/>
        <w:spacing w:before="200" w:line-rule="auto"/>
        <w:ind w:firstLine="540"/>
        <w:jc w:val="both"/>
      </w:pPr>
      <w:r>
        <w:rPr>
          <w:sz w:val="20"/>
        </w:rPr>
        <w:t xml:space="preserve">З</w:t>
      </w:r>
      <w:r>
        <w:rPr>
          <w:sz w:val="20"/>
          <w:vertAlign w:val="subscript"/>
        </w:rPr>
        <w:t xml:space="preserve">1</w:t>
      </w:r>
      <w:r>
        <w:rPr>
          <w:sz w:val="20"/>
        </w:rPr>
        <w:t xml:space="preserve">, З</w:t>
      </w:r>
      <w:r>
        <w:rPr>
          <w:sz w:val="20"/>
          <w:vertAlign w:val="subscript"/>
        </w:rPr>
        <w:t xml:space="preserve">2</w:t>
      </w:r>
      <w:r>
        <w:rPr>
          <w:sz w:val="20"/>
        </w:rPr>
        <w:t xml:space="preserve">, З</w:t>
      </w:r>
      <w:r>
        <w:rPr>
          <w:sz w:val="20"/>
          <w:vertAlign w:val="subscript"/>
        </w:rPr>
        <w:t xml:space="preserve">n</w:t>
      </w:r>
      <w:r>
        <w:rPr>
          <w:sz w:val="20"/>
        </w:rPr>
        <w:t xml:space="preserve"> - суммы затрат, финансовое обеспечение которых осуществляется за счет субсидий, по направлениям затрат, указанным в </w:t>
      </w:r>
      <w:hyperlink w:history="0" w:anchor="P587" w:tooltip="СМЕТА ПО НАПРАВЛЕНИЯМ ЗАТРАТ">
        <w:r>
          <w:rPr>
            <w:sz w:val="20"/>
            <w:color w:val="0000ff"/>
          </w:rPr>
          <w:t xml:space="preserve">приложении N 3</w:t>
        </w:r>
      </w:hyperlink>
      <w:r>
        <w:rPr>
          <w:sz w:val="20"/>
        </w:rPr>
        <w:t xml:space="preserve"> к настоящему Порядку.</w:t>
      </w:r>
    </w:p>
    <w:p>
      <w:pPr>
        <w:pStyle w:val="0"/>
      </w:pPr>
      <w:r>
        <w:rPr>
          <w:sz w:val="20"/>
        </w:rPr>
      </w:r>
    </w:p>
    <w:p>
      <w:pPr>
        <w:pStyle w:val="0"/>
        <w:ind w:firstLine="540"/>
        <w:jc w:val="both"/>
      </w:pPr>
      <w:r>
        <w:rPr>
          <w:sz w:val="20"/>
        </w:rPr>
        <w:t xml:space="preserve">Суммы затрат по направлениям затрат определяются в соответствии со </w:t>
      </w:r>
      <w:hyperlink w:history="0" w:anchor="P587" w:tooltip="СМЕТА ПО НАПРАВЛЕНИЯМ ЗАТРАТ">
        <w:r>
          <w:rPr>
            <w:sz w:val="20"/>
            <w:color w:val="0000ff"/>
          </w:rPr>
          <w:t xml:space="preserve">сметой</w:t>
        </w:r>
      </w:hyperlink>
      <w:r>
        <w:rPr>
          <w:sz w:val="20"/>
        </w:rPr>
        <w:t xml:space="preserve"> по направлениям затрат, указанной в </w:t>
      </w:r>
      <w:hyperlink w:history="0" w:anchor="P551" w:tooltip="10. Смета затрат на реализацию современных программ непрерывного образования в области подготовки кадров для цифровой трансформации экономики за счет запрашиваемых субсидий (далее - Смета затрат) с экономическим обоснованием и расшифровкой статей расходов, заверенная подписью руководителя, подписью главного бухгалтера и оттиском печати участника отбора (при наличии печати), в соответствии с видом затрат и предельными объемами их финансового обеспечения, указанными в пунктах 1.3 и 2.9 Порядка предоставлен...">
        <w:r>
          <w:rPr>
            <w:sz w:val="20"/>
            <w:color w:val="0000ff"/>
          </w:rPr>
          <w:t xml:space="preserve">пункте 10</w:t>
        </w:r>
      </w:hyperlink>
      <w:r>
        <w:rPr>
          <w:sz w:val="20"/>
        </w:rPr>
        <w:t xml:space="preserve"> приложения N 2 к настоящему Порядку (далее - смета), составленной по форме, определенной в приложении N 3 к настоящему Порядку.</w:t>
      </w:r>
    </w:p>
    <w:p>
      <w:pPr>
        <w:pStyle w:val="0"/>
        <w:spacing w:before="200" w:line-rule="auto"/>
        <w:ind w:firstLine="540"/>
        <w:jc w:val="both"/>
      </w:pPr>
      <w:r>
        <w:rPr>
          <w:sz w:val="20"/>
        </w:rPr>
        <w:t xml:space="preserve">В случае если размер субсидий, запрашиваемых участником отбора, меньше или равен установленному в </w:t>
      </w:r>
      <w:hyperlink w:history="0" w:anchor="P145" w:tooltip="2.9. Предельный объем финансового обеспечения затрат составляет 5 млн руб., при этом предельный объем затрат на обучение одного слушателя не может превышать 15384 руб.">
        <w:r>
          <w:rPr>
            <w:sz w:val="20"/>
            <w:color w:val="0000ff"/>
          </w:rPr>
          <w:t xml:space="preserve">пункте 2.9</w:t>
        </w:r>
      </w:hyperlink>
      <w:r>
        <w:rPr>
          <w:sz w:val="20"/>
        </w:rPr>
        <w:t xml:space="preserve"> настоящего Порядка предельному объему финансового обеспечения затрат и объем затрат на обучение одного слушателя не превышает установленный в </w:t>
      </w:r>
      <w:hyperlink w:history="0" w:anchor="P145" w:tooltip="2.9. Предельный объем финансового обеспечения затрат составляет 5 млн руб., при этом предельный объем затрат на обучение одного слушателя не может превышать 15384 руб.">
        <w:r>
          <w:rPr>
            <w:sz w:val="20"/>
            <w:color w:val="0000ff"/>
          </w:rPr>
          <w:t xml:space="preserve">пункте 2.9</w:t>
        </w:r>
      </w:hyperlink>
      <w:r>
        <w:rPr>
          <w:sz w:val="20"/>
        </w:rPr>
        <w:t xml:space="preserve"> настоящего Порядка предельный объем затрат на обучение одного слушателя, субсидии предоставляются участнику отбора, признанному победителем отбора, в запрашиваемом им размере.</w:t>
      </w:r>
    </w:p>
    <w:p>
      <w:pPr>
        <w:pStyle w:val="0"/>
        <w:spacing w:before="200" w:line-rule="auto"/>
        <w:ind w:firstLine="540"/>
        <w:jc w:val="both"/>
      </w:pPr>
      <w:r>
        <w:rPr>
          <w:sz w:val="20"/>
        </w:rPr>
        <w:t xml:space="preserve">В случае включения в смету затрат, не связанных с достижением целей предоставления субсидий, установленных в </w:t>
      </w:r>
      <w:hyperlink w:history="0" w:anchor="P58" w:tooltip="1.3. Субсидия предоставляется на безвозмездной и безвозвратной основе получателю субсидии в целях финансового обеспечения затрат, возникших в 2022 году, но не позднее 05.12.2022, в связи реализацией в 2022 году современных программ непрерывного образования в области подготовки кадров для цифровой трансформации экономики по направлениям затрат, указанным в приложении N 3 к настоящему Порядку (далее - затраты).">
        <w:r>
          <w:rPr>
            <w:sz w:val="20"/>
            <w:color w:val="0000ff"/>
          </w:rPr>
          <w:t xml:space="preserve">пункте 1.3</w:t>
        </w:r>
      </w:hyperlink>
      <w:r>
        <w:rPr>
          <w:sz w:val="20"/>
        </w:rPr>
        <w:t xml:space="preserve"> настоящего Порядка, такие затраты не подлежат финансовому обеспечению за счет субсидий и комиссия определяет размер предоставляемых субсидий исходя из запрашиваемого участником отбора размера субсидий за вычетом суммы затрат, не связанных с достижением целей предоставления субсидий, установленных в </w:t>
      </w:r>
      <w:hyperlink w:history="0" w:anchor="P58" w:tooltip="1.3. Субсидия предоставляется на безвозмездной и безвозвратной основе получателю субсидии в целях финансового обеспечения затрат, возникших в 2022 году, но не позднее 05.12.2022, в связи реализацией в 2022 году современных программ непрерывного образования в области подготовки кадров для цифровой трансформации экономики по направлениям затрат, указанным в приложении N 3 к настоящему Порядку (далее - затраты).">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2.11. Решение о результатах отбора, указанное в </w:t>
      </w:r>
      <w:hyperlink w:history="0" w:anchor="P135" w:tooltip="2.7. Заявки и документы, допущенные к отбору, после их рассмотрения в соответствии с пунктом 2.6 настоящего Порядка в течение трех рабочих дней передаются на рассмотрение комиссии.">
        <w:r>
          <w:rPr>
            <w:sz w:val="20"/>
            <w:color w:val="0000ff"/>
          </w:rPr>
          <w:t xml:space="preserve">пункте 2.7</w:t>
        </w:r>
      </w:hyperlink>
      <w:r>
        <w:rPr>
          <w:sz w:val="20"/>
        </w:rPr>
        <w:t xml:space="preserve"> настоящего Порядка, утверждается распоряжением Комитета, в котором указываются получатель субсидий и размер предоставляемых субсидий, в течение десяти рабочих дней со дня получения протокола. Порядок проведения отбора в части, не урегулированной настоящим Порядком, в том числе в части принятия комиссией решения, указанного в </w:t>
      </w:r>
      <w:hyperlink w:history="0" w:anchor="P135" w:tooltip="2.7. Заявки и документы, допущенные к отбору, после их рассмотрения в соответствии с пунктом 2.6 настоящего Порядка в течение трех рабочих дней передаются на рассмотрение комиссии.">
        <w:r>
          <w:rPr>
            <w:sz w:val="20"/>
            <w:color w:val="0000ff"/>
          </w:rPr>
          <w:t xml:space="preserve">пункте 2.7</w:t>
        </w:r>
      </w:hyperlink>
      <w:r>
        <w:rPr>
          <w:sz w:val="20"/>
        </w:rPr>
        <w:t xml:space="preserve"> настоящего Порядка, утверждается Комитетом.</w:t>
      </w:r>
    </w:p>
    <w:p>
      <w:pPr>
        <w:pStyle w:val="0"/>
        <w:spacing w:before="200" w:line-rule="auto"/>
        <w:ind w:firstLine="540"/>
        <w:jc w:val="both"/>
      </w:pPr>
      <w:r>
        <w:rPr>
          <w:sz w:val="20"/>
        </w:rPr>
        <w:t xml:space="preserve">2.12. В течение пяти рабочих дней со дня издания распоряжения Комитета, указанного в пункте 2.11 настоящего Порядка, Комитет размещает на сайте Комитета информацию о результатах рассмотрения заявок, включая следующие сведения:</w:t>
      </w:r>
    </w:p>
    <w:p>
      <w:pPr>
        <w:pStyle w:val="0"/>
        <w:spacing w:before="200" w:line-rule="auto"/>
        <w:ind w:firstLine="540"/>
        <w:jc w:val="both"/>
      </w:pPr>
      <w:r>
        <w:rPr>
          <w:sz w:val="20"/>
        </w:rPr>
        <w:t xml:space="preserve">дата, время и место проведения рассмотрения заявок и документов;</w:t>
      </w:r>
    </w:p>
    <w:p>
      <w:pPr>
        <w:pStyle w:val="0"/>
        <w:spacing w:before="200" w:line-rule="auto"/>
        <w:ind w:firstLine="540"/>
        <w:jc w:val="both"/>
      </w:pPr>
      <w:r>
        <w:rPr>
          <w:sz w:val="20"/>
        </w:rPr>
        <w:t xml:space="preserve">дата, время и место оценки заявок и документов;</w:t>
      </w:r>
    </w:p>
    <w:p>
      <w:pPr>
        <w:pStyle w:val="0"/>
        <w:spacing w:before="200" w:line-rule="auto"/>
        <w:ind w:firstLine="540"/>
        <w:jc w:val="both"/>
      </w:pPr>
      <w:r>
        <w:rPr>
          <w:sz w:val="20"/>
        </w:rPr>
        <w:t xml:space="preserve">информация об участниках отбора, заявки и документы которых были рассмотрены;</w:t>
      </w:r>
    </w:p>
    <w:p>
      <w:pPr>
        <w:pStyle w:val="0"/>
        <w:spacing w:before="200" w:line-rule="auto"/>
        <w:ind w:firstLine="540"/>
        <w:jc w:val="both"/>
      </w:pPr>
      <w:r>
        <w:rPr>
          <w:sz w:val="20"/>
        </w:rPr>
        <w:t xml:space="preserve">информация об участниках отбора, заявки и документы которых были отклонены, с указанием причин их отклонения, в том числе положений объявления, которым не соответствуют такие заявки и документы;</w:t>
      </w:r>
    </w:p>
    <w:p>
      <w:pPr>
        <w:pStyle w:val="0"/>
        <w:spacing w:before="200" w:line-rule="auto"/>
        <w:ind w:firstLine="540"/>
        <w:jc w:val="both"/>
      </w:pPr>
      <w:r>
        <w:rPr>
          <w:sz w:val="20"/>
        </w:rPr>
        <w:t xml:space="preserve">последовательность оценки заявок и документов, присвоенные заявкам участников отбора обобщенные рейтинги заявок и присвоенные экспертами баллы по критериям оценки заявок, принятое на основании результатов оценки заявок и документов решение о присвоении заявкам порядковых номеров;</w:t>
      </w:r>
    </w:p>
    <w:p>
      <w:pPr>
        <w:pStyle w:val="0"/>
        <w:spacing w:before="200" w:line-rule="auto"/>
        <w:ind w:firstLine="540"/>
        <w:jc w:val="both"/>
      </w:pPr>
      <w:r>
        <w:rPr>
          <w:sz w:val="20"/>
        </w:rPr>
        <w:t xml:space="preserve">наименование получателя субсидий с указанием размера предоставляемых субсидий.</w:t>
      </w:r>
    </w:p>
    <w:p>
      <w:pPr>
        <w:pStyle w:val="0"/>
        <w:spacing w:before="200" w:line-rule="auto"/>
        <w:ind w:firstLine="540"/>
        <w:jc w:val="both"/>
      </w:pPr>
      <w:r>
        <w:rPr>
          <w:sz w:val="20"/>
        </w:rPr>
        <w:t xml:space="preserve">2.13. Основаниями принятия Комитетом решения об отказе в предоставлении субсидий являются:</w:t>
      </w:r>
    </w:p>
    <w:p>
      <w:pPr>
        <w:pStyle w:val="0"/>
        <w:spacing w:before="200" w:line-rule="auto"/>
        <w:ind w:firstLine="540"/>
        <w:jc w:val="both"/>
      </w:pPr>
      <w:r>
        <w:rPr>
          <w:sz w:val="20"/>
        </w:rPr>
        <w:t xml:space="preserve">основания, предусмотренные в </w:t>
      </w:r>
      <w:hyperlink w:history="0" w:anchor="P125" w:tooltip="2.6. В течение десяти рабочих дней со дня окончания приема заявок и документов Комитет рассматривает заявки и документы на предмет их соответствия установленным в объявлении форме заявки, перечню документов и требованиям к ним, на соответствие участника отбора условиям предоставления субсидий, установленным настоящим Порядком, проводит проверку сведений, содержащихся в заявке и документах, проводит проверку обоснованности представленного участником отбора расчета размера субсидий и принимает решение об о...">
        <w:r>
          <w:rPr>
            <w:sz w:val="20"/>
            <w:color w:val="0000ff"/>
          </w:rPr>
          <w:t xml:space="preserve">пункте 2.6</w:t>
        </w:r>
      </w:hyperlink>
      <w:r>
        <w:rPr>
          <w:sz w:val="20"/>
        </w:rPr>
        <w:t xml:space="preserve"> настоящего Порядка;</w:t>
      </w:r>
    </w:p>
    <w:p>
      <w:pPr>
        <w:pStyle w:val="0"/>
        <w:spacing w:before="200" w:line-rule="auto"/>
        <w:ind w:firstLine="540"/>
        <w:jc w:val="both"/>
      </w:pPr>
      <w:r>
        <w:rPr>
          <w:sz w:val="20"/>
        </w:rPr>
        <w:t xml:space="preserve">отсутствие у Комитета бюджетных ассигнований на предоставление субсидий на дату принятия комиссией решения о результатах отбора;</w:t>
      </w:r>
    </w:p>
    <w:p>
      <w:pPr>
        <w:pStyle w:val="0"/>
        <w:spacing w:before="200" w:line-rule="auto"/>
        <w:ind w:firstLine="540"/>
        <w:jc w:val="both"/>
      </w:pPr>
      <w:r>
        <w:rPr>
          <w:sz w:val="20"/>
        </w:rPr>
        <w:t xml:space="preserve">непризнание комиссией участников отбора победителями отбора.</w:t>
      </w:r>
    </w:p>
    <w:p>
      <w:pPr>
        <w:pStyle w:val="0"/>
        <w:spacing w:before="200" w:line-rule="auto"/>
        <w:ind w:firstLine="540"/>
        <w:jc w:val="both"/>
      </w:pPr>
      <w:r>
        <w:rPr>
          <w:sz w:val="20"/>
        </w:rPr>
        <w:t xml:space="preserve">2.14. Субсидии предоставляются на основании соглашения, заключаемого между Комитетом и получателем субсидий (далее - стороны) в соответствии с типовой формой, утвержденной Комитетом финансов Санкт-Петербурга, в объеме средств, указанном в распоряжении Комитета о предоставлении субсидий.</w:t>
      </w:r>
    </w:p>
    <w:bookmarkStart w:id="169" w:name="P169"/>
    <w:bookmarkEnd w:id="169"/>
    <w:p>
      <w:pPr>
        <w:pStyle w:val="0"/>
        <w:spacing w:before="200" w:line-rule="auto"/>
        <w:ind w:firstLine="540"/>
        <w:jc w:val="both"/>
      </w:pPr>
      <w:r>
        <w:rPr>
          <w:sz w:val="20"/>
        </w:rPr>
        <w:t xml:space="preserve">Комитет направляет проект соглашения в течение трех рабочих дней со дня издания распоряжения Комитета о предоставлении субсидий получателю субсидий по адресу электронной почты, указанной в заявке, для подписания им в течение пяти рабочих дней либо вручает его уполномоченному представителю получателя субсидий.</w:t>
      </w:r>
    </w:p>
    <w:p>
      <w:pPr>
        <w:pStyle w:val="0"/>
        <w:spacing w:before="200" w:line-rule="auto"/>
        <w:ind w:firstLine="540"/>
        <w:jc w:val="both"/>
      </w:pPr>
      <w:r>
        <w:rPr>
          <w:sz w:val="20"/>
        </w:rPr>
        <w:t xml:space="preserve">Стороны вправе в соответствии с законодательством Российской Федерации заключать дополнительные соглашения к соглашению, в том числе соглашение о расторжении соглашения (при необходимости), в соответствии с типовыми формами, утвержденными Комитетом финансов Санкт-Петербурга.</w:t>
      </w:r>
    </w:p>
    <w:p>
      <w:pPr>
        <w:pStyle w:val="0"/>
        <w:spacing w:before="200" w:line-rule="auto"/>
        <w:ind w:firstLine="540"/>
        <w:jc w:val="both"/>
      </w:pPr>
      <w:r>
        <w:rPr>
          <w:sz w:val="20"/>
        </w:rPr>
        <w:t xml:space="preserve">В случае неподписания получателем субсидий проекта соглашения в срок, указанный в </w:t>
      </w:r>
      <w:hyperlink w:history="0" w:anchor="P169" w:tooltip="Комитет направляет проект соглашения в течение трех рабочих дней со дня издания распоряжения Комитета о предоставлении субсидий получателю субсидий по адресу электронной почты, указанной в заявке, для подписания им в течение пяти рабочих дней либо вручает его уполномоченному представителю получателя субсидий.">
        <w:r>
          <w:rPr>
            <w:sz w:val="20"/>
            <w:color w:val="0000ff"/>
          </w:rPr>
          <w:t xml:space="preserve">абзаце втором</w:t>
        </w:r>
      </w:hyperlink>
      <w:r>
        <w:rPr>
          <w:sz w:val="20"/>
        </w:rPr>
        <w:t xml:space="preserve"> настоящего пункта, получатель субсидий признается уклонившимся от заключения соглашения.</w:t>
      </w:r>
    </w:p>
    <w:bookmarkStart w:id="172" w:name="P172"/>
    <w:bookmarkEnd w:id="172"/>
    <w:p>
      <w:pPr>
        <w:pStyle w:val="0"/>
        <w:spacing w:before="200" w:line-rule="auto"/>
        <w:ind w:firstLine="540"/>
        <w:jc w:val="both"/>
      </w:pPr>
      <w:r>
        <w:rPr>
          <w:sz w:val="20"/>
        </w:rPr>
        <w:t xml:space="preserve">В соглашение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размере, определенном в соглашении, Комитет в течение пяти рабочих дней после уменьшения указанных лимитов бюджетных обязательств направляет получателю субсидий проект дополнительного соглашения к соглашению об уменьшении размера субсидий (далее - дополнительное соглашение) способами, указанными в </w:t>
      </w:r>
      <w:hyperlink w:history="0" w:anchor="P169" w:tooltip="Комитет направляет проект соглашения в течение трех рабочих дней со дня издания распоряжения Комитета о предоставлении субсидий получателю субсидий по адресу электронной почты, указанной в заявке, для подписания им в течение пяти рабочих дней либо вручает его уполномоченному представителю получателя субсидий.">
        <w:r>
          <w:rPr>
            <w:sz w:val="20"/>
            <w:color w:val="0000ff"/>
          </w:rPr>
          <w:t xml:space="preserve">абзаце втором</w:t>
        </w:r>
      </w:hyperlink>
      <w:r>
        <w:rPr>
          <w:sz w:val="20"/>
        </w:rPr>
        <w:t xml:space="preserve"> настоящего пункта. Получатель субсидий подписывает дополнительное соглашение и направляет его в Комитет в течение пяти рабочих дней со дня его получения.</w:t>
      </w:r>
    </w:p>
    <w:p>
      <w:pPr>
        <w:pStyle w:val="0"/>
        <w:spacing w:before="200" w:line-rule="auto"/>
        <w:ind w:firstLine="540"/>
        <w:jc w:val="both"/>
      </w:pPr>
      <w:r>
        <w:rPr>
          <w:sz w:val="20"/>
        </w:rPr>
        <w:t xml:space="preserve">В случае неподписания получателем субсидий проекта дополнительного соглашения в срок, указанный в </w:t>
      </w:r>
      <w:hyperlink w:history="0" w:anchor="P172" w:tooltip="В соглашение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е, определенном в соглашении, Комитет в течение пяти рабочих дней после уменьшения указанных лимитов бюджетных обязательств направляет получателю субсидий проект дополнительного соглашения к соглашению об уменьшении размера субсидий (далее - дополнительное соглашение) способами, указанными в...">
        <w:r>
          <w:rPr>
            <w:sz w:val="20"/>
            <w:color w:val="0000ff"/>
          </w:rPr>
          <w:t xml:space="preserve">абзаце пятом</w:t>
        </w:r>
      </w:hyperlink>
      <w:r>
        <w:rPr>
          <w:sz w:val="20"/>
        </w:rPr>
        <w:t xml:space="preserve"> настоящего пункта, соглашение подлежит расторжению.</w:t>
      </w:r>
    </w:p>
    <w:p>
      <w:pPr>
        <w:pStyle w:val="0"/>
        <w:spacing w:before="200" w:line-rule="auto"/>
        <w:ind w:firstLine="540"/>
        <w:jc w:val="both"/>
      </w:pPr>
      <w:r>
        <w:rPr>
          <w:sz w:val="20"/>
        </w:rPr>
        <w:t xml:space="preserve">В соглашение подлежит включению условие о согласии получателя субсидий на проведение в отношении него проверок участника и обязательстве получателя субсидий представить согласия контрагентов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проведение в отношении них проверок.</w:t>
      </w:r>
    </w:p>
    <w:p>
      <w:pPr>
        <w:pStyle w:val="0"/>
        <w:spacing w:before="200" w:line-rule="auto"/>
        <w:ind w:firstLine="540"/>
        <w:jc w:val="both"/>
      </w:pPr>
      <w:r>
        <w:rPr>
          <w:sz w:val="20"/>
        </w:rPr>
        <w:t xml:space="preserve">2.15. Перечисление субсидий осуществляется единовременно на расчетный или корреспондентский счет, открытый получателем субсидий в учреждениях Центрального банка Российской Федерации или кредитных организациях, указанный в соглашении, не позднее 15 рабочих дней после заключения соглашения.</w:t>
      </w:r>
    </w:p>
    <w:p>
      <w:pPr>
        <w:pStyle w:val="0"/>
        <w:spacing w:before="200" w:line-rule="auto"/>
        <w:ind w:firstLine="540"/>
        <w:jc w:val="both"/>
      </w:pPr>
      <w:r>
        <w:rPr>
          <w:sz w:val="20"/>
        </w:rPr>
        <w:t xml:space="preserve">2.16. Результатом является реализация до 05.12.2022 получателем субсидий не менее 97 процентов человеко-программ от указанных в заявке.</w:t>
      </w:r>
    </w:p>
    <w:p>
      <w:pPr>
        <w:pStyle w:val="0"/>
        <w:spacing w:before="200" w:line-rule="auto"/>
        <w:ind w:firstLine="540"/>
        <w:jc w:val="both"/>
      </w:pPr>
      <w:r>
        <w:rPr>
          <w:sz w:val="20"/>
        </w:rPr>
        <w:t xml:space="preserve">Показателем является обучение не менее 99 процентов слушателей от общего количества человек, принятых на обучение в соответствии с приказами о зачислении.</w:t>
      </w:r>
    </w:p>
    <w:p>
      <w:pPr>
        <w:pStyle w:val="0"/>
        <w:spacing w:before="200" w:line-rule="auto"/>
        <w:ind w:firstLine="540"/>
        <w:jc w:val="both"/>
      </w:pPr>
      <w:r>
        <w:rPr>
          <w:sz w:val="20"/>
        </w:rPr>
        <w:t xml:space="preserve">2.17. В случае возникновения обстоятельств, приводящих к невозможности достижения результата и показателя в сроки, определенные соглашением, Комитет по согласованию с получателем субсидий вправе принять решение о внесении изменений в соглашение в части продления сроков достижения результата (но не более чем на 24 месяца) без изменения размера субсидий. В случае невозможности достижения результата без изменения размера субсидий Комитет вправе принять решение об уменьшении значений результата и показателя.</w:t>
      </w:r>
    </w:p>
    <w:p>
      <w:pPr>
        <w:pStyle w:val="0"/>
        <w:spacing w:before="200" w:line-rule="auto"/>
        <w:ind w:firstLine="540"/>
        <w:jc w:val="both"/>
      </w:pPr>
      <w:r>
        <w:rPr>
          <w:sz w:val="20"/>
        </w:rPr>
        <w:t xml:space="preserve">2.18. Внесение изменений в соглашение осуществляется в соответствии с </w:t>
      </w:r>
      <w:hyperlink w:history="0" r:id="rId23"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абзацами пятым</w:t>
        </w:r>
      </w:hyperlink>
      <w:r>
        <w:rPr>
          <w:sz w:val="20"/>
        </w:rPr>
        <w:t xml:space="preserve"> и </w:t>
      </w:r>
      <w:hyperlink w:history="0" r:id="rId24"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шестым пункта 2</w:t>
        </w:r>
      </w:hyperlink>
      <w:r>
        <w:rPr>
          <w:sz w:val="20"/>
        </w:rPr>
        <w:t xml:space="preserve"> и </w:t>
      </w:r>
      <w:hyperlink w:history="0" r:id="rId25"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пунктом 5</w:t>
        </w:r>
      </w:hyperlink>
      <w:r>
        <w:rPr>
          <w:sz w:val="20"/>
        </w:rP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p>
      <w:pPr>
        <w:pStyle w:val="0"/>
      </w:pPr>
      <w:r>
        <w:rPr>
          <w:sz w:val="20"/>
        </w:rPr>
      </w:r>
    </w:p>
    <w:p>
      <w:pPr>
        <w:pStyle w:val="2"/>
        <w:outlineLvl w:val="1"/>
        <w:jc w:val="center"/>
      </w:pPr>
      <w:r>
        <w:rPr>
          <w:sz w:val="20"/>
        </w:rPr>
        <w:t xml:space="preserve">3. Требования к отчетности и порядок ее представления</w:t>
      </w:r>
    </w:p>
    <w:p>
      <w:pPr>
        <w:pStyle w:val="0"/>
      </w:pPr>
      <w:r>
        <w:rPr>
          <w:sz w:val="20"/>
        </w:rPr>
      </w:r>
    </w:p>
    <w:bookmarkStart w:id="183" w:name="P183"/>
    <w:bookmarkEnd w:id="183"/>
    <w:p>
      <w:pPr>
        <w:pStyle w:val="0"/>
        <w:ind w:firstLine="540"/>
        <w:jc w:val="both"/>
      </w:pPr>
      <w:r>
        <w:rPr>
          <w:sz w:val="20"/>
        </w:rPr>
        <w:t xml:space="preserve">3.1. Получатель субсидий в срок, установленный Комитетом, представляет в Комитет отчет о достижении значений результата и показателя, а также отчет об осуществлении расходов, источником финансового обеспечения которых являются субсидии, по формам, утвержденным Комитетом финансов Санкт-Петербурга. К отчету о достижении значений результата и показателя получателем субсидий прилагаются презентация по итогам реализации современных программ непрерывного образования в области подготовки кадров для цифровой трансформации экономики в формате ppt./pptx. (не менее чем на десяти слайдах на электронном и бумажном носителях) и пофамильный перечень слушателей с указанием их возраста (на дату подписания приказа о зачислении на обучение), представляемый с соблюдением требований законодательства о персональных данных.</w:t>
      </w:r>
    </w:p>
    <w:p>
      <w:pPr>
        <w:pStyle w:val="0"/>
        <w:spacing w:before="200" w:line-rule="auto"/>
        <w:ind w:firstLine="540"/>
        <w:jc w:val="both"/>
      </w:pPr>
      <w:r>
        <w:rPr>
          <w:sz w:val="20"/>
        </w:rPr>
        <w:t xml:space="preserve">3.2. Порядок представления и рассмотрения отчетности о достижении значений результата и показателя, а также отчетности об осуществлении расходов, источником финансового обеспечения которых являются субсидии, в части, не урегулированной настоящим Порядком, устанавливается Комитетом.</w:t>
      </w:r>
    </w:p>
    <w:p>
      <w:pPr>
        <w:pStyle w:val="0"/>
        <w:spacing w:before="200" w:line-rule="auto"/>
        <w:ind w:firstLine="540"/>
        <w:jc w:val="both"/>
      </w:pPr>
      <w:r>
        <w:rPr>
          <w:sz w:val="20"/>
        </w:rPr>
        <w:t xml:space="preserve">3.3. Порядок представления получателем субсидий дополнительной отчетности и формы дополнительной отчетности устанавливаются Комитетом в соглашении.</w:t>
      </w:r>
    </w:p>
    <w:p>
      <w:pPr>
        <w:pStyle w:val="0"/>
      </w:pPr>
      <w:r>
        <w:rPr>
          <w:sz w:val="20"/>
        </w:rPr>
      </w:r>
    </w:p>
    <w:p>
      <w:pPr>
        <w:pStyle w:val="2"/>
        <w:outlineLvl w:val="1"/>
        <w:jc w:val="center"/>
      </w:pPr>
      <w:r>
        <w:rPr>
          <w:sz w:val="20"/>
        </w:rPr>
        <w:t xml:space="preserve">4. Требования об осуществлении контроля за соблюдением</w:t>
      </w:r>
    </w:p>
    <w:p>
      <w:pPr>
        <w:pStyle w:val="2"/>
        <w:jc w:val="center"/>
      </w:pPr>
      <w:r>
        <w:rPr>
          <w:sz w:val="20"/>
        </w:rPr>
        <w:t xml:space="preserve">порядка и условий предоставления субсидий, в том числе</w:t>
      </w:r>
    </w:p>
    <w:p>
      <w:pPr>
        <w:pStyle w:val="2"/>
        <w:jc w:val="center"/>
      </w:pPr>
      <w:r>
        <w:rPr>
          <w:sz w:val="20"/>
        </w:rPr>
        <w:t xml:space="preserve">в части достижения результатов их предоставления,</w:t>
      </w:r>
    </w:p>
    <w:p>
      <w:pPr>
        <w:pStyle w:val="2"/>
        <w:jc w:val="center"/>
      </w:pPr>
      <w:r>
        <w:rPr>
          <w:sz w:val="20"/>
        </w:rPr>
        <w:t xml:space="preserve">и ответственность за их нарушение, возврат</w:t>
      </w:r>
    </w:p>
    <w:p>
      <w:pPr>
        <w:pStyle w:val="2"/>
        <w:jc w:val="center"/>
      </w:pPr>
      <w:r>
        <w:rPr>
          <w:sz w:val="20"/>
        </w:rPr>
        <w:t xml:space="preserve">неиспользованного остатка субсидий</w:t>
      </w:r>
    </w:p>
    <w:p>
      <w:pPr>
        <w:pStyle w:val="0"/>
      </w:pPr>
      <w:r>
        <w:rPr>
          <w:sz w:val="20"/>
        </w:rPr>
      </w:r>
    </w:p>
    <w:p>
      <w:pPr>
        <w:pStyle w:val="0"/>
        <w:ind w:firstLine="540"/>
        <w:jc w:val="both"/>
      </w:pPr>
      <w:r>
        <w:rPr>
          <w:sz w:val="20"/>
        </w:rPr>
        <w:t xml:space="preserve">4.1. Комитет в сроки и порядке, которые установлены Комитетом, осуществляет проверку участника и проверку, по результатам которых составляется акт проведения проверки участника и проверки (далее - акт). Составление акта и его подписание осуществляются не позднее пяти рабочих дней со дня окончания срока проверки участника и проверки.</w:t>
      </w:r>
    </w:p>
    <w:bookmarkStart w:id="194" w:name="P194"/>
    <w:bookmarkEnd w:id="194"/>
    <w:p>
      <w:pPr>
        <w:pStyle w:val="0"/>
        <w:spacing w:before="200" w:line-rule="auto"/>
        <w:ind w:firstLine="540"/>
        <w:jc w:val="both"/>
      </w:pPr>
      <w:r>
        <w:rPr>
          <w:sz w:val="20"/>
        </w:rPr>
        <w:t xml:space="preserve">4.2. В случае выявления при проведении проверок участника и проверок нарушений получателем субсидий и(или) контрагентами условий предоставления субсидий и(или) нарушения получателем субсидий обязанности достижения значений результата и показателя (далее совместно - нарушения) Комитет одновременно с подписанием акта направляет получателю субсидий и(или) контрагентам уведомление о нарушениях (далее - уведомление), в котором указываются выявленные нарушения и сроки их устранения получателем субсидий и(или) контрагентами.</w:t>
      </w:r>
    </w:p>
    <w:p>
      <w:pPr>
        <w:pStyle w:val="0"/>
        <w:spacing w:before="200" w:line-rule="auto"/>
        <w:ind w:firstLine="540"/>
        <w:jc w:val="both"/>
      </w:pPr>
      <w:r>
        <w:rPr>
          <w:sz w:val="20"/>
        </w:rPr>
        <w:t xml:space="preserve">Копия акта в течение трех рабочих дней после его подписания направляется Комитетом в Комитет государственного финансового контроля Санкт-Петербурга (далее - КГФК) с приложением копии уведомления.</w:t>
      </w:r>
    </w:p>
    <w:p>
      <w:pPr>
        <w:pStyle w:val="0"/>
        <w:spacing w:before="200" w:line-rule="auto"/>
        <w:ind w:firstLine="540"/>
        <w:jc w:val="both"/>
      </w:pPr>
      <w:r>
        <w:rPr>
          <w:sz w:val="20"/>
        </w:rPr>
        <w:t xml:space="preserve">4.3. Комитет направляет в КГФК информацию о результатах устранения нарушений получателем субсидий и(или) контрагентами или о принятии решения о возврате средств субсидий и(или) средств, полученных контрагентами за счет средств субсидий на основании договоров, заключенных с получателем субсидий (далее - средства), в течение пяти рабочих дней со дня получения такой информации.</w:t>
      </w:r>
    </w:p>
    <w:bookmarkStart w:id="197" w:name="P197"/>
    <w:bookmarkEnd w:id="197"/>
    <w:p>
      <w:pPr>
        <w:pStyle w:val="0"/>
        <w:spacing w:before="200" w:line-rule="auto"/>
        <w:ind w:firstLine="540"/>
        <w:jc w:val="both"/>
      </w:pPr>
      <w:r>
        <w:rPr>
          <w:sz w:val="20"/>
        </w:rPr>
        <w:t xml:space="preserve">4.4.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 возврате в бюджет Санкт-Петербурга субсидий, полученных получателем субсидий, и(или) средств в форме распоряжения и направляет копию указанного распоряжения получателю субсидий и(или) контрагенту и в КГФК вместе с требованием о возврате субсидий (средств) (далее - требование), в котором предусматриваются:</w:t>
      </w:r>
    </w:p>
    <w:p>
      <w:pPr>
        <w:pStyle w:val="0"/>
        <w:spacing w:before="200" w:line-rule="auto"/>
        <w:ind w:firstLine="540"/>
        <w:jc w:val="both"/>
      </w:pPr>
      <w:r>
        <w:rPr>
          <w:sz w:val="20"/>
        </w:rPr>
        <w:t xml:space="preserve">подлежащая возврату сумма денежных средств и сроки ее возврата;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 (средств).</w:t>
      </w:r>
    </w:p>
    <w:p>
      <w:pPr>
        <w:pStyle w:val="0"/>
        <w:spacing w:before="200" w:line-rule="auto"/>
        <w:ind w:firstLine="540"/>
        <w:jc w:val="both"/>
      </w:pPr>
      <w:r>
        <w:rPr>
          <w:sz w:val="20"/>
        </w:rPr>
        <w:t xml:space="preserve">Размер субсидий и средств, подлежащих возврату по основаниям, выявленным в соответствии с </w:t>
      </w:r>
      <w:hyperlink w:history="0" w:anchor="P194" w:tooltip="4.2. В случае выявления при проведении проверок участника и проверок нарушений получателем субсидий и(или) контрагентами условий предоставления субсидий и(или) нарушения получателем субсидий обязанности достижения значений результата и показателя (далее совместно - нарушения) Комитет одновременно с подписанием акта направляет получателю субсидий и(или) контрагентам уведомление о нарушениях (далее - уведомление), в котором указываются выявленные нарушения и сроки их устранения получателем субсидий и(или) ...">
        <w:r>
          <w:rPr>
            <w:sz w:val="20"/>
            <w:color w:val="0000ff"/>
          </w:rPr>
          <w:t xml:space="preserve">пунктом 4.2</w:t>
        </w:r>
      </w:hyperlink>
      <w:r>
        <w:rPr>
          <w:sz w:val="20"/>
        </w:rPr>
        <w:t xml:space="preserve"> настоящего Порядка, ограничивается размером денежных средств, в отношении которых были установлены факты нарушений.</w:t>
      </w:r>
    </w:p>
    <w:p>
      <w:pPr>
        <w:pStyle w:val="0"/>
        <w:spacing w:before="200" w:line-rule="auto"/>
        <w:ind w:firstLine="540"/>
        <w:jc w:val="both"/>
      </w:pPr>
      <w:r>
        <w:rPr>
          <w:sz w:val="20"/>
        </w:rPr>
        <w:t xml:space="preserve">4.5. Проверка участника и проверки осуществляются органами государственного финансового контроля в соответствии с Бюджетным </w:t>
      </w:r>
      <w:hyperlink w:history="0" r:id="rId26"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4.6. Не использованный в отчетном финансовом году остаток субсидий подлежит возврату получателем субсидий в бюджет Санкт-Петербурга в срок, установленный Комитетом.</w:t>
      </w:r>
    </w:p>
    <w:p>
      <w:pPr>
        <w:pStyle w:val="0"/>
        <w:spacing w:before="200" w:line-rule="auto"/>
        <w:ind w:firstLine="540"/>
        <w:jc w:val="both"/>
      </w:pPr>
      <w:r>
        <w:rPr>
          <w:sz w:val="20"/>
        </w:rPr>
        <w:t xml:space="preserve">Возврат неиспользованного остатка субсидий осуществляется получателем субсидий в бюджет Санкт-Петербурга по коду бюджетной классификации, указанному в уведомлении о возврате субсидий, направленном Комитетом в адрес получателя субсидий. Уведомление о возврате субсидий формируется на основании заявления получателя субсидий.</w:t>
      </w:r>
    </w:p>
    <w:p>
      <w:pPr>
        <w:pStyle w:val="0"/>
        <w:spacing w:before="200" w:line-rule="auto"/>
        <w:ind w:firstLine="540"/>
        <w:jc w:val="both"/>
      </w:pPr>
      <w:r>
        <w:rPr>
          <w:sz w:val="20"/>
        </w:rPr>
        <w:t xml:space="preserve">4.7. Получатель субсидий (контрагент) обязан осуществить возврат субсидий (средств) в бюджет Санкт-Петербурга в течение семи рабочих дней со дня получения требования и копии распоряжения, указанного в </w:t>
      </w:r>
      <w:hyperlink w:history="0" w:anchor="P197" w:tooltip="4.4.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 возврате в бюджет Санкт-Петербурга субсидий, полученных получателем субсидий, и(или) средств в форме распоряжения и направляет копию указанного распоряжения получателю субсидий и(или) контрагенту и в КГФК вместе с требованием о возврате субсидий (средств) (далее - требование), в котором предусматриваются:">
        <w:r>
          <w:rPr>
            <w:sz w:val="20"/>
            <w:color w:val="0000ff"/>
          </w:rPr>
          <w:t xml:space="preserve">пункте 4.4</w:t>
        </w:r>
      </w:hyperlink>
      <w:r>
        <w:rPr>
          <w:sz w:val="20"/>
        </w:rPr>
        <w:t xml:space="preserve"> настоящего Порядка.</w:t>
      </w:r>
    </w:p>
    <w:p>
      <w:pPr>
        <w:pStyle w:val="0"/>
        <w:spacing w:before="200" w:line-rule="auto"/>
        <w:ind w:firstLine="540"/>
        <w:jc w:val="both"/>
      </w:pPr>
      <w:r>
        <w:rPr>
          <w:sz w:val="20"/>
        </w:rPr>
        <w:t xml:space="preserve">4.8. В случае если средства субсидий (средства) не возвращены в бюджет Санкт-Петербурга получателем субсидий (контрагентом) в установленные в пунктах 4.6 и 4.7 настоящего Порядка сроки, Комитет в течение 15 рабочих дней со дня истечения сроков, установленных в пунктах 4.6 и 4.7 настоящего Порядка, направляет в суд заявление о возврате субсидий (средств) в бюджет Санкт-Петербурга.</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Понятия, термины и принятые сокращения, используемые в </w:t>
      </w:r>
      <w:hyperlink w:history="0" w:anchor="P223" w:tooltip="ЗАЯВКА">
        <w:r>
          <w:rPr>
            <w:sz w:val="20"/>
            <w:color w:val="0000ff"/>
          </w:rPr>
          <w:t xml:space="preserve">приложениях</w:t>
        </w:r>
      </w:hyperlink>
      <w:r>
        <w:rPr>
          <w:sz w:val="20"/>
        </w:rPr>
        <w:t xml:space="preserve"> к настоящему Порядку, используются в значениях, определенных настоящим Порядком.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в 2022 году</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осуществляющим деятельность в области</w:t>
      </w:r>
    </w:p>
    <w:p>
      <w:pPr>
        <w:pStyle w:val="0"/>
        <w:jc w:val="right"/>
      </w:pPr>
      <w:r>
        <w:rPr>
          <w:sz w:val="20"/>
        </w:rPr>
        <w:t xml:space="preserve">науки и образования, реализующим</w:t>
      </w:r>
    </w:p>
    <w:p>
      <w:pPr>
        <w:pStyle w:val="0"/>
        <w:jc w:val="right"/>
      </w:pPr>
      <w:r>
        <w:rPr>
          <w:sz w:val="20"/>
        </w:rPr>
        <w:t xml:space="preserve">аккредитованные программы высшего</w:t>
      </w:r>
    </w:p>
    <w:p>
      <w:pPr>
        <w:pStyle w:val="0"/>
        <w:jc w:val="right"/>
      </w:pPr>
      <w:r>
        <w:rPr>
          <w:sz w:val="20"/>
        </w:rPr>
        <w:t xml:space="preserve">образования, в целях внедрения современных</w:t>
      </w:r>
    </w:p>
    <w:p>
      <w:pPr>
        <w:pStyle w:val="0"/>
        <w:jc w:val="right"/>
      </w:pPr>
      <w:r>
        <w:rPr>
          <w:sz w:val="20"/>
        </w:rPr>
        <w:t xml:space="preserve">программ непрерывного образования</w:t>
      </w:r>
    </w:p>
    <w:p>
      <w:pPr>
        <w:pStyle w:val="0"/>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3912"/>
        <w:gridCol w:w="5159"/>
      </w:tblGrid>
      <w:tr>
        <w:tblPrEx>
          <w:tblBorders>
            <w:left w:val="nil"/>
            <w:right w:val="nil"/>
            <w:insideH w:val="nil"/>
          </w:tblBorders>
        </w:tblPrEx>
        <w:tc>
          <w:tcPr>
            <w:gridSpan w:val="2"/>
            <w:tcW w:w="9071" w:type="dxa"/>
            <w:tcBorders>
              <w:top w:val="nil"/>
              <w:left w:val="nil"/>
              <w:bottom w:val="nil"/>
              <w:right w:val="nil"/>
            </w:tcBorders>
          </w:tcPr>
          <w:bookmarkStart w:id="223" w:name="P223"/>
          <w:bookmarkEnd w:id="223"/>
          <w:p>
            <w:pPr>
              <w:pStyle w:val="0"/>
              <w:jc w:val="center"/>
            </w:pPr>
            <w:r>
              <w:rPr>
                <w:sz w:val="20"/>
                <w:b w:val="on"/>
              </w:rPr>
              <w:t xml:space="preserve">ЗАЯВКА</w:t>
            </w:r>
          </w:p>
          <w:p>
            <w:pPr>
              <w:pStyle w:val="0"/>
              <w:jc w:val="center"/>
            </w:pPr>
            <w:r>
              <w:rPr>
                <w:sz w:val="20"/>
                <w:b w:val="on"/>
              </w:rPr>
              <w:t xml:space="preserve">на участие в конкурсном отборе на право получения в 2022 году субсидий социально ориентированным некоммерческим организациям, осуществляющим деятельность в области науки и образования, реализующим аккредитованные программы высшего образования, в целях финансового обеспечения затрат на внедрение современных программ непрерывного образования</w:t>
            </w:r>
          </w:p>
        </w:tc>
      </w:tr>
      <w:tr>
        <w:tblPrEx>
          <w:tblBorders>
            <w:left w:val="nil"/>
            <w:right w:val="nil"/>
            <w:insideH w:val="nil"/>
          </w:tblBorders>
        </w:tblPrEx>
        <w:tc>
          <w:tcPr>
            <w:gridSpan w:val="2"/>
            <w:tcW w:w="9071" w:type="dxa"/>
            <w:tcBorders>
              <w:top w:val="nil"/>
              <w:left w:val="nil"/>
              <w:bottom w:val="nil"/>
              <w:right w:val="nil"/>
            </w:tcBorders>
          </w:tcPr>
          <w:p>
            <w:pPr>
              <w:pStyle w:val="0"/>
            </w:pPr>
            <w:r>
              <w:rPr>
                <w:sz w:val="20"/>
              </w:rPr>
            </w:r>
          </w:p>
        </w:tc>
      </w:tr>
      <w:tr>
        <w:tblPrEx>
          <w:tblBorders>
            <w:left w:val="nil"/>
            <w:right w:val="nil"/>
            <w:insideH w:val="nil"/>
          </w:tblBorders>
        </w:tblPrEx>
        <w:tc>
          <w:tcPr>
            <w:gridSpan w:val="2"/>
            <w:tcW w:w="9071" w:type="dxa"/>
            <w:tcBorders>
              <w:top w:val="nil"/>
              <w:left w:val="nil"/>
              <w:bottom w:val="nil"/>
              <w:right w:val="nil"/>
            </w:tcBorders>
          </w:tcPr>
          <w:p>
            <w:pPr>
              <w:pStyle w:val="0"/>
              <w:ind w:firstLine="283"/>
              <w:jc w:val="both"/>
            </w:pPr>
            <w:r>
              <w:rPr>
                <w:sz w:val="20"/>
                <w:b w:val="on"/>
              </w:rPr>
              <w:t xml:space="preserve">1. Сведения об участнике отбора</w:t>
            </w:r>
          </w:p>
        </w:tc>
      </w:tr>
      <w:tr>
        <w:tblPrEx>
          <w:tblBorders>
            <w:left w:val="nil"/>
            <w:right w:val="nil"/>
            <w:insideH w:val="nil"/>
          </w:tblBorders>
        </w:tblPrEx>
        <w:tc>
          <w:tcPr>
            <w:gridSpan w:val="2"/>
            <w:tcW w:w="9071" w:type="dxa"/>
            <w:tcBorders>
              <w:top w:val="nil"/>
              <w:left w:val="nil"/>
              <w:right w:val="nil"/>
            </w:tcBorders>
          </w:tcPr>
          <w:p>
            <w:pPr>
              <w:pStyle w:val="0"/>
            </w:pPr>
            <w:r>
              <w:rPr>
                <w:sz w:val="20"/>
              </w:rPr>
            </w:r>
          </w:p>
        </w:tc>
      </w:tr>
      <w:tr>
        <w:tc>
          <w:tcPr>
            <w:tcW w:w="3912" w:type="dxa"/>
          </w:tcPr>
          <w:p>
            <w:pPr>
              <w:pStyle w:val="0"/>
            </w:pPr>
            <w:r>
              <w:rPr>
                <w:sz w:val="20"/>
              </w:rPr>
              <w:t xml:space="preserve">Наименование организации</w:t>
            </w:r>
          </w:p>
        </w:tc>
        <w:tc>
          <w:tcPr>
            <w:tcW w:w="5159" w:type="dxa"/>
          </w:tcPr>
          <w:p>
            <w:pPr>
              <w:pStyle w:val="0"/>
            </w:pPr>
            <w:r>
              <w:rPr>
                <w:sz w:val="20"/>
              </w:rPr>
            </w:r>
          </w:p>
        </w:tc>
      </w:tr>
      <w:tr>
        <w:tc>
          <w:tcPr>
            <w:tcW w:w="3912" w:type="dxa"/>
          </w:tcPr>
          <w:p>
            <w:pPr>
              <w:pStyle w:val="0"/>
            </w:pPr>
            <w:r>
              <w:rPr>
                <w:sz w:val="20"/>
              </w:rPr>
              <w:t xml:space="preserve">Дата регистрации организации</w:t>
            </w:r>
          </w:p>
        </w:tc>
        <w:tc>
          <w:tcPr>
            <w:tcW w:w="5159" w:type="dxa"/>
          </w:tcPr>
          <w:p>
            <w:pPr>
              <w:pStyle w:val="0"/>
            </w:pPr>
            <w:r>
              <w:rPr>
                <w:sz w:val="20"/>
              </w:rPr>
            </w:r>
          </w:p>
        </w:tc>
      </w:tr>
      <w:tr>
        <w:tc>
          <w:tcPr>
            <w:tcW w:w="3912" w:type="dxa"/>
          </w:tcPr>
          <w:p>
            <w:pPr>
              <w:pStyle w:val="0"/>
            </w:pPr>
            <w:r>
              <w:rPr>
                <w:sz w:val="20"/>
              </w:rPr>
              <w:t xml:space="preserve">Юридический адрес</w:t>
            </w:r>
          </w:p>
        </w:tc>
        <w:tc>
          <w:tcPr>
            <w:tcW w:w="5159" w:type="dxa"/>
          </w:tcPr>
          <w:p>
            <w:pPr>
              <w:pStyle w:val="0"/>
            </w:pPr>
            <w:r>
              <w:rPr>
                <w:sz w:val="20"/>
              </w:rPr>
            </w:r>
          </w:p>
        </w:tc>
      </w:tr>
      <w:tr>
        <w:tc>
          <w:tcPr>
            <w:tcW w:w="3912" w:type="dxa"/>
          </w:tcPr>
          <w:p>
            <w:pPr>
              <w:pStyle w:val="0"/>
            </w:pPr>
            <w:r>
              <w:rPr>
                <w:sz w:val="20"/>
              </w:rPr>
              <w:t xml:space="preserve">Почтовый адрес и адрес электронной почты</w:t>
            </w:r>
          </w:p>
        </w:tc>
        <w:tc>
          <w:tcPr>
            <w:tcW w:w="5159" w:type="dxa"/>
          </w:tcPr>
          <w:p>
            <w:pPr>
              <w:pStyle w:val="0"/>
            </w:pPr>
            <w:r>
              <w:rPr>
                <w:sz w:val="20"/>
              </w:rPr>
            </w:r>
          </w:p>
        </w:tc>
      </w:tr>
      <w:tr>
        <w:tc>
          <w:tcPr>
            <w:tcW w:w="3912" w:type="dxa"/>
          </w:tcPr>
          <w:p>
            <w:pPr>
              <w:pStyle w:val="0"/>
            </w:pPr>
            <w:r>
              <w:rPr>
                <w:sz w:val="20"/>
              </w:rPr>
              <w:t xml:space="preserve">ИНН/КПП/ОГРН</w:t>
            </w:r>
          </w:p>
        </w:tc>
        <w:tc>
          <w:tcPr>
            <w:tcW w:w="5159" w:type="dxa"/>
          </w:tcPr>
          <w:p>
            <w:pPr>
              <w:pStyle w:val="0"/>
            </w:pPr>
            <w:r>
              <w:rPr>
                <w:sz w:val="20"/>
              </w:rPr>
            </w:r>
          </w:p>
        </w:tc>
      </w:tr>
      <w:tr>
        <w:tc>
          <w:tcPr>
            <w:tcW w:w="3912" w:type="dxa"/>
          </w:tcPr>
          <w:p>
            <w:pPr>
              <w:pStyle w:val="0"/>
            </w:pPr>
            <w:r>
              <w:rPr>
                <w:sz w:val="20"/>
              </w:rPr>
              <w:t xml:space="preserve">Банковские реквизиты</w:t>
            </w:r>
          </w:p>
        </w:tc>
        <w:tc>
          <w:tcPr>
            <w:tcW w:w="5159" w:type="dxa"/>
          </w:tcPr>
          <w:p>
            <w:pPr>
              <w:pStyle w:val="0"/>
            </w:pPr>
            <w:r>
              <w:rPr>
                <w:sz w:val="20"/>
              </w:rPr>
            </w:r>
          </w:p>
        </w:tc>
      </w:tr>
      <w:tr>
        <w:tc>
          <w:tcPr>
            <w:tcW w:w="3912" w:type="dxa"/>
          </w:tcPr>
          <w:p>
            <w:pPr>
              <w:pStyle w:val="0"/>
            </w:pPr>
            <w:r>
              <w:rPr>
                <w:sz w:val="20"/>
              </w:rPr>
              <w:t xml:space="preserve">Наименование должности,</w:t>
            </w:r>
          </w:p>
          <w:p>
            <w:pPr>
              <w:pStyle w:val="0"/>
            </w:pPr>
            <w:r>
              <w:rPr>
                <w:sz w:val="20"/>
              </w:rPr>
              <w:t xml:space="preserve">Ф.И.О. руководителя</w:t>
            </w:r>
          </w:p>
        </w:tc>
        <w:tc>
          <w:tcPr>
            <w:tcW w:w="5159" w:type="dxa"/>
          </w:tcPr>
          <w:p>
            <w:pPr>
              <w:pStyle w:val="0"/>
            </w:pPr>
            <w:r>
              <w:rPr>
                <w:sz w:val="20"/>
              </w:rPr>
            </w:r>
          </w:p>
        </w:tc>
      </w:tr>
    </w:tbl>
    <w:p>
      <w:pPr>
        <w:pStyle w:val="0"/>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324"/>
        <w:gridCol w:w="1701"/>
        <w:gridCol w:w="1814"/>
        <w:gridCol w:w="2665"/>
      </w:tblGrid>
      <w:tr>
        <w:tblPrEx>
          <w:tblBorders>
            <w:left w:val="nil"/>
            <w:right w:val="nil"/>
            <w:insideH w:val="nil"/>
          </w:tblBorders>
        </w:tblPrEx>
        <w:tc>
          <w:tcPr>
            <w:gridSpan w:val="5"/>
            <w:tcW w:w="9071" w:type="dxa"/>
            <w:tcBorders>
              <w:top w:val="nil"/>
              <w:left w:val="nil"/>
              <w:bottom w:val="nil"/>
              <w:right w:val="nil"/>
            </w:tcBorders>
          </w:tcPr>
          <w:p>
            <w:pPr>
              <w:pStyle w:val="0"/>
              <w:ind w:firstLine="283"/>
              <w:jc w:val="both"/>
            </w:pPr>
            <w:r>
              <w:rPr>
                <w:sz w:val="20"/>
                <w:b w:val="on"/>
              </w:rPr>
              <w:t xml:space="preserve">2. Сведения о современных программах непрерывного образования в области подготовки кадров для цифровой трансформации экономики (далее - Программы), в целях финансового обеспечения затрат на реализацию которых запрашиваются субсидии</w:t>
            </w:r>
          </w:p>
        </w:tc>
      </w:tr>
      <w:tr>
        <w:tblPrEx>
          <w:tblBorders>
            <w:left w:val="nil"/>
            <w:right w:val="nil"/>
            <w:insideH w:val="nil"/>
          </w:tblBorders>
        </w:tblPrEx>
        <w:tc>
          <w:tcPr>
            <w:gridSpan w:val="5"/>
            <w:tcW w:w="9071" w:type="dxa"/>
            <w:tcBorders>
              <w:top w:val="nil"/>
              <w:left w:val="nil"/>
              <w:right w:val="nil"/>
            </w:tcBorders>
          </w:tcPr>
          <w:p>
            <w:pPr>
              <w:pStyle w:val="0"/>
            </w:pPr>
            <w:r>
              <w:rPr>
                <w:sz w:val="20"/>
              </w:rPr>
            </w:r>
          </w:p>
        </w:tc>
      </w:tr>
      <w:tr>
        <w:tc>
          <w:tcPr>
            <w:tcW w:w="567" w:type="dxa"/>
          </w:tcPr>
          <w:p>
            <w:pPr>
              <w:pStyle w:val="0"/>
              <w:jc w:val="center"/>
            </w:pPr>
            <w:r>
              <w:rPr>
                <w:sz w:val="20"/>
              </w:rPr>
              <w:t xml:space="preserve">N п/п</w:t>
            </w:r>
          </w:p>
        </w:tc>
        <w:tc>
          <w:tcPr>
            <w:tcW w:w="2324" w:type="dxa"/>
          </w:tcPr>
          <w:p>
            <w:pPr>
              <w:pStyle w:val="0"/>
              <w:jc w:val="center"/>
            </w:pPr>
            <w:r>
              <w:rPr>
                <w:sz w:val="20"/>
              </w:rPr>
              <w:t xml:space="preserve">Наименование Программ</w:t>
            </w:r>
          </w:p>
        </w:tc>
        <w:tc>
          <w:tcPr>
            <w:tcW w:w="1701" w:type="dxa"/>
          </w:tcPr>
          <w:p>
            <w:pPr>
              <w:pStyle w:val="0"/>
              <w:jc w:val="center"/>
            </w:pPr>
            <w:r>
              <w:rPr>
                <w:sz w:val="20"/>
              </w:rPr>
              <w:t xml:space="preserve">Планируемое количество слушателей, человек</w:t>
            </w:r>
          </w:p>
        </w:tc>
        <w:tc>
          <w:tcPr>
            <w:tcW w:w="1814" w:type="dxa"/>
          </w:tcPr>
          <w:p>
            <w:pPr>
              <w:pStyle w:val="0"/>
              <w:jc w:val="center"/>
            </w:pPr>
            <w:r>
              <w:rPr>
                <w:sz w:val="20"/>
              </w:rPr>
              <w:t xml:space="preserve">Объем, академические часы</w:t>
            </w:r>
          </w:p>
        </w:tc>
        <w:tc>
          <w:tcPr>
            <w:tcW w:w="2665" w:type="dxa"/>
          </w:tcPr>
          <w:p>
            <w:pPr>
              <w:pStyle w:val="0"/>
              <w:jc w:val="center"/>
            </w:pPr>
            <w:r>
              <w:rPr>
                <w:sz w:val="20"/>
              </w:rPr>
              <w:t xml:space="preserve">Уровень (базовый/углубленный (продвинутый))</w:t>
            </w:r>
          </w:p>
        </w:tc>
      </w:tr>
      <w:tr>
        <w:tc>
          <w:tcPr>
            <w:tcW w:w="567" w:type="dxa"/>
          </w:tcPr>
          <w:p>
            <w:pPr>
              <w:pStyle w:val="0"/>
              <w:jc w:val="center"/>
            </w:pPr>
            <w:r>
              <w:rPr>
                <w:sz w:val="20"/>
              </w:rPr>
              <w:t xml:space="preserve">1</w:t>
            </w:r>
          </w:p>
        </w:tc>
        <w:tc>
          <w:tcPr>
            <w:tcW w:w="2324" w:type="dxa"/>
          </w:tcPr>
          <w:p>
            <w:pPr>
              <w:pStyle w:val="0"/>
            </w:pPr>
            <w:r>
              <w:rPr>
                <w:sz w:val="20"/>
              </w:rPr>
            </w:r>
          </w:p>
        </w:tc>
        <w:tc>
          <w:tcPr>
            <w:tcW w:w="1701" w:type="dxa"/>
          </w:tcPr>
          <w:p>
            <w:pPr>
              <w:pStyle w:val="0"/>
            </w:pPr>
            <w:r>
              <w:rPr>
                <w:sz w:val="20"/>
              </w:rPr>
            </w:r>
          </w:p>
        </w:tc>
        <w:tc>
          <w:tcPr>
            <w:tcW w:w="1814" w:type="dxa"/>
          </w:tcPr>
          <w:p>
            <w:pPr>
              <w:pStyle w:val="0"/>
            </w:pPr>
            <w:r>
              <w:rPr>
                <w:sz w:val="20"/>
              </w:rPr>
            </w:r>
          </w:p>
        </w:tc>
        <w:tc>
          <w:tcPr>
            <w:tcW w:w="2665" w:type="dxa"/>
          </w:tcPr>
          <w:p>
            <w:pPr>
              <w:pStyle w:val="0"/>
            </w:pPr>
            <w:r>
              <w:rPr>
                <w:sz w:val="20"/>
              </w:rPr>
            </w:r>
          </w:p>
        </w:tc>
      </w:tr>
      <w:tr>
        <w:tc>
          <w:tcPr>
            <w:tcW w:w="567" w:type="dxa"/>
          </w:tcPr>
          <w:p>
            <w:pPr>
              <w:pStyle w:val="0"/>
              <w:jc w:val="center"/>
            </w:pPr>
            <w:r>
              <w:rPr>
                <w:sz w:val="20"/>
              </w:rPr>
              <w:t xml:space="preserve">2</w:t>
            </w:r>
          </w:p>
        </w:tc>
        <w:tc>
          <w:tcPr>
            <w:tcW w:w="2324" w:type="dxa"/>
          </w:tcPr>
          <w:p>
            <w:pPr>
              <w:pStyle w:val="0"/>
            </w:pPr>
            <w:r>
              <w:rPr>
                <w:sz w:val="20"/>
              </w:rPr>
            </w:r>
          </w:p>
        </w:tc>
        <w:tc>
          <w:tcPr>
            <w:tcW w:w="1701" w:type="dxa"/>
          </w:tcPr>
          <w:p>
            <w:pPr>
              <w:pStyle w:val="0"/>
            </w:pPr>
            <w:r>
              <w:rPr>
                <w:sz w:val="20"/>
              </w:rPr>
            </w:r>
          </w:p>
        </w:tc>
        <w:tc>
          <w:tcPr>
            <w:tcW w:w="1814" w:type="dxa"/>
          </w:tcPr>
          <w:p>
            <w:pPr>
              <w:pStyle w:val="0"/>
            </w:pPr>
            <w:r>
              <w:rPr>
                <w:sz w:val="20"/>
              </w:rPr>
            </w:r>
          </w:p>
        </w:tc>
        <w:tc>
          <w:tcPr>
            <w:tcW w:w="2665" w:type="dxa"/>
          </w:tcPr>
          <w:p>
            <w:pPr>
              <w:pStyle w:val="0"/>
            </w:pPr>
            <w:r>
              <w:rPr>
                <w:sz w:val="20"/>
              </w:rPr>
            </w:r>
          </w:p>
        </w:tc>
      </w:tr>
      <w:tr>
        <w:tc>
          <w:tcPr>
            <w:tcW w:w="567" w:type="dxa"/>
          </w:tcPr>
          <w:p>
            <w:pPr>
              <w:pStyle w:val="0"/>
              <w:jc w:val="center"/>
            </w:pPr>
            <w:r>
              <w:rPr>
                <w:sz w:val="20"/>
              </w:rPr>
              <w:t xml:space="preserve">n</w:t>
            </w:r>
          </w:p>
        </w:tc>
        <w:tc>
          <w:tcPr>
            <w:tcW w:w="2324" w:type="dxa"/>
          </w:tcPr>
          <w:p>
            <w:pPr>
              <w:pStyle w:val="0"/>
            </w:pPr>
            <w:r>
              <w:rPr>
                <w:sz w:val="20"/>
              </w:rPr>
            </w:r>
          </w:p>
        </w:tc>
        <w:tc>
          <w:tcPr>
            <w:tcW w:w="1701" w:type="dxa"/>
          </w:tcPr>
          <w:p>
            <w:pPr>
              <w:pStyle w:val="0"/>
            </w:pPr>
            <w:r>
              <w:rPr>
                <w:sz w:val="20"/>
              </w:rPr>
            </w:r>
          </w:p>
        </w:tc>
        <w:tc>
          <w:tcPr>
            <w:tcW w:w="1814" w:type="dxa"/>
          </w:tcPr>
          <w:p>
            <w:pPr>
              <w:pStyle w:val="0"/>
            </w:pPr>
            <w:r>
              <w:rPr>
                <w:sz w:val="20"/>
              </w:rPr>
            </w:r>
          </w:p>
        </w:tc>
        <w:tc>
          <w:tcPr>
            <w:tcW w:w="2665" w:type="dxa"/>
          </w:tcPr>
          <w:p>
            <w:pPr>
              <w:pStyle w:val="0"/>
            </w:pPr>
            <w:r>
              <w:rPr>
                <w:sz w:val="20"/>
              </w:rPr>
            </w:r>
          </w:p>
        </w:tc>
      </w:tr>
      <w:tr>
        <w:tc>
          <w:tcPr>
            <w:gridSpan w:val="2"/>
            <w:tcW w:w="2891" w:type="dxa"/>
          </w:tcPr>
          <w:p>
            <w:pPr>
              <w:pStyle w:val="0"/>
              <w:jc w:val="center"/>
            </w:pPr>
            <w:r>
              <w:rPr>
                <w:sz w:val="20"/>
              </w:rPr>
              <w:t xml:space="preserve">ИТОГ (человеко-программ)</w:t>
            </w:r>
          </w:p>
        </w:tc>
        <w:tc>
          <w:tcPr>
            <w:gridSpan w:val="3"/>
            <w:tcW w:w="6180" w:type="dxa"/>
          </w:tcPr>
          <w:p>
            <w:pPr>
              <w:pStyle w:val="0"/>
            </w:pPr>
            <w:r>
              <w:rPr>
                <w:sz w:val="20"/>
              </w:rPr>
            </w:r>
          </w:p>
        </w:tc>
      </w:tr>
    </w:tbl>
    <w:p>
      <w:pPr>
        <w:pStyle w:val="0"/>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361"/>
        <w:gridCol w:w="1009"/>
        <w:gridCol w:w="850"/>
        <w:gridCol w:w="1489"/>
        <w:gridCol w:w="1489"/>
        <w:gridCol w:w="1009"/>
        <w:gridCol w:w="1361"/>
      </w:tblGrid>
      <w:tr>
        <w:tblPrEx>
          <w:tblBorders>
            <w:left w:val="nil"/>
            <w:right w:val="nil"/>
            <w:insideH w:val="nil"/>
          </w:tblBorders>
        </w:tblPrEx>
        <w:tc>
          <w:tcPr>
            <w:gridSpan w:val="8"/>
            <w:tcW w:w="9078" w:type="dxa"/>
            <w:tcBorders>
              <w:top w:val="nil"/>
              <w:left w:val="nil"/>
              <w:bottom w:val="nil"/>
              <w:right w:val="nil"/>
            </w:tcBorders>
          </w:tcPr>
          <w:p>
            <w:pPr>
              <w:pStyle w:val="0"/>
              <w:ind w:firstLine="283"/>
              <w:jc w:val="both"/>
            </w:pPr>
            <w:r>
              <w:rPr>
                <w:sz w:val="20"/>
                <w:b w:val="on"/>
              </w:rPr>
              <w:t xml:space="preserve">3. Опыт участника отбора по реализации Программ в 2021 году</w:t>
            </w:r>
          </w:p>
        </w:tc>
      </w:tr>
      <w:tr>
        <w:tblPrEx>
          <w:tblBorders>
            <w:left w:val="nil"/>
            <w:right w:val="nil"/>
            <w:insideH w:val="nil"/>
          </w:tblBorders>
        </w:tblPrEx>
        <w:tc>
          <w:tcPr>
            <w:gridSpan w:val="8"/>
            <w:tcW w:w="9078" w:type="dxa"/>
            <w:tcBorders>
              <w:top w:val="nil"/>
              <w:left w:val="nil"/>
              <w:right w:val="nil"/>
            </w:tcBorders>
          </w:tcPr>
          <w:p>
            <w:pPr>
              <w:pStyle w:val="0"/>
            </w:pPr>
            <w:r>
              <w:rPr>
                <w:sz w:val="20"/>
              </w:rPr>
            </w:r>
          </w:p>
        </w:tc>
      </w:tr>
      <w:tr>
        <w:tc>
          <w:tcPr>
            <w:tcW w:w="510" w:type="dxa"/>
          </w:tcPr>
          <w:p>
            <w:pPr>
              <w:pStyle w:val="0"/>
              <w:jc w:val="center"/>
            </w:pPr>
            <w:r>
              <w:rPr>
                <w:sz w:val="20"/>
              </w:rPr>
              <w:t xml:space="preserve">N п/п</w:t>
            </w:r>
          </w:p>
        </w:tc>
        <w:tc>
          <w:tcPr>
            <w:tcW w:w="1361" w:type="dxa"/>
          </w:tcPr>
          <w:p>
            <w:pPr>
              <w:pStyle w:val="0"/>
              <w:jc w:val="center"/>
            </w:pPr>
            <w:r>
              <w:rPr>
                <w:sz w:val="20"/>
              </w:rPr>
              <w:t xml:space="preserve">Наименование Программы</w:t>
            </w:r>
          </w:p>
        </w:tc>
        <w:tc>
          <w:tcPr>
            <w:tcW w:w="1009" w:type="dxa"/>
          </w:tcPr>
          <w:p>
            <w:pPr>
              <w:pStyle w:val="0"/>
              <w:jc w:val="center"/>
            </w:pPr>
            <w:r>
              <w:rPr>
                <w:sz w:val="20"/>
              </w:rPr>
              <w:t xml:space="preserve">Объем, академические часы</w:t>
            </w:r>
          </w:p>
        </w:tc>
        <w:tc>
          <w:tcPr>
            <w:tcW w:w="850" w:type="dxa"/>
          </w:tcPr>
          <w:p>
            <w:pPr>
              <w:pStyle w:val="0"/>
              <w:jc w:val="center"/>
            </w:pPr>
            <w:r>
              <w:rPr>
                <w:sz w:val="20"/>
              </w:rPr>
              <w:t xml:space="preserve">Сроки реализации</w:t>
            </w:r>
          </w:p>
        </w:tc>
        <w:tc>
          <w:tcPr>
            <w:tcW w:w="1489" w:type="dxa"/>
          </w:tcPr>
          <w:p>
            <w:pPr>
              <w:pStyle w:val="0"/>
              <w:jc w:val="center"/>
            </w:pPr>
            <w:r>
              <w:rPr>
                <w:sz w:val="20"/>
              </w:rPr>
              <w:t xml:space="preserve">Количество слушателей, успешно завершивших обучение</w:t>
            </w:r>
          </w:p>
        </w:tc>
        <w:tc>
          <w:tcPr>
            <w:tcW w:w="1489" w:type="dxa"/>
          </w:tcPr>
          <w:p>
            <w:pPr>
              <w:pStyle w:val="0"/>
              <w:jc w:val="center"/>
            </w:pPr>
            <w:r>
              <w:rPr>
                <w:sz w:val="20"/>
              </w:rPr>
              <w:t xml:space="preserve">Возрастной состав слушателей, успешно завершивших обучение (на дату зачисления)</w:t>
            </w:r>
          </w:p>
        </w:tc>
        <w:tc>
          <w:tcPr>
            <w:tcW w:w="1009" w:type="dxa"/>
          </w:tcPr>
          <w:p>
            <w:pPr>
              <w:pStyle w:val="0"/>
              <w:jc w:val="center"/>
            </w:pPr>
            <w:r>
              <w:rPr>
                <w:sz w:val="20"/>
              </w:rPr>
              <w:t xml:space="preserve">Заказчик</w:t>
            </w:r>
          </w:p>
        </w:tc>
        <w:tc>
          <w:tcPr>
            <w:tcW w:w="1361" w:type="dxa"/>
          </w:tcPr>
          <w:p>
            <w:pPr>
              <w:pStyle w:val="0"/>
              <w:jc w:val="center"/>
            </w:pPr>
            <w:r>
              <w:rPr>
                <w:sz w:val="20"/>
              </w:rPr>
              <w:t xml:space="preserve">Перечень документов, подтверждающих наличие опыта</w:t>
            </w:r>
          </w:p>
        </w:tc>
      </w:tr>
      <w:tr>
        <w:tc>
          <w:tcPr>
            <w:tcW w:w="510" w:type="dxa"/>
          </w:tcPr>
          <w:p>
            <w:pPr>
              <w:pStyle w:val="0"/>
            </w:pPr>
            <w:r>
              <w:rPr>
                <w:sz w:val="20"/>
              </w:rPr>
            </w:r>
          </w:p>
        </w:tc>
        <w:tc>
          <w:tcPr>
            <w:tcW w:w="1361" w:type="dxa"/>
          </w:tcPr>
          <w:p>
            <w:pPr>
              <w:pStyle w:val="0"/>
            </w:pPr>
            <w:r>
              <w:rPr>
                <w:sz w:val="20"/>
              </w:rPr>
            </w:r>
          </w:p>
        </w:tc>
        <w:tc>
          <w:tcPr>
            <w:tcW w:w="1009" w:type="dxa"/>
          </w:tcPr>
          <w:p>
            <w:pPr>
              <w:pStyle w:val="0"/>
            </w:pPr>
            <w:r>
              <w:rPr>
                <w:sz w:val="20"/>
              </w:rPr>
            </w:r>
          </w:p>
        </w:tc>
        <w:tc>
          <w:tcPr>
            <w:tcW w:w="850" w:type="dxa"/>
          </w:tcPr>
          <w:p>
            <w:pPr>
              <w:pStyle w:val="0"/>
            </w:pPr>
            <w:r>
              <w:rPr>
                <w:sz w:val="20"/>
              </w:rPr>
            </w:r>
          </w:p>
        </w:tc>
        <w:tc>
          <w:tcPr>
            <w:tcW w:w="1489" w:type="dxa"/>
          </w:tcPr>
          <w:p>
            <w:pPr>
              <w:pStyle w:val="0"/>
            </w:pPr>
            <w:r>
              <w:rPr>
                <w:sz w:val="20"/>
              </w:rPr>
            </w:r>
          </w:p>
        </w:tc>
        <w:tc>
          <w:tcPr>
            <w:tcW w:w="1489" w:type="dxa"/>
          </w:tcPr>
          <w:p>
            <w:pPr>
              <w:pStyle w:val="0"/>
            </w:pPr>
            <w:r>
              <w:rPr>
                <w:sz w:val="20"/>
              </w:rPr>
            </w:r>
          </w:p>
        </w:tc>
        <w:tc>
          <w:tcPr>
            <w:tcW w:w="1009" w:type="dxa"/>
          </w:tcPr>
          <w:p>
            <w:pPr>
              <w:pStyle w:val="0"/>
            </w:pPr>
            <w:r>
              <w:rPr>
                <w:sz w:val="20"/>
              </w:rPr>
            </w:r>
          </w:p>
        </w:tc>
        <w:tc>
          <w:tcPr>
            <w:tcW w:w="1361" w:type="dxa"/>
          </w:tcPr>
          <w:p>
            <w:pPr>
              <w:pStyle w:val="0"/>
            </w:pPr>
            <w:r>
              <w:rPr>
                <w:sz w:val="20"/>
              </w:rPr>
            </w:r>
          </w:p>
        </w:tc>
      </w:tr>
      <w:tr>
        <w:tc>
          <w:tcPr>
            <w:tcW w:w="510" w:type="dxa"/>
          </w:tcPr>
          <w:p>
            <w:pPr>
              <w:pStyle w:val="0"/>
            </w:pPr>
            <w:r>
              <w:rPr>
                <w:sz w:val="20"/>
              </w:rPr>
            </w:r>
          </w:p>
        </w:tc>
        <w:tc>
          <w:tcPr>
            <w:tcW w:w="1361" w:type="dxa"/>
          </w:tcPr>
          <w:p>
            <w:pPr>
              <w:pStyle w:val="0"/>
            </w:pPr>
            <w:r>
              <w:rPr>
                <w:sz w:val="20"/>
              </w:rPr>
            </w:r>
          </w:p>
        </w:tc>
        <w:tc>
          <w:tcPr>
            <w:tcW w:w="1009" w:type="dxa"/>
          </w:tcPr>
          <w:p>
            <w:pPr>
              <w:pStyle w:val="0"/>
            </w:pPr>
            <w:r>
              <w:rPr>
                <w:sz w:val="20"/>
              </w:rPr>
            </w:r>
          </w:p>
        </w:tc>
        <w:tc>
          <w:tcPr>
            <w:tcW w:w="850" w:type="dxa"/>
          </w:tcPr>
          <w:p>
            <w:pPr>
              <w:pStyle w:val="0"/>
            </w:pPr>
            <w:r>
              <w:rPr>
                <w:sz w:val="20"/>
              </w:rPr>
            </w:r>
          </w:p>
        </w:tc>
        <w:tc>
          <w:tcPr>
            <w:tcW w:w="1489" w:type="dxa"/>
          </w:tcPr>
          <w:p>
            <w:pPr>
              <w:pStyle w:val="0"/>
            </w:pPr>
            <w:r>
              <w:rPr>
                <w:sz w:val="20"/>
              </w:rPr>
            </w:r>
          </w:p>
        </w:tc>
        <w:tc>
          <w:tcPr>
            <w:tcW w:w="1489" w:type="dxa"/>
          </w:tcPr>
          <w:p>
            <w:pPr>
              <w:pStyle w:val="0"/>
            </w:pPr>
            <w:r>
              <w:rPr>
                <w:sz w:val="20"/>
              </w:rPr>
            </w:r>
          </w:p>
        </w:tc>
        <w:tc>
          <w:tcPr>
            <w:tcW w:w="1009" w:type="dxa"/>
          </w:tcPr>
          <w:p>
            <w:pPr>
              <w:pStyle w:val="0"/>
            </w:pPr>
            <w:r>
              <w:rPr>
                <w:sz w:val="20"/>
              </w:rPr>
            </w:r>
          </w:p>
        </w:tc>
        <w:tc>
          <w:tcPr>
            <w:tcW w:w="1361" w:type="dxa"/>
          </w:tcPr>
          <w:p>
            <w:pPr>
              <w:pStyle w:val="0"/>
            </w:pPr>
            <w:r>
              <w:rPr>
                <w:sz w:val="20"/>
              </w:rPr>
            </w:r>
          </w:p>
        </w:tc>
      </w:tr>
    </w:tbl>
    <w:p>
      <w:pPr>
        <w:pStyle w:val="0"/>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304"/>
        <w:gridCol w:w="964"/>
        <w:gridCol w:w="850"/>
        <w:gridCol w:w="1489"/>
        <w:gridCol w:w="859"/>
        <w:gridCol w:w="1055"/>
        <w:gridCol w:w="737"/>
        <w:gridCol w:w="1361"/>
      </w:tblGrid>
      <w:tr>
        <w:tblPrEx>
          <w:tblBorders>
            <w:left w:val="nil"/>
            <w:right w:val="nil"/>
            <w:insideH w:val="nil"/>
          </w:tblBorders>
        </w:tblPrEx>
        <w:tc>
          <w:tcPr>
            <w:gridSpan w:val="9"/>
            <w:tcW w:w="9073" w:type="dxa"/>
            <w:tcBorders>
              <w:top w:val="nil"/>
              <w:left w:val="nil"/>
              <w:bottom w:val="nil"/>
              <w:right w:val="nil"/>
            </w:tcBorders>
          </w:tcPr>
          <w:p>
            <w:pPr>
              <w:pStyle w:val="0"/>
              <w:ind w:firstLine="283"/>
              <w:jc w:val="both"/>
            </w:pPr>
            <w:r>
              <w:rPr>
                <w:sz w:val="20"/>
                <w:b w:val="on"/>
              </w:rPr>
              <w:t xml:space="preserve">4. Опыт использования участником отбора целевых поступлений (грантов, субсидий) в 2021 году на реализацию Программам</w:t>
            </w:r>
          </w:p>
        </w:tc>
      </w:tr>
      <w:tr>
        <w:tblPrEx>
          <w:tblBorders>
            <w:left w:val="nil"/>
            <w:right w:val="nil"/>
            <w:insideH w:val="nil"/>
          </w:tblBorders>
        </w:tblPrEx>
        <w:tc>
          <w:tcPr>
            <w:gridSpan w:val="9"/>
            <w:tcW w:w="9073" w:type="dxa"/>
            <w:tcBorders>
              <w:top w:val="nil"/>
              <w:left w:val="nil"/>
              <w:right w:val="nil"/>
            </w:tcBorders>
          </w:tcPr>
          <w:p>
            <w:pPr>
              <w:pStyle w:val="0"/>
            </w:pPr>
            <w:r>
              <w:rPr>
                <w:sz w:val="20"/>
              </w:rPr>
            </w:r>
          </w:p>
        </w:tc>
      </w:tr>
      <w:tr>
        <w:tc>
          <w:tcPr>
            <w:tcW w:w="454" w:type="dxa"/>
            <w:vMerge w:val="restart"/>
          </w:tcPr>
          <w:p>
            <w:pPr>
              <w:pStyle w:val="0"/>
              <w:jc w:val="center"/>
            </w:pPr>
            <w:r>
              <w:rPr>
                <w:sz w:val="20"/>
              </w:rPr>
              <w:t xml:space="preserve">N п/п</w:t>
            </w:r>
          </w:p>
        </w:tc>
        <w:tc>
          <w:tcPr>
            <w:tcW w:w="1304" w:type="dxa"/>
            <w:vMerge w:val="restart"/>
          </w:tcPr>
          <w:p>
            <w:pPr>
              <w:pStyle w:val="0"/>
              <w:jc w:val="center"/>
            </w:pPr>
            <w:r>
              <w:rPr>
                <w:sz w:val="20"/>
              </w:rPr>
              <w:t xml:space="preserve">Наименование реализованной Программы</w:t>
            </w:r>
          </w:p>
        </w:tc>
        <w:tc>
          <w:tcPr>
            <w:tcW w:w="964" w:type="dxa"/>
            <w:vMerge w:val="restart"/>
          </w:tcPr>
          <w:p>
            <w:pPr>
              <w:pStyle w:val="0"/>
              <w:jc w:val="center"/>
            </w:pPr>
            <w:r>
              <w:rPr>
                <w:sz w:val="20"/>
              </w:rPr>
              <w:t xml:space="preserve">Объем, академические часы</w:t>
            </w:r>
          </w:p>
        </w:tc>
        <w:tc>
          <w:tcPr>
            <w:tcW w:w="850" w:type="dxa"/>
            <w:vMerge w:val="restart"/>
          </w:tcPr>
          <w:p>
            <w:pPr>
              <w:pStyle w:val="0"/>
              <w:jc w:val="center"/>
            </w:pPr>
            <w:r>
              <w:rPr>
                <w:sz w:val="20"/>
              </w:rPr>
              <w:t xml:space="preserve">Сроки реализации</w:t>
            </w:r>
          </w:p>
        </w:tc>
        <w:tc>
          <w:tcPr>
            <w:tcW w:w="1489" w:type="dxa"/>
            <w:vMerge w:val="restart"/>
          </w:tcPr>
          <w:p>
            <w:pPr>
              <w:pStyle w:val="0"/>
              <w:jc w:val="center"/>
            </w:pPr>
            <w:r>
              <w:rPr>
                <w:sz w:val="20"/>
              </w:rPr>
              <w:t xml:space="preserve">Количество слушателей, успешно завершивших обучение</w:t>
            </w:r>
          </w:p>
        </w:tc>
        <w:tc>
          <w:tcPr>
            <w:gridSpan w:val="2"/>
            <w:tcW w:w="1914" w:type="dxa"/>
          </w:tcPr>
          <w:p>
            <w:pPr>
              <w:pStyle w:val="0"/>
              <w:jc w:val="center"/>
            </w:pPr>
            <w:r>
              <w:rPr>
                <w:sz w:val="20"/>
              </w:rPr>
              <w:t xml:space="preserve">Стоимость реализации Программы</w:t>
            </w:r>
          </w:p>
        </w:tc>
        <w:tc>
          <w:tcPr>
            <w:tcW w:w="737" w:type="dxa"/>
            <w:vMerge w:val="restart"/>
          </w:tcPr>
          <w:p>
            <w:pPr>
              <w:pStyle w:val="0"/>
              <w:jc w:val="center"/>
            </w:pPr>
            <w:r>
              <w:rPr>
                <w:sz w:val="20"/>
              </w:rPr>
              <w:t xml:space="preserve">Заказчик</w:t>
            </w:r>
          </w:p>
        </w:tc>
        <w:tc>
          <w:tcPr>
            <w:tcW w:w="1361" w:type="dxa"/>
            <w:vMerge w:val="restart"/>
          </w:tcPr>
          <w:p>
            <w:pPr>
              <w:pStyle w:val="0"/>
              <w:jc w:val="center"/>
            </w:pPr>
            <w:r>
              <w:rPr>
                <w:sz w:val="20"/>
              </w:rPr>
              <w:t xml:space="preserve">Перечень документов, подтверждающих наличие опыта</w:t>
            </w:r>
          </w:p>
        </w:tc>
      </w:tr>
      <w:tr>
        <w:tc>
          <w:tcPr>
            <w:vMerge w:val="continue"/>
          </w:tcPr>
          <w:p/>
        </w:tc>
        <w:tc>
          <w:tcPr>
            <w:vMerge w:val="continue"/>
          </w:tcPr>
          <w:p/>
        </w:tc>
        <w:tc>
          <w:tcPr>
            <w:vMerge w:val="continue"/>
          </w:tcPr>
          <w:p/>
        </w:tc>
        <w:tc>
          <w:tcPr>
            <w:vMerge w:val="continue"/>
          </w:tcPr>
          <w:p/>
        </w:tc>
        <w:tc>
          <w:tcPr>
            <w:vMerge w:val="continue"/>
          </w:tcPr>
          <w:p/>
        </w:tc>
        <w:tc>
          <w:tcPr>
            <w:tcW w:w="859" w:type="dxa"/>
          </w:tcPr>
          <w:p>
            <w:pPr>
              <w:pStyle w:val="0"/>
              <w:jc w:val="center"/>
            </w:pPr>
            <w:r>
              <w:rPr>
                <w:sz w:val="20"/>
              </w:rPr>
              <w:t xml:space="preserve">Общая, руб.</w:t>
            </w:r>
          </w:p>
        </w:tc>
        <w:tc>
          <w:tcPr>
            <w:tcW w:w="1055" w:type="dxa"/>
          </w:tcPr>
          <w:p>
            <w:pPr>
              <w:pStyle w:val="0"/>
              <w:jc w:val="center"/>
            </w:pPr>
            <w:r>
              <w:rPr>
                <w:sz w:val="20"/>
              </w:rPr>
              <w:t xml:space="preserve">Из них целевых поступлений, руб.</w:t>
            </w:r>
          </w:p>
        </w:tc>
        <w:tc>
          <w:tcPr>
            <w:vMerge w:val="continue"/>
          </w:tcPr>
          <w:p/>
        </w:tc>
        <w:tc>
          <w:tcPr>
            <w:vMerge w:val="continue"/>
          </w:tcPr>
          <w:p/>
        </w:tc>
      </w:tr>
      <w:tr>
        <w:tc>
          <w:tcPr>
            <w:tcW w:w="454"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1489" w:type="dxa"/>
          </w:tcPr>
          <w:p>
            <w:pPr>
              <w:pStyle w:val="0"/>
            </w:pPr>
            <w:r>
              <w:rPr>
                <w:sz w:val="20"/>
              </w:rPr>
            </w:r>
          </w:p>
        </w:tc>
        <w:tc>
          <w:tcPr>
            <w:tcW w:w="859" w:type="dxa"/>
          </w:tcPr>
          <w:p>
            <w:pPr>
              <w:pStyle w:val="0"/>
            </w:pPr>
            <w:r>
              <w:rPr>
                <w:sz w:val="20"/>
              </w:rPr>
            </w:r>
          </w:p>
        </w:tc>
        <w:tc>
          <w:tcPr>
            <w:tcW w:w="1055" w:type="dxa"/>
          </w:tcPr>
          <w:p>
            <w:pPr>
              <w:pStyle w:val="0"/>
            </w:pPr>
            <w:r>
              <w:rPr>
                <w:sz w:val="20"/>
              </w:rPr>
            </w:r>
          </w:p>
        </w:tc>
        <w:tc>
          <w:tcPr>
            <w:tcW w:w="737" w:type="dxa"/>
          </w:tcPr>
          <w:p>
            <w:pPr>
              <w:pStyle w:val="0"/>
            </w:pPr>
            <w:r>
              <w:rPr>
                <w:sz w:val="20"/>
              </w:rPr>
            </w:r>
          </w:p>
        </w:tc>
        <w:tc>
          <w:tcPr>
            <w:tcW w:w="1361" w:type="dxa"/>
          </w:tcPr>
          <w:p>
            <w:pPr>
              <w:pStyle w:val="0"/>
            </w:pPr>
            <w:r>
              <w:rPr>
                <w:sz w:val="20"/>
              </w:rPr>
            </w:r>
          </w:p>
        </w:tc>
      </w:tr>
      <w:tr>
        <w:tc>
          <w:tcPr>
            <w:tcW w:w="454"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1489" w:type="dxa"/>
          </w:tcPr>
          <w:p>
            <w:pPr>
              <w:pStyle w:val="0"/>
            </w:pPr>
            <w:r>
              <w:rPr>
                <w:sz w:val="20"/>
              </w:rPr>
            </w:r>
          </w:p>
        </w:tc>
        <w:tc>
          <w:tcPr>
            <w:tcW w:w="859" w:type="dxa"/>
          </w:tcPr>
          <w:p>
            <w:pPr>
              <w:pStyle w:val="0"/>
            </w:pPr>
            <w:r>
              <w:rPr>
                <w:sz w:val="20"/>
              </w:rPr>
            </w:r>
          </w:p>
        </w:tc>
        <w:tc>
          <w:tcPr>
            <w:tcW w:w="1055" w:type="dxa"/>
          </w:tcPr>
          <w:p>
            <w:pPr>
              <w:pStyle w:val="0"/>
            </w:pPr>
            <w:r>
              <w:rPr>
                <w:sz w:val="20"/>
              </w:rPr>
            </w:r>
          </w:p>
        </w:tc>
        <w:tc>
          <w:tcPr>
            <w:tcW w:w="737" w:type="dxa"/>
          </w:tcPr>
          <w:p>
            <w:pPr>
              <w:pStyle w:val="0"/>
            </w:pPr>
            <w:r>
              <w:rPr>
                <w:sz w:val="20"/>
              </w:rPr>
            </w:r>
          </w:p>
        </w:tc>
        <w:tc>
          <w:tcPr>
            <w:tcW w:w="1361" w:type="dxa"/>
          </w:tcPr>
          <w:p>
            <w:pPr>
              <w:pStyle w:val="0"/>
            </w:pPr>
            <w:r>
              <w:rPr>
                <w:sz w:val="20"/>
              </w:rPr>
            </w:r>
          </w:p>
        </w:tc>
      </w:tr>
    </w:tbl>
    <w:p>
      <w:pPr>
        <w:pStyle w:val="0"/>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6066"/>
        <w:gridCol w:w="340"/>
        <w:gridCol w:w="397"/>
        <w:gridCol w:w="737"/>
        <w:gridCol w:w="340"/>
        <w:gridCol w:w="397"/>
        <w:gridCol w:w="794"/>
      </w:tblGrid>
      <w:tr>
        <w:tblPrEx>
          <w:tblBorders>
            <w:left w:val="nil"/>
            <w:right w:val="nil"/>
            <w:insideH w:val="nil"/>
          </w:tblBorders>
        </w:tblPrEx>
        <w:tc>
          <w:tcPr>
            <w:gridSpan w:val="7"/>
            <w:tcW w:w="9071" w:type="dxa"/>
            <w:tcBorders>
              <w:top w:val="nil"/>
              <w:left w:val="nil"/>
              <w:bottom w:val="nil"/>
              <w:right w:val="nil"/>
            </w:tcBorders>
          </w:tcPr>
          <w:p>
            <w:pPr>
              <w:pStyle w:val="0"/>
              <w:ind w:firstLine="283"/>
              <w:jc w:val="both"/>
            </w:pPr>
            <w:r>
              <w:rPr>
                <w:sz w:val="20"/>
                <w:b w:val="on"/>
              </w:rPr>
              <w:t xml:space="preserve">5. Наличие у участника отбора необходимой материально-технической базы для реализации Программ с применением электронного обучения и дистанционных образовательных технологий</w:t>
            </w:r>
          </w:p>
        </w:tc>
      </w:tr>
      <w:tr>
        <w:tblPrEx>
          <w:tblBorders>
            <w:left w:val="nil"/>
            <w:right w:val="nil"/>
            <w:insideH w:val="nil"/>
          </w:tblBorders>
        </w:tblPrEx>
        <w:tc>
          <w:tcPr>
            <w:gridSpan w:val="7"/>
            <w:tcW w:w="9071" w:type="dxa"/>
            <w:tcBorders>
              <w:top w:val="nil"/>
              <w:left w:val="nil"/>
              <w:right w:val="nil"/>
            </w:tcBorders>
          </w:tcPr>
          <w:p>
            <w:pPr>
              <w:pStyle w:val="0"/>
            </w:pPr>
            <w:r>
              <w:rPr>
                <w:sz w:val="20"/>
              </w:rPr>
            </w:r>
          </w:p>
        </w:tc>
      </w:tr>
      <w:tr>
        <w:tc>
          <w:tcPr>
            <w:tcW w:w="6066" w:type="dxa"/>
          </w:tcPr>
          <w:p>
            <w:pPr>
              <w:pStyle w:val="0"/>
              <w:jc w:val="center"/>
            </w:pPr>
            <w:r>
              <w:rPr>
                <w:sz w:val="20"/>
              </w:rPr>
              <w:t xml:space="preserve">Критерий</w:t>
            </w:r>
          </w:p>
        </w:tc>
        <w:tc>
          <w:tcPr>
            <w:gridSpan w:val="6"/>
            <w:tcW w:w="3005" w:type="dxa"/>
          </w:tcPr>
          <w:p>
            <w:pPr>
              <w:pStyle w:val="0"/>
              <w:jc w:val="center"/>
            </w:pPr>
            <w:r>
              <w:rPr>
                <w:sz w:val="20"/>
              </w:rPr>
              <w:t xml:space="preserve">Показатель</w:t>
            </w:r>
          </w:p>
        </w:tc>
      </w:tr>
      <w:tr>
        <w:tc>
          <w:tcPr>
            <w:tcW w:w="6066" w:type="dxa"/>
          </w:tcPr>
          <w:p>
            <w:pPr>
              <w:pStyle w:val="0"/>
            </w:pPr>
            <w:r>
              <w:rPr>
                <w:sz w:val="20"/>
                <w:b w:val="on"/>
              </w:rPr>
              <w:t xml:space="preserve">Наименование используемой системы дистанционного обучения (далее - СДО) с указанием подтверждающих документов (договор, лицензия)</w:t>
            </w:r>
          </w:p>
        </w:tc>
        <w:tc>
          <w:tcPr>
            <w:gridSpan w:val="6"/>
            <w:tcW w:w="3005" w:type="dxa"/>
          </w:tcPr>
          <w:p>
            <w:pPr>
              <w:pStyle w:val="0"/>
            </w:pPr>
            <w:r>
              <w:rPr>
                <w:sz w:val="20"/>
              </w:rPr>
            </w:r>
          </w:p>
        </w:tc>
      </w:tr>
      <w:tr>
        <w:tc>
          <w:tcPr>
            <w:gridSpan w:val="7"/>
            <w:tcW w:w="9071" w:type="dxa"/>
          </w:tcPr>
          <w:p>
            <w:pPr>
              <w:pStyle w:val="0"/>
            </w:pPr>
            <w:r>
              <w:rPr>
                <w:sz w:val="20"/>
                <w:b w:val="on"/>
              </w:rPr>
              <w:t xml:space="preserve">1. Возможность проведения</w:t>
            </w:r>
          </w:p>
        </w:tc>
      </w:tr>
      <w:tr>
        <w:tblPrEx>
          <w:tblBorders>
            <w:insideV w:val="nil"/>
          </w:tblBorders>
        </w:tblPrEx>
        <w:tc>
          <w:tcPr>
            <w:tcW w:w="6066" w:type="dxa"/>
            <w:tcBorders>
              <w:left w:val="single" w:sz="4"/>
              <w:right w:val="single" w:sz="4"/>
            </w:tcBorders>
            <w:vMerge w:val="restart"/>
          </w:tcPr>
          <w:p>
            <w:pPr>
              <w:pStyle w:val="0"/>
            </w:pPr>
            <w:r>
              <w:rPr>
                <w:sz w:val="20"/>
              </w:rPr>
              <w:t xml:space="preserve">вебинаров</w:t>
            </w:r>
          </w:p>
        </w:tc>
        <w:tc>
          <w:tcPr>
            <w:tcW w:w="340" w:type="dxa"/>
            <w:tcBorders>
              <w:left w:val="single" w:sz="4"/>
              <w:bottom w:val="nil"/>
            </w:tcBorders>
          </w:tcPr>
          <w:p>
            <w:pPr>
              <w:pStyle w:val="0"/>
            </w:pPr>
            <w:r>
              <w:rPr>
                <w:sz w:val="20"/>
              </w:rPr>
            </w:r>
          </w:p>
        </w:tc>
        <w:tc>
          <w:tcPr>
            <w:tcW w:w="397" w:type="dxa"/>
          </w:tcPr>
          <w:p>
            <w:pPr>
              <w:pStyle w:val="0"/>
            </w:pPr>
            <w:r>
              <w:rPr>
                <w:sz w:val="20"/>
              </w:rPr>
            </w:r>
          </w:p>
        </w:tc>
        <w:tc>
          <w:tcPr>
            <w:tcW w:w="737" w:type="dxa"/>
            <w:tcBorders>
              <w:bottom w:val="nil"/>
              <w:right w:val="single" w:sz="4"/>
            </w:tcBorders>
          </w:tcPr>
          <w:p>
            <w:pPr>
              <w:pStyle w:val="0"/>
            </w:pPr>
            <w:r>
              <w:rPr>
                <w:sz w:val="20"/>
              </w:rPr>
            </w:r>
          </w:p>
        </w:tc>
        <w:tc>
          <w:tcPr>
            <w:tcW w:w="340" w:type="dxa"/>
            <w:tcBorders>
              <w:left w:val="single" w:sz="4"/>
              <w:bottom w:val="nil"/>
            </w:tcBorders>
          </w:tcPr>
          <w:p>
            <w:pPr>
              <w:pStyle w:val="0"/>
            </w:pPr>
            <w:r>
              <w:rPr>
                <w:sz w:val="20"/>
              </w:rPr>
            </w:r>
          </w:p>
        </w:tc>
        <w:tc>
          <w:tcPr>
            <w:tcW w:w="397" w:type="dxa"/>
          </w:tcPr>
          <w:p>
            <w:pPr>
              <w:pStyle w:val="0"/>
            </w:pPr>
            <w:r>
              <w:rPr>
                <w:sz w:val="20"/>
              </w:rPr>
            </w:r>
          </w:p>
        </w:tc>
        <w:tc>
          <w:tcPr>
            <w:tcW w:w="794" w:type="dxa"/>
            <w:tcBorders>
              <w:bottom w:val="nil"/>
              <w:right w:val="single" w:sz="4"/>
            </w:tcBorders>
          </w:tcPr>
          <w:p>
            <w:pPr>
              <w:pStyle w:val="0"/>
            </w:pPr>
            <w:r>
              <w:rPr>
                <w:sz w:val="20"/>
              </w:rPr>
            </w:r>
          </w:p>
        </w:tc>
      </w:tr>
      <w:tr>
        <w:tblPrEx>
          <w:tblBorders>
            <w:insideH w:val="nil"/>
          </w:tblBorders>
        </w:tblPrEx>
        <w:tc>
          <w:tcPr>
            <w:vMerge w:val="continue"/>
          </w:tcPr>
          <w:p/>
        </w:tc>
        <w:tc>
          <w:tcPr>
            <w:tcW w:w="340" w:type="dxa"/>
            <w:tcBorders>
              <w:top w:val="nil"/>
              <w:bottom w:val="nil"/>
            </w:tcBorders>
          </w:tcPr>
          <w:p>
            <w:pPr>
              <w:pStyle w:val="0"/>
            </w:pPr>
            <w:r>
              <w:rPr>
                <w:sz w:val="20"/>
              </w:rPr>
            </w:r>
          </w:p>
        </w:tc>
        <w:tc>
          <w:tcPr>
            <w:tcW w:w="397" w:type="dxa"/>
          </w:tcPr>
          <w:p>
            <w:pPr>
              <w:pStyle w:val="0"/>
            </w:pPr>
            <w:r>
              <w:rPr>
                <w:sz w:val="20"/>
              </w:rPr>
            </w:r>
          </w:p>
        </w:tc>
        <w:tc>
          <w:tcPr>
            <w:tcW w:w="737" w:type="dxa"/>
            <w:tcBorders>
              <w:top w:val="nil"/>
              <w:bottom w:val="nil"/>
            </w:tcBorders>
          </w:tcPr>
          <w:p>
            <w:pPr>
              <w:pStyle w:val="0"/>
            </w:pPr>
            <w:r>
              <w:rPr>
                <w:sz w:val="20"/>
              </w:rPr>
              <w:t xml:space="preserve">да</w:t>
            </w:r>
          </w:p>
        </w:tc>
        <w:tc>
          <w:tcPr>
            <w:tcW w:w="340" w:type="dxa"/>
            <w:tcBorders>
              <w:top w:val="nil"/>
              <w:bottom w:val="nil"/>
            </w:tcBorders>
          </w:tcPr>
          <w:p>
            <w:pPr>
              <w:pStyle w:val="0"/>
            </w:pPr>
            <w:r>
              <w:rPr>
                <w:sz w:val="20"/>
              </w:rPr>
            </w:r>
          </w:p>
        </w:tc>
        <w:tc>
          <w:tcPr>
            <w:tcW w:w="397" w:type="dxa"/>
          </w:tcPr>
          <w:p>
            <w:pPr>
              <w:pStyle w:val="0"/>
            </w:pPr>
            <w:r>
              <w:rPr>
                <w:sz w:val="20"/>
              </w:rPr>
            </w:r>
          </w:p>
        </w:tc>
        <w:tc>
          <w:tcPr>
            <w:tcW w:w="794" w:type="dxa"/>
            <w:tcBorders>
              <w:top w:val="nil"/>
              <w:bottom w:val="nil"/>
            </w:tcBorders>
          </w:tcPr>
          <w:p>
            <w:pPr>
              <w:pStyle w:val="0"/>
            </w:pPr>
            <w:r>
              <w:rPr>
                <w:sz w:val="20"/>
              </w:rPr>
              <w:t xml:space="preserve">нет</w:t>
            </w:r>
          </w:p>
        </w:tc>
      </w:tr>
      <w:tr>
        <w:tblPrEx>
          <w:tblBorders>
            <w:insideV w:val="nil"/>
          </w:tblBorders>
        </w:tblPrEx>
        <w:tc>
          <w:tcPr>
            <w:tcBorders>
              <w:left w:val="single" w:sz="4"/>
              <w:right w:val="single" w:sz="4"/>
            </w:tcBorders>
            <w:vMerge w:val="continue"/>
          </w:tcPr>
          <w:p/>
        </w:tc>
        <w:tc>
          <w:tcPr>
            <w:tcW w:w="340" w:type="dxa"/>
            <w:tcBorders>
              <w:top w:val="nil"/>
              <w:left w:val="single" w:sz="4"/>
            </w:tcBorders>
          </w:tcPr>
          <w:p>
            <w:pPr>
              <w:pStyle w:val="0"/>
            </w:pPr>
            <w:r>
              <w:rPr>
                <w:sz w:val="20"/>
              </w:rPr>
            </w:r>
          </w:p>
        </w:tc>
        <w:tc>
          <w:tcPr>
            <w:tcW w:w="397" w:type="dxa"/>
          </w:tcPr>
          <w:p>
            <w:pPr>
              <w:pStyle w:val="0"/>
            </w:pPr>
            <w:r>
              <w:rPr>
                <w:sz w:val="20"/>
              </w:rPr>
            </w:r>
          </w:p>
        </w:tc>
        <w:tc>
          <w:tcPr>
            <w:tcW w:w="737" w:type="dxa"/>
            <w:tcBorders>
              <w:top w:val="nil"/>
              <w:right w:val="single" w:sz="4"/>
            </w:tcBorders>
          </w:tcPr>
          <w:p>
            <w:pPr>
              <w:pStyle w:val="0"/>
            </w:pPr>
            <w:r>
              <w:rPr>
                <w:sz w:val="20"/>
              </w:rPr>
            </w:r>
          </w:p>
        </w:tc>
        <w:tc>
          <w:tcPr>
            <w:tcW w:w="340" w:type="dxa"/>
            <w:tcBorders>
              <w:top w:val="nil"/>
              <w:left w:val="single" w:sz="4"/>
            </w:tcBorders>
          </w:tcPr>
          <w:p>
            <w:pPr>
              <w:pStyle w:val="0"/>
            </w:pPr>
            <w:r>
              <w:rPr>
                <w:sz w:val="20"/>
              </w:rPr>
            </w:r>
          </w:p>
        </w:tc>
        <w:tc>
          <w:tcPr>
            <w:tcW w:w="397" w:type="dxa"/>
          </w:tcPr>
          <w:p>
            <w:pPr>
              <w:pStyle w:val="0"/>
            </w:pPr>
            <w:r>
              <w:rPr>
                <w:sz w:val="20"/>
              </w:rPr>
            </w:r>
          </w:p>
        </w:tc>
        <w:tc>
          <w:tcPr>
            <w:tcW w:w="794" w:type="dxa"/>
            <w:tcBorders>
              <w:top w:val="nil"/>
              <w:right w:val="single" w:sz="4"/>
            </w:tcBorders>
          </w:tcPr>
          <w:p>
            <w:pPr>
              <w:pStyle w:val="0"/>
            </w:pPr>
            <w:r>
              <w:rPr>
                <w:sz w:val="20"/>
              </w:rPr>
            </w:r>
          </w:p>
        </w:tc>
      </w:tr>
      <w:tr>
        <w:tblPrEx>
          <w:tblBorders>
            <w:insideV w:val="nil"/>
          </w:tblBorders>
        </w:tblPrEx>
        <w:tc>
          <w:tcPr>
            <w:tcW w:w="6066" w:type="dxa"/>
            <w:tcBorders>
              <w:left w:val="single" w:sz="4"/>
              <w:right w:val="single" w:sz="4"/>
            </w:tcBorders>
            <w:vMerge w:val="restart"/>
          </w:tcPr>
          <w:p>
            <w:pPr>
              <w:pStyle w:val="0"/>
            </w:pPr>
            <w:r>
              <w:rPr>
                <w:sz w:val="20"/>
              </w:rPr>
              <w:t xml:space="preserve">видеоконференций</w:t>
            </w:r>
          </w:p>
        </w:tc>
        <w:tc>
          <w:tcPr>
            <w:tcW w:w="340" w:type="dxa"/>
            <w:tcBorders>
              <w:left w:val="single" w:sz="4"/>
              <w:bottom w:val="nil"/>
            </w:tcBorders>
          </w:tcPr>
          <w:p>
            <w:pPr>
              <w:pStyle w:val="0"/>
            </w:pPr>
            <w:r>
              <w:rPr>
                <w:sz w:val="20"/>
              </w:rPr>
            </w:r>
          </w:p>
        </w:tc>
        <w:tc>
          <w:tcPr>
            <w:tcW w:w="397" w:type="dxa"/>
          </w:tcPr>
          <w:p>
            <w:pPr>
              <w:pStyle w:val="0"/>
            </w:pPr>
            <w:r>
              <w:rPr>
                <w:sz w:val="20"/>
              </w:rPr>
            </w:r>
          </w:p>
        </w:tc>
        <w:tc>
          <w:tcPr>
            <w:tcW w:w="737" w:type="dxa"/>
            <w:tcBorders>
              <w:bottom w:val="nil"/>
              <w:right w:val="single" w:sz="4"/>
            </w:tcBorders>
          </w:tcPr>
          <w:p>
            <w:pPr>
              <w:pStyle w:val="0"/>
            </w:pPr>
            <w:r>
              <w:rPr>
                <w:sz w:val="20"/>
              </w:rPr>
            </w:r>
          </w:p>
        </w:tc>
        <w:tc>
          <w:tcPr>
            <w:tcW w:w="340" w:type="dxa"/>
            <w:tcBorders>
              <w:left w:val="single" w:sz="4"/>
              <w:bottom w:val="nil"/>
            </w:tcBorders>
          </w:tcPr>
          <w:p>
            <w:pPr>
              <w:pStyle w:val="0"/>
            </w:pPr>
            <w:r>
              <w:rPr>
                <w:sz w:val="20"/>
              </w:rPr>
            </w:r>
          </w:p>
        </w:tc>
        <w:tc>
          <w:tcPr>
            <w:tcW w:w="397" w:type="dxa"/>
          </w:tcPr>
          <w:p>
            <w:pPr>
              <w:pStyle w:val="0"/>
            </w:pPr>
            <w:r>
              <w:rPr>
                <w:sz w:val="20"/>
              </w:rPr>
            </w:r>
          </w:p>
        </w:tc>
        <w:tc>
          <w:tcPr>
            <w:tcW w:w="794" w:type="dxa"/>
            <w:tcBorders>
              <w:bottom w:val="nil"/>
              <w:right w:val="single" w:sz="4"/>
            </w:tcBorders>
          </w:tcPr>
          <w:p>
            <w:pPr>
              <w:pStyle w:val="0"/>
            </w:pPr>
            <w:r>
              <w:rPr>
                <w:sz w:val="20"/>
              </w:rPr>
            </w:r>
          </w:p>
        </w:tc>
      </w:tr>
      <w:tr>
        <w:tblPrEx>
          <w:tblBorders>
            <w:insideH w:val="nil"/>
          </w:tblBorders>
        </w:tblPrEx>
        <w:tc>
          <w:tcPr>
            <w:vMerge w:val="continue"/>
          </w:tcPr>
          <w:p/>
        </w:tc>
        <w:tc>
          <w:tcPr>
            <w:tcW w:w="340" w:type="dxa"/>
            <w:tcBorders>
              <w:top w:val="nil"/>
              <w:bottom w:val="nil"/>
            </w:tcBorders>
          </w:tcPr>
          <w:p>
            <w:pPr>
              <w:pStyle w:val="0"/>
            </w:pPr>
            <w:r>
              <w:rPr>
                <w:sz w:val="20"/>
              </w:rPr>
            </w:r>
          </w:p>
        </w:tc>
        <w:tc>
          <w:tcPr>
            <w:tcW w:w="397" w:type="dxa"/>
          </w:tcPr>
          <w:p>
            <w:pPr>
              <w:pStyle w:val="0"/>
            </w:pPr>
            <w:r>
              <w:rPr>
                <w:sz w:val="20"/>
              </w:rPr>
            </w:r>
          </w:p>
        </w:tc>
        <w:tc>
          <w:tcPr>
            <w:tcW w:w="737" w:type="dxa"/>
            <w:tcBorders>
              <w:top w:val="nil"/>
              <w:bottom w:val="nil"/>
            </w:tcBorders>
          </w:tcPr>
          <w:p>
            <w:pPr>
              <w:pStyle w:val="0"/>
            </w:pPr>
            <w:r>
              <w:rPr>
                <w:sz w:val="20"/>
              </w:rPr>
              <w:t xml:space="preserve">да</w:t>
            </w:r>
          </w:p>
        </w:tc>
        <w:tc>
          <w:tcPr>
            <w:tcW w:w="340" w:type="dxa"/>
            <w:tcBorders>
              <w:top w:val="nil"/>
              <w:bottom w:val="nil"/>
            </w:tcBorders>
          </w:tcPr>
          <w:p>
            <w:pPr>
              <w:pStyle w:val="0"/>
            </w:pPr>
            <w:r>
              <w:rPr>
                <w:sz w:val="20"/>
              </w:rPr>
            </w:r>
          </w:p>
        </w:tc>
        <w:tc>
          <w:tcPr>
            <w:tcW w:w="397" w:type="dxa"/>
          </w:tcPr>
          <w:p>
            <w:pPr>
              <w:pStyle w:val="0"/>
            </w:pPr>
            <w:r>
              <w:rPr>
                <w:sz w:val="20"/>
              </w:rPr>
            </w:r>
          </w:p>
        </w:tc>
        <w:tc>
          <w:tcPr>
            <w:tcW w:w="794" w:type="dxa"/>
            <w:tcBorders>
              <w:top w:val="nil"/>
              <w:bottom w:val="nil"/>
            </w:tcBorders>
          </w:tcPr>
          <w:p>
            <w:pPr>
              <w:pStyle w:val="0"/>
            </w:pPr>
            <w:r>
              <w:rPr>
                <w:sz w:val="20"/>
              </w:rPr>
              <w:t xml:space="preserve">нет</w:t>
            </w:r>
          </w:p>
        </w:tc>
      </w:tr>
      <w:tr>
        <w:tblPrEx>
          <w:tblBorders>
            <w:insideV w:val="nil"/>
          </w:tblBorders>
        </w:tblPrEx>
        <w:tc>
          <w:tcPr>
            <w:tcBorders>
              <w:left w:val="single" w:sz="4"/>
              <w:right w:val="single" w:sz="4"/>
            </w:tcBorders>
            <w:vMerge w:val="continue"/>
          </w:tcPr>
          <w:p/>
        </w:tc>
        <w:tc>
          <w:tcPr>
            <w:tcW w:w="340" w:type="dxa"/>
            <w:tcBorders>
              <w:top w:val="nil"/>
              <w:left w:val="single" w:sz="4"/>
            </w:tcBorders>
          </w:tcPr>
          <w:p>
            <w:pPr>
              <w:pStyle w:val="0"/>
            </w:pPr>
            <w:r>
              <w:rPr>
                <w:sz w:val="20"/>
              </w:rPr>
            </w:r>
          </w:p>
        </w:tc>
        <w:tc>
          <w:tcPr>
            <w:tcW w:w="397" w:type="dxa"/>
          </w:tcPr>
          <w:p>
            <w:pPr>
              <w:pStyle w:val="0"/>
            </w:pPr>
            <w:r>
              <w:rPr>
                <w:sz w:val="20"/>
              </w:rPr>
            </w:r>
          </w:p>
        </w:tc>
        <w:tc>
          <w:tcPr>
            <w:tcW w:w="737" w:type="dxa"/>
            <w:tcBorders>
              <w:top w:val="nil"/>
              <w:right w:val="single" w:sz="4"/>
            </w:tcBorders>
          </w:tcPr>
          <w:p>
            <w:pPr>
              <w:pStyle w:val="0"/>
            </w:pPr>
            <w:r>
              <w:rPr>
                <w:sz w:val="20"/>
              </w:rPr>
            </w:r>
          </w:p>
        </w:tc>
        <w:tc>
          <w:tcPr>
            <w:tcW w:w="340" w:type="dxa"/>
            <w:tcBorders>
              <w:top w:val="nil"/>
              <w:left w:val="single" w:sz="4"/>
            </w:tcBorders>
          </w:tcPr>
          <w:p>
            <w:pPr>
              <w:pStyle w:val="0"/>
            </w:pPr>
            <w:r>
              <w:rPr>
                <w:sz w:val="20"/>
              </w:rPr>
            </w:r>
          </w:p>
        </w:tc>
        <w:tc>
          <w:tcPr>
            <w:tcW w:w="397" w:type="dxa"/>
          </w:tcPr>
          <w:p>
            <w:pPr>
              <w:pStyle w:val="0"/>
            </w:pPr>
            <w:r>
              <w:rPr>
                <w:sz w:val="20"/>
              </w:rPr>
            </w:r>
          </w:p>
        </w:tc>
        <w:tc>
          <w:tcPr>
            <w:tcW w:w="794" w:type="dxa"/>
            <w:tcBorders>
              <w:top w:val="nil"/>
              <w:right w:val="single" w:sz="4"/>
            </w:tcBorders>
          </w:tcPr>
          <w:p>
            <w:pPr>
              <w:pStyle w:val="0"/>
            </w:pPr>
            <w:r>
              <w:rPr>
                <w:sz w:val="20"/>
              </w:rPr>
            </w:r>
          </w:p>
        </w:tc>
      </w:tr>
      <w:tr>
        <w:tblPrEx>
          <w:tblBorders>
            <w:insideV w:val="nil"/>
          </w:tblBorders>
        </w:tblPrEx>
        <w:tc>
          <w:tcPr>
            <w:tcW w:w="6066" w:type="dxa"/>
            <w:tcBorders>
              <w:left w:val="single" w:sz="4"/>
              <w:right w:val="single" w:sz="4"/>
            </w:tcBorders>
            <w:vMerge w:val="restart"/>
          </w:tcPr>
          <w:p>
            <w:pPr>
              <w:pStyle w:val="0"/>
            </w:pPr>
            <w:r>
              <w:rPr>
                <w:sz w:val="20"/>
              </w:rPr>
              <w:t xml:space="preserve">тестирований с получением аналитики</w:t>
            </w:r>
          </w:p>
        </w:tc>
        <w:tc>
          <w:tcPr>
            <w:tcW w:w="340" w:type="dxa"/>
            <w:tcBorders>
              <w:left w:val="single" w:sz="4"/>
              <w:bottom w:val="nil"/>
            </w:tcBorders>
          </w:tcPr>
          <w:p>
            <w:pPr>
              <w:pStyle w:val="0"/>
            </w:pPr>
            <w:r>
              <w:rPr>
                <w:sz w:val="20"/>
              </w:rPr>
            </w:r>
          </w:p>
        </w:tc>
        <w:tc>
          <w:tcPr>
            <w:tcW w:w="397" w:type="dxa"/>
          </w:tcPr>
          <w:p>
            <w:pPr>
              <w:pStyle w:val="0"/>
            </w:pPr>
            <w:r>
              <w:rPr>
                <w:sz w:val="20"/>
              </w:rPr>
            </w:r>
          </w:p>
        </w:tc>
        <w:tc>
          <w:tcPr>
            <w:tcW w:w="737" w:type="dxa"/>
            <w:tcBorders>
              <w:bottom w:val="nil"/>
              <w:right w:val="single" w:sz="4"/>
            </w:tcBorders>
          </w:tcPr>
          <w:p>
            <w:pPr>
              <w:pStyle w:val="0"/>
            </w:pPr>
            <w:r>
              <w:rPr>
                <w:sz w:val="20"/>
              </w:rPr>
            </w:r>
          </w:p>
        </w:tc>
        <w:tc>
          <w:tcPr>
            <w:tcW w:w="340" w:type="dxa"/>
            <w:tcBorders>
              <w:left w:val="single" w:sz="4"/>
              <w:bottom w:val="nil"/>
            </w:tcBorders>
          </w:tcPr>
          <w:p>
            <w:pPr>
              <w:pStyle w:val="0"/>
            </w:pPr>
            <w:r>
              <w:rPr>
                <w:sz w:val="20"/>
              </w:rPr>
            </w:r>
          </w:p>
        </w:tc>
        <w:tc>
          <w:tcPr>
            <w:tcW w:w="397" w:type="dxa"/>
          </w:tcPr>
          <w:p>
            <w:pPr>
              <w:pStyle w:val="0"/>
            </w:pPr>
            <w:r>
              <w:rPr>
                <w:sz w:val="20"/>
              </w:rPr>
            </w:r>
          </w:p>
        </w:tc>
        <w:tc>
          <w:tcPr>
            <w:tcW w:w="794" w:type="dxa"/>
            <w:tcBorders>
              <w:bottom w:val="nil"/>
              <w:right w:val="single" w:sz="4"/>
            </w:tcBorders>
          </w:tcPr>
          <w:p>
            <w:pPr>
              <w:pStyle w:val="0"/>
            </w:pPr>
            <w:r>
              <w:rPr>
                <w:sz w:val="20"/>
              </w:rPr>
            </w:r>
          </w:p>
        </w:tc>
      </w:tr>
      <w:tr>
        <w:tblPrEx>
          <w:tblBorders>
            <w:insideH w:val="nil"/>
          </w:tblBorders>
        </w:tblPrEx>
        <w:tc>
          <w:tcPr>
            <w:vMerge w:val="continue"/>
          </w:tcPr>
          <w:p/>
        </w:tc>
        <w:tc>
          <w:tcPr>
            <w:tcW w:w="340" w:type="dxa"/>
            <w:tcBorders>
              <w:top w:val="nil"/>
              <w:bottom w:val="nil"/>
            </w:tcBorders>
          </w:tcPr>
          <w:p>
            <w:pPr>
              <w:pStyle w:val="0"/>
            </w:pPr>
            <w:r>
              <w:rPr>
                <w:sz w:val="20"/>
              </w:rPr>
            </w:r>
          </w:p>
        </w:tc>
        <w:tc>
          <w:tcPr>
            <w:tcW w:w="397" w:type="dxa"/>
          </w:tcPr>
          <w:p>
            <w:pPr>
              <w:pStyle w:val="0"/>
            </w:pPr>
            <w:r>
              <w:rPr>
                <w:sz w:val="20"/>
              </w:rPr>
            </w:r>
          </w:p>
        </w:tc>
        <w:tc>
          <w:tcPr>
            <w:tcW w:w="737" w:type="dxa"/>
            <w:tcBorders>
              <w:top w:val="nil"/>
              <w:bottom w:val="nil"/>
            </w:tcBorders>
          </w:tcPr>
          <w:p>
            <w:pPr>
              <w:pStyle w:val="0"/>
            </w:pPr>
            <w:r>
              <w:rPr>
                <w:sz w:val="20"/>
              </w:rPr>
              <w:t xml:space="preserve">да</w:t>
            </w:r>
          </w:p>
        </w:tc>
        <w:tc>
          <w:tcPr>
            <w:tcW w:w="340" w:type="dxa"/>
            <w:tcBorders>
              <w:top w:val="nil"/>
              <w:bottom w:val="nil"/>
            </w:tcBorders>
          </w:tcPr>
          <w:p>
            <w:pPr>
              <w:pStyle w:val="0"/>
            </w:pPr>
            <w:r>
              <w:rPr>
                <w:sz w:val="20"/>
              </w:rPr>
            </w:r>
          </w:p>
        </w:tc>
        <w:tc>
          <w:tcPr>
            <w:tcW w:w="397" w:type="dxa"/>
          </w:tcPr>
          <w:p>
            <w:pPr>
              <w:pStyle w:val="0"/>
            </w:pPr>
            <w:r>
              <w:rPr>
                <w:sz w:val="20"/>
              </w:rPr>
            </w:r>
          </w:p>
        </w:tc>
        <w:tc>
          <w:tcPr>
            <w:tcW w:w="794" w:type="dxa"/>
            <w:tcBorders>
              <w:top w:val="nil"/>
              <w:bottom w:val="nil"/>
            </w:tcBorders>
          </w:tcPr>
          <w:p>
            <w:pPr>
              <w:pStyle w:val="0"/>
            </w:pPr>
            <w:r>
              <w:rPr>
                <w:sz w:val="20"/>
              </w:rPr>
              <w:t xml:space="preserve">нет</w:t>
            </w:r>
          </w:p>
        </w:tc>
      </w:tr>
      <w:tr>
        <w:tblPrEx>
          <w:tblBorders>
            <w:insideV w:val="nil"/>
          </w:tblBorders>
        </w:tblPrEx>
        <w:tc>
          <w:tcPr>
            <w:tcBorders>
              <w:left w:val="single" w:sz="4"/>
              <w:right w:val="single" w:sz="4"/>
            </w:tcBorders>
            <w:vMerge w:val="continue"/>
          </w:tcPr>
          <w:p/>
        </w:tc>
        <w:tc>
          <w:tcPr>
            <w:tcW w:w="340" w:type="dxa"/>
            <w:tcBorders>
              <w:top w:val="nil"/>
              <w:left w:val="single" w:sz="4"/>
            </w:tcBorders>
          </w:tcPr>
          <w:p>
            <w:pPr>
              <w:pStyle w:val="0"/>
            </w:pPr>
            <w:r>
              <w:rPr>
                <w:sz w:val="20"/>
              </w:rPr>
            </w:r>
          </w:p>
        </w:tc>
        <w:tc>
          <w:tcPr>
            <w:tcW w:w="397" w:type="dxa"/>
          </w:tcPr>
          <w:p>
            <w:pPr>
              <w:pStyle w:val="0"/>
            </w:pPr>
            <w:r>
              <w:rPr>
                <w:sz w:val="20"/>
              </w:rPr>
            </w:r>
          </w:p>
        </w:tc>
        <w:tc>
          <w:tcPr>
            <w:tcW w:w="737" w:type="dxa"/>
            <w:tcBorders>
              <w:top w:val="nil"/>
              <w:right w:val="single" w:sz="4"/>
            </w:tcBorders>
          </w:tcPr>
          <w:p>
            <w:pPr>
              <w:pStyle w:val="0"/>
            </w:pPr>
            <w:r>
              <w:rPr>
                <w:sz w:val="20"/>
              </w:rPr>
            </w:r>
          </w:p>
        </w:tc>
        <w:tc>
          <w:tcPr>
            <w:tcW w:w="340" w:type="dxa"/>
            <w:tcBorders>
              <w:top w:val="nil"/>
              <w:left w:val="single" w:sz="4"/>
            </w:tcBorders>
          </w:tcPr>
          <w:p>
            <w:pPr>
              <w:pStyle w:val="0"/>
            </w:pPr>
            <w:r>
              <w:rPr>
                <w:sz w:val="20"/>
              </w:rPr>
            </w:r>
          </w:p>
        </w:tc>
        <w:tc>
          <w:tcPr>
            <w:tcW w:w="397" w:type="dxa"/>
          </w:tcPr>
          <w:p>
            <w:pPr>
              <w:pStyle w:val="0"/>
            </w:pPr>
            <w:r>
              <w:rPr>
                <w:sz w:val="20"/>
              </w:rPr>
            </w:r>
          </w:p>
        </w:tc>
        <w:tc>
          <w:tcPr>
            <w:tcW w:w="794" w:type="dxa"/>
            <w:tcBorders>
              <w:top w:val="nil"/>
              <w:right w:val="single" w:sz="4"/>
            </w:tcBorders>
          </w:tcPr>
          <w:p>
            <w:pPr>
              <w:pStyle w:val="0"/>
            </w:pPr>
            <w:r>
              <w:rPr>
                <w:sz w:val="20"/>
              </w:rPr>
            </w:r>
          </w:p>
        </w:tc>
      </w:tr>
      <w:tr>
        <w:tc>
          <w:tcPr>
            <w:tcW w:w="6066" w:type="dxa"/>
          </w:tcPr>
          <w:p>
            <w:pPr>
              <w:pStyle w:val="0"/>
            </w:pPr>
            <w:r>
              <w:rPr>
                <w:sz w:val="20"/>
              </w:rPr>
              <w:t xml:space="preserve">иное (указать)</w:t>
            </w:r>
          </w:p>
        </w:tc>
        <w:tc>
          <w:tcPr>
            <w:gridSpan w:val="3"/>
            <w:tcW w:w="1474" w:type="dxa"/>
          </w:tcPr>
          <w:p>
            <w:pPr>
              <w:pStyle w:val="0"/>
            </w:pPr>
            <w:r>
              <w:rPr>
                <w:sz w:val="20"/>
              </w:rPr>
            </w:r>
          </w:p>
        </w:tc>
        <w:tc>
          <w:tcPr>
            <w:gridSpan w:val="3"/>
            <w:tcW w:w="1531" w:type="dxa"/>
          </w:tcPr>
          <w:p>
            <w:pPr>
              <w:pStyle w:val="0"/>
            </w:pPr>
            <w:r>
              <w:rPr>
                <w:sz w:val="20"/>
              </w:rPr>
            </w:r>
          </w:p>
        </w:tc>
      </w:tr>
      <w:tr>
        <w:tc>
          <w:tcPr>
            <w:gridSpan w:val="7"/>
            <w:tcW w:w="9071" w:type="dxa"/>
          </w:tcPr>
          <w:p>
            <w:pPr>
              <w:pStyle w:val="0"/>
            </w:pPr>
            <w:r>
              <w:rPr>
                <w:sz w:val="20"/>
                <w:b w:val="on"/>
              </w:rPr>
              <w:t xml:space="preserve">2. Наличие инструментов коммуникации:</w:t>
            </w:r>
          </w:p>
        </w:tc>
      </w:tr>
      <w:tr>
        <w:tblPrEx>
          <w:tblBorders>
            <w:insideV w:val="nil"/>
          </w:tblBorders>
        </w:tblPrEx>
        <w:tc>
          <w:tcPr>
            <w:tcW w:w="6066" w:type="dxa"/>
            <w:tcBorders>
              <w:left w:val="single" w:sz="4"/>
              <w:right w:val="single" w:sz="4"/>
            </w:tcBorders>
            <w:vMerge w:val="restart"/>
          </w:tcPr>
          <w:p>
            <w:pPr>
              <w:pStyle w:val="0"/>
            </w:pPr>
            <w:r>
              <w:rPr>
                <w:sz w:val="20"/>
              </w:rPr>
              <w:t xml:space="preserve">личный кабинет</w:t>
            </w:r>
          </w:p>
        </w:tc>
        <w:tc>
          <w:tcPr>
            <w:tcW w:w="340" w:type="dxa"/>
            <w:tcBorders>
              <w:left w:val="single" w:sz="4"/>
              <w:bottom w:val="nil"/>
            </w:tcBorders>
          </w:tcPr>
          <w:p>
            <w:pPr>
              <w:pStyle w:val="0"/>
            </w:pPr>
            <w:r>
              <w:rPr>
                <w:sz w:val="20"/>
              </w:rPr>
            </w:r>
          </w:p>
        </w:tc>
        <w:tc>
          <w:tcPr>
            <w:tcW w:w="397" w:type="dxa"/>
          </w:tcPr>
          <w:p>
            <w:pPr>
              <w:pStyle w:val="0"/>
            </w:pPr>
            <w:r>
              <w:rPr>
                <w:sz w:val="20"/>
              </w:rPr>
            </w:r>
          </w:p>
        </w:tc>
        <w:tc>
          <w:tcPr>
            <w:tcW w:w="737" w:type="dxa"/>
            <w:tcBorders>
              <w:bottom w:val="nil"/>
              <w:right w:val="single" w:sz="4"/>
            </w:tcBorders>
          </w:tcPr>
          <w:p>
            <w:pPr>
              <w:pStyle w:val="0"/>
            </w:pPr>
            <w:r>
              <w:rPr>
                <w:sz w:val="20"/>
              </w:rPr>
            </w:r>
          </w:p>
        </w:tc>
        <w:tc>
          <w:tcPr>
            <w:tcW w:w="340" w:type="dxa"/>
            <w:tcBorders>
              <w:left w:val="single" w:sz="4"/>
              <w:bottom w:val="nil"/>
            </w:tcBorders>
          </w:tcPr>
          <w:p>
            <w:pPr>
              <w:pStyle w:val="0"/>
            </w:pPr>
            <w:r>
              <w:rPr>
                <w:sz w:val="20"/>
              </w:rPr>
            </w:r>
          </w:p>
        </w:tc>
        <w:tc>
          <w:tcPr>
            <w:tcW w:w="397" w:type="dxa"/>
          </w:tcPr>
          <w:p>
            <w:pPr>
              <w:pStyle w:val="0"/>
            </w:pPr>
            <w:r>
              <w:rPr>
                <w:sz w:val="20"/>
              </w:rPr>
            </w:r>
          </w:p>
        </w:tc>
        <w:tc>
          <w:tcPr>
            <w:tcW w:w="794" w:type="dxa"/>
            <w:tcBorders>
              <w:bottom w:val="nil"/>
              <w:right w:val="single" w:sz="4"/>
            </w:tcBorders>
          </w:tcPr>
          <w:p>
            <w:pPr>
              <w:pStyle w:val="0"/>
            </w:pPr>
            <w:r>
              <w:rPr>
                <w:sz w:val="20"/>
              </w:rPr>
            </w:r>
          </w:p>
        </w:tc>
      </w:tr>
      <w:tr>
        <w:tblPrEx>
          <w:tblBorders>
            <w:insideH w:val="nil"/>
          </w:tblBorders>
        </w:tblPrEx>
        <w:tc>
          <w:tcPr>
            <w:vMerge w:val="continue"/>
          </w:tcPr>
          <w:p/>
        </w:tc>
        <w:tc>
          <w:tcPr>
            <w:tcW w:w="340" w:type="dxa"/>
            <w:tcBorders>
              <w:top w:val="nil"/>
              <w:bottom w:val="nil"/>
            </w:tcBorders>
          </w:tcPr>
          <w:p>
            <w:pPr>
              <w:pStyle w:val="0"/>
            </w:pPr>
            <w:r>
              <w:rPr>
                <w:sz w:val="20"/>
              </w:rPr>
            </w:r>
          </w:p>
        </w:tc>
        <w:tc>
          <w:tcPr>
            <w:tcW w:w="397" w:type="dxa"/>
          </w:tcPr>
          <w:p>
            <w:pPr>
              <w:pStyle w:val="0"/>
            </w:pPr>
            <w:r>
              <w:rPr>
                <w:sz w:val="20"/>
              </w:rPr>
            </w:r>
          </w:p>
        </w:tc>
        <w:tc>
          <w:tcPr>
            <w:tcW w:w="737" w:type="dxa"/>
            <w:tcBorders>
              <w:top w:val="nil"/>
              <w:bottom w:val="nil"/>
            </w:tcBorders>
          </w:tcPr>
          <w:p>
            <w:pPr>
              <w:pStyle w:val="0"/>
            </w:pPr>
            <w:r>
              <w:rPr>
                <w:sz w:val="20"/>
              </w:rPr>
              <w:t xml:space="preserve">да</w:t>
            </w:r>
          </w:p>
        </w:tc>
        <w:tc>
          <w:tcPr>
            <w:tcW w:w="340" w:type="dxa"/>
            <w:tcBorders>
              <w:top w:val="nil"/>
              <w:bottom w:val="nil"/>
            </w:tcBorders>
          </w:tcPr>
          <w:p>
            <w:pPr>
              <w:pStyle w:val="0"/>
            </w:pPr>
            <w:r>
              <w:rPr>
                <w:sz w:val="20"/>
              </w:rPr>
            </w:r>
          </w:p>
        </w:tc>
        <w:tc>
          <w:tcPr>
            <w:tcW w:w="397" w:type="dxa"/>
          </w:tcPr>
          <w:p>
            <w:pPr>
              <w:pStyle w:val="0"/>
            </w:pPr>
            <w:r>
              <w:rPr>
                <w:sz w:val="20"/>
              </w:rPr>
            </w:r>
          </w:p>
        </w:tc>
        <w:tc>
          <w:tcPr>
            <w:tcW w:w="794" w:type="dxa"/>
            <w:tcBorders>
              <w:top w:val="nil"/>
              <w:bottom w:val="nil"/>
            </w:tcBorders>
          </w:tcPr>
          <w:p>
            <w:pPr>
              <w:pStyle w:val="0"/>
            </w:pPr>
            <w:r>
              <w:rPr>
                <w:sz w:val="20"/>
              </w:rPr>
              <w:t xml:space="preserve">нет</w:t>
            </w:r>
          </w:p>
        </w:tc>
      </w:tr>
      <w:tr>
        <w:tblPrEx>
          <w:tblBorders>
            <w:insideV w:val="nil"/>
          </w:tblBorders>
        </w:tblPrEx>
        <w:tc>
          <w:tcPr>
            <w:tcBorders>
              <w:left w:val="single" w:sz="4"/>
              <w:right w:val="single" w:sz="4"/>
            </w:tcBorders>
            <w:vMerge w:val="continue"/>
          </w:tcPr>
          <w:p/>
        </w:tc>
        <w:tc>
          <w:tcPr>
            <w:tcW w:w="340" w:type="dxa"/>
            <w:tcBorders>
              <w:top w:val="nil"/>
              <w:left w:val="single" w:sz="4"/>
            </w:tcBorders>
          </w:tcPr>
          <w:p>
            <w:pPr>
              <w:pStyle w:val="0"/>
            </w:pPr>
            <w:r>
              <w:rPr>
                <w:sz w:val="20"/>
              </w:rPr>
            </w:r>
          </w:p>
        </w:tc>
        <w:tc>
          <w:tcPr>
            <w:tcW w:w="397" w:type="dxa"/>
          </w:tcPr>
          <w:p>
            <w:pPr>
              <w:pStyle w:val="0"/>
            </w:pPr>
            <w:r>
              <w:rPr>
                <w:sz w:val="20"/>
              </w:rPr>
            </w:r>
          </w:p>
        </w:tc>
        <w:tc>
          <w:tcPr>
            <w:tcW w:w="737" w:type="dxa"/>
            <w:tcBorders>
              <w:top w:val="nil"/>
              <w:right w:val="single" w:sz="4"/>
            </w:tcBorders>
          </w:tcPr>
          <w:p>
            <w:pPr>
              <w:pStyle w:val="0"/>
            </w:pPr>
            <w:r>
              <w:rPr>
                <w:sz w:val="20"/>
              </w:rPr>
            </w:r>
          </w:p>
        </w:tc>
        <w:tc>
          <w:tcPr>
            <w:tcW w:w="340" w:type="dxa"/>
            <w:tcBorders>
              <w:top w:val="nil"/>
              <w:left w:val="single" w:sz="4"/>
            </w:tcBorders>
          </w:tcPr>
          <w:p>
            <w:pPr>
              <w:pStyle w:val="0"/>
            </w:pPr>
            <w:r>
              <w:rPr>
                <w:sz w:val="20"/>
              </w:rPr>
            </w:r>
          </w:p>
        </w:tc>
        <w:tc>
          <w:tcPr>
            <w:tcW w:w="397" w:type="dxa"/>
          </w:tcPr>
          <w:p>
            <w:pPr>
              <w:pStyle w:val="0"/>
            </w:pPr>
            <w:r>
              <w:rPr>
                <w:sz w:val="20"/>
              </w:rPr>
            </w:r>
          </w:p>
        </w:tc>
        <w:tc>
          <w:tcPr>
            <w:tcW w:w="794" w:type="dxa"/>
            <w:tcBorders>
              <w:top w:val="nil"/>
              <w:right w:val="single" w:sz="4"/>
            </w:tcBorders>
          </w:tcPr>
          <w:p>
            <w:pPr>
              <w:pStyle w:val="0"/>
            </w:pPr>
            <w:r>
              <w:rPr>
                <w:sz w:val="20"/>
              </w:rPr>
            </w:r>
          </w:p>
        </w:tc>
      </w:tr>
      <w:tr>
        <w:tblPrEx>
          <w:tblBorders>
            <w:insideV w:val="nil"/>
          </w:tblBorders>
        </w:tblPrEx>
        <w:tc>
          <w:tcPr>
            <w:tcW w:w="6066" w:type="dxa"/>
            <w:tcBorders>
              <w:left w:val="single" w:sz="4"/>
              <w:right w:val="single" w:sz="4"/>
            </w:tcBorders>
            <w:vMerge w:val="restart"/>
          </w:tcPr>
          <w:p>
            <w:pPr>
              <w:pStyle w:val="0"/>
            </w:pPr>
            <w:r>
              <w:rPr>
                <w:sz w:val="20"/>
              </w:rPr>
              <w:t xml:space="preserve">чат с преподавателями в СДО</w:t>
            </w:r>
          </w:p>
        </w:tc>
        <w:tc>
          <w:tcPr>
            <w:tcW w:w="340" w:type="dxa"/>
            <w:tcBorders>
              <w:left w:val="single" w:sz="4"/>
              <w:bottom w:val="nil"/>
            </w:tcBorders>
          </w:tcPr>
          <w:p>
            <w:pPr>
              <w:pStyle w:val="0"/>
            </w:pPr>
            <w:r>
              <w:rPr>
                <w:sz w:val="20"/>
              </w:rPr>
            </w:r>
          </w:p>
        </w:tc>
        <w:tc>
          <w:tcPr>
            <w:tcW w:w="397" w:type="dxa"/>
          </w:tcPr>
          <w:p>
            <w:pPr>
              <w:pStyle w:val="0"/>
            </w:pPr>
            <w:r>
              <w:rPr>
                <w:sz w:val="20"/>
              </w:rPr>
            </w:r>
          </w:p>
        </w:tc>
        <w:tc>
          <w:tcPr>
            <w:tcW w:w="737" w:type="dxa"/>
            <w:tcBorders>
              <w:bottom w:val="nil"/>
              <w:right w:val="single" w:sz="4"/>
            </w:tcBorders>
          </w:tcPr>
          <w:p>
            <w:pPr>
              <w:pStyle w:val="0"/>
            </w:pPr>
            <w:r>
              <w:rPr>
                <w:sz w:val="20"/>
              </w:rPr>
            </w:r>
          </w:p>
        </w:tc>
        <w:tc>
          <w:tcPr>
            <w:tcW w:w="340" w:type="dxa"/>
            <w:tcBorders>
              <w:left w:val="single" w:sz="4"/>
              <w:bottom w:val="nil"/>
            </w:tcBorders>
          </w:tcPr>
          <w:p>
            <w:pPr>
              <w:pStyle w:val="0"/>
            </w:pPr>
            <w:r>
              <w:rPr>
                <w:sz w:val="20"/>
              </w:rPr>
            </w:r>
          </w:p>
        </w:tc>
        <w:tc>
          <w:tcPr>
            <w:tcW w:w="397" w:type="dxa"/>
          </w:tcPr>
          <w:p>
            <w:pPr>
              <w:pStyle w:val="0"/>
            </w:pPr>
            <w:r>
              <w:rPr>
                <w:sz w:val="20"/>
              </w:rPr>
            </w:r>
          </w:p>
        </w:tc>
        <w:tc>
          <w:tcPr>
            <w:tcW w:w="794" w:type="dxa"/>
            <w:tcBorders>
              <w:bottom w:val="nil"/>
              <w:right w:val="single" w:sz="4"/>
            </w:tcBorders>
          </w:tcPr>
          <w:p>
            <w:pPr>
              <w:pStyle w:val="0"/>
            </w:pPr>
            <w:r>
              <w:rPr>
                <w:sz w:val="20"/>
              </w:rPr>
            </w:r>
          </w:p>
        </w:tc>
      </w:tr>
      <w:tr>
        <w:tblPrEx>
          <w:tblBorders>
            <w:insideH w:val="nil"/>
          </w:tblBorders>
        </w:tblPrEx>
        <w:tc>
          <w:tcPr>
            <w:vMerge w:val="continue"/>
          </w:tcPr>
          <w:p/>
        </w:tc>
        <w:tc>
          <w:tcPr>
            <w:tcW w:w="340" w:type="dxa"/>
            <w:tcBorders>
              <w:top w:val="nil"/>
              <w:bottom w:val="nil"/>
            </w:tcBorders>
          </w:tcPr>
          <w:p>
            <w:pPr>
              <w:pStyle w:val="0"/>
            </w:pPr>
            <w:r>
              <w:rPr>
                <w:sz w:val="20"/>
              </w:rPr>
            </w:r>
          </w:p>
        </w:tc>
        <w:tc>
          <w:tcPr>
            <w:tcW w:w="397" w:type="dxa"/>
          </w:tcPr>
          <w:p>
            <w:pPr>
              <w:pStyle w:val="0"/>
            </w:pPr>
            <w:r>
              <w:rPr>
                <w:sz w:val="20"/>
              </w:rPr>
            </w:r>
          </w:p>
        </w:tc>
        <w:tc>
          <w:tcPr>
            <w:tcW w:w="737" w:type="dxa"/>
            <w:tcBorders>
              <w:top w:val="nil"/>
              <w:bottom w:val="nil"/>
            </w:tcBorders>
          </w:tcPr>
          <w:p>
            <w:pPr>
              <w:pStyle w:val="0"/>
            </w:pPr>
            <w:r>
              <w:rPr>
                <w:sz w:val="20"/>
              </w:rPr>
              <w:t xml:space="preserve">да</w:t>
            </w:r>
          </w:p>
        </w:tc>
        <w:tc>
          <w:tcPr>
            <w:tcW w:w="340" w:type="dxa"/>
            <w:tcBorders>
              <w:top w:val="nil"/>
              <w:bottom w:val="nil"/>
            </w:tcBorders>
          </w:tcPr>
          <w:p>
            <w:pPr>
              <w:pStyle w:val="0"/>
            </w:pPr>
            <w:r>
              <w:rPr>
                <w:sz w:val="20"/>
              </w:rPr>
            </w:r>
          </w:p>
        </w:tc>
        <w:tc>
          <w:tcPr>
            <w:tcW w:w="397" w:type="dxa"/>
          </w:tcPr>
          <w:p>
            <w:pPr>
              <w:pStyle w:val="0"/>
            </w:pPr>
            <w:r>
              <w:rPr>
                <w:sz w:val="20"/>
              </w:rPr>
            </w:r>
          </w:p>
        </w:tc>
        <w:tc>
          <w:tcPr>
            <w:tcW w:w="794" w:type="dxa"/>
            <w:tcBorders>
              <w:top w:val="nil"/>
              <w:bottom w:val="nil"/>
            </w:tcBorders>
          </w:tcPr>
          <w:p>
            <w:pPr>
              <w:pStyle w:val="0"/>
            </w:pPr>
            <w:r>
              <w:rPr>
                <w:sz w:val="20"/>
              </w:rPr>
              <w:t xml:space="preserve">нет</w:t>
            </w:r>
          </w:p>
        </w:tc>
      </w:tr>
      <w:tr>
        <w:tblPrEx>
          <w:tblBorders>
            <w:insideV w:val="nil"/>
          </w:tblBorders>
        </w:tblPrEx>
        <w:tc>
          <w:tcPr>
            <w:tcBorders>
              <w:left w:val="single" w:sz="4"/>
              <w:right w:val="single" w:sz="4"/>
            </w:tcBorders>
            <w:vMerge w:val="continue"/>
          </w:tcPr>
          <w:p/>
        </w:tc>
        <w:tc>
          <w:tcPr>
            <w:tcW w:w="340" w:type="dxa"/>
            <w:tcBorders>
              <w:top w:val="nil"/>
              <w:left w:val="single" w:sz="4"/>
            </w:tcBorders>
          </w:tcPr>
          <w:p>
            <w:pPr>
              <w:pStyle w:val="0"/>
            </w:pPr>
            <w:r>
              <w:rPr>
                <w:sz w:val="20"/>
              </w:rPr>
            </w:r>
          </w:p>
        </w:tc>
        <w:tc>
          <w:tcPr>
            <w:tcW w:w="397" w:type="dxa"/>
          </w:tcPr>
          <w:p>
            <w:pPr>
              <w:pStyle w:val="0"/>
            </w:pPr>
            <w:r>
              <w:rPr>
                <w:sz w:val="20"/>
              </w:rPr>
            </w:r>
          </w:p>
        </w:tc>
        <w:tc>
          <w:tcPr>
            <w:tcW w:w="737" w:type="dxa"/>
            <w:tcBorders>
              <w:top w:val="nil"/>
              <w:right w:val="single" w:sz="4"/>
            </w:tcBorders>
          </w:tcPr>
          <w:p>
            <w:pPr>
              <w:pStyle w:val="0"/>
            </w:pPr>
            <w:r>
              <w:rPr>
                <w:sz w:val="20"/>
              </w:rPr>
            </w:r>
          </w:p>
        </w:tc>
        <w:tc>
          <w:tcPr>
            <w:tcW w:w="340" w:type="dxa"/>
            <w:tcBorders>
              <w:top w:val="nil"/>
              <w:left w:val="single" w:sz="4"/>
            </w:tcBorders>
          </w:tcPr>
          <w:p>
            <w:pPr>
              <w:pStyle w:val="0"/>
            </w:pPr>
            <w:r>
              <w:rPr>
                <w:sz w:val="20"/>
              </w:rPr>
            </w:r>
          </w:p>
        </w:tc>
        <w:tc>
          <w:tcPr>
            <w:tcW w:w="397" w:type="dxa"/>
          </w:tcPr>
          <w:p>
            <w:pPr>
              <w:pStyle w:val="0"/>
            </w:pPr>
            <w:r>
              <w:rPr>
                <w:sz w:val="20"/>
              </w:rPr>
            </w:r>
          </w:p>
        </w:tc>
        <w:tc>
          <w:tcPr>
            <w:tcW w:w="794" w:type="dxa"/>
            <w:tcBorders>
              <w:top w:val="nil"/>
              <w:right w:val="single" w:sz="4"/>
            </w:tcBorders>
          </w:tcPr>
          <w:p>
            <w:pPr>
              <w:pStyle w:val="0"/>
            </w:pPr>
            <w:r>
              <w:rPr>
                <w:sz w:val="20"/>
              </w:rPr>
            </w:r>
          </w:p>
        </w:tc>
      </w:tr>
      <w:tr>
        <w:tblPrEx>
          <w:tblBorders>
            <w:insideV w:val="nil"/>
          </w:tblBorders>
        </w:tblPrEx>
        <w:tc>
          <w:tcPr>
            <w:tcW w:w="6066" w:type="dxa"/>
            <w:tcBorders>
              <w:left w:val="single" w:sz="4"/>
              <w:right w:val="single" w:sz="4"/>
            </w:tcBorders>
            <w:vMerge w:val="restart"/>
          </w:tcPr>
          <w:p>
            <w:pPr>
              <w:pStyle w:val="0"/>
            </w:pPr>
            <w:r>
              <w:rPr>
                <w:sz w:val="20"/>
              </w:rPr>
              <w:t xml:space="preserve">опросы и обсуждения</w:t>
            </w:r>
          </w:p>
        </w:tc>
        <w:tc>
          <w:tcPr>
            <w:tcW w:w="340" w:type="dxa"/>
            <w:tcBorders>
              <w:left w:val="single" w:sz="4"/>
              <w:bottom w:val="nil"/>
            </w:tcBorders>
          </w:tcPr>
          <w:p>
            <w:pPr>
              <w:pStyle w:val="0"/>
            </w:pPr>
            <w:r>
              <w:rPr>
                <w:sz w:val="20"/>
              </w:rPr>
            </w:r>
          </w:p>
        </w:tc>
        <w:tc>
          <w:tcPr>
            <w:tcW w:w="397" w:type="dxa"/>
          </w:tcPr>
          <w:p>
            <w:pPr>
              <w:pStyle w:val="0"/>
            </w:pPr>
            <w:r>
              <w:rPr>
                <w:sz w:val="20"/>
              </w:rPr>
            </w:r>
          </w:p>
        </w:tc>
        <w:tc>
          <w:tcPr>
            <w:tcW w:w="737" w:type="dxa"/>
            <w:tcBorders>
              <w:bottom w:val="nil"/>
              <w:right w:val="single" w:sz="4"/>
            </w:tcBorders>
          </w:tcPr>
          <w:p>
            <w:pPr>
              <w:pStyle w:val="0"/>
            </w:pPr>
            <w:r>
              <w:rPr>
                <w:sz w:val="20"/>
              </w:rPr>
            </w:r>
          </w:p>
        </w:tc>
        <w:tc>
          <w:tcPr>
            <w:tcW w:w="340" w:type="dxa"/>
            <w:tcBorders>
              <w:left w:val="single" w:sz="4"/>
              <w:bottom w:val="nil"/>
            </w:tcBorders>
          </w:tcPr>
          <w:p>
            <w:pPr>
              <w:pStyle w:val="0"/>
            </w:pPr>
            <w:r>
              <w:rPr>
                <w:sz w:val="20"/>
              </w:rPr>
            </w:r>
          </w:p>
        </w:tc>
        <w:tc>
          <w:tcPr>
            <w:tcW w:w="397" w:type="dxa"/>
          </w:tcPr>
          <w:p>
            <w:pPr>
              <w:pStyle w:val="0"/>
            </w:pPr>
            <w:r>
              <w:rPr>
                <w:sz w:val="20"/>
              </w:rPr>
            </w:r>
          </w:p>
        </w:tc>
        <w:tc>
          <w:tcPr>
            <w:tcW w:w="794" w:type="dxa"/>
            <w:tcBorders>
              <w:bottom w:val="nil"/>
              <w:right w:val="single" w:sz="4"/>
            </w:tcBorders>
          </w:tcPr>
          <w:p>
            <w:pPr>
              <w:pStyle w:val="0"/>
            </w:pPr>
            <w:r>
              <w:rPr>
                <w:sz w:val="20"/>
              </w:rPr>
            </w:r>
          </w:p>
        </w:tc>
      </w:tr>
      <w:tr>
        <w:tblPrEx>
          <w:tblBorders>
            <w:insideH w:val="nil"/>
          </w:tblBorders>
        </w:tblPrEx>
        <w:tc>
          <w:tcPr>
            <w:vMerge w:val="continue"/>
          </w:tcPr>
          <w:p/>
        </w:tc>
        <w:tc>
          <w:tcPr>
            <w:tcW w:w="340" w:type="dxa"/>
            <w:tcBorders>
              <w:top w:val="nil"/>
              <w:bottom w:val="nil"/>
            </w:tcBorders>
          </w:tcPr>
          <w:p>
            <w:pPr>
              <w:pStyle w:val="0"/>
            </w:pPr>
            <w:r>
              <w:rPr>
                <w:sz w:val="20"/>
              </w:rPr>
            </w:r>
          </w:p>
        </w:tc>
        <w:tc>
          <w:tcPr>
            <w:tcW w:w="397" w:type="dxa"/>
          </w:tcPr>
          <w:p>
            <w:pPr>
              <w:pStyle w:val="0"/>
            </w:pPr>
            <w:r>
              <w:rPr>
                <w:sz w:val="20"/>
              </w:rPr>
            </w:r>
          </w:p>
        </w:tc>
        <w:tc>
          <w:tcPr>
            <w:tcW w:w="737" w:type="dxa"/>
            <w:tcBorders>
              <w:top w:val="nil"/>
              <w:bottom w:val="nil"/>
            </w:tcBorders>
          </w:tcPr>
          <w:p>
            <w:pPr>
              <w:pStyle w:val="0"/>
            </w:pPr>
            <w:r>
              <w:rPr>
                <w:sz w:val="20"/>
              </w:rPr>
              <w:t xml:space="preserve">да</w:t>
            </w:r>
          </w:p>
        </w:tc>
        <w:tc>
          <w:tcPr>
            <w:tcW w:w="340" w:type="dxa"/>
            <w:tcBorders>
              <w:top w:val="nil"/>
              <w:bottom w:val="nil"/>
            </w:tcBorders>
          </w:tcPr>
          <w:p>
            <w:pPr>
              <w:pStyle w:val="0"/>
            </w:pPr>
            <w:r>
              <w:rPr>
                <w:sz w:val="20"/>
              </w:rPr>
            </w:r>
          </w:p>
        </w:tc>
        <w:tc>
          <w:tcPr>
            <w:tcW w:w="397" w:type="dxa"/>
          </w:tcPr>
          <w:p>
            <w:pPr>
              <w:pStyle w:val="0"/>
            </w:pPr>
            <w:r>
              <w:rPr>
                <w:sz w:val="20"/>
              </w:rPr>
            </w:r>
          </w:p>
        </w:tc>
        <w:tc>
          <w:tcPr>
            <w:tcW w:w="794" w:type="dxa"/>
            <w:tcBorders>
              <w:top w:val="nil"/>
              <w:bottom w:val="nil"/>
            </w:tcBorders>
          </w:tcPr>
          <w:p>
            <w:pPr>
              <w:pStyle w:val="0"/>
            </w:pPr>
            <w:r>
              <w:rPr>
                <w:sz w:val="20"/>
              </w:rPr>
              <w:t xml:space="preserve">нет</w:t>
            </w:r>
          </w:p>
        </w:tc>
      </w:tr>
      <w:tr>
        <w:tblPrEx>
          <w:tblBorders>
            <w:insideV w:val="nil"/>
          </w:tblBorders>
        </w:tblPrEx>
        <w:tc>
          <w:tcPr>
            <w:tcBorders>
              <w:left w:val="single" w:sz="4"/>
              <w:right w:val="single" w:sz="4"/>
            </w:tcBorders>
            <w:vMerge w:val="continue"/>
          </w:tcPr>
          <w:p/>
        </w:tc>
        <w:tc>
          <w:tcPr>
            <w:tcW w:w="340" w:type="dxa"/>
            <w:tcBorders>
              <w:top w:val="nil"/>
              <w:left w:val="single" w:sz="4"/>
            </w:tcBorders>
          </w:tcPr>
          <w:p>
            <w:pPr>
              <w:pStyle w:val="0"/>
            </w:pPr>
            <w:r>
              <w:rPr>
                <w:sz w:val="20"/>
              </w:rPr>
            </w:r>
          </w:p>
        </w:tc>
        <w:tc>
          <w:tcPr>
            <w:tcW w:w="397" w:type="dxa"/>
          </w:tcPr>
          <w:p>
            <w:pPr>
              <w:pStyle w:val="0"/>
            </w:pPr>
            <w:r>
              <w:rPr>
                <w:sz w:val="20"/>
              </w:rPr>
            </w:r>
          </w:p>
        </w:tc>
        <w:tc>
          <w:tcPr>
            <w:tcW w:w="737" w:type="dxa"/>
            <w:tcBorders>
              <w:top w:val="nil"/>
              <w:right w:val="single" w:sz="4"/>
            </w:tcBorders>
          </w:tcPr>
          <w:p>
            <w:pPr>
              <w:pStyle w:val="0"/>
            </w:pPr>
            <w:r>
              <w:rPr>
                <w:sz w:val="20"/>
              </w:rPr>
            </w:r>
          </w:p>
        </w:tc>
        <w:tc>
          <w:tcPr>
            <w:tcW w:w="340" w:type="dxa"/>
            <w:tcBorders>
              <w:top w:val="nil"/>
              <w:left w:val="single" w:sz="4"/>
            </w:tcBorders>
          </w:tcPr>
          <w:p>
            <w:pPr>
              <w:pStyle w:val="0"/>
            </w:pPr>
            <w:r>
              <w:rPr>
                <w:sz w:val="20"/>
              </w:rPr>
            </w:r>
          </w:p>
        </w:tc>
        <w:tc>
          <w:tcPr>
            <w:tcW w:w="397" w:type="dxa"/>
          </w:tcPr>
          <w:p>
            <w:pPr>
              <w:pStyle w:val="0"/>
            </w:pPr>
            <w:r>
              <w:rPr>
                <w:sz w:val="20"/>
              </w:rPr>
            </w:r>
          </w:p>
        </w:tc>
        <w:tc>
          <w:tcPr>
            <w:tcW w:w="794" w:type="dxa"/>
            <w:tcBorders>
              <w:top w:val="nil"/>
              <w:right w:val="single" w:sz="4"/>
            </w:tcBorders>
          </w:tcPr>
          <w:p>
            <w:pPr>
              <w:pStyle w:val="0"/>
            </w:pPr>
            <w:r>
              <w:rPr>
                <w:sz w:val="20"/>
              </w:rPr>
            </w:r>
          </w:p>
        </w:tc>
      </w:tr>
      <w:tr>
        <w:tc>
          <w:tcPr>
            <w:tcW w:w="6066" w:type="dxa"/>
          </w:tcPr>
          <w:p>
            <w:pPr>
              <w:pStyle w:val="0"/>
            </w:pPr>
            <w:r>
              <w:rPr>
                <w:sz w:val="20"/>
              </w:rPr>
              <w:t xml:space="preserve">иное (указать)</w:t>
            </w:r>
          </w:p>
        </w:tc>
        <w:tc>
          <w:tcPr>
            <w:gridSpan w:val="3"/>
            <w:tcW w:w="1474" w:type="dxa"/>
          </w:tcPr>
          <w:p>
            <w:pPr>
              <w:pStyle w:val="0"/>
            </w:pPr>
            <w:r>
              <w:rPr>
                <w:sz w:val="20"/>
              </w:rPr>
            </w:r>
          </w:p>
        </w:tc>
        <w:tc>
          <w:tcPr>
            <w:gridSpan w:val="3"/>
            <w:tcW w:w="1531" w:type="dxa"/>
          </w:tcPr>
          <w:p>
            <w:pPr>
              <w:pStyle w:val="0"/>
            </w:pPr>
            <w:r>
              <w:rPr>
                <w:sz w:val="20"/>
              </w:rPr>
            </w:r>
          </w:p>
        </w:tc>
      </w:tr>
      <w:tr>
        <w:tblPrEx>
          <w:tblBorders>
            <w:insideV w:val="nil"/>
          </w:tblBorders>
        </w:tblPrEx>
        <w:tc>
          <w:tcPr>
            <w:tcW w:w="6066" w:type="dxa"/>
            <w:tcBorders>
              <w:left w:val="single" w:sz="4"/>
              <w:right w:val="single" w:sz="4"/>
            </w:tcBorders>
            <w:vMerge w:val="restart"/>
          </w:tcPr>
          <w:p>
            <w:pPr>
              <w:pStyle w:val="0"/>
            </w:pPr>
            <w:r>
              <w:rPr>
                <w:sz w:val="20"/>
                <w:b w:val="on"/>
              </w:rPr>
              <w:t xml:space="preserve">3. Возможность доступа к СДО с различных устройств, в том числе мобильных</w:t>
            </w:r>
          </w:p>
        </w:tc>
        <w:tc>
          <w:tcPr>
            <w:tcW w:w="340" w:type="dxa"/>
            <w:tcBorders>
              <w:left w:val="single" w:sz="4"/>
              <w:bottom w:val="nil"/>
            </w:tcBorders>
          </w:tcPr>
          <w:p>
            <w:pPr>
              <w:pStyle w:val="0"/>
            </w:pPr>
            <w:r>
              <w:rPr>
                <w:sz w:val="20"/>
              </w:rPr>
            </w:r>
          </w:p>
        </w:tc>
        <w:tc>
          <w:tcPr>
            <w:tcW w:w="397" w:type="dxa"/>
          </w:tcPr>
          <w:p>
            <w:pPr>
              <w:pStyle w:val="0"/>
            </w:pPr>
            <w:r>
              <w:rPr>
                <w:sz w:val="20"/>
              </w:rPr>
            </w:r>
          </w:p>
        </w:tc>
        <w:tc>
          <w:tcPr>
            <w:tcW w:w="737" w:type="dxa"/>
            <w:tcBorders>
              <w:bottom w:val="nil"/>
              <w:right w:val="single" w:sz="4"/>
            </w:tcBorders>
          </w:tcPr>
          <w:p>
            <w:pPr>
              <w:pStyle w:val="0"/>
            </w:pPr>
            <w:r>
              <w:rPr>
                <w:sz w:val="20"/>
              </w:rPr>
            </w:r>
          </w:p>
        </w:tc>
        <w:tc>
          <w:tcPr>
            <w:tcW w:w="340" w:type="dxa"/>
            <w:tcBorders>
              <w:left w:val="single" w:sz="4"/>
              <w:bottom w:val="nil"/>
            </w:tcBorders>
          </w:tcPr>
          <w:p>
            <w:pPr>
              <w:pStyle w:val="0"/>
            </w:pPr>
            <w:r>
              <w:rPr>
                <w:sz w:val="20"/>
              </w:rPr>
            </w:r>
          </w:p>
        </w:tc>
        <w:tc>
          <w:tcPr>
            <w:tcW w:w="397" w:type="dxa"/>
          </w:tcPr>
          <w:p>
            <w:pPr>
              <w:pStyle w:val="0"/>
            </w:pPr>
            <w:r>
              <w:rPr>
                <w:sz w:val="20"/>
              </w:rPr>
            </w:r>
          </w:p>
        </w:tc>
        <w:tc>
          <w:tcPr>
            <w:tcW w:w="794" w:type="dxa"/>
            <w:tcBorders>
              <w:bottom w:val="nil"/>
              <w:right w:val="single" w:sz="4"/>
            </w:tcBorders>
          </w:tcPr>
          <w:p>
            <w:pPr>
              <w:pStyle w:val="0"/>
            </w:pPr>
            <w:r>
              <w:rPr>
                <w:sz w:val="20"/>
              </w:rPr>
            </w:r>
          </w:p>
        </w:tc>
      </w:tr>
      <w:tr>
        <w:tblPrEx>
          <w:tblBorders>
            <w:insideH w:val="nil"/>
          </w:tblBorders>
        </w:tblPrEx>
        <w:tc>
          <w:tcPr>
            <w:vMerge w:val="continue"/>
          </w:tcPr>
          <w:p/>
        </w:tc>
        <w:tc>
          <w:tcPr>
            <w:tcW w:w="340" w:type="dxa"/>
            <w:tcBorders>
              <w:top w:val="nil"/>
              <w:bottom w:val="nil"/>
            </w:tcBorders>
          </w:tcPr>
          <w:p>
            <w:pPr>
              <w:pStyle w:val="0"/>
            </w:pPr>
            <w:r>
              <w:rPr>
                <w:sz w:val="20"/>
              </w:rPr>
            </w:r>
          </w:p>
        </w:tc>
        <w:tc>
          <w:tcPr>
            <w:tcW w:w="397" w:type="dxa"/>
          </w:tcPr>
          <w:p>
            <w:pPr>
              <w:pStyle w:val="0"/>
            </w:pPr>
            <w:r>
              <w:rPr>
                <w:sz w:val="20"/>
              </w:rPr>
            </w:r>
          </w:p>
        </w:tc>
        <w:tc>
          <w:tcPr>
            <w:tcW w:w="737" w:type="dxa"/>
            <w:tcBorders>
              <w:top w:val="nil"/>
              <w:bottom w:val="nil"/>
            </w:tcBorders>
          </w:tcPr>
          <w:p>
            <w:pPr>
              <w:pStyle w:val="0"/>
            </w:pPr>
            <w:r>
              <w:rPr>
                <w:sz w:val="20"/>
              </w:rPr>
              <w:t xml:space="preserve">да</w:t>
            </w:r>
          </w:p>
        </w:tc>
        <w:tc>
          <w:tcPr>
            <w:tcW w:w="340" w:type="dxa"/>
            <w:tcBorders>
              <w:top w:val="nil"/>
              <w:bottom w:val="nil"/>
            </w:tcBorders>
          </w:tcPr>
          <w:p>
            <w:pPr>
              <w:pStyle w:val="0"/>
            </w:pPr>
            <w:r>
              <w:rPr>
                <w:sz w:val="20"/>
              </w:rPr>
            </w:r>
          </w:p>
        </w:tc>
        <w:tc>
          <w:tcPr>
            <w:tcW w:w="397" w:type="dxa"/>
          </w:tcPr>
          <w:p>
            <w:pPr>
              <w:pStyle w:val="0"/>
            </w:pPr>
            <w:r>
              <w:rPr>
                <w:sz w:val="20"/>
              </w:rPr>
            </w:r>
          </w:p>
        </w:tc>
        <w:tc>
          <w:tcPr>
            <w:tcW w:w="794" w:type="dxa"/>
            <w:tcBorders>
              <w:top w:val="nil"/>
              <w:bottom w:val="nil"/>
            </w:tcBorders>
          </w:tcPr>
          <w:p>
            <w:pPr>
              <w:pStyle w:val="0"/>
            </w:pPr>
            <w:r>
              <w:rPr>
                <w:sz w:val="20"/>
              </w:rPr>
              <w:t xml:space="preserve">нет</w:t>
            </w:r>
          </w:p>
        </w:tc>
      </w:tr>
      <w:tr>
        <w:tblPrEx>
          <w:tblBorders>
            <w:insideV w:val="nil"/>
            <w:insideH w:val="nil"/>
          </w:tblBorders>
        </w:tblPrEx>
        <w:tc>
          <w:tcPr>
            <w:tcBorders>
              <w:left w:val="single" w:sz="4"/>
              <w:right w:val="single" w:sz="4"/>
            </w:tcBorders>
            <w:vMerge w:val="continue"/>
          </w:tcPr>
          <w:p/>
        </w:tc>
        <w:tc>
          <w:tcPr>
            <w:tcW w:w="340" w:type="dxa"/>
            <w:tcBorders>
              <w:top w:val="nil"/>
              <w:left w:val="single" w:sz="4"/>
            </w:tcBorders>
          </w:tcPr>
          <w:p>
            <w:pPr>
              <w:pStyle w:val="0"/>
            </w:pPr>
            <w:r>
              <w:rPr>
                <w:sz w:val="20"/>
              </w:rPr>
            </w:r>
          </w:p>
        </w:tc>
        <w:tc>
          <w:tcPr>
            <w:tcW w:w="397" w:type="dxa"/>
          </w:tcPr>
          <w:p>
            <w:pPr>
              <w:pStyle w:val="0"/>
            </w:pPr>
            <w:r>
              <w:rPr>
                <w:sz w:val="20"/>
              </w:rPr>
            </w:r>
          </w:p>
        </w:tc>
        <w:tc>
          <w:tcPr>
            <w:tcW w:w="737" w:type="dxa"/>
            <w:tcBorders>
              <w:top w:val="nil"/>
              <w:right w:val="single" w:sz="4"/>
            </w:tcBorders>
          </w:tcPr>
          <w:p>
            <w:pPr>
              <w:pStyle w:val="0"/>
            </w:pPr>
            <w:r>
              <w:rPr>
                <w:sz w:val="20"/>
              </w:rPr>
            </w:r>
          </w:p>
        </w:tc>
        <w:tc>
          <w:tcPr>
            <w:tcW w:w="340" w:type="dxa"/>
            <w:tcBorders>
              <w:top w:val="nil"/>
              <w:left w:val="single" w:sz="4"/>
            </w:tcBorders>
          </w:tcPr>
          <w:p>
            <w:pPr>
              <w:pStyle w:val="0"/>
            </w:pPr>
            <w:r>
              <w:rPr>
                <w:sz w:val="20"/>
              </w:rPr>
            </w:r>
          </w:p>
        </w:tc>
        <w:tc>
          <w:tcPr>
            <w:tcW w:w="397" w:type="dxa"/>
          </w:tcPr>
          <w:p>
            <w:pPr>
              <w:pStyle w:val="0"/>
            </w:pPr>
            <w:r>
              <w:rPr>
                <w:sz w:val="20"/>
              </w:rPr>
            </w:r>
          </w:p>
        </w:tc>
        <w:tc>
          <w:tcPr>
            <w:tcW w:w="794" w:type="dxa"/>
            <w:tcBorders>
              <w:top w:val="nil"/>
              <w:right w:val="single" w:sz="4"/>
            </w:tcBorders>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1754"/>
        <w:gridCol w:w="1544"/>
        <w:gridCol w:w="5432"/>
        <w:gridCol w:w="340"/>
      </w:tblGrid>
      <w:tr>
        <w:tc>
          <w:tcPr>
            <w:gridSpan w:val="4"/>
            <w:tcW w:w="9070" w:type="dxa"/>
            <w:tcBorders>
              <w:top w:val="nil"/>
              <w:left w:val="nil"/>
              <w:bottom w:val="nil"/>
              <w:right w:val="nil"/>
            </w:tcBorders>
          </w:tcPr>
          <w:p>
            <w:pPr>
              <w:pStyle w:val="0"/>
              <w:ind w:firstLine="283"/>
              <w:jc w:val="both"/>
            </w:pPr>
            <w:r>
              <w:rPr>
                <w:sz w:val="20"/>
              </w:rPr>
              <w:t xml:space="preserve">Настоящей Заявкой даем согласие на публикацию (размещение) в информационно-телекоммуникационной сети "Интернет" информации о</w:t>
            </w:r>
          </w:p>
        </w:tc>
      </w:tr>
      <w:tr>
        <w:tc>
          <w:tcPr>
            <w:gridSpan w:val="4"/>
            <w:tcW w:w="9070" w:type="dxa"/>
            <w:tcBorders>
              <w:top w:val="nil"/>
              <w:left w:val="nil"/>
              <w:bottom w:val="single" w:sz="4"/>
              <w:right w:val="nil"/>
            </w:tcBorders>
          </w:tcPr>
          <w:p>
            <w:pPr>
              <w:pStyle w:val="0"/>
            </w:pPr>
            <w:r>
              <w:rPr>
                <w:sz w:val="20"/>
              </w:rPr>
            </w:r>
          </w:p>
        </w:tc>
      </w:tr>
      <w:tr>
        <w:tblPrEx>
          <w:tblBorders>
            <w:insideH w:val="single" w:sz="4"/>
          </w:tblBorders>
        </w:tblPrEx>
        <w:tc>
          <w:tcPr>
            <w:gridSpan w:val="3"/>
            <w:tcW w:w="8730" w:type="dxa"/>
            <w:tcBorders>
              <w:top w:val="single" w:sz="4"/>
              <w:left w:val="nil"/>
              <w:bottom w:val="single" w:sz="4"/>
              <w:right w:val="nil"/>
            </w:tcBorders>
          </w:tcPr>
          <w:p>
            <w:pPr>
              <w:pStyle w:val="0"/>
            </w:pPr>
            <w:r>
              <w:rPr>
                <w:sz w:val="20"/>
              </w:rPr>
            </w:r>
          </w:p>
        </w:tc>
        <w:tc>
          <w:tcPr>
            <w:tcW w:w="340" w:type="dxa"/>
            <w:tcBorders>
              <w:top w:val="single" w:sz="4"/>
              <w:left w:val="nil"/>
              <w:bottom w:val="nil"/>
              <w:right w:val="nil"/>
            </w:tcBorders>
          </w:tcPr>
          <w:p>
            <w:pPr>
              <w:pStyle w:val="0"/>
              <w:jc w:val="both"/>
            </w:pPr>
            <w:r>
              <w:rPr>
                <w:sz w:val="20"/>
              </w:rPr>
              <w:t xml:space="preserve">,</w:t>
            </w:r>
          </w:p>
        </w:tc>
      </w:tr>
      <w:tr>
        <w:tc>
          <w:tcPr>
            <w:gridSpan w:val="4"/>
            <w:tcW w:w="9070" w:type="dxa"/>
            <w:tcBorders>
              <w:top w:val="nil"/>
              <w:left w:val="nil"/>
              <w:bottom w:val="nil"/>
              <w:right w:val="nil"/>
            </w:tcBorders>
          </w:tcPr>
          <w:p>
            <w:pPr>
              <w:pStyle w:val="0"/>
              <w:jc w:val="center"/>
            </w:pPr>
            <w:r>
              <w:rPr>
                <w:sz w:val="20"/>
              </w:rPr>
              <w:t xml:space="preserve">(Указывается полное наименование юридического лица в соответствии с учредительными документами в предложном падеже)</w:t>
            </w:r>
          </w:p>
        </w:tc>
      </w:tr>
      <w:tr>
        <w:tc>
          <w:tcPr>
            <w:tcW w:w="1754" w:type="dxa"/>
            <w:tcBorders>
              <w:top w:val="nil"/>
              <w:left w:val="nil"/>
              <w:bottom w:val="nil"/>
              <w:right w:val="nil"/>
            </w:tcBorders>
          </w:tcPr>
          <w:p>
            <w:pPr>
              <w:pStyle w:val="0"/>
            </w:pPr>
            <w:r>
              <w:rPr>
                <w:sz w:val="20"/>
              </w:rPr>
              <w:t xml:space="preserve">о подаваемой</w:t>
            </w:r>
          </w:p>
        </w:tc>
        <w:tc>
          <w:tcPr>
            <w:gridSpan w:val="3"/>
            <w:tcW w:w="7316" w:type="dxa"/>
            <w:tcBorders>
              <w:top w:val="nil"/>
              <w:left w:val="nil"/>
              <w:bottom w:val="single" w:sz="4"/>
              <w:right w:val="nil"/>
            </w:tcBorders>
          </w:tcPr>
          <w:p>
            <w:pPr>
              <w:pStyle w:val="0"/>
            </w:pPr>
            <w:r>
              <w:rPr>
                <w:sz w:val="20"/>
              </w:rPr>
            </w:r>
          </w:p>
        </w:tc>
      </w:tr>
      <w:tr>
        <w:tc>
          <w:tcPr>
            <w:gridSpan w:val="4"/>
            <w:tcW w:w="9070" w:type="dxa"/>
            <w:tcBorders>
              <w:top w:val="nil"/>
              <w:left w:val="nil"/>
              <w:bottom w:val="single" w:sz="4"/>
              <w:right w:val="nil"/>
            </w:tcBorders>
          </w:tcPr>
          <w:p>
            <w:pPr>
              <w:pStyle w:val="0"/>
            </w:pPr>
            <w:r>
              <w:rPr>
                <w:sz w:val="20"/>
              </w:rPr>
            </w:r>
          </w:p>
        </w:tc>
      </w:tr>
      <w:tr>
        <w:tblPrEx>
          <w:tblBorders>
            <w:insideH w:val="single" w:sz="4"/>
          </w:tblBorders>
        </w:tblPrEx>
        <w:tc>
          <w:tcPr>
            <w:gridSpan w:val="4"/>
            <w:tcW w:w="9070" w:type="dxa"/>
            <w:tcBorders>
              <w:top w:val="single" w:sz="4"/>
              <w:left w:val="nil"/>
              <w:bottom w:val="single" w:sz="4"/>
              <w:right w:val="nil"/>
            </w:tcBorders>
          </w:tcPr>
          <w:p>
            <w:pPr>
              <w:pStyle w:val="0"/>
            </w:pPr>
            <w:r>
              <w:rPr>
                <w:sz w:val="20"/>
              </w:rPr>
            </w:r>
          </w:p>
        </w:tc>
      </w:tr>
      <w:tr>
        <w:tc>
          <w:tcPr>
            <w:gridSpan w:val="4"/>
            <w:tcW w:w="9070" w:type="dxa"/>
            <w:tcBorders>
              <w:top w:val="single" w:sz="4"/>
              <w:left w:val="nil"/>
              <w:bottom w:val="nil"/>
              <w:right w:val="nil"/>
            </w:tcBorders>
          </w:tcPr>
          <w:p>
            <w:pPr>
              <w:pStyle w:val="0"/>
              <w:jc w:val="center"/>
            </w:pPr>
            <w:r>
              <w:rPr>
                <w:sz w:val="20"/>
              </w:rPr>
              <w:t xml:space="preserve">(Указывается полное наименование юридического лица в соответствии с учредительными документами в творительном падеже)</w:t>
            </w:r>
          </w:p>
        </w:tc>
      </w:tr>
      <w:tr>
        <w:tc>
          <w:tcPr>
            <w:gridSpan w:val="2"/>
            <w:tcW w:w="3298" w:type="dxa"/>
            <w:tcBorders>
              <w:top w:val="nil"/>
              <w:left w:val="nil"/>
              <w:bottom w:val="nil"/>
              <w:right w:val="nil"/>
            </w:tcBorders>
          </w:tcPr>
          <w:p>
            <w:pPr>
              <w:pStyle w:val="0"/>
            </w:pPr>
            <w:r>
              <w:rPr>
                <w:sz w:val="20"/>
              </w:rPr>
              <w:t xml:space="preserve">заявке и иной информации о</w:t>
            </w:r>
          </w:p>
        </w:tc>
        <w:tc>
          <w:tcPr>
            <w:gridSpan w:val="2"/>
            <w:tcW w:w="5772" w:type="dxa"/>
            <w:tcBorders>
              <w:top w:val="nil"/>
              <w:left w:val="nil"/>
              <w:bottom w:val="single" w:sz="4"/>
              <w:right w:val="nil"/>
            </w:tcBorders>
          </w:tcPr>
          <w:p>
            <w:pPr>
              <w:pStyle w:val="0"/>
            </w:pPr>
            <w:r>
              <w:rPr>
                <w:sz w:val="20"/>
              </w:rPr>
            </w:r>
          </w:p>
        </w:tc>
      </w:tr>
      <w:tr>
        <w:tc>
          <w:tcPr>
            <w:gridSpan w:val="4"/>
            <w:tcW w:w="9070" w:type="dxa"/>
            <w:tcBorders>
              <w:top w:val="nil"/>
              <w:left w:val="nil"/>
              <w:bottom w:val="single" w:sz="4"/>
              <w:right w:val="nil"/>
            </w:tcBorders>
          </w:tcPr>
          <w:p>
            <w:pPr>
              <w:pStyle w:val="0"/>
            </w:pPr>
            <w:r>
              <w:rPr>
                <w:sz w:val="20"/>
              </w:rPr>
            </w:r>
          </w:p>
        </w:tc>
      </w:tr>
      <w:tr>
        <w:tblPrEx>
          <w:tblBorders>
            <w:insideH w:val="single" w:sz="4"/>
          </w:tblBorders>
        </w:tblPrEx>
        <w:tc>
          <w:tcPr>
            <w:gridSpan w:val="3"/>
            <w:tcW w:w="8730" w:type="dxa"/>
            <w:tcBorders>
              <w:top w:val="single" w:sz="4"/>
              <w:left w:val="nil"/>
              <w:bottom w:val="single" w:sz="4"/>
              <w:right w:val="nil"/>
            </w:tcBorders>
          </w:tcPr>
          <w:p>
            <w:pPr>
              <w:pStyle w:val="0"/>
            </w:pPr>
            <w:r>
              <w:rPr>
                <w:sz w:val="20"/>
              </w:rPr>
            </w:r>
          </w:p>
        </w:tc>
        <w:tc>
          <w:tcPr>
            <w:tcW w:w="340" w:type="dxa"/>
            <w:tcBorders>
              <w:top w:val="single" w:sz="4"/>
              <w:left w:val="nil"/>
              <w:bottom w:val="nil"/>
              <w:right w:val="nil"/>
            </w:tcBorders>
          </w:tcPr>
          <w:p>
            <w:pPr>
              <w:pStyle w:val="0"/>
              <w:jc w:val="both"/>
            </w:pPr>
            <w:r>
              <w:rPr>
                <w:sz w:val="20"/>
              </w:rPr>
              <w:t xml:space="preserve">,</w:t>
            </w:r>
          </w:p>
        </w:tc>
      </w:tr>
      <w:tr>
        <w:tc>
          <w:tcPr>
            <w:gridSpan w:val="4"/>
            <w:tcW w:w="9070" w:type="dxa"/>
            <w:tcBorders>
              <w:top w:val="nil"/>
              <w:left w:val="nil"/>
              <w:bottom w:val="nil"/>
              <w:right w:val="nil"/>
            </w:tcBorders>
          </w:tcPr>
          <w:p>
            <w:pPr>
              <w:pStyle w:val="0"/>
              <w:jc w:val="center"/>
            </w:pPr>
            <w:r>
              <w:rPr>
                <w:sz w:val="20"/>
              </w:rPr>
              <w:t xml:space="preserve">(Указывается полное наименование юридического лица в соответствии с учредительными документами в предложном падеже)</w:t>
            </w:r>
          </w:p>
        </w:tc>
      </w:tr>
      <w:tr>
        <w:tc>
          <w:tcPr>
            <w:gridSpan w:val="4"/>
            <w:tcW w:w="9070" w:type="dxa"/>
            <w:tcBorders>
              <w:top w:val="nil"/>
              <w:left w:val="nil"/>
              <w:bottom w:val="nil"/>
              <w:right w:val="nil"/>
            </w:tcBorders>
          </w:tcPr>
          <w:p>
            <w:pPr>
              <w:pStyle w:val="0"/>
            </w:pPr>
            <w:r>
              <w:rPr>
                <w:sz w:val="20"/>
              </w:rPr>
              <w:t xml:space="preserve">связанной с отбором.</w:t>
            </w:r>
          </w:p>
        </w:tc>
      </w:tr>
      <w:tr>
        <w:tc>
          <w:tcPr>
            <w:gridSpan w:val="4"/>
            <w:tcW w:w="9070" w:type="dxa"/>
            <w:tcBorders>
              <w:top w:val="nil"/>
              <w:left w:val="nil"/>
              <w:bottom w:val="nil"/>
              <w:right w:val="nil"/>
            </w:tcBorders>
          </w:tcPr>
          <w:p>
            <w:pPr>
              <w:pStyle w:val="0"/>
            </w:pPr>
            <w:r>
              <w:rPr>
                <w:sz w:val="20"/>
              </w:rPr>
            </w:r>
          </w:p>
        </w:tc>
      </w:tr>
      <w:tr>
        <w:tc>
          <w:tcPr>
            <w:gridSpan w:val="4"/>
            <w:tcW w:w="9070" w:type="dxa"/>
            <w:tcBorders>
              <w:top w:val="nil"/>
              <w:left w:val="nil"/>
              <w:bottom w:val="nil"/>
              <w:right w:val="nil"/>
            </w:tcBorders>
          </w:tcPr>
          <w:p>
            <w:pPr>
              <w:pStyle w:val="0"/>
            </w:pPr>
            <w:r>
              <w:rPr>
                <w:sz w:val="20"/>
              </w:rPr>
              <w:t xml:space="preserve">Перечень документов, прилагаемых к настоящей Заявке:</w:t>
            </w:r>
          </w:p>
        </w:tc>
      </w:tr>
      <w:tr>
        <w:tc>
          <w:tcPr>
            <w:gridSpan w:val="4"/>
            <w:tcW w:w="9070" w:type="dxa"/>
            <w:tcBorders>
              <w:top w:val="nil"/>
              <w:left w:val="nil"/>
              <w:bottom w:val="single" w:sz="4"/>
              <w:right w:val="nil"/>
            </w:tcBorders>
          </w:tcPr>
          <w:p>
            <w:pPr>
              <w:pStyle w:val="0"/>
            </w:pPr>
            <w:r>
              <w:rPr>
                <w:sz w:val="20"/>
              </w:rPr>
            </w:r>
          </w:p>
        </w:tc>
      </w:tr>
      <w:tr>
        <w:tblPrEx>
          <w:tblBorders>
            <w:insideH w:val="single" w:sz="4"/>
          </w:tblBorders>
        </w:tblPrEx>
        <w:tc>
          <w:tcPr>
            <w:gridSpan w:val="4"/>
            <w:tcW w:w="9070" w:type="dxa"/>
            <w:tcBorders>
              <w:top w:val="single" w:sz="4"/>
              <w:left w:val="nil"/>
              <w:bottom w:val="single" w:sz="4"/>
              <w:right w:val="nil"/>
            </w:tcBorders>
          </w:tcPr>
          <w:p>
            <w:pPr>
              <w:pStyle w:val="0"/>
            </w:pPr>
            <w:r>
              <w:rPr>
                <w:sz w:val="20"/>
              </w:rPr>
            </w:r>
          </w:p>
        </w:tc>
      </w:tr>
      <w:tr>
        <w:tblPrEx>
          <w:tblBorders>
            <w:insideH w:val="single" w:sz="4"/>
          </w:tblBorders>
        </w:tblPrEx>
        <w:tc>
          <w:tcPr>
            <w:gridSpan w:val="4"/>
            <w:tcW w:w="9070" w:type="dxa"/>
            <w:tcBorders>
              <w:top w:val="single" w:sz="4"/>
              <w:left w:val="nil"/>
              <w:bottom w:val="single" w:sz="4"/>
              <w:right w:val="nil"/>
            </w:tcBorders>
          </w:tcPr>
          <w:p>
            <w:pPr>
              <w:pStyle w:val="0"/>
            </w:pPr>
            <w:r>
              <w:rPr>
                <w:sz w:val="20"/>
              </w:rPr>
            </w:r>
          </w:p>
        </w:tc>
      </w:tr>
      <w:tr>
        <w:tblPrEx>
          <w:tblBorders>
            <w:insideH w:val="single" w:sz="4"/>
          </w:tblBorders>
        </w:tblPrEx>
        <w:tc>
          <w:tcPr>
            <w:gridSpan w:val="4"/>
            <w:tcW w:w="9070" w:type="dxa"/>
            <w:tcBorders>
              <w:top w:val="single" w:sz="4"/>
              <w:left w:val="nil"/>
              <w:bottom w:val="nil"/>
              <w:right w:val="nil"/>
            </w:tcBorders>
          </w:tcPr>
          <w:p>
            <w:pPr>
              <w:pStyle w:val="0"/>
              <w:ind w:firstLine="283"/>
              <w:jc w:val="both"/>
            </w:pPr>
            <w:r>
              <w:rPr>
                <w:sz w:val="20"/>
              </w:rPr>
              <w:t xml:space="preserve">Контактная информация лица - участника отбора, уполномоченного на взаимодействие с Комитетом по науке и высшей школе по вопросам предоставления субсидии:</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65"/>
        <w:gridCol w:w="4706"/>
      </w:tblGrid>
      <w:tr>
        <w:tc>
          <w:tcPr>
            <w:tcW w:w="4365" w:type="dxa"/>
          </w:tcPr>
          <w:p>
            <w:pPr>
              <w:pStyle w:val="0"/>
            </w:pPr>
            <w:r>
              <w:rPr>
                <w:sz w:val="20"/>
              </w:rPr>
              <w:t xml:space="preserve">Фамилия, имя, отчество</w:t>
            </w:r>
          </w:p>
        </w:tc>
        <w:tc>
          <w:tcPr>
            <w:tcW w:w="4706" w:type="dxa"/>
          </w:tcPr>
          <w:p>
            <w:pPr>
              <w:pStyle w:val="0"/>
            </w:pPr>
            <w:r>
              <w:rPr>
                <w:sz w:val="20"/>
              </w:rPr>
            </w:r>
          </w:p>
        </w:tc>
      </w:tr>
      <w:tr>
        <w:tc>
          <w:tcPr>
            <w:tcW w:w="4365" w:type="dxa"/>
          </w:tcPr>
          <w:p>
            <w:pPr>
              <w:pStyle w:val="0"/>
            </w:pPr>
            <w:r>
              <w:rPr>
                <w:sz w:val="20"/>
              </w:rPr>
              <w:t xml:space="preserve">Телефон</w:t>
            </w:r>
          </w:p>
        </w:tc>
        <w:tc>
          <w:tcPr>
            <w:tcW w:w="4706" w:type="dxa"/>
          </w:tcPr>
          <w:p>
            <w:pPr>
              <w:pStyle w:val="0"/>
            </w:pPr>
            <w:r>
              <w:rPr>
                <w:sz w:val="20"/>
              </w:rPr>
            </w:r>
          </w:p>
        </w:tc>
      </w:tr>
      <w:tr>
        <w:tc>
          <w:tcPr>
            <w:tcW w:w="4365" w:type="dxa"/>
          </w:tcPr>
          <w:p>
            <w:pPr>
              <w:pStyle w:val="0"/>
            </w:pPr>
            <w:r>
              <w:rPr>
                <w:sz w:val="20"/>
              </w:rPr>
              <w:t xml:space="preserve">Адрес электронной почты</w:t>
            </w:r>
          </w:p>
        </w:tc>
        <w:tc>
          <w:tcPr>
            <w:tcW w:w="4706" w:type="dxa"/>
          </w:tcPr>
          <w:p>
            <w:pPr>
              <w:pStyle w:val="0"/>
            </w:pPr>
            <w:r>
              <w:rPr>
                <w:sz w:val="20"/>
              </w:rPr>
            </w:r>
          </w:p>
        </w:tc>
      </w:tr>
    </w:tbl>
    <w:p>
      <w:pPr>
        <w:pStyle w:val="0"/>
      </w:pPr>
      <w:r>
        <w:rPr>
          <w:sz w:val="20"/>
        </w:rPr>
      </w:r>
    </w:p>
    <w:tbl>
      <w:tblPr>
        <w:tblInd w:w="0" w:type="dxa"/>
        <w:tblLayout w:type="fixed"/>
        <w:tblBorders>
          <w:insideH w:val="single" w:sz="4"/>
        </w:tblBorders>
        <w:tblCellMar>
          <w:top w:w="102" w:type="dxa"/>
          <w:left w:w="62" w:type="dxa"/>
          <w:bottom w:w="102" w:type="dxa"/>
          <w:right w:w="62" w:type="dxa"/>
        </w:tblCellMar>
      </w:tblPr>
      <w:tblGrid>
        <w:gridCol w:w="3798"/>
        <w:gridCol w:w="340"/>
        <w:gridCol w:w="1587"/>
        <w:gridCol w:w="340"/>
        <w:gridCol w:w="3005"/>
      </w:tblGrid>
      <w:tr>
        <w:tc>
          <w:tcPr>
            <w:tcW w:w="3798" w:type="dxa"/>
            <w:vAlign w:val="bottom"/>
            <w:tcBorders>
              <w:top w:val="nil"/>
              <w:left w:val="nil"/>
              <w:right w:val="nil"/>
            </w:tcBorders>
          </w:tcPr>
          <w:p>
            <w:pPr>
              <w:pStyle w:val="0"/>
            </w:pPr>
            <w:r>
              <w:rPr>
                <w:sz w:val="20"/>
                <w:b w:val="on"/>
              </w:rPr>
              <w:t xml:space="preserve">Руководитель участника отбора (уполномоченное лицо)</w:t>
            </w:r>
          </w:p>
        </w:tc>
        <w:tc>
          <w:tcPr>
            <w:tcW w:w="340" w:type="dxa"/>
            <w:vAlign w:val="bottom"/>
            <w:tcBorders>
              <w:top w:val="nil"/>
              <w:left w:val="nil"/>
              <w:bottom w:val="nil"/>
              <w:right w:val="nil"/>
            </w:tcBorders>
          </w:tcPr>
          <w:p>
            <w:pPr>
              <w:pStyle w:val="0"/>
            </w:pPr>
            <w:r>
              <w:rPr>
                <w:sz w:val="20"/>
              </w:rPr>
            </w:r>
          </w:p>
        </w:tc>
        <w:tc>
          <w:tcPr>
            <w:tcW w:w="1587" w:type="dxa"/>
            <w:vAlign w:val="bottom"/>
            <w:tcBorders>
              <w:top w:val="nil"/>
              <w:left w:val="nil"/>
              <w:right w:val="nil"/>
            </w:tcBorders>
          </w:tcPr>
          <w:p>
            <w:pPr>
              <w:pStyle w:val="0"/>
              <w:jc w:val="center"/>
            </w:pPr>
            <w:r>
              <w:rPr>
                <w:sz w:val="20"/>
                <w:b w:val="on"/>
              </w:rPr>
              <w:t xml:space="preserve">МП</w:t>
            </w:r>
          </w:p>
        </w:tc>
        <w:tc>
          <w:tcPr>
            <w:tcW w:w="340" w:type="dxa"/>
            <w:vAlign w:val="bottom"/>
            <w:tcBorders>
              <w:top w:val="nil"/>
              <w:left w:val="nil"/>
              <w:bottom w:val="nil"/>
              <w:right w:val="nil"/>
            </w:tcBorders>
          </w:tcPr>
          <w:p>
            <w:pPr>
              <w:pStyle w:val="0"/>
            </w:pPr>
            <w:r>
              <w:rPr>
                <w:sz w:val="20"/>
              </w:rPr>
            </w:r>
          </w:p>
        </w:tc>
        <w:tc>
          <w:tcPr>
            <w:tcW w:w="3005" w:type="dxa"/>
            <w:vAlign w:val="bottom"/>
            <w:tcBorders>
              <w:top w:val="nil"/>
              <w:left w:val="nil"/>
              <w:right w:val="nil"/>
            </w:tcBorders>
          </w:tcPr>
          <w:p>
            <w:pPr>
              <w:pStyle w:val="0"/>
            </w:pPr>
            <w:r>
              <w:rPr>
                <w:sz w:val="20"/>
              </w:rPr>
            </w:r>
          </w:p>
        </w:tc>
      </w:tr>
      <w:tr>
        <w:tc>
          <w:tcPr>
            <w:tcW w:w="3798" w:type="dxa"/>
            <w:tcBorders>
              <w:left w:val="nil"/>
              <w:bottom w:val="nil"/>
              <w:right w:val="nil"/>
            </w:tcBorders>
          </w:tcPr>
          <w:p>
            <w:pPr>
              <w:pStyle w:val="0"/>
              <w:jc w:val="center"/>
            </w:pPr>
            <w:r>
              <w:rPr>
                <w:sz w:val="20"/>
                <w:b w:val="on"/>
              </w:rPr>
              <w:t xml:space="preserve">(Должность)</w:t>
            </w:r>
          </w:p>
        </w:tc>
        <w:tc>
          <w:tcPr>
            <w:tcW w:w="340" w:type="dxa"/>
            <w:tcBorders>
              <w:top w:val="nil"/>
              <w:left w:val="nil"/>
              <w:bottom w:val="nil"/>
              <w:right w:val="nil"/>
            </w:tcBorders>
          </w:tcPr>
          <w:p>
            <w:pPr>
              <w:pStyle w:val="0"/>
            </w:pPr>
            <w:r>
              <w:rPr>
                <w:sz w:val="20"/>
              </w:rPr>
            </w:r>
          </w:p>
        </w:tc>
        <w:tc>
          <w:tcPr>
            <w:tcW w:w="1587" w:type="dxa"/>
            <w:tcBorders>
              <w:left w:val="nil"/>
              <w:bottom w:val="nil"/>
              <w:right w:val="nil"/>
            </w:tcBorders>
          </w:tcPr>
          <w:p>
            <w:pPr>
              <w:pStyle w:val="0"/>
              <w:jc w:val="center"/>
            </w:pPr>
            <w:r>
              <w:rPr>
                <w:sz w:val="20"/>
                <w:b w:val="on"/>
              </w:rPr>
              <w:t xml:space="preserve">(Подпись)</w:t>
            </w:r>
          </w:p>
        </w:tc>
        <w:tc>
          <w:tcPr>
            <w:tcW w:w="340" w:type="dxa"/>
            <w:tcBorders>
              <w:top w:val="nil"/>
              <w:left w:val="nil"/>
              <w:bottom w:val="nil"/>
              <w:right w:val="nil"/>
            </w:tcBorders>
          </w:tcPr>
          <w:p>
            <w:pPr>
              <w:pStyle w:val="0"/>
            </w:pPr>
            <w:r>
              <w:rPr>
                <w:sz w:val="20"/>
              </w:rPr>
            </w:r>
          </w:p>
        </w:tc>
        <w:tc>
          <w:tcPr>
            <w:tcW w:w="3005" w:type="dxa"/>
            <w:tcBorders>
              <w:left w:val="nil"/>
              <w:bottom w:val="nil"/>
              <w:right w:val="nil"/>
            </w:tcBorders>
          </w:tcPr>
          <w:p>
            <w:pPr>
              <w:pStyle w:val="0"/>
              <w:jc w:val="center"/>
            </w:pPr>
            <w:r>
              <w:rPr>
                <w:sz w:val="20"/>
                <w:b w:val="on"/>
              </w:rPr>
              <w:t xml:space="preserve">(Расшифровка подписи)</w:t>
            </w:r>
          </w:p>
        </w:tc>
      </w:tr>
    </w:tbl>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pPr>
            <w:r>
              <w:rPr>
                <w:sz w:val="20"/>
              </w:rPr>
              <w:t xml:space="preserve">Примечание.</w:t>
            </w:r>
          </w:p>
          <w:p>
            <w:pPr>
              <w:pStyle w:val="0"/>
            </w:pPr>
            <w:r>
              <w:rPr>
                <w:sz w:val="20"/>
              </w:rPr>
              <w:t xml:space="preserve">Печать ставится при наличии.</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в 2022 году</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осуществляющим деятельность в области</w:t>
      </w:r>
    </w:p>
    <w:p>
      <w:pPr>
        <w:pStyle w:val="0"/>
        <w:jc w:val="right"/>
      </w:pPr>
      <w:r>
        <w:rPr>
          <w:sz w:val="20"/>
        </w:rPr>
        <w:t xml:space="preserve">науки и образования, реализующим</w:t>
      </w:r>
    </w:p>
    <w:p>
      <w:pPr>
        <w:pStyle w:val="0"/>
        <w:jc w:val="right"/>
      </w:pPr>
      <w:r>
        <w:rPr>
          <w:sz w:val="20"/>
        </w:rPr>
        <w:t xml:space="preserve">аккредитованные программы высшего</w:t>
      </w:r>
    </w:p>
    <w:p>
      <w:pPr>
        <w:pStyle w:val="0"/>
        <w:jc w:val="right"/>
      </w:pPr>
      <w:r>
        <w:rPr>
          <w:sz w:val="20"/>
        </w:rPr>
        <w:t xml:space="preserve">образования, в целях внедрения современных</w:t>
      </w:r>
    </w:p>
    <w:p>
      <w:pPr>
        <w:pStyle w:val="0"/>
        <w:jc w:val="right"/>
      </w:pPr>
      <w:r>
        <w:rPr>
          <w:sz w:val="20"/>
        </w:rPr>
        <w:t xml:space="preserve">программ непрерывного образования</w:t>
      </w:r>
    </w:p>
    <w:p>
      <w:pPr>
        <w:pStyle w:val="0"/>
      </w:pPr>
      <w:r>
        <w:rPr>
          <w:sz w:val="20"/>
        </w:rPr>
      </w:r>
    </w:p>
    <w:bookmarkStart w:id="534" w:name="P534"/>
    <w:bookmarkEnd w:id="534"/>
    <w:p>
      <w:pPr>
        <w:pStyle w:val="2"/>
        <w:jc w:val="center"/>
      </w:pPr>
      <w:r>
        <w:rPr>
          <w:sz w:val="20"/>
        </w:rPr>
        <w:t xml:space="preserve">ПЕРЕЧЕНЬ</w:t>
      </w:r>
    </w:p>
    <w:p>
      <w:pPr>
        <w:pStyle w:val="2"/>
        <w:jc w:val="center"/>
      </w:pPr>
      <w:r>
        <w:rPr>
          <w:sz w:val="20"/>
        </w:rPr>
        <w:t xml:space="preserve">ДОКУМЕНТОВ ДЛЯ УЧАСТИЯ В КОНКУРСНОМ ОТБОРЕ НА ПРАВО</w:t>
      </w:r>
    </w:p>
    <w:p>
      <w:pPr>
        <w:pStyle w:val="2"/>
        <w:jc w:val="center"/>
      </w:pPr>
      <w:r>
        <w:rPr>
          <w:sz w:val="20"/>
        </w:rPr>
        <w:t xml:space="preserve">ПОЛУЧЕНИЯ В 2022 ГОДУ СУБСИДИЙ СОЦИАЛЬНО ОРИЕНТИРОВАННЫМ</w:t>
      </w:r>
    </w:p>
    <w:p>
      <w:pPr>
        <w:pStyle w:val="2"/>
        <w:jc w:val="center"/>
      </w:pPr>
      <w:r>
        <w:rPr>
          <w:sz w:val="20"/>
        </w:rPr>
        <w:t xml:space="preserve">НЕКОММЕРЧЕСКИМ ОРГАНИЗАЦИЯМ, ОСУЩЕСТВЛЯЮЩИМ ДЕЯТЕЛЬНОСТЬ</w:t>
      </w:r>
    </w:p>
    <w:p>
      <w:pPr>
        <w:pStyle w:val="2"/>
        <w:jc w:val="center"/>
      </w:pPr>
      <w:r>
        <w:rPr>
          <w:sz w:val="20"/>
        </w:rPr>
        <w:t xml:space="preserve">В ОБЛАСТИ НАУКИ И ОБРАЗОВАНИЯ, РЕАЛИЗУЮЩИМ АККРЕДИТОВАННЫЕ</w:t>
      </w:r>
    </w:p>
    <w:p>
      <w:pPr>
        <w:pStyle w:val="2"/>
        <w:jc w:val="center"/>
      </w:pPr>
      <w:r>
        <w:rPr>
          <w:sz w:val="20"/>
        </w:rPr>
        <w:t xml:space="preserve">ПРОГРАММЫ ВЫСШЕГО ОБРАЗОВАНИЯ, В ЦЕЛЯХ ВНЕДРЕНИЯ СОВРЕМЕННЫХ</w:t>
      </w:r>
    </w:p>
    <w:p>
      <w:pPr>
        <w:pStyle w:val="2"/>
        <w:jc w:val="center"/>
      </w:pPr>
      <w:r>
        <w:rPr>
          <w:sz w:val="20"/>
        </w:rPr>
        <w:t xml:space="preserve">ПРОГРАММ НЕПРЕРЫВНОГО ОБРАЗОВАНИЯ И ТРЕБОВАНИЯ К НИМ</w:t>
      </w:r>
    </w:p>
    <w:p>
      <w:pPr>
        <w:pStyle w:val="0"/>
      </w:pPr>
      <w:r>
        <w:rPr>
          <w:sz w:val="20"/>
        </w:rPr>
      </w:r>
    </w:p>
    <w:p>
      <w:pPr>
        <w:pStyle w:val="0"/>
        <w:ind w:firstLine="540"/>
        <w:jc w:val="both"/>
      </w:pPr>
      <w:r>
        <w:rPr>
          <w:sz w:val="20"/>
        </w:rPr>
        <w:t xml:space="preserve">1. Копия документа, подтверждающего полномочия лица на осуществление действий от имени участника отбора (далее - руководитель):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отбора без доверенности, для иного уполномоченного лица - доверенность на осуществление действий от имени участника отбора, заверенная руководителем, или иной документ, предусмотренный в </w:t>
      </w:r>
      <w:hyperlink w:history="0" r:id="rId2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пункте 4 статьи 185</w:t>
        </w:r>
      </w:hyperlink>
      <w:r>
        <w:rPr>
          <w:sz w:val="20"/>
        </w:rPr>
        <w:t xml:space="preserve"> Гражданского кодекса Российской Федерации, подтверждающий соответствующие полномочия.</w:t>
      </w:r>
    </w:p>
    <w:p>
      <w:pPr>
        <w:pStyle w:val="0"/>
        <w:spacing w:before="200" w:line-rule="auto"/>
        <w:ind w:firstLine="540"/>
        <w:jc w:val="both"/>
      </w:pPr>
      <w:r>
        <w:rPr>
          <w:sz w:val="20"/>
        </w:rPr>
        <w:t xml:space="preserve">2. Справка об отнесении участника отбора к социально ориентированной некоммерческой организации, осуществляющей деятельность в соответствии с </w:t>
      </w:r>
      <w:hyperlink w:history="0" r:id="rId28" w:tooltip="Закон Санкт-Петербурга от 11.04.2011 N 153-41 (ред. от 17.10.2022)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пунктом 9 статьи 3</w:t>
        </w:r>
      </w:hyperlink>
      <w:r>
        <w:rPr>
          <w:sz w:val="20"/>
        </w:rPr>
        <w:t xml:space="preserve"> Закона Санкт-Петербурга от 23.03.2011 N 153-41 "О поддержке социально ориентированных некоммерческих организаций в Санкт-Петербурге", составленная в свободной форме, заверенная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3. Копия свидетельства о государственной регистрации участника отбора, заверенная подписью руководителя и оттиском печати участника отбора (при наличии печати), в случае, если участник отбора зарегистрирован после 01.01.2017, представляется копия листа записи Единого государственного реестра юридических лиц, заверенная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4. Копии учредительных документов, заверенные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5. Копия лицензии на осуществление образовательной деятельности по образовательным программам высшего образования, заверенная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6. Копия свидетельства о государственной аккредитации образовательной деятельности по программам высшего образования, заверенная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7. Сопроводительное письмо, содержащее информацию об опыте участника отбора по разработке и реализации современных программ непрерывного образования в области подготовки кадров для цифровой трансформации экономики, о наличии организационных и технических ресурсов, необходимых для реализации современных программ непрерывного образования в области подготовки кадров для цифровой трансформации экономики.</w:t>
      </w:r>
    </w:p>
    <w:p>
      <w:pPr>
        <w:pStyle w:val="0"/>
        <w:spacing w:before="200" w:line-rule="auto"/>
        <w:ind w:firstLine="540"/>
        <w:jc w:val="both"/>
      </w:pPr>
      <w:r>
        <w:rPr>
          <w:sz w:val="20"/>
        </w:rPr>
        <w:t xml:space="preserve">8. Документы, подтверждающие опыт участника отбора по реализации в 2021 году современных программ непрерывного образования в области подготовки кадров для цифровой трансформации экономики (копии контрактов, договоров (со всеми приложениями, являющимися неотъемлемой частью контракта, копиями актов, подтверждающих сдачу-приемку услуг); в случае наличия информации о контрактах на официальном сайте в единой информационной системе в сфере закупок участник отбора вправе представить информацию, позволяющую осуществить поиск контракта в реестре контрактов, заключенных заказчиками, в соответствующем разделе заявки на участие в отборе).</w:t>
      </w:r>
    </w:p>
    <w:p>
      <w:pPr>
        <w:pStyle w:val="0"/>
        <w:spacing w:before="200" w:line-rule="auto"/>
        <w:ind w:firstLine="540"/>
        <w:jc w:val="both"/>
      </w:pPr>
      <w:r>
        <w:rPr>
          <w:sz w:val="20"/>
        </w:rPr>
        <w:t xml:space="preserve">9. Документы, подтверждающие опыт использования участником отбора целевых поступлений (грантов, субсидий) в 2021 году на реализацию современных программ непрерывного образования в области подготовки кадров для цифровой трансформации экономики (копии соглашений, договоров (со всеми приложениями, являющимися их неотъемлемой частью, копиями актов, подтверждающих сдачу-приемку услуг).</w:t>
      </w:r>
    </w:p>
    <w:bookmarkStart w:id="551" w:name="P551"/>
    <w:bookmarkEnd w:id="551"/>
    <w:p>
      <w:pPr>
        <w:pStyle w:val="0"/>
        <w:spacing w:before="200" w:line-rule="auto"/>
        <w:ind w:firstLine="540"/>
        <w:jc w:val="both"/>
      </w:pPr>
      <w:r>
        <w:rPr>
          <w:sz w:val="20"/>
        </w:rPr>
        <w:t xml:space="preserve">10. </w:t>
      </w:r>
      <w:hyperlink w:history="0" w:anchor="P587" w:tooltip="СМЕТА ПО НАПРАВЛЕНИЯМ ЗАТРАТ">
        <w:r>
          <w:rPr>
            <w:sz w:val="20"/>
            <w:color w:val="0000ff"/>
          </w:rPr>
          <w:t xml:space="preserve">Смета</w:t>
        </w:r>
      </w:hyperlink>
      <w:r>
        <w:rPr>
          <w:sz w:val="20"/>
        </w:rPr>
        <w:t xml:space="preserve"> затрат на реализацию современных программ непрерывного образования в области подготовки кадров для цифровой трансформации экономики за счет запрашиваемых субсидий (далее - Смета затрат) с экономическим обоснованием и расшифровкой статей расходов, заверенная подписью руководителя, подписью главного бухгалтера и оттиском печати участника отбора (при наличии печати), в соответствии с видом затрат и предельными объемами их финансового обеспечения, указанными в </w:t>
      </w:r>
      <w:hyperlink w:history="0" w:anchor="P58" w:tooltip="1.3. Субсидия предоставляется на безвозмездной и безвозвратной основе получателю субсидии в целях финансового обеспечения затрат, возникших в 2022 году, но не позднее 05.12.2022, в связи реализацией в 2022 году современных программ непрерывного образования в области подготовки кадров для цифровой трансформации экономики по направлениям затрат, указанным в приложении N 3 к настоящему Порядку (далее - затраты).">
        <w:r>
          <w:rPr>
            <w:sz w:val="20"/>
            <w:color w:val="0000ff"/>
          </w:rPr>
          <w:t xml:space="preserve">пунктах 1.3</w:t>
        </w:r>
      </w:hyperlink>
      <w:r>
        <w:rPr>
          <w:sz w:val="20"/>
        </w:rPr>
        <w:t xml:space="preserve"> и </w:t>
      </w:r>
      <w:hyperlink w:history="0" w:anchor="P145" w:tooltip="2.9. Предельный объем финансового обеспечения затрат составляет 5 млн руб., при этом предельный объем затрат на обучение одного слушателя не может превышать 15384 руб.">
        <w:r>
          <w:rPr>
            <w:sz w:val="20"/>
            <w:color w:val="0000ff"/>
          </w:rPr>
          <w:t xml:space="preserve">2.9</w:t>
        </w:r>
      </w:hyperlink>
      <w:r>
        <w:rPr>
          <w:sz w:val="20"/>
        </w:rPr>
        <w:t xml:space="preserve"> Порядка предоставления в 2022 году субсидий социально ориентированным некоммерческим организациям, осуществляющим деятельность в области науки и образования, реализующим аккредитованные программы высшего образования, в целях внедрения современных программ непрерывного образования, утвержденного настоящим постановлением (далее - Порядок), по форме, указанной в приложении N 3 к Порядку. В случае если участник отбора является плательщиком налога на добавленную стоимость, в Смету затрат включаются суммы затрат без учета налога на добавленную стоимость.</w:t>
      </w:r>
    </w:p>
    <w:p>
      <w:pPr>
        <w:pStyle w:val="0"/>
        <w:spacing w:before="200" w:line-rule="auto"/>
        <w:ind w:firstLine="540"/>
        <w:jc w:val="both"/>
      </w:pPr>
      <w:r>
        <w:rPr>
          <w:sz w:val="20"/>
        </w:rPr>
        <w:t xml:space="preserve">11. Общая смета затрат на реализацию современных программ непрерывного образования в области подготовки кадров для цифровой трансформации экономики (включающая расходы за счет субсидий и других источников финансирования (в случае наличия), составленная в свободной форме, заверенная подписью руководителя, подписью главного бухгалтера и оттиском печати участника отбора (при наличии печати).</w:t>
      </w:r>
    </w:p>
    <w:p>
      <w:pPr>
        <w:pStyle w:val="0"/>
        <w:spacing w:before="200" w:line-rule="auto"/>
        <w:ind w:firstLine="540"/>
        <w:jc w:val="both"/>
      </w:pPr>
      <w:r>
        <w:rPr>
          <w:sz w:val="20"/>
        </w:rPr>
        <w:t xml:space="preserve">12. Согласие участника отбора на осуществление в отношении него Комитетом проверок соблюдения порядка и условий предоставления субсидий, в том числе в части достижения результата предоставления субсидии, а также согласия участника отбора на осуществление в отношении него органами государственного финансового контроля проверок соблюдения порядка и условий предоставления субсидии в соответствии со </w:t>
      </w:r>
      <w:hyperlink w:history="0" r:id="rId29"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30"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 в свободной форме, заверенное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13. Обязательство участника отбора по представлению согласия контрагентов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Комитетом проверок соблюдения порядка и условий предоставления субсидий, в том числе в части достижения результатов предоставления субсидии, а также согласия участников отбора на осуществление в отношении него органами государственного финансового контроля проверок соблюдения порядка и условий предоставления субсидий в соответствии со </w:t>
      </w:r>
      <w:hyperlink w:history="0" r:id="rId31"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32"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 составленное в свободной форме, заверенное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14. </w:t>
      </w:r>
      <w:hyperlink w:history="0" r:id="rId33" w:tooltip="Приказ ФНС России от 20.01.2017 N ММВ-7-8/20@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quot; (вместе с &quot;Порядком заполнения формы справки об исполнении налогоплательщиком (плательщиком сбора, плательщиком страховых взносов, налоговым агентом) обязанности по уплате нало {КонсультантПлюс}">
        <w:r>
          <w:rPr>
            <w:sz w:val="20"/>
            <w:color w:val="0000ff"/>
          </w:rPr>
          <w:t xml:space="preserve">Справка</w:t>
        </w:r>
      </w:hyperlink>
      <w:r>
        <w:rPr>
          <w:sz w:val="20"/>
        </w:rPr>
        <w:t xml:space="preserve"> налогового органа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Российской Федерации от 20.01.2017 N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 (далее - приказ ФНС), подтверждающая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ранее 30 календарных дней до даты подачи заявки (на бумажном носителе, подписанная руководителем (заместителем руководителя) налогового органа и заверенная печатью, или сформированная в электронной форме и подписанная усиленной квалифицированной электронной подписью, позволяющей идентифицировать выдавший налоговый орган (владельца квалифицированного сертификата). В случае указания в справке сведений о неисполнении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дополнительно прикладывается справка об отсутствии у участника отбора превышающей 300 тыс. руб.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свободной форме, заверенная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15. Справка об отсутствии на дату не ранее 30 календарных дней до даты подачи заявки средств из бюджета Санкт-Петербурга на финансовое обеспечение и(или) возмещение затрат на основании иных нормативных правовых актов на цели, указанные в </w:t>
      </w:r>
      <w:hyperlink w:history="0" w:anchor="P58" w:tooltip="1.3. Субсидия предоставляется на безвозмездной и безвозвратной основе получателю субсидии в целях финансового обеспечения затрат, возникших в 2022 году, но не позднее 05.12.2022, в связи реализацией в 2022 году современных программ непрерывного образования в области подготовки кадров для цифровой трансформации экономики по направлениям затрат, указанным в приложении N 3 к настоящему Порядку (далее - затраты).">
        <w:r>
          <w:rPr>
            <w:sz w:val="20"/>
            <w:color w:val="0000ff"/>
          </w:rPr>
          <w:t xml:space="preserve">пункте 1.3</w:t>
        </w:r>
      </w:hyperlink>
      <w:r>
        <w:rPr>
          <w:sz w:val="20"/>
        </w:rPr>
        <w:t xml:space="preserve"> Порядка, составленная в свободной форме, заверенная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16. Справка участника отбора, подтверждающая, что участник отбора не находится в процессе реорганизации (за исключением реорганизации в форме присоединения к участнику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 составленная в свободной форме, на дату не ранее 30 календарных дней до даты подачи заявки, заверенная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17. Справка, подтверждающая, что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на дату не ранее 30 календарных дней до даты подачи заявки, составленная в свободной форме, заверенная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18. Справка об отсутствии у участника отбора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Санкт-Петербургом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составленная в свободной форме, на дату не ранее 30 календарных дней до даты подачи заявки, заверенная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19. Справка об отсутствии у участника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субсидий, по которым не исполнены требования о возврате средств из бюджета Санкт-Петербурга и(или) вступило в силу постановление о назначении административного наказания, составленная в свободной форме, заверенная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20. Справка о том, что участник отбора не находится в реестре недобросовестных поставщиков (подрядчиков, исполнителей), ведение которого осуществляется в соответствии с Федеральным </w:t>
      </w:r>
      <w:hyperlink w:history="0" r:id="rId34"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 составленная в свободной форме, заверенная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21. Обязательство участника отбора о неприобретении участником отбора, а также контрагентами - юридическими лицами за счет полученных из бюджета Санкт-Петербурга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 и услуг, приобретаемых получателем субсидий в целях реализации в 2022 году современных программ непрерывного образования в области подготовки кадров для цифровой трансформации экономики у поставщиков (исполнителей), являющихся нерезидентами в соответствии с Федеральным </w:t>
      </w:r>
      <w:hyperlink w:history="0" r:id="rId35" w:tooltip="Федеральный закон от 10.12.2003 N 173-ФЗ (ред. от 14.07.2022) &quot;О валютном регулировании и валютном контроле&quot; (с изм. и доп., вступ. в силу с 13.10.2022) {КонсультантПлюс}">
        <w:r>
          <w:rPr>
            <w:sz w:val="20"/>
            <w:color w:val="0000ff"/>
          </w:rPr>
          <w:t xml:space="preserve">законом</w:t>
        </w:r>
      </w:hyperlink>
      <w:r>
        <w:rPr>
          <w:sz w:val="20"/>
        </w:rPr>
        <w:t xml:space="preserve"> "О валютном регулировании и валютном контроле", составленное в свободной форме, заверенное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22. Согласие участника отбора на возврат остатка субсидий, не использованного в отчетном финансовом году, в бюджет Санкт-Петербурга в срок, установленный Комитетом, составленное в свободной форме, заверенное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23. </w:t>
      </w:r>
      <w:hyperlink w:history="0" w:anchor="P650" w:tooltip="СОГЛАСИЕ">
        <w:r>
          <w:rPr>
            <w:sz w:val="20"/>
            <w:color w:val="0000ff"/>
          </w:rPr>
          <w:t xml:space="preserve">Согласие</w:t>
        </w:r>
      </w:hyperlink>
      <w:r>
        <w:rPr>
          <w:sz w:val="20"/>
        </w:rPr>
        <w:t xml:space="preserve"> на обработку персональных данных руководителя, членов коллегиального исполнительного органа, лица, исполняющего функции единоличного исполнительного органа, главного бухгалтера и представителя участника отбора, уполномоченного на взаимодействие с Комитетом по вопросам предоставления субсидий, по форме, указанной в приложении N 4 к Порядку.</w:t>
      </w:r>
    </w:p>
    <w:p>
      <w:pPr>
        <w:pStyle w:val="0"/>
        <w:spacing w:before="200" w:line-rule="auto"/>
        <w:ind w:firstLine="540"/>
        <w:jc w:val="both"/>
      </w:pPr>
      <w:r>
        <w:rPr>
          <w:sz w:val="20"/>
        </w:rPr>
        <w:t xml:space="preserve">24. Справка, составленная в свободной форме, подтверждающая применяемую участником отбора систему налогообложения, заверенная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25. Согласие органа, осуществляющего функции и полномочия учредителя в отношении участника отбора, являющегося бюджетным или автономным учреждением, на участие в конкурсном отборе, оформленное на бланке указанного органа,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pPr>
        <w:pStyle w:val="0"/>
        <w:spacing w:before="200" w:line-rule="auto"/>
        <w:ind w:firstLine="540"/>
        <w:jc w:val="both"/>
      </w:pPr>
      <w:r>
        <w:rPr>
          <w:sz w:val="20"/>
        </w:rPr>
        <w:t xml:space="preserve">26. 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на дату не ранее 30 календарных дней до дня ее представления в Комитет (в свободной форме).</w:t>
      </w:r>
    </w:p>
    <w:p>
      <w:pPr>
        <w:pStyle w:val="0"/>
        <w:spacing w:before="200" w:line-rule="auto"/>
        <w:ind w:firstLine="540"/>
        <w:jc w:val="both"/>
      </w:pPr>
      <w:r>
        <w:rPr>
          <w:sz w:val="20"/>
        </w:rPr>
        <w:t xml:space="preserve">27. Справка о наличии (отсутствии) у участника отбора коллегиальных исполнительных органов и(или) лица, исполняющего функции единоличного исполнительного органа (в свободной форме).</w:t>
      </w:r>
    </w:p>
    <w:p>
      <w:pPr>
        <w:pStyle w:val="0"/>
        <w:spacing w:before="200" w:line-rule="auto"/>
        <w:ind w:firstLine="540"/>
        <w:jc w:val="both"/>
      </w:pPr>
      <w:r>
        <w:rPr>
          <w:sz w:val="20"/>
        </w:rPr>
        <w:t xml:space="preserve">28. Копия акта, подтверждающего назначение на должность главного бухгалтера участника отбора, заверенная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29. Обязательство участника отбора в случае признания его получателем субсидий о достижении значений результата и показателя (в свободной форме), заверенное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30. Обязательство участника отбора в случае признания его получателем субсидий по документальному подтверждению затрат в соответствии с </w:t>
      </w:r>
      <w:hyperlink w:history="0" w:anchor="P183" w:tooltip="3.1. Получатель субсидий в срок, установленный Комитетом, представляет в Комитет отчет о достижении значений результата и показателя, а также отчет об осуществлении расходов, источником финансового обеспечения которых являются субсидии, по формам, утвержденным Комитетом финансов Санкт-Петербурга. К отчету о достижении значений результата и показателя получателем субсидий прилагаются презентация по итогам реализации современных программ непрерывного образования в области подготовки кадров для цифровой тра...">
        <w:r>
          <w:rPr>
            <w:sz w:val="20"/>
            <w:color w:val="0000ff"/>
          </w:rPr>
          <w:t xml:space="preserve">пунктом 3.1</w:t>
        </w:r>
      </w:hyperlink>
      <w:r>
        <w:rPr>
          <w:sz w:val="20"/>
        </w:rPr>
        <w:t xml:space="preserve"> Порядка (в свободной форме), заверенное подписью руководителя и оттиском печати участника отбора (при наличии печати).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в 2022 году</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осуществляющим деятельность в области</w:t>
      </w:r>
    </w:p>
    <w:p>
      <w:pPr>
        <w:pStyle w:val="0"/>
        <w:jc w:val="right"/>
      </w:pPr>
      <w:r>
        <w:rPr>
          <w:sz w:val="20"/>
        </w:rPr>
        <w:t xml:space="preserve">науки и образования, реализующим</w:t>
      </w:r>
    </w:p>
    <w:p>
      <w:pPr>
        <w:pStyle w:val="0"/>
        <w:jc w:val="right"/>
      </w:pPr>
      <w:r>
        <w:rPr>
          <w:sz w:val="20"/>
        </w:rPr>
        <w:t xml:space="preserve">аккредитованные программы высшего</w:t>
      </w:r>
    </w:p>
    <w:p>
      <w:pPr>
        <w:pStyle w:val="0"/>
        <w:jc w:val="right"/>
      </w:pPr>
      <w:r>
        <w:rPr>
          <w:sz w:val="20"/>
        </w:rPr>
        <w:t xml:space="preserve">образования, в целях внедрения современных</w:t>
      </w:r>
    </w:p>
    <w:p>
      <w:pPr>
        <w:pStyle w:val="0"/>
        <w:jc w:val="right"/>
      </w:pPr>
      <w:r>
        <w:rPr>
          <w:sz w:val="20"/>
        </w:rPr>
        <w:t xml:space="preserve">программ непрерывного образования</w:t>
      </w:r>
    </w:p>
    <w:p>
      <w:pPr>
        <w:pStyle w:val="0"/>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365"/>
        <w:gridCol w:w="1701"/>
        <w:gridCol w:w="2494"/>
      </w:tblGrid>
      <w:tr>
        <w:tblPrEx>
          <w:tblBorders>
            <w:left w:val="nil"/>
            <w:right w:val="nil"/>
            <w:insideH w:val="nil"/>
          </w:tblBorders>
        </w:tblPrEx>
        <w:tc>
          <w:tcPr>
            <w:gridSpan w:val="4"/>
            <w:tcW w:w="9070" w:type="dxa"/>
            <w:tcBorders>
              <w:top w:val="nil"/>
              <w:left w:val="nil"/>
              <w:bottom w:val="nil"/>
              <w:right w:val="nil"/>
            </w:tcBorders>
          </w:tcPr>
          <w:bookmarkStart w:id="587" w:name="P587"/>
          <w:bookmarkEnd w:id="587"/>
          <w:p>
            <w:pPr>
              <w:pStyle w:val="0"/>
              <w:jc w:val="center"/>
            </w:pPr>
            <w:r>
              <w:rPr>
                <w:sz w:val="20"/>
                <w:b w:val="on"/>
              </w:rPr>
              <w:t xml:space="preserve">СМЕТА ПО НАПРАВЛЕНИЯМ ЗАТРАТ</w:t>
            </w:r>
          </w:p>
          <w:p>
            <w:pPr>
              <w:pStyle w:val="0"/>
              <w:jc w:val="center"/>
            </w:pPr>
            <w:r>
              <w:rPr>
                <w:sz w:val="20"/>
                <w:b w:val="on"/>
              </w:rPr>
              <w:t xml:space="preserve">на реализацию современных программ непрерывного образования в области подготовки кадров для цифровой трансформации экономики</w:t>
            </w:r>
          </w:p>
        </w:tc>
      </w:tr>
      <w:tr>
        <w:tblPrEx>
          <w:tblBorders>
            <w:left w:val="nil"/>
            <w:right w:val="nil"/>
            <w:insideH w:val="nil"/>
          </w:tblBorders>
        </w:tblPrEx>
        <w:tc>
          <w:tcPr>
            <w:gridSpan w:val="4"/>
            <w:tcW w:w="9070" w:type="dxa"/>
            <w:tcBorders>
              <w:top w:val="nil"/>
              <w:left w:val="nil"/>
              <w:right w:val="nil"/>
            </w:tcBorders>
          </w:tcPr>
          <w:p>
            <w:pPr>
              <w:pStyle w:val="0"/>
            </w:pPr>
            <w:r>
              <w:rPr>
                <w:sz w:val="20"/>
              </w:rPr>
            </w:r>
          </w:p>
        </w:tc>
      </w:tr>
      <w:tr>
        <w:tc>
          <w:tcPr>
            <w:tcW w:w="510" w:type="dxa"/>
          </w:tcPr>
          <w:p>
            <w:pPr>
              <w:pStyle w:val="0"/>
              <w:jc w:val="center"/>
            </w:pPr>
            <w:r>
              <w:rPr>
                <w:sz w:val="20"/>
              </w:rPr>
              <w:t xml:space="preserve">N п/п</w:t>
            </w:r>
          </w:p>
        </w:tc>
        <w:tc>
          <w:tcPr>
            <w:tcW w:w="4365" w:type="dxa"/>
          </w:tcPr>
          <w:p>
            <w:pPr>
              <w:pStyle w:val="0"/>
              <w:jc w:val="center"/>
            </w:pPr>
            <w:r>
              <w:rPr>
                <w:sz w:val="20"/>
              </w:rPr>
              <w:t xml:space="preserve">Наименование статьи затрат</w:t>
            </w:r>
          </w:p>
        </w:tc>
        <w:tc>
          <w:tcPr>
            <w:tcW w:w="1701" w:type="dxa"/>
          </w:tcPr>
          <w:p>
            <w:pPr>
              <w:pStyle w:val="0"/>
              <w:jc w:val="center"/>
            </w:pPr>
            <w:r>
              <w:rPr>
                <w:sz w:val="20"/>
              </w:rPr>
              <w:t xml:space="preserve">Сумма, руб.</w:t>
            </w:r>
          </w:p>
        </w:tc>
        <w:tc>
          <w:tcPr>
            <w:tcW w:w="2494" w:type="dxa"/>
          </w:tcPr>
          <w:p>
            <w:pPr>
              <w:pStyle w:val="0"/>
              <w:jc w:val="center"/>
            </w:pPr>
            <w:r>
              <w:rPr>
                <w:sz w:val="20"/>
              </w:rPr>
              <w:t xml:space="preserve">Экономическое обоснование статьи затрат</w:t>
            </w:r>
          </w:p>
        </w:tc>
      </w:tr>
      <w:tr>
        <w:tc>
          <w:tcPr>
            <w:tcW w:w="510" w:type="dxa"/>
          </w:tcPr>
          <w:p>
            <w:pPr>
              <w:pStyle w:val="0"/>
              <w:jc w:val="center"/>
            </w:pPr>
            <w:r>
              <w:rPr>
                <w:sz w:val="20"/>
              </w:rPr>
              <w:t xml:space="preserve">1</w:t>
            </w:r>
          </w:p>
        </w:tc>
        <w:tc>
          <w:tcPr>
            <w:tcW w:w="4365" w:type="dxa"/>
          </w:tcPr>
          <w:p>
            <w:pPr>
              <w:pStyle w:val="0"/>
            </w:pPr>
            <w:r>
              <w:rPr>
                <w:sz w:val="20"/>
              </w:rPr>
              <w:t xml:space="preserve">Реализация современных программ непрерывного образования в области подготовки кадров для цифровой трансформации экономики:</w:t>
            </w:r>
          </w:p>
          <w:p>
            <w:pPr>
              <w:pStyle w:val="0"/>
            </w:pPr>
            <w:r>
              <w:rPr>
                <w:sz w:val="20"/>
              </w:rPr>
              <w:t xml:space="preserve">оплата труда работников;</w:t>
            </w:r>
          </w:p>
          <w:p>
            <w:pPr>
              <w:pStyle w:val="0"/>
            </w:pPr>
            <w:r>
              <w:rPr>
                <w:sz w:val="20"/>
              </w:rPr>
              <w:t xml:space="preserve">изготовление и(или) приобретение учебно-методической продукции;</w:t>
            </w:r>
          </w:p>
          <w:p>
            <w:pPr>
              <w:pStyle w:val="0"/>
            </w:pPr>
            <w:r>
              <w:rPr>
                <w:sz w:val="20"/>
              </w:rPr>
              <w:t xml:space="preserve">изготовление и(или) приобретение бланков строгой отчетности;</w:t>
            </w:r>
          </w:p>
          <w:p>
            <w:pPr>
              <w:pStyle w:val="0"/>
            </w:pPr>
            <w:r>
              <w:rPr>
                <w:sz w:val="20"/>
              </w:rPr>
              <w:t xml:space="preserve">услуги, работы контрагентов, привлекаемых для реализации современных программ непрерывного образования в области подготовки кадров для цифровой трансформации экономики, иные обоснованные затраты</w:t>
            </w:r>
          </w:p>
        </w:tc>
        <w:tc>
          <w:tcPr>
            <w:tcW w:w="1701" w:type="dxa"/>
          </w:tcPr>
          <w:p>
            <w:pPr>
              <w:pStyle w:val="0"/>
            </w:pPr>
            <w:r>
              <w:rPr>
                <w:sz w:val="20"/>
              </w:rPr>
            </w:r>
          </w:p>
        </w:tc>
        <w:tc>
          <w:tcPr>
            <w:tcW w:w="2494" w:type="dxa"/>
          </w:tcPr>
          <w:p>
            <w:pPr>
              <w:pStyle w:val="0"/>
            </w:pPr>
            <w:r>
              <w:rPr>
                <w:sz w:val="20"/>
              </w:rPr>
            </w:r>
          </w:p>
        </w:tc>
      </w:tr>
      <w:tr>
        <w:tc>
          <w:tcPr>
            <w:tcW w:w="510" w:type="dxa"/>
          </w:tcPr>
          <w:p>
            <w:pPr>
              <w:pStyle w:val="0"/>
            </w:pPr>
            <w:r>
              <w:rPr>
                <w:sz w:val="20"/>
              </w:rPr>
            </w:r>
          </w:p>
        </w:tc>
        <w:tc>
          <w:tcPr>
            <w:tcW w:w="4365" w:type="dxa"/>
          </w:tcPr>
          <w:p>
            <w:pPr>
              <w:pStyle w:val="0"/>
            </w:pPr>
            <w:r>
              <w:rPr>
                <w:sz w:val="20"/>
              </w:rPr>
              <w:t xml:space="preserve">ИТОГО</w:t>
            </w:r>
          </w:p>
        </w:tc>
        <w:tc>
          <w:tcPr>
            <w:tcW w:w="1701" w:type="dxa"/>
          </w:tcPr>
          <w:p>
            <w:pPr>
              <w:pStyle w:val="0"/>
            </w:pPr>
            <w:r>
              <w:rPr>
                <w:sz w:val="20"/>
              </w:rPr>
            </w:r>
          </w:p>
        </w:tc>
        <w:tc>
          <w:tcPr>
            <w:tcW w:w="2494"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3798"/>
        <w:gridCol w:w="340"/>
        <w:gridCol w:w="1587"/>
        <w:gridCol w:w="340"/>
        <w:gridCol w:w="3005"/>
      </w:tblGrid>
      <w:tr>
        <w:tblPrEx>
          <w:tblBorders>
            <w:insideH w:val="single" w:sz="4"/>
          </w:tblBorders>
        </w:tblPrEx>
        <w:tc>
          <w:tcPr>
            <w:tcW w:w="3798" w:type="dxa"/>
            <w:vAlign w:val="bottom"/>
            <w:tcBorders>
              <w:top w:val="nil"/>
              <w:left w:val="nil"/>
              <w:bottom w:val="single" w:sz="4"/>
              <w:right w:val="nil"/>
            </w:tcBorders>
          </w:tcPr>
          <w:p>
            <w:pPr>
              <w:pStyle w:val="0"/>
              <w:jc w:val="center"/>
            </w:pPr>
            <w:r>
              <w:rPr>
                <w:sz w:val="20"/>
                <w:b w:val="on"/>
              </w:rPr>
              <w:t xml:space="preserve">Руководитель участника отбора (уполномоченное лицо)</w:t>
            </w:r>
          </w:p>
        </w:tc>
        <w:tc>
          <w:tcPr>
            <w:tcW w:w="340" w:type="dxa"/>
            <w:vAlign w:val="bottom"/>
            <w:tcBorders>
              <w:top w:val="nil"/>
              <w:left w:val="nil"/>
              <w:bottom w:val="nil"/>
              <w:right w:val="nil"/>
            </w:tcBorders>
          </w:tcPr>
          <w:p>
            <w:pPr>
              <w:pStyle w:val="0"/>
            </w:pPr>
            <w:r>
              <w:rPr>
                <w:sz w:val="20"/>
              </w:rPr>
            </w:r>
          </w:p>
        </w:tc>
        <w:tc>
          <w:tcPr>
            <w:tcW w:w="1587" w:type="dxa"/>
            <w:vAlign w:val="bottom"/>
            <w:tcBorders>
              <w:top w:val="nil"/>
              <w:left w:val="nil"/>
              <w:bottom w:val="single" w:sz="4"/>
              <w:right w:val="nil"/>
            </w:tcBorders>
          </w:tcPr>
          <w:p>
            <w:pPr>
              <w:pStyle w:val="0"/>
              <w:jc w:val="center"/>
            </w:pPr>
            <w:r>
              <w:rPr>
                <w:sz w:val="20"/>
                <w:b w:val="on"/>
              </w:rPr>
              <w:t xml:space="preserve">МП</w:t>
            </w:r>
          </w:p>
        </w:tc>
        <w:tc>
          <w:tcPr>
            <w:tcW w:w="340" w:type="dxa"/>
            <w:vAlign w:val="bottom"/>
            <w:tcBorders>
              <w:top w:val="nil"/>
              <w:left w:val="nil"/>
              <w:bottom w:val="nil"/>
              <w:right w:val="nil"/>
            </w:tcBorders>
          </w:tcPr>
          <w:p>
            <w:pPr>
              <w:pStyle w:val="0"/>
            </w:pPr>
            <w:r>
              <w:rPr>
                <w:sz w:val="20"/>
              </w:rPr>
            </w:r>
          </w:p>
        </w:tc>
        <w:tc>
          <w:tcPr>
            <w:tcW w:w="3005" w:type="dxa"/>
            <w:vAlign w:val="bottom"/>
            <w:tcBorders>
              <w:top w:val="nil"/>
              <w:left w:val="nil"/>
              <w:bottom w:val="single" w:sz="4"/>
              <w:right w:val="nil"/>
            </w:tcBorders>
          </w:tcPr>
          <w:p>
            <w:pPr>
              <w:pStyle w:val="0"/>
            </w:pPr>
            <w:r>
              <w:rPr>
                <w:sz w:val="20"/>
              </w:rPr>
            </w:r>
          </w:p>
        </w:tc>
      </w:tr>
      <w:tr>
        <w:tc>
          <w:tcPr>
            <w:tcW w:w="3798" w:type="dxa"/>
            <w:tcBorders>
              <w:top w:val="single" w:sz="4"/>
              <w:left w:val="nil"/>
              <w:bottom w:val="nil"/>
              <w:right w:val="nil"/>
            </w:tcBorders>
          </w:tcPr>
          <w:p>
            <w:pPr>
              <w:pStyle w:val="0"/>
              <w:jc w:val="center"/>
            </w:pPr>
            <w:r>
              <w:rPr>
                <w:sz w:val="20"/>
                <w:b w:val="on"/>
              </w:rPr>
              <w:t xml:space="preserve">(Должность)</w:t>
            </w:r>
          </w:p>
        </w:tc>
        <w:tc>
          <w:tcPr>
            <w:tcW w:w="340" w:type="dxa"/>
            <w:tcBorders>
              <w:top w:val="nil"/>
              <w:left w:val="nil"/>
              <w:bottom w:val="nil"/>
              <w:right w:val="nil"/>
            </w:tcBorders>
          </w:tcPr>
          <w:p>
            <w:pPr>
              <w:pStyle w:val="0"/>
            </w:pPr>
            <w:r>
              <w:rPr>
                <w:sz w:val="20"/>
              </w:rPr>
            </w:r>
          </w:p>
        </w:tc>
        <w:tc>
          <w:tcPr>
            <w:tcW w:w="1587" w:type="dxa"/>
            <w:tcBorders>
              <w:top w:val="single" w:sz="4"/>
              <w:left w:val="nil"/>
              <w:bottom w:val="nil"/>
              <w:right w:val="nil"/>
            </w:tcBorders>
          </w:tcPr>
          <w:p>
            <w:pPr>
              <w:pStyle w:val="0"/>
              <w:jc w:val="center"/>
            </w:pPr>
            <w:r>
              <w:rPr>
                <w:sz w:val="20"/>
                <w:b w:val="on"/>
              </w:rPr>
              <w:t xml:space="preserve">(Подпись)</w:t>
            </w:r>
          </w:p>
        </w:tc>
        <w:tc>
          <w:tcPr>
            <w:tcW w:w="340" w:type="dxa"/>
            <w:tcBorders>
              <w:top w:val="nil"/>
              <w:left w:val="nil"/>
              <w:bottom w:val="nil"/>
              <w:right w:val="nil"/>
            </w:tcBorders>
          </w:tcPr>
          <w:p>
            <w:pPr>
              <w:pStyle w:val="0"/>
            </w:pPr>
            <w:r>
              <w:rPr>
                <w:sz w:val="20"/>
              </w:rPr>
            </w:r>
          </w:p>
        </w:tc>
        <w:tc>
          <w:tcPr>
            <w:tcW w:w="3005" w:type="dxa"/>
            <w:tcBorders>
              <w:top w:val="single" w:sz="4"/>
              <w:left w:val="nil"/>
              <w:bottom w:val="nil"/>
              <w:right w:val="nil"/>
            </w:tcBorders>
          </w:tcPr>
          <w:p>
            <w:pPr>
              <w:pStyle w:val="0"/>
              <w:jc w:val="center"/>
            </w:pPr>
            <w:r>
              <w:rPr>
                <w:sz w:val="20"/>
                <w:b w:val="on"/>
              </w:rPr>
              <w:t xml:space="preserve">(Расшифровка подписи)</w:t>
            </w:r>
          </w:p>
        </w:tc>
      </w:tr>
      <w:tr>
        <w:tc>
          <w:tcPr>
            <w:tcW w:w="379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005" w:type="dxa"/>
            <w:tcBorders>
              <w:top w:val="nil"/>
              <w:left w:val="nil"/>
              <w:bottom w:val="nil"/>
              <w:right w:val="nil"/>
            </w:tcBorders>
          </w:tcPr>
          <w:p>
            <w:pPr>
              <w:pStyle w:val="0"/>
            </w:pPr>
            <w:r>
              <w:rPr>
                <w:sz w:val="20"/>
              </w:rPr>
            </w:r>
          </w:p>
        </w:tc>
      </w:tr>
      <w:tr>
        <w:tc>
          <w:tcPr>
            <w:tcW w:w="3798" w:type="dxa"/>
            <w:tcBorders>
              <w:top w:val="nil"/>
              <w:left w:val="nil"/>
              <w:bottom w:val="single" w:sz="4"/>
              <w:right w:val="nil"/>
            </w:tcBorders>
          </w:tcPr>
          <w:p>
            <w:pPr>
              <w:pStyle w:val="0"/>
              <w:jc w:val="center"/>
            </w:pPr>
            <w:r>
              <w:rPr>
                <w:sz w:val="20"/>
                <w:b w:val="on"/>
              </w:rPr>
              <w:t xml:space="preserve">Главный бухгалтер участника отбора</w:t>
            </w:r>
          </w:p>
        </w:tc>
        <w:tc>
          <w:tcPr>
            <w:tcW w:w="340" w:type="dxa"/>
            <w:tcBorders>
              <w:top w:val="nil"/>
              <w:left w:val="nil"/>
              <w:bottom w:val="nil"/>
              <w:right w:val="nil"/>
            </w:tcBorders>
          </w:tcPr>
          <w:p>
            <w:pPr>
              <w:pStyle w:val="0"/>
            </w:pPr>
            <w:r>
              <w:rPr>
                <w:sz w:val="20"/>
              </w:rPr>
            </w:r>
          </w:p>
        </w:tc>
        <w:tc>
          <w:tcPr>
            <w:tcW w:w="158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005" w:type="dxa"/>
            <w:tcBorders>
              <w:top w:val="nil"/>
              <w:left w:val="nil"/>
              <w:bottom w:val="single" w:sz="4"/>
              <w:right w:val="nil"/>
            </w:tcBorders>
          </w:tcPr>
          <w:p>
            <w:pPr>
              <w:pStyle w:val="0"/>
            </w:pPr>
            <w:r>
              <w:rPr>
                <w:sz w:val="20"/>
              </w:rPr>
            </w:r>
          </w:p>
        </w:tc>
      </w:tr>
      <w:tr>
        <w:tblPrEx>
          <w:tblBorders>
            <w:insideH w:val="single" w:sz="4"/>
          </w:tblBorders>
        </w:tblPrEx>
        <w:tc>
          <w:tcPr>
            <w:tcW w:w="3798" w:type="dxa"/>
            <w:tcBorders>
              <w:top w:val="single" w:sz="4"/>
              <w:left w:val="nil"/>
              <w:bottom w:val="nil"/>
              <w:right w:val="nil"/>
            </w:tcBorders>
          </w:tcPr>
          <w:p>
            <w:pPr>
              <w:pStyle w:val="0"/>
              <w:jc w:val="center"/>
            </w:pPr>
            <w:r>
              <w:rPr>
                <w:sz w:val="20"/>
                <w:b w:val="on"/>
              </w:rPr>
              <w:t xml:space="preserve">(Должность)</w:t>
            </w:r>
          </w:p>
        </w:tc>
        <w:tc>
          <w:tcPr>
            <w:tcW w:w="340" w:type="dxa"/>
            <w:tcBorders>
              <w:top w:val="nil"/>
              <w:left w:val="nil"/>
              <w:bottom w:val="nil"/>
              <w:right w:val="nil"/>
            </w:tcBorders>
          </w:tcPr>
          <w:p>
            <w:pPr>
              <w:pStyle w:val="0"/>
            </w:pPr>
            <w:r>
              <w:rPr>
                <w:sz w:val="20"/>
              </w:rPr>
            </w:r>
          </w:p>
        </w:tc>
        <w:tc>
          <w:tcPr>
            <w:tcW w:w="1587" w:type="dxa"/>
            <w:tcBorders>
              <w:top w:val="single" w:sz="4"/>
              <w:left w:val="nil"/>
              <w:bottom w:val="nil"/>
              <w:right w:val="nil"/>
            </w:tcBorders>
          </w:tcPr>
          <w:p>
            <w:pPr>
              <w:pStyle w:val="0"/>
              <w:jc w:val="center"/>
            </w:pPr>
            <w:r>
              <w:rPr>
                <w:sz w:val="20"/>
                <w:b w:val="on"/>
              </w:rPr>
              <w:t xml:space="preserve">(Подпись)</w:t>
            </w:r>
          </w:p>
        </w:tc>
        <w:tc>
          <w:tcPr>
            <w:tcW w:w="340" w:type="dxa"/>
            <w:tcBorders>
              <w:top w:val="nil"/>
              <w:left w:val="nil"/>
              <w:bottom w:val="nil"/>
              <w:right w:val="nil"/>
            </w:tcBorders>
          </w:tcPr>
          <w:p>
            <w:pPr>
              <w:pStyle w:val="0"/>
            </w:pPr>
            <w:r>
              <w:rPr>
                <w:sz w:val="20"/>
              </w:rPr>
            </w:r>
          </w:p>
        </w:tc>
        <w:tc>
          <w:tcPr>
            <w:tcW w:w="3005" w:type="dxa"/>
            <w:tcBorders>
              <w:top w:val="single" w:sz="4"/>
              <w:left w:val="nil"/>
              <w:bottom w:val="nil"/>
              <w:right w:val="nil"/>
            </w:tcBorders>
          </w:tcPr>
          <w:p>
            <w:pPr>
              <w:pStyle w:val="0"/>
              <w:jc w:val="center"/>
            </w:pPr>
            <w:r>
              <w:rPr>
                <w:sz w:val="20"/>
                <w:b w:val="on"/>
              </w:rPr>
              <w:t xml:space="preserve">(Расшифровка подписи)</w:t>
            </w:r>
          </w:p>
        </w:tc>
      </w:tr>
    </w:tbl>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pPr>
            <w:r>
              <w:rPr>
                <w:sz w:val="20"/>
              </w:rPr>
              <w:t xml:space="preserve">Примечание.</w:t>
            </w:r>
          </w:p>
          <w:p>
            <w:pPr>
              <w:pStyle w:val="0"/>
            </w:pPr>
            <w:r>
              <w:rPr>
                <w:sz w:val="20"/>
              </w:rPr>
              <w:t xml:space="preserve">Печать ставится при наличии.</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4</w:t>
      </w:r>
    </w:p>
    <w:p>
      <w:pPr>
        <w:pStyle w:val="0"/>
        <w:jc w:val="right"/>
      </w:pPr>
      <w:r>
        <w:rPr>
          <w:sz w:val="20"/>
        </w:rPr>
        <w:t xml:space="preserve">к Порядку предоставления в 2022 году</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осуществляющим деятельность в области</w:t>
      </w:r>
    </w:p>
    <w:p>
      <w:pPr>
        <w:pStyle w:val="0"/>
        <w:jc w:val="right"/>
      </w:pPr>
      <w:r>
        <w:rPr>
          <w:sz w:val="20"/>
        </w:rPr>
        <w:t xml:space="preserve">науки и образования, реализующим</w:t>
      </w:r>
    </w:p>
    <w:p>
      <w:pPr>
        <w:pStyle w:val="0"/>
        <w:jc w:val="right"/>
      </w:pPr>
      <w:r>
        <w:rPr>
          <w:sz w:val="20"/>
        </w:rPr>
        <w:t xml:space="preserve">аккредитованные программы высшего</w:t>
      </w:r>
    </w:p>
    <w:p>
      <w:pPr>
        <w:pStyle w:val="0"/>
        <w:jc w:val="right"/>
      </w:pPr>
      <w:r>
        <w:rPr>
          <w:sz w:val="20"/>
        </w:rPr>
        <w:t xml:space="preserve">образования, в целях внедрения современных</w:t>
      </w:r>
    </w:p>
    <w:p>
      <w:pPr>
        <w:pStyle w:val="0"/>
        <w:jc w:val="right"/>
      </w:pPr>
      <w:r>
        <w:rPr>
          <w:sz w:val="20"/>
        </w:rPr>
        <w:t xml:space="preserve">программ непрерывного образования</w:t>
      </w:r>
    </w:p>
    <w:p>
      <w:pPr>
        <w:pStyle w:val="0"/>
      </w:pPr>
      <w:r>
        <w:rPr>
          <w:sz w:val="20"/>
        </w:rPr>
      </w:r>
    </w:p>
    <w:tbl>
      <w:tblPr>
        <w:tblInd w:w="0" w:type="dxa"/>
        <w:tblLayout w:type="fixed"/>
        <w:tblCellMar>
          <w:top w:w="102" w:type="dxa"/>
          <w:left w:w="62" w:type="dxa"/>
          <w:bottom w:w="102" w:type="dxa"/>
          <w:right w:w="62" w:type="dxa"/>
        </w:tblCellMar>
      </w:tblPr>
      <w:tblGrid>
        <w:gridCol w:w="824"/>
        <w:gridCol w:w="2803"/>
        <w:gridCol w:w="5114"/>
        <w:gridCol w:w="340"/>
      </w:tblGrid>
      <w:tr>
        <w:tc>
          <w:tcPr>
            <w:gridSpan w:val="4"/>
            <w:tcW w:w="9081" w:type="dxa"/>
            <w:tcBorders>
              <w:top w:val="nil"/>
              <w:left w:val="nil"/>
              <w:bottom w:val="nil"/>
              <w:right w:val="nil"/>
            </w:tcBorders>
          </w:tcPr>
          <w:bookmarkStart w:id="650" w:name="P650"/>
          <w:bookmarkEnd w:id="650"/>
          <w:p>
            <w:pPr>
              <w:pStyle w:val="0"/>
              <w:jc w:val="center"/>
            </w:pPr>
            <w:r>
              <w:rPr>
                <w:sz w:val="20"/>
                <w:b w:val="on"/>
              </w:rPr>
              <w:t xml:space="preserve">СОГЛАСИЕ</w:t>
            </w:r>
          </w:p>
          <w:p>
            <w:pPr>
              <w:pStyle w:val="0"/>
              <w:jc w:val="center"/>
            </w:pPr>
            <w:r>
              <w:rPr>
                <w:sz w:val="20"/>
                <w:b w:val="on"/>
              </w:rPr>
              <w:t xml:space="preserve">на обработку персональных данных</w:t>
            </w:r>
          </w:p>
        </w:tc>
      </w:tr>
      <w:tr>
        <w:tc>
          <w:tcPr>
            <w:gridSpan w:val="4"/>
            <w:tcW w:w="9081" w:type="dxa"/>
            <w:tcBorders>
              <w:top w:val="nil"/>
              <w:left w:val="nil"/>
              <w:bottom w:val="nil"/>
              <w:right w:val="nil"/>
            </w:tcBorders>
          </w:tcPr>
          <w:p>
            <w:pPr>
              <w:pStyle w:val="0"/>
            </w:pPr>
            <w:r>
              <w:rPr>
                <w:sz w:val="20"/>
              </w:rPr>
            </w:r>
          </w:p>
        </w:tc>
      </w:tr>
      <w:tr>
        <w:tc>
          <w:tcPr>
            <w:tcW w:w="824" w:type="dxa"/>
            <w:tcBorders>
              <w:top w:val="nil"/>
              <w:left w:val="nil"/>
              <w:bottom w:val="nil"/>
              <w:right w:val="nil"/>
            </w:tcBorders>
          </w:tcPr>
          <w:p>
            <w:pPr>
              <w:pStyle w:val="0"/>
              <w:ind w:firstLine="283"/>
              <w:jc w:val="both"/>
            </w:pPr>
            <w:r>
              <w:rPr>
                <w:sz w:val="20"/>
              </w:rPr>
              <w:t xml:space="preserve">Я,</w:t>
            </w:r>
          </w:p>
        </w:tc>
        <w:tc>
          <w:tcPr>
            <w:gridSpan w:val="2"/>
            <w:tcW w:w="791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tcW w:w="824" w:type="dxa"/>
            <w:tcBorders>
              <w:top w:val="nil"/>
              <w:left w:val="nil"/>
              <w:bottom w:val="nil"/>
              <w:right w:val="nil"/>
            </w:tcBorders>
          </w:tcPr>
          <w:p>
            <w:pPr>
              <w:pStyle w:val="0"/>
            </w:pPr>
            <w:r>
              <w:rPr>
                <w:sz w:val="20"/>
              </w:rPr>
            </w:r>
          </w:p>
        </w:tc>
        <w:tc>
          <w:tcPr>
            <w:gridSpan w:val="2"/>
            <w:tcW w:w="7917" w:type="dxa"/>
            <w:tcBorders>
              <w:top w:val="single" w:sz="4"/>
              <w:left w:val="nil"/>
              <w:bottom w:val="nil"/>
              <w:right w:val="nil"/>
            </w:tcBorders>
          </w:tcPr>
          <w:p>
            <w:pPr>
              <w:pStyle w:val="0"/>
              <w:jc w:val="center"/>
            </w:pPr>
            <w:r>
              <w:rPr>
                <w:sz w:val="20"/>
              </w:rPr>
              <w:t xml:space="preserve">(Фамилия, имя, отчество представителя участника отбора)</w:t>
            </w:r>
          </w:p>
        </w:tc>
        <w:tc>
          <w:tcPr>
            <w:tcW w:w="340" w:type="dxa"/>
            <w:tcBorders>
              <w:top w:val="nil"/>
              <w:left w:val="nil"/>
              <w:bottom w:val="nil"/>
              <w:right w:val="nil"/>
            </w:tcBorders>
          </w:tcPr>
          <w:p>
            <w:pPr>
              <w:pStyle w:val="0"/>
            </w:pPr>
            <w:r>
              <w:rPr>
                <w:sz w:val="20"/>
              </w:rPr>
            </w:r>
          </w:p>
        </w:tc>
      </w:tr>
      <w:tr>
        <w:tc>
          <w:tcPr>
            <w:gridSpan w:val="3"/>
            <w:tcW w:w="874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gridSpan w:val="3"/>
            <w:tcW w:w="8741" w:type="dxa"/>
            <w:tcBorders>
              <w:top w:val="single" w:sz="4"/>
              <w:left w:val="nil"/>
              <w:bottom w:val="nil"/>
              <w:right w:val="nil"/>
            </w:tcBorders>
          </w:tcPr>
          <w:p>
            <w:pPr>
              <w:pStyle w:val="0"/>
              <w:jc w:val="center"/>
            </w:pPr>
            <w:r>
              <w:rPr>
                <w:sz w:val="20"/>
              </w:rPr>
              <w:t xml:space="preserve">(Реквизиты документа, удостоверяющего личность, включая дату выдачи и сведения о выдавшем его органе)</w:t>
            </w:r>
          </w:p>
        </w:tc>
        <w:tc>
          <w:tcPr>
            <w:tcW w:w="340" w:type="dxa"/>
            <w:tcBorders>
              <w:top w:val="nil"/>
              <w:left w:val="nil"/>
              <w:bottom w:val="nil"/>
              <w:right w:val="nil"/>
            </w:tcBorders>
          </w:tcPr>
          <w:p>
            <w:pPr>
              <w:pStyle w:val="0"/>
            </w:pPr>
            <w:r>
              <w:rPr>
                <w:sz w:val="20"/>
              </w:rPr>
            </w:r>
          </w:p>
        </w:tc>
      </w:tr>
      <w:tr>
        <w:tc>
          <w:tcPr>
            <w:gridSpan w:val="2"/>
            <w:tcW w:w="3627" w:type="dxa"/>
            <w:tcBorders>
              <w:top w:val="nil"/>
              <w:left w:val="nil"/>
              <w:bottom w:val="nil"/>
              <w:right w:val="nil"/>
            </w:tcBorders>
          </w:tcPr>
          <w:p>
            <w:pPr>
              <w:pStyle w:val="0"/>
            </w:pPr>
            <w:r>
              <w:rPr>
                <w:sz w:val="20"/>
              </w:rPr>
              <w:t xml:space="preserve">зарегистрированный по адресу</w:t>
            </w:r>
          </w:p>
        </w:tc>
        <w:tc>
          <w:tcPr>
            <w:tcW w:w="511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gridSpan w:val="4"/>
            <w:tcW w:w="9081" w:type="dxa"/>
            <w:tcBorders>
              <w:top w:val="nil"/>
              <w:left w:val="nil"/>
              <w:bottom w:val="nil"/>
              <w:right w:val="nil"/>
            </w:tcBorders>
          </w:tcPr>
          <w:p>
            <w:pPr>
              <w:pStyle w:val="0"/>
              <w:jc w:val="both"/>
            </w:pPr>
            <w:r>
              <w:rPr>
                <w:sz w:val="20"/>
              </w:rPr>
              <w:t xml:space="preserve">в соответствии со </w:t>
            </w:r>
            <w:hyperlink w:history="0" r:id="rId36" w:tooltip="Федеральный закон от 27.07.2006 N 152-ФЗ (ред. от 14.07.2022) &quot;О персональных данных&quot; {КонсультантПлюс}">
              <w:r>
                <w:rPr>
                  <w:sz w:val="20"/>
                  <w:color w:val="0000ff"/>
                </w:rPr>
                <w:t xml:space="preserve">статьями 6</w:t>
              </w:r>
            </w:hyperlink>
            <w:r>
              <w:rPr>
                <w:sz w:val="20"/>
              </w:rPr>
              <w:t xml:space="preserve"> и </w:t>
            </w:r>
            <w:hyperlink w:history="0" r:id="rId37" w:tooltip="Федеральный закон от 27.07.2006 N 152-ФЗ (ред. от 14.07.2022) &quot;О персональных данных&quot; {КонсультантПлюс}">
              <w:r>
                <w:rPr>
                  <w:sz w:val="20"/>
                  <w:color w:val="0000ff"/>
                </w:rPr>
                <w:t xml:space="preserve">9</w:t>
              </w:r>
            </w:hyperlink>
            <w:r>
              <w:rPr>
                <w:sz w:val="20"/>
              </w:rPr>
              <w:t xml:space="preserve"> Федерального закона "О персональных данных" свободно, своей волей и в своем интересе даю согласие должностным лицам Комитета по науке и высшей школе (далее - Комитет), расположенного по адресу: 191144, Санкт-Петербург, Новгородская ул., д. 20, литера 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иных сведений, содержащихся в документах, направляемых для участия в конкурсном отборе на право получения в 2022 году субсидии социально ориентированными некоммерческими организациями, осуществляющими деятельность в области науки и образования, реализующими аккредитованные программы высшего образования, в целях внедрения современных программ непрерывного образования (далее соответственно - субсидия, конкурсный отбор).</w:t>
            </w:r>
          </w:p>
          <w:p>
            <w:pPr>
              <w:pStyle w:val="0"/>
              <w:ind w:firstLine="283"/>
              <w:jc w:val="both"/>
            </w:pPr>
            <w:r>
              <w:rPr>
                <w:sz w:val="20"/>
              </w:rPr>
              <w:t xml:space="preserve">Настоящее Согласие действует со дня его подписания до 25.12.2022.</w:t>
            </w:r>
          </w:p>
          <w:p>
            <w:pPr>
              <w:pStyle w:val="0"/>
              <w:ind w:firstLine="283"/>
              <w:jc w:val="both"/>
            </w:pPr>
            <w:r>
              <w:rPr>
                <w:sz w:val="20"/>
              </w:rPr>
              <w:t xml:space="preserve">Даю свое согласие использовать представленные в заявке на участие в конкурсном отборе персональные данные в целях проверки соблюдения порядка и условий предоставления субсидии, в том числе в части достижения результатов ее предоставления в соответствии с </w:t>
            </w:r>
            <w:hyperlink w:history="0" w:anchor="P40" w:tooltip="ПОРЯДОК">
              <w:r>
                <w:rPr>
                  <w:sz w:val="20"/>
                  <w:color w:val="0000ff"/>
                </w:rPr>
                <w:t xml:space="preserve">Порядком</w:t>
              </w:r>
            </w:hyperlink>
            <w:r>
              <w:rPr>
                <w:sz w:val="20"/>
              </w:rPr>
              <w:t xml:space="preserve"> предоставления в 2022 году субсидии социально ориентированным некоммерческим организациям, осуществляющим деятельность в области науки и образования, реализующим аккредитованные программы высшего образования, в целях внедрения современных программ непрерывного образования, утвержденным настоящим постановлением, и осуществления взаимодействия с Комитетом по вопросам предоставления субсидии.</w:t>
            </w:r>
          </w:p>
          <w:p>
            <w:pPr>
              <w:pStyle w:val="0"/>
              <w:ind w:firstLine="283"/>
              <w:jc w:val="both"/>
            </w:pPr>
            <w:r>
              <w:rPr>
                <w:sz w:val="20"/>
              </w:rPr>
              <w:t xml:space="preserve">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Комитета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w:t>
            </w:r>
          </w:p>
          <w:p>
            <w:pPr>
              <w:pStyle w:val="0"/>
              <w:ind w:firstLine="283"/>
              <w:jc w:val="both"/>
            </w:pPr>
            <w:r>
              <w:rPr>
                <w:sz w:val="20"/>
              </w:rPr>
              <w:t xml:space="preserve">В случае получения моего письменного заявления об отзыве настоящего Согласия Комитет обязан уничтожить мои персональные данные, но не ранее срока, необходимого для достижения целей обработки моих персональных данных.</w:t>
            </w:r>
          </w:p>
          <w:p>
            <w:pPr>
              <w:pStyle w:val="0"/>
              <w:ind w:firstLine="283"/>
              <w:jc w:val="both"/>
            </w:pPr>
            <w:r>
              <w:rPr>
                <w:sz w:val="20"/>
              </w:rPr>
              <w:t xml:space="preserve">Я ознакомлен (ознакомлена) с правами субъекта персональных данных, предусмотренными в </w:t>
            </w:r>
            <w:hyperlink w:history="0" r:id="rId38" w:tooltip="Федеральный закон от 27.07.2006 N 152-ФЗ (ред. от 14.07.2022) &quot;О персональных данных&quot; {КонсультантПлюс}">
              <w:r>
                <w:rPr>
                  <w:sz w:val="20"/>
                  <w:color w:val="0000ff"/>
                </w:rPr>
                <w:t xml:space="preserve">главе 3</w:t>
              </w:r>
            </w:hyperlink>
            <w:r>
              <w:rPr>
                <w:sz w:val="20"/>
              </w:rPr>
              <w:t xml:space="preserve"> Федерального закона "О персональных данных". Все вышеизложенное мною прочитано, мне понятно и подтверждается собственноручной подписью.</w:t>
            </w:r>
          </w:p>
        </w:tc>
      </w:tr>
    </w:tbl>
    <w:p>
      <w:pPr>
        <w:pStyle w:val="0"/>
      </w:pPr>
      <w:r>
        <w:rPr>
          <w:sz w:val="20"/>
        </w:rPr>
      </w:r>
    </w:p>
    <w:tbl>
      <w:tblPr>
        <w:tblInd w:w="0" w:type="dxa"/>
        <w:tblLayout w:type="fixed"/>
        <w:tblBorders>
          <w:insideH w:val="single" w:sz="4"/>
        </w:tblBorders>
        <w:tblCellMar>
          <w:top w:w="102" w:type="dxa"/>
          <w:left w:w="62" w:type="dxa"/>
          <w:bottom w:w="102" w:type="dxa"/>
          <w:right w:w="62" w:type="dxa"/>
        </w:tblCellMar>
      </w:tblPr>
      <w:tblGrid>
        <w:gridCol w:w="2438"/>
        <w:gridCol w:w="340"/>
        <w:gridCol w:w="2324"/>
        <w:gridCol w:w="340"/>
        <w:gridCol w:w="3628"/>
      </w:tblGrid>
      <w:tr>
        <w:tc>
          <w:tcPr>
            <w:tcW w:w="2438"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324"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628" w:type="dxa"/>
            <w:tcBorders>
              <w:top w:val="nil"/>
              <w:left w:val="nil"/>
              <w:right w:val="nil"/>
            </w:tcBorders>
          </w:tcPr>
          <w:p>
            <w:pPr>
              <w:pStyle w:val="0"/>
            </w:pPr>
            <w:r>
              <w:rPr>
                <w:sz w:val="20"/>
              </w:rPr>
            </w:r>
          </w:p>
        </w:tc>
      </w:tr>
      <w:tr>
        <w:tc>
          <w:tcPr>
            <w:tcW w:w="2438" w:type="dxa"/>
            <w:tcBorders>
              <w:left w:val="nil"/>
              <w:bottom w:val="nil"/>
              <w:right w:val="nil"/>
            </w:tcBorders>
          </w:tcPr>
          <w:p>
            <w:pPr>
              <w:pStyle w:val="0"/>
              <w:jc w:val="center"/>
            </w:pPr>
            <w:r>
              <w:rPr>
                <w:sz w:val="20"/>
                <w:b w:val="on"/>
              </w:rPr>
              <w:t xml:space="preserve">(Дата)</w:t>
            </w:r>
          </w:p>
        </w:tc>
        <w:tc>
          <w:tcPr>
            <w:tcW w:w="340" w:type="dxa"/>
            <w:tcBorders>
              <w:top w:val="nil"/>
              <w:left w:val="nil"/>
              <w:bottom w:val="nil"/>
              <w:right w:val="nil"/>
            </w:tcBorders>
          </w:tcPr>
          <w:p>
            <w:pPr>
              <w:pStyle w:val="0"/>
            </w:pPr>
            <w:r>
              <w:rPr>
                <w:sz w:val="20"/>
              </w:rPr>
            </w:r>
          </w:p>
        </w:tc>
        <w:tc>
          <w:tcPr>
            <w:tcW w:w="2324" w:type="dxa"/>
            <w:tcBorders>
              <w:left w:val="nil"/>
              <w:bottom w:val="nil"/>
              <w:right w:val="nil"/>
            </w:tcBorders>
          </w:tcPr>
          <w:p>
            <w:pPr>
              <w:pStyle w:val="0"/>
              <w:jc w:val="center"/>
            </w:pPr>
            <w:r>
              <w:rPr>
                <w:sz w:val="20"/>
                <w:b w:val="on"/>
              </w:rPr>
              <w:t xml:space="preserve">(Подпись)</w:t>
            </w:r>
          </w:p>
        </w:tc>
        <w:tc>
          <w:tcPr>
            <w:tcW w:w="340" w:type="dxa"/>
            <w:tcBorders>
              <w:top w:val="nil"/>
              <w:left w:val="nil"/>
              <w:bottom w:val="nil"/>
              <w:right w:val="nil"/>
            </w:tcBorders>
          </w:tcPr>
          <w:p>
            <w:pPr>
              <w:pStyle w:val="0"/>
            </w:pPr>
            <w:r>
              <w:rPr>
                <w:sz w:val="20"/>
              </w:rPr>
            </w:r>
          </w:p>
        </w:tc>
        <w:tc>
          <w:tcPr>
            <w:tcW w:w="3628" w:type="dxa"/>
            <w:tcBorders>
              <w:left w:val="nil"/>
              <w:bottom w:val="nil"/>
              <w:right w:val="nil"/>
            </w:tcBorders>
          </w:tcPr>
          <w:p>
            <w:pPr>
              <w:pStyle w:val="0"/>
              <w:jc w:val="center"/>
            </w:pPr>
            <w:r>
              <w:rPr>
                <w:sz w:val="20"/>
                <w:b w:val="on"/>
              </w:rPr>
              <w:t xml:space="preserve">(Расшифровка подписи)</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09.06.2022 N 511</w:t>
            <w:br/>
            <w:t>"О Порядке предоставления в 2022 году субсидий социальн...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ACE05D52B38B0D5CC66F64A146885829278FF46C99C874620E7885C2A89FBDEFFC93B2811ECE40A7C9711BBC711613E9C936F9A6011C5T1J" TargetMode = "External"/>
	<Relationship Id="rId8" Type="http://schemas.openxmlformats.org/officeDocument/2006/relationships/hyperlink" Target="consultantplus://offline/ref=7ACE05D52B38B0D5CC66E95B01688582947DFA46C791874620E7885C2A89FBDEEDC9632316EEF3002AD857EEC8C1T2J" TargetMode = "External"/>
	<Relationship Id="rId9" Type="http://schemas.openxmlformats.org/officeDocument/2006/relationships/hyperlink" Target="consultantplus://offline/ref=7ACE05D52B38B0D5CC66E95B01688582947DFD4CC192874620E7885C2A89FBDEFFC93B2F17EEED062CCD01BF8E456C219D8F709A7E115347CFTEJ" TargetMode = "External"/>
	<Relationship Id="rId10" Type="http://schemas.openxmlformats.org/officeDocument/2006/relationships/hyperlink" Target="consultantplus://offline/ref=7ACE05D52B38B0D5CC66F64A146885829279F94CC490874620E7885C2A89FBDEFFC93B2F17EEED0020CD01BF8E456C219D8F709A7E115347CFTEJ" TargetMode = "External"/>
	<Relationship Id="rId11" Type="http://schemas.openxmlformats.org/officeDocument/2006/relationships/hyperlink" Target="consultantplus://offline/ref=7ACE05D52B38B0D5CC66E95B01688582947DFE4AC695874620E7885C2A89FBDEFFC93B2F13E7EA0229CD01BF8E456C219D8F709A7E115347CFTEJ" TargetMode = "External"/>
	<Relationship Id="rId12" Type="http://schemas.openxmlformats.org/officeDocument/2006/relationships/hyperlink" Target="consultantplus://offline/ref=7ACE05D52B38B0D5CC66F64A146885829278FF46C99C874620E7885C2A89FBDEFFC93B2811ECE40A7C9711BBC711613E9C936F9A6011C5T1J" TargetMode = "External"/>
	<Relationship Id="rId13" Type="http://schemas.openxmlformats.org/officeDocument/2006/relationships/hyperlink" Target="consultantplus://offline/ref=7ACE05D52B38B0D5CC66E95B01688582947DFA46C791874620E7885C2A89FBDEFFC93B2F17E7EC0729CD01BF8E456C219D8F709A7E115347CFTEJ" TargetMode = "External"/>
	<Relationship Id="rId14" Type="http://schemas.openxmlformats.org/officeDocument/2006/relationships/hyperlink" Target="consultantplus://offline/ref=7ACE05D52B38B0D5CC66E95B01688582947DFD4CC192874620E7885C2A89FBDEFFC93B2F17EEED062CCD01BF8E456C219D8F709A7E115347CFTEJ" TargetMode = "External"/>
	<Relationship Id="rId15" Type="http://schemas.openxmlformats.org/officeDocument/2006/relationships/hyperlink" Target="consultantplus://offline/ref=7ACE05D52B38B0D5CC66E95B01688582947DFE4AC695874620E7885C2A89FBDEFFC93B2F13E7EA0229CD01BF8E456C219D8F709A7E115347CFTEJ" TargetMode = "External"/>
	<Relationship Id="rId16" Type="http://schemas.openxmlformats.org/officeDocument/2006/relationships/hyperlink" Target="consultantplus://offline/ref=7ACE05D52B38B0D5CC66E95B01688582947DFD4CC192874620E7885C2A89FBDEFFC93B2F17EEED0728CD01BF8E456C219D8F709A7E115347CFTEJ" TargetMode = "External"/>
	<Relationship Id="rId17" Type="http://schemas.openxmlformats.org/officeDocument/2006/relationships/hyperlink" Target="consultantplus://offline/ref=7ACE05D52B38B0D5CC66F64A146885829278FF46C99C874620E7885C2A89FBDEFFC93B2D10EEE90A7C9711BBC711613E9C936F9A6011C5T1J" TargetMode = "External"/>
	<Relationship Id="rId18" Type="http://schemas.openxmlformats.org/officeDocument/2006/relationships/hyperlink" Target="consultantplus://offline/ref=7ACE05D52B38B0D5CC66F64A146885829278FF46C99C874620E7885C2A89FBDEFFC93B2D10ECEF0A7C9711BBC711613E9C936F9A6011C5T1J" TargetMode = "External"/>
	<Relationship Id="rId19" Type="http://schemas.openxmlformats.org/officeDocument/2006/relationships/hyperlink" Target="consultantplus://offline/ref=7ACE05D52B38B0D5CC66F64A146885829278FF46C99C874620E7885C2A89FBDEFFC93B2D10EEE90A7C9711BBC711613E9C936F9A6011C5T1J" TargetMode = "External"/>
	<Relationship Id="rId20" Type="http://schemas.openxmlformats.org/officeDocument/2006/relationships/hyperlink" Target="consultantplus://offline/ref=7ACE05D52B38B0D5CC66F64A146885829278FF46C99C874620E7885C2A89FBDEFFC93B2D10ECEF0A7C9711BBC711613E9C936F9A6011C5T1J" TargetMode = "External"/>
	<Relationship Id="rId21" Type="http://schemas.openxmlformats.org/officeDocument/2006/relationships/hyperlink" Target="consultantplus://offline/ref=7ACE05D52B38B0D5CC66F64A146885829278FD4AC392874620E7885C2A89FBDEEDC9632316EEF3002AD857EEC8C1T2J" TargetMode = "External"/>
	<Relationship Id="rId22" Type="http://schemas.openxmlformats.org/officeDocument/2006/relationships/hyperlink" Target="consultantplus://offline/ref=7ACE05D52B38B0D5CC66F64A146885829279FC4DC395874620E7885C2A89FBDEEDC9632316EEF3002AD857EEC8C1T2J" TargetMode = "External"/>
	<Relationship Id="rId23" Type="http://schemas.openxmlformats.org/officeDocument/2006/relationships/hyperlink" Target="consultantplus://offline/ref=7ACE05D52B38B0D5CC66F64A146885829279F94CC590874620E7885C2A89FBDEFFC93B2F17EEED0028CD01BF8E456C219D8F709A7E115347CFTEJ" TargetMode = "External"/>
	<Relationship Id="rId24" Type="http://schemas.openxmlformats.org/officeDocument/2006/relationships/hyperlink" Target="consultantplus://offline/ref=7ACE05D52B38B0D5CC66F64A146885829279F94CC590874620E7885C2A89FBDEFFC93B2F17EEED0029CD01BF8E456C219D8F709A7E115347CFTEJ" TargetMode = "External"/>
	<Relationship Id="rId25" Type="http://schemas.openxmlformats.org/officeDocument/2006/relationships/hyperlink" Target="consultantplus://offline/ref=7ACE05D52B38B0D5CC66F64A146885829279F94CC590874620E7885C2A89FBDEFFC93B2F17EEED002DCD01BF8E456C219D8F709A7E115347CFTEJ" TargetMode = "External"/>
	<Relationship Id="rId26" Type="http://schemas.openxmlformats.org/officeDocument/2006/relationships/hyperlink" Target="consultantplus://offline/ref=7ACE05D52B38B0D5CC66F64A146885829278FF46C99C874620E7885C2A89FBDEEDC9632316EEF3002AD857EEC8C1T2J" TargetMode = "External"/>
	<Relationship Id="rId27" Type="http://schemas.openxmlformats.org/officeDocument/2006/relationships/hyperlink" Target="consultantplus://offline/ref=7ACE05D52B38B0D5CC66F64A14688582927AFE49C192874620E7885C2A89FBDEFFC93B2A10EEE655798200E3CB107F219F8F739862C1T1J" TargetMode = "External"/>
	<Relationship Id="rId28" Type="http://schemas.openxmlformats.org/officeDocument/2006/relationships/hyperlink" Target="consultantplus://offline/ref=7ACE05D52B38B0D5CC66E95B01688582947DFD4CC192874620E7885C2A89FBDEFFC93B2F17EEED0728CD01BF8E456C219D8F709A7E115347CFTEJ" TargetMode = "External"/>
	<Relationship Id="rId29" Type="http://schemas.openxmlformats.org/officeDocument/2006/relationships/hyperlink" Target="consultantplus://offline/ref=7ACE05D52B38B0D5CC66F64A146885829278FF46C99C874620E7885C2A89FBDEFFC93B2D10EEE90A7C9711BBC711613E9C936F9A6011C5T1J" TargetMode = "External"/>
	<Relationship Id="rId30" Type="http://schemas.openxmlformats.org/officeDocument/2006/relationships/hyperlink" Target="consultantplus://offline/ref=7ACE05D52B38B0D5CC66F64A146885829278FF46C99C874620E7885C2A89FBDEFFC93B2D10ECEF0A7C9711BBC711613E9C936F9A6011C5T1J" TargetMode = "External"/>
	<Relationship Id="rId31" Type="http://schemas.openxmlformats.org/officeDocument/2006/relationships/hyperlink" Target="consultantplus://offline/ref=7ACE05D52B38B0D5CC66F64A146885829278FF46C99C874620E7885C2A89FBDEFFC93B2D10EEE90A7C9711BBC711613E9C936F9A6011C5T1J" TargetMode = "External"/>
	<Relationship Id="rId32" Type="http://schemas.openxmlformats.org/officeDocument/2006/relationships/hyperlink" Target="consultantplus://offline/ref=7ACE05D52B38B0D5CC66F64A146885829278FF46C99C874620E7885C2A89FBDEFFC93B2D10ECEF0A7C9711BBC711613E9C936F9A6011C5T1J" TargetMode = "External"/>
	<Relationship Id="rId33" Type="http://schemas.openxmlformats.org/officeDocument/2006/relationships/hyperlink" Target="consultantplus://offline/ref=7ACE05D52B38B0D5CC66F64A14688582947AFA48C696874620E7885C2A89FBDEFFC93B2F17EEED002FCD01BF8E456C219D8F709A7E115347CFTEJ" TargetMode = "External"/>
	<Relationship Id="rId34" Type="http://schemas.openxmlformats.org/officeDocument/2006/relationships/hyperlink" Target="consultantplus://offline/ref=7ACE05D52B38B0D5CC66F64A146885829278FD4AC392874620E7885C2A89FBDEEDC9632316EEF3002AD857EEC8C1T2J" TargetMode = "External"/>
	<Relationship Id="rId35" Type="http://schemas.openxmlformats.org/officeDocument/2006/relationships/hyperlink" Target="consultantplus://offline/ref=7ACE05D52B38B0D5CC66F64A146885829279FC4DC395874620E7885C2A89FBDEEDC9632316EEF3002AD857EEC8C1T2J" TargetMode = "External"/>
	<Relationship Id="rId36" Type="http://schemas.openxmlformats.org/officeDocument/2006/relationships/hyperlink" Target="consultantplus://offline/ref=7ACE05D52B38B0D5CC66F64A146885829279FC4CC595874620E7885C2A89FBDEFFC93B2F17EEEF042FCD01BF8E456C219D8F709A7E115347CFTEJ" TargetMode = "External"/>
	<Relationship Id="rId37" Type="http://schemas.openxmlformats.org/officeDocument/2006/relationships/hyperlink" Target="consultantplus://offline/ref=7ACE05D52B38B0D5CC66F64A146885829279FC4CC595874620E7885C2A89FBDEFFC93B2F17EEEF0620CD01BF8E456C219D8F709A7E115347CFTEJ" TargetMode = "External"/>
	<Relationship Id="rId38" Type="http://schemas.openxmlformats.org/officeDocument/2006/relationships/hyperlink" Target="consultantplus://offline/ref=7ACE05D52B38B0D5CC66F64A146885829279FC4CC595874620E7885C2A89FBDEFFC93B2F17EEEC0121CD01BF8E456C219D8F709A7E115347CFTE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09.06.2022 N 511
"О Порядке предоставления в 2022 году субсидий социально ориентированным некоммерческим организациям, осуществляющим деятельность в области науки и образования, реализующим аккредитованные программы высшего образования, в целях внедрения современных программ непрерывного образования"</dc:title>
  <dcterms:created xsi:type="dcterms:W3CDTF">2022-12-10T09:19:02Z</dcterms:created>
</cp:coreProperties>
</file>