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08.02.2023 N 73</w:t>
              <w:br/>
              <w:t xml:space="preserve">(ред. от 23.08.2023)</w:t>
              <w:br/>
              <w:t xml:space="preserve">"О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8 февраля 2023 г. N 73</w:t>
      </w:r>
    </w:p>
    <w:p>
      <w:pPr>
        <w:pStyle w:val="2"/>
        <w:ind w:firstLine="540"/>
        <w:jc w:val="both"/>
      </w:pPr>
      <w:r>
        <w:rPr>
          <w:sz w:val="20"/>
        </w:rPr>
      </w:r>
    </w:p>
    <w:p>
      <w:pPr>
        <w:pStyle w:val="2"/>
        <w:jc w:val="center"/>
      </w:pPr>
      <w:r>
        <w:rPr>
          <w:sz w:val="20"/>
        </w:rPr>
        <w:t xml:space="preserve">О ПОРЯДКЕ 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23.08.2023 N 884 &quot;О внесении изменений в некоторые правовые акты Правительства Санкт-Петербурга&quot; {КонсультантПлюс}">
              <w:r>
                <w:rPr>
                  <w:sz w:val="20"/>
                  <w:color w:val="0000ff"/>
                </w:rPr>
                <w:t xml:space="preserve">Постановления</w:t>
              </w:r>
            </w:hyperlink>
            <w:r>
              <w:rPr>
                <w:sz w:val="20"/>
                <w:color w:val="392c69"/>
              </w:rPr>
              <w:t xml:space="preserve"> Правительства Санкт-Петербурга от 23.08.2023 N 884)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общими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1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1"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2" w:tooltip="Постановление Правительства Санкт-Петербурга от 04.06.2014 N 452 (ред. от 23.08.2023)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452 "О государственной программе Санкт-Петербурга "Создание условий для обеспечения общественного согласия в Санкт-Петербурге" и в целях реализации регионального проекта "Социальная активность (город федерального значения Санкт-Петербург)"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5"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Порядок) согласно приложению.</w:t>
      </w:r>
    </w:p>
    <w:p>
      <w:pPr>
        <w:pStyle w:val="0"/>
        <w:spacing w:before="200" w:line-rule="auto"/>
        <w:ind w:firstLine="540"/>
        <w:jc w:val="both"/>
      </w:pPr>
      <w:r>
        <w:rPr>
          <w:sz w:val="20"/>
        </w:rPr>
        <w:t xml:space="preserve">2. Комитету по молодежной политике и взаимодействию с общественными организациями (далее - Комитет) в двухмесячный срок 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2023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и требования к их содержанию, 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порядок отзыва заявок и документов,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перечень видов затрат социально ориентированных некоммерческих организаций, на финансовое обеспечение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положение о конкурсной комиссии, создаваемой для проведения конкурсного отбора (далее - конкурсная комиссия), включающее порядок формирования конкурсной комиссии;</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порядок рассмотрения конкурсной комиссией заявок,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сроков их проведения, и порядок оценки конкурсной комиссией проектов (фестивалей, конкурсов) (далее - проекты) в части, не урегулированной Порядком;</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Порядком, минимальные и максимальные значения баллов, присваиваемых проектам, по каждому критерию определения победителей конкурсного отбора;</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Порядком;</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в соответствии с Порядком,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его характеристик (показателей, необходимых для достижения результата) (далее - характеристики) и об осуществлении расходов, источником финансового обеспечения которых являются субсидии, и дополнительной отчетности (далее - отчетность) в части, не урегулированной Порядком;</w:t>
      </w:r>
    </w:p>
    <w:p>
      <w:pPr>
        <w:pStyle w:val="0"/>
        <w:spacing w:before="200" w:line-rule="auto"/>
        <w:ind w:firstLine="540"/>
        <w:jc w:val="both"/>
      </w:pPr>
      <w:r>
        <w:rPr>
          <w:sz w:val="20"/>
        </w:rPr>
        <w:t xml:space="preserve">порядок и сроки возврата получателем субсидий субсидий и(или) средств, полученных лицами на основании договоров, заключенных с получателями субсидий (далее - контрагенты), в бюджет Санкт-Петербурга в случаях:</w:t>
      </w:r>
    </w:p>
    <w:p>
      <w:pPr>
        <w:pStyle w:val="0"/>
        <w:spacing w:before="200" w:line-rule="auto"/>
        <w:ind w:firstLine="540"/>
        <w:jc w:val="both"/>
      </w:pPr>
      <w:r>
        <w:rPr>
          <w:sz w:val="20"/>
        </w:rPr>
        <w:t xml:space="preserve">непредставления отчетности;</w:t>
      </w:r>
    </w:p>
    <w:p>
      <w:pPr>
        <w:pStyle w:val="0"/>
        <w:spacing w:before="200" w:line-rule="auto"/>
        <w:ind w:firstLine="540"/>
        <w:jc w:val="both"/>
      </w:pPr>
      <w:r>
        <w:rPr>
          <w:sz w:val="20"/>
        </w:rPr>
        <w:t xml:space="preserve">недостижения результата и характеристик;</w:t>
      </w:r>
    </w:p>
    <w:p>
      <w:pPr>
        <w:pStyle w:val="0"/>
        <w:spacing w:before="200" w:line-rule="auto"/>
        <w:ind w:firstLine="540"/>
        <w:jc w:val="both"/>
      </w:pPr>
      <w:r>
        <w:rPr>
          <w:sz w:val="20"/>
        </w:rPr>
        <w:t xml:space="preserve">порядок и сроки проверки и утверждения Комитетом отчетности в части, не урегулированной Порядком;</w:t>
      </w:r>
    </w:p>
    <w:p>
      <w:pPr>
        <w:pStyle w:val="0"/>
        <w:spacing w:before="200" w:line-rule="auto"/>
        <w:ind w:firstLine="540"/>
        <w:jc w:val="both"/>
      </w:pPr>
      <w:r>
        <w:rPr>
          <w:sz w:val="20"/>
        </w:rPr>
        <w:t xml:space="preserve">форму акта об исполнении обязательств по соглашению о предоставлении субсидий в соответствии с Порядком;</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контрагентами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Чечину Н.В.</w:t>
      </w:r>
    </w:p>
    <w:p>
      <w:pPr>
        <w:pStyle w:val="0"/>
        <w:jc w:val="both"/>
      </w:pPr>
      <w:r>
        <w:rPr>
          <w:sz w:val="20"/>
        </w:rPr>
        <w:t xml:space="preserve">(в ред. </w:t>
      </w:r>
      <w:hyperlink w:history="0" r:id="rId14" w:tooltip="Постановление Правительства Санкт-Петербурга от 23.08.2023 N 884 &quot;О внесении изменений в некоторые правовые акты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23.08.2023 N 884)</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08.02.2023 N 73</w:t>
      </w:r>
    </w:p>
    <w:p>
      <w:pPr>
        <w:pStyle w:val="0"/>
        <w:ind w:firstLine="540"/>
        <w:jc w:val="both"/>
      </w:pPr>
      <w:r>
        <w:rPr>
          <w:sz w:val="20"/>
        </w:rPr>
      </w:r>
    </w:p>
    <w:bookmarkStart w:id="55" w:name="P55"/>
    <w:bookmarkEnd w:id="55"/>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64" w:name="P64"/>
    <w:bookmarkEnd w:id="64"/>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молодежной политике и взаимодействию с общественными организациями (далее - Комитет) по статьям расходов "Субсидии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 (коды целевых статей </w:t>
      </w:r>
      <w:hyperlink w:history="0" r:id="rId15"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1710078040</w:t>
        </w:r>
      </w:hyperlink>
      <w:r>
        <w:rPr>
          <w:sz w:val="20"/>
        </w:rPr>
        <w:t xml:space="preserve"> и </w:t>
      </w:r>
      <w:hyperlink w:history="0" r:id="rId16"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171Е878040</w:t>
        </w:r>
      </w:hyperlink>
      <w:r>
        <w:rPr>
          <w:sz w:val="20"/>
        </w:rPr>
        <w:t xml:space="preserve">) в приложении 2 к Закону Санкт-Петербурга от 23.11.2022 N 666-104 "О бюджете Санкт-Петербурга на 2023 год и на плановый период 2024 и 2025 годов" (далее - Закон N 666-104) в целях финансового обеспечения затрат социально ориентированных некоммерческих организаций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осуществляющих свою деятельность на территории Санкт-Петербурга (далее - СО НКО), на реализацию проектов, проведение фестивалей и конкурсов в сфере молодежной политики в Санкт-Петербурге (далее - проекты) в соответствии с </w:t>
      </w:r>
      <w:hyperlink w:history="0" r:id="rId17" w:tooltip="Постановление Правительства Санкт-Петербурга от 04.06.2014 N 452 (ред. от 23.08.2023)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подпрограммой 1</w:t>
        </w:r>
      </w:hyperlink>
      <w:r>
        <w:rPr>
          <w:sz w:val="20"/>
        </w:rPr>
        <w:t xml:space="preserve"> государственной программы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и в целях реализации регионального проекта "Социальная активность (город федерального значения Санкт-Петербург)" (далее - субсидии).</w:t>
      </w:r>
    </w:p>
    <w:p>
      <w:pPr>
        <w:pStyle w:val="0"/>
        <w:spacing w:before="200" w:line-rule="auto"/>
        <w:ind w:firstLine="540"/>
        <w:jc w:val="both"/>
      </w:pPr>
      <w:r>
        <w:rPr>
          <w:sz w:val="20"/>
        </w:rPr>
        <w:t xml:space="preserve">1.2. Субсидии предоставляются СО НКО, признанным победителями конкурсного отбора на получение субсидий (далее - получатели субсидий), на безвозмездной основе в целях финансового обеспечения затрат, возникших не ранее даты начала конкурсного отбора, на реализацию в период с 01.12.2022 по 30.11.2023 проектов (далее - затраты) в соответствии с видами затрат, перечень которых устанавливается Комитетом, СО НКО, осуществляющим виды деятельности, указанные в </w:t>
      </w:r>
      <w:hyperlink w:history="0" r:id="rId1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19"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(далее - Закон N 425-62). Под проектом понимается комплекс взаимосвязанных мероприятий, проводимых получателем субсидий и соответствующих одному из направлений молодежной политики в Санкт-Петербурге, указанных в </w:t>
      </w:r>
      <w:hyperlink w:history="0" r:id="rId20"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статье 1</w:t>
        </w:r>
      </w:hyperlink>
      <w:r>
        <w:rPr>
          <w:sz w:val="20"/>
        </w:rPr>
        <w:t xml:space="preserve"> Закона N 425-62.</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21"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N 666-104 по статьям расходов, указанным в </w:t>
      </w:r>
      <w:hyperlink w:history="0" w:anchor="P64" w:tooltip="1.1. Настоящий Порядок устанавливает правила предоставления в 2023 году субсидий, предусмотренных Комитету по молодежной политике и взаимодействию с общественными организациями (далее - Комитет) по статьям расходов &quo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quot; (коды целевых статей 1710078040 и 171Е878040) в приложении 2 к Закону Санкт-Петербурга от 23.11.2022 N 666-104 &quot;О бюджете Санк...">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2023 году субсидий и размерах предоставляемых субсидий.</w:t>
      </w:r>
    </w:p>
    <w:p>
      <w:pPr>
        <w:pStyle w:val="0"/>
        <w:spacing w:before="200" w:line-rule="auto"/>
        <w:ind w:firstLine="540"/>
        <w:jc w:val="both"/>
      </w:pPr>
      <w:r>
        <w:rPr>
          <w:sz w:val="20"/>
        </w:rPr>
        <w:t xml:space="preserve">1.5. В целях принятия решений, указанных в пункте 1.4 настоящего Порядка, Комитетом создается конкурсная комиссия (далее - конкурсная комиссия).</w:t>
      </w:r>
    </w:p>
    <w:p>
      <w:pPr>
        <w:pStyle w:val="0"/>
        <w:spacing w:before="200" w:line-rule="auto"/>
        <w:ind w:firstLine="540"/>
        <w:jc w:val="both"/>
      </w:pPr>
      <w:r>
        <w:rPr>
          <w:sz w:val="20"/>
        </w:rPr>
        <w:t xml:space="preserve">Положение о конкурсной комиссии, включая порядок ее формирования, а также состав конкурсной комиссии утверждаются Комитетом.</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претенденты на получение субсидий (далее -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которых утверждается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Наличие обязательства о достижении претендентом результата предоставления субсидий (далее - результат) и его характеристик (показателей, необходимых для достижения результата) (далее - характеристики), которые определены в </w:t>
      </w:r>
      <w:hyperlink w:history="0" w:anchor="P191" w:tooltip="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 Бюджетным </w:t>
      </w:r>
      <w:hyperlink w:history="0" r:id="rId2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наличие обязательства получателя субсидий предоставить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 Бюджетным </w:t>
      </w:r>
      <w:hyperlink w:history="0" r:id="rId2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характеристик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Наличие обязательства претендента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(проведения) проектов у поставщиков (исполнителей), являющихся нерезидентами в соответствии с Федеральным </w:t>
      </w:r>
      <w:hyperlink w:history="0" r:id="rId24"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а также наличие обязательства претендента об обеспечении неприобретения контрагентами за счет средств субсидий иностранной валюты, за исключением операций, указанных в настоящем пункте.</w:t>
      </w:r>
    </w:p>
    <w:p>
      <w:pPr>
        <w:pStyle w:val="0"/>
        <w:spacing w:before="200" w:line-rule="auto"/>
        <w:ind w:firstLine="540"/>
        <w:jc w:val="both"/>
      </w:pPr>
      <w:r>
        <w:rPr>
          <w:sz w:val="20"/>
        </w:rPr>
        <w:t xml:space="preserve">2.2.7. Согласие претендента на возврат в бюджет Санкт-Петербурга в порядке и в срок, которые установлены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2.2.8.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bookmarkStart w:id="83" w:name="P83"/>
    <w:bookmarkEnd w:id="83"/>
    <w:p>
      <w:pPr>
        <w:pStyle w:val="0"/>
        <w:spacing w:before="200" w:line-rule="auto"/>
        <w:ind w:firstLine="540"/>
        <w:jc w:val="both"/>
      </w:pPr>
      <w:r>
        <w:rPr>
          <w:sz w:val="20"/>
        </w:rPr>
        <w:t xml:space="preserve">2.2.9.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значений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2.2.10. Требования, которым должен соответствовать претендент на последний день подачи заявки:</w:t>
      </w:r>
    </w:p>
    <w:p>
      <w:pPr>
        <w:pStyle w:val="0"/>
        <w:spacing w:before="200" w:line-rule="auto"/>
        <w:ind w:firstLine="540"/>
        <w:jc w:val="both"/>
      </w:pPr>
      <w:r>
        <w:rPr>
          <w:sz w:val="20"/>
        </w:rPr>
        <w:t xml:space="preserve">2.2.10.1.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2.2.10.2. Отсутствие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pPr>
        <w:pStyle w:val="0"/>
        <w:spacing w:before="200" w:line-rule="auto"/>
        <w:ind w:firstLine="540"/>
        <w:jc w:val="both"/>
      </w:pPr>
      <w:r>
        <w:rPr>
          <w:sz w:val="20"/>
        </w:rPr>
        <w:t xml:space="preserve">2.2.10.3. 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2.2.10.4. Претендент не должен получать средства из бюджета Санкт-Петербурга на финансовое обеспечение (возмещение) затрат на реализацию (проведение) проектов, в отношении которых им поданы на конкурсный отбор заявка и документы, на основании иных нормативных правовых актов.</w:t>
      </w:r>
    </w:p>
    <w:p>
      <w:pPr>
        <w:pStyle w:val="0"/>
        <w:spacing w:before="200" w:line-rule="auto"/>
        <w:ind w:firstLine="540"/>
        <w:jc w:val="both"/>
      </w:pPr>
      <w:r>
        <w:rPr>
          <w:sz w:val="20"/>
        </w:rPr>
        <w:t xml:space="preserve">2.2.10.5.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2.2.10.6.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в соответствии со сроком и порядком, которые установлены Комитетом в объявлении о проведении конкурсного отбора (далее - объявление). Объявление размещается в информационно-телекоммуникационной сети "Интернет" (далее - сеть "Интернет")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и времени начала и окончания приема заявок и документов;</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сайта Комитета и(или) иного сайта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требований к результату;</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объема денежных средств, подлежащих распределению в рамках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номеров с указанием их даты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 Порядок отзыва заявок и документов, возврат заявок и документов, порядок внесения изменений в заявки и документы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ind w:firstLine="540"/>
        <w:jc w:val="both"/>
      </w:pPr>
      <w:r>
        <w:rPr>
          <w:sz w:val="20"/>
        </w:rPr>
      </w:r>
    </w:p>
    <w:p>
      <w:pPr>
        <w:pStyle w:val="2"/>
        <w:outlineLvl w:val="1"/>
        <w:jc w:val="center"/>
      </w:pPr>
      <w:r>
        <w:rPr>
          <w:sz w:val="20"/>
        </w:rPr>
        <w:t xml:space="preserve">4. Порядок проведения проверки заявок</w:t>
      </w:r>
    </w:p>
    <w:p>
      <w:pPr>
        <w:pStyle w:val="0"/>
        <w:ind w:firstLine="540"/>
        <w:jc w:val="both"/>
      </w:pPr>
      <w:r>
        <w:rPr>
          <w:sz w:val="20"/>
        </w:rPr>
      </w:r>
    </w:p>
    <w:p>
      <w:pPr>
        <w:pStyle w:val="0"/>
        <w:ind w:firstLine="540"/>
        <w:jc w:val="both"/>
      </w:pPr>
      <w:r>
        <w:rPr>
          <w:sz w:val="20"/>
        </w:rPr>
        <w:t xml:space="preserve">4.1. Рабочая группа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124"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w:t>
      </w:r>
    </w:p>
    <w:p>
      <w:pPr>
        <w:pStyle w:val="2"/>
        <w:jc w:val="center"/>
      </w:pPr>
      <w:r>
        <w:rPr>
          <w:sz w:val="20"/>
        </w:rPr>
        <w:t xml:space="preserve">Принятие решении о допуске (недопуске) претендентов</w:t>
      </w:r>
    </w:p>
    <w:p>
      <w:pPr>
        <w:pStyle w:val="2"/>
        <w:jc w:val="center"/>
      </w:pPr>
      <w:r>
        <w:rPr>
          <w:sz w:val="20"/>
        </w:rPr>
        <w:t xml:space="preserve">к участию в конкурсном отборе</w:t>
      </w:r>
    </w:p>
    <w:p>
      <w:pPr>
        <w:pStyle w:val="0"/>
        <w:ind w:firstLine="540"/>
        <w:jc w:val="both"/>
      </w:pPr>
      <w:r>
        <w:rPr>
          <w:sz w:val="20"/>
        </w:rPr>
      </w:r>
    </w:p>
    <w:bookmarkStart w:id="124" w:name="P124"/>
    <w:bookmarkEnd w:id="124"/>
    <w:p>
      <w:pPr>
        <w:pStyle w:val="0"/>
        <w:ind w:firstLine="540"/>
        <w:jc w:val="both"/>
      </w:pPr>
      <w:r>
        <w:rPr>
          <w:sz w:val="20"/>
        </w:rPr>
        <w:t xml:space="preserve">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w:t>
      </w:r>
    </w:p>
    <w:p>
      <w:pPr>
        <w:pStyle w:val="0"/>
        <w:spacing w:before="200" w:line-rule="auto"/>
        <w:ind w:firstLine="540"/>
        <w:jc w:val="both"/>
      </w:pPr>
      <w:r>
        <w:rPr>
          <w:sz w:val="20"/>
        </w:rPr>
        <w:t xml:space="preserve">достоверность (недостоверность) сведений, содержащихся в заявке;</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наличие (отсутствие) обоснования планируемых затрат;</w:t>
      </w:r>
    </w:p>
    <w:p>
      <w:pPr>
        <w:pStyle w:val="0"/>
        <w:spacing w:before="200" w:line-rule="auto"/>
        <w:ind w:firstLine="540"/>
        <w:jc w:val="both"/>
      </w:pPr>
      <w:r>
        <w:rPr>
          <w:sz w:val="20"/>
        </w:rPr>
        <w:t xml:space="preserve">непревышение (превышение)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представленном претендентом.</w:t>
      </w:r>
    </w:p>
    <w:p>
      <w:pPr>
        <w:pStyle w:val="0"/>
        <w:spacing w:before="200" w:line-rule="auto"/>
        <w:ind w:firstLine="540"/>
        <w:jc w:val="both"/>
      </w:pPr>
      <w:r>
        <w:rPr>
          <w:sz w:val="20"/>
        </w:rPr>
        <w:t xml:space="preserve">5.2. Правила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критерии и сроки оценки заявок, их весовое значение в общей оценке, правила присвоения порядковых номеров заявкам по результатам оценки;</w:t>
      </w:r>
    </w:p>
    <w:p>
      <w:pPr>
        <w:pStyle w:val="0"/>
        <w:spacing w:before="200" w:line-rule="auto"/>
        <w:ind w:firstLine="540"/>
        <w:jc w:val="both"/>
      </w:pPr>
      <w:r>
        <w:rPr>
          <w:sz w:val="20"/>
        </w:rPr>
        <w:t xml:space="preserve">сроки размещения на сайте Комитета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 предоставляемых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124"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146" w:name="P146"/>
    <w:bookmarkEnd w:id="146"/>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5.6. Решение о допуске (недопуске) оформляется протоколом заседания конкурсной комиссии (далее - протокол 1).</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146"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Выписка из протокола 1 размещается секретарем конкурсной комиссии на сайте Комитета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экономическая обоснованность затрат на реализацию проекта;</w:t>
      </w:r>
    </w:p>
    <w:p>
      <w:pPr>
        <w:pStyle w:val="0"/>
        <w:spacing w:before="200" w:line-rule="auto"/>
        <w:ind w:firstLine="540"/>
        <w:jc w:val="both"/>
      </w:pPr>
      <w:r>
        <w:rPr>
          <w:sz w:val="20"/>
        </w:rPr>
        <w:t xml:space="preserve">эффективность и реалистичность проекта;</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информационное сопровождение проекта.</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конкурсной комиссией проектов и порядок расчета баллов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5000000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проектом.</w:t>
      </w:r>
    </w:p>
    <w:p>
      <w:pPr>
        <w:pStyle w:val="0"/>
        <w:ind w:firstLine="540"/>
        <w:jc w:val="both"/>
      </w:pPr>
      <w:r>
        <w:rPr>
          <w:sz w:val="20"/>
        </w:rPr>
      </w:r>
    </w:p>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Выписка из протокола 2 размещается секретарем конкурсной комиссии на сайте Комитета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выписки из протокола 2 на сайте Комитета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выписки из протокола 2 на сайте Комитета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После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субсидий в форме распоряжения Комитета в порядке, предусмотренном </w:t>
      </w:r>
      <w:hyperlink w:history="0" r:id="rId27" w:tooltip="Распоряжение Комитета по молодежной политике и взаимодействию с общественными организациями Правительства Санкт-Петербурга от 01.02.2016 N 3-р (ред. от 31.08.2023)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 Распоряжение о предоставлении субсидий издается Комитетом не позднее 30 календарных дней со дня окончания приема заявок и документов от претендентов.</w:t>
      </w:r>
    </w:p>
    <w:bookmarkStart w:id="191" w:name="P191"/>
    <w:bookmarkEnd w:id="191"/>
    <w:p>
      <w:pPr>
        <w:pStyle w:val="0"/>
        <w:spacing w:before="200" w:line-rule="auto"/>
        <w:ind w:firstLine="540"/>
        <w:jc w:val="both"/>
      </w:pPr>
      <w:r>
        <w:rPr>
          <w:sz w:val="20"/>
        </w:rPr>
        <w:t xml:space="preserve">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Соглашение заключается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191" w:tooltip="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(проведение) получателями субсидий до 30.11.2023 проектов, направленных на оказание услуг (выполнение работ) для благополучателей.</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посредством электронной почты, указанной в заявке. Получатель субсидий подписывает дополнительное соглашение и направляет его в Комитет в течение пяти рабочих дней со дня его получения. В случае неподписания получателем субсидий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и проверок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об обязанности получателя субсидий представить согласие контрагентов на проведение в отношении них проверок и проверок органами государственного финансового контроля в соответствии с Бюджетным </w:t>
      </w:r>
      <w:hyperlink w:history="0" r:id="rId2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7.5. Субсидии перечисляются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российской кредитной организации, не позднее 40 рабочих дней со дня подписания соглашения. Средства субсидий не подлежат казначейскому сопровождению.</w:t>
      </w:r>
    </w:p>
    <w:p>
      <w:pPr>
        <w:pStyle w:val="0"/>
        <w:spacing w:before="200" w:line-rule="auto"/>
        <w:ind w:firstLine="540"/>
        <w:jc w:val="both"/>
      </w:pPr>
      <w:r>
        <w:rPr>
          <w:sz w:val="20"/>
        </w:rPr>
        <w:t xml:space="preserve">7.6.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207" w:name="P207"/>
    <w:bookmarkEnd w:id="207"/>
    <w:p>
      <w:pPr>
        <w:pStyle w:val="0"/>
        <w:ind w:firstLine="540"/>
        <w:jc w:val="both"/>
      </w:pPr>
      <w:r>
        <w:rPr>
          <w:sz w:val="20"/>
        </w:rPr>
        <w:t xml:space="preserve">8.1. Получатели субсидий представляют в Комитет отчетность о достижении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Сроки и формы представления дополнительной отчетности устанавливаются в соглашении.</w:t>
      </w:r>
    </w:p>
    <w:p>
      <w:pPr>
        <w:pStyle w:val="0"/>
        <w:spacing w:before="200" w:line-rule="auto"/>
        <w:ind w:firstLine="540"/>
        <w:jc w:val="both"/>
      </w:pPr>
      <w:r>
        <w:rPr>
          <w:sz w:val="20"/>
        </w:rPr>
        <w:t xml:space="preserve">В составе отчетности получатель субсидии представляет справку о соблюдении им условия предоставления субсидии, предусмотренного в </w:t>
      </w:r>
      <w:hyperlink w:history="0" w:anchor="P83" w:tooltip="2.2.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значений характеристик, не ниже размера минимальной заработной платы в Санкт-Петербурге, у...">
        <w:r>
          <w:rPr>
            <w:sz w:val="20"/>
            <w:color w:val="0000ff"/>
          </w:rPr>
          <w:t xml:space="preserve">пункте 2.2.9</w:t>
        </w:r>
      </w:hyperlink>
      <w:r>
        <w:rPr>
          <w:sz w:val="20"/>
        </w:rPr>
        <w:t xml:space="preserve"> настоящего Порядка, составленную в свободной форме, подписанную руководителем или уполномоченным лицом и заверенную оттиском печати получателя субсидии (при наличии печати).</w:t>
      </w:r>
    </w:p>
    <w:p>
      <w:pPr>
        <w:pStyle w:val="0"/>
        <w:spacing w:before="200" w:line-rule="auto"/>
        <w:ind w:firstLine="540"/>
        <w:jc w:val="both"/>
      </w:pPr>
      <w:r>
        <w:rPr>
          <w:sz w:val="20"/>
        </w:rPr>
        <w:t xml:space="preserve">8.2. Порядок представления отчетности и дополнительной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12" w:name="P212"/>
    <w:bookmarkEnd w:id="212"/>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w:t>
      </w:r>
    </w:p>
    <w:p>
      <w:pPr>
        <w:pStyle w:val="0"/>
        <w:spacing w:before="200" w:line-rule="auto"/>
        <w:ind w:firstLine="540"/>
        <w:jc w:val="both"/>
      </w:pPr>
      <w:r>
        <w:rPr>
          <w:sz w:val="20"/>
        </w:rPr>
        <w:t xml:space="preserve">8.4. Порядок и сроки проверки и утверждения Комитетом отчетности утверждаются Комитетом.</w:t>
      </w:r>
    </w:p>
    <w:p>
      <w:pPr>
        <w:pStyle w:val="0"/>
        <w:spacing w:before="200" w:line-rule="auto"/>
        <w:ind w:firstLine="540"/>
        <w:jc w:val="both"/>
      </w:pPr>
      <w:r>
        <w:rPr>
          <w:sz w:val="20"/>
        </w:rPr>
        <w:t xml:space="preserve">8.5. После проверки и утверждения Комитетом отчетности Комитет составляет акт об исполнении обязательств по соглашению по форме, утвержденной Комитетом,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35"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16" w:name="P216"/>
    <w:bookmarkEnd w:id="216"/>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07" w:tooltip="8.1. Получатели субсидий представляют в Комитет отчетность о достижении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бсидий).">
        <w:r>
          <w:rPr>
            <w:sz w:val="20"/>
            <w:color w:val="0000ff"/>
          </w:rPr>
          <w:t xml:space="preserve">пунктами 8.1</w:t>
        </w:r>
      </w:hyperlink>
      <w:r>
        <w:rPr>
          <w:sz w:val="20"/>
        </w:rPr>
        <w:t xml:space="preserve"> - </w:t>
      </w:r>
      <w:hyperlink w:history="0" w:anchor="P212"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получателю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20" w:name="P220"/>
    <w:bookmarkEnd w:id="220"/>
    <w:p>
      <w:pPr>
        <w:pStyle w:val="0"/>
        <w:spacing w:before="200" w:line-rule="auto"/>
        <w:ind w:firstLine="540"/>
        <w:jc w:val="both"/>
      </w:pPr>
      <w:r>
        <w:rPr>
          <w:sz w:val="20"/>
        </w:rPr>
        <w:t xml:space="preserve">8.7. В случае недостижения результата и характеристик получатель субсидий осуществляет возврат субсидий в бюджет Санкт-Петербурга в порядке и сроки, которые утверждены Комитетом.</w:t>
      </w:r>
    </w:p>
    <w:p>
      <w:pPr>
        <w:pStyle w:val="0"/>
        <w:ind w:firstLine="540"/>
        <w:jc w:val="both"/>
      </w:pPr>
      <w:r>
        <w:rPr>
          <w:sz w:val="20"/>
        </w:rPr>
      </w:r>
    </w:p>
    <w:p>
      <w:pPr>
        <w:pStyle w:val="2"/>
        <w:outlineLvl w:val="1"/>
        <w:jc w:val="center"/>
      </w:pPr>
      <w:r>
        <w:rPr>
          <w:sz w:val="20"/>
        </w:rPr>
        <w:t xml:space="preserve">9.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 Комитет направляет копию акта в течение пяти рабочих дней после его подписания в КГФК.</w:t>
      </w:r>
    </w:p>
    <w:bookmarkStart w:id="227" w:name="P227"/>
    <w:bookmarkEnd w:id="227"/>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29" w:name="P229"/>
    <w:bookmarkEnd w:id="229"/>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233"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27" w:tooltip="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33" w:name="P233"/>
    <w:bookmarkEnd w:id="233"/>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29"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 Бюджетным </w:t>
      </w:r>
      <w:hyperlink w:history="0" r:id="rId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bookmarkStart w:id="235" w:name="P235"/>
    <w:bookmarkEnd w:id="235"/>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16"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ю субсидий уведомление об отсутствии отчетности.">
        <w:r>
          <w:rPr>
            <w:sz w:val="20"/>
            <w:color w:val="0000ff"/>
          </w:rPr>
          <w:t xml:space="preserve">пунктах 8.6</w:t>
        </w:r>
      </w:hyperlink>
      <w:r>
        <w:rPr>
          <w:sz w:val="20"/>
        </w:rPr>
        <w:t xml:space="preserve">, </w:t>
      </w:r>
      <w:hyperlink w:history="0" w:anchor="P220" w:tooltip="8.7. В случае недостижения результата и характеристик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8.7</w:t>
        </w:r>
      </w:hyperlink>
      <w:r>
        <w:rPr>
          <w:sz w:val="20"/>
        </w:rPr>
        <w:t xml:space="preserve">, </w:t>
      </w:r>
      <w:hyperlink w:history="0" w:anchor="P233"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35"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9.8.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утверждены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результата утверждаются Комитетом.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08.02.2023 N 73</w:t>
            <w:br/>
            <w:t>(ред. от 23.08.2023)</w:t>
            <w:br/>
            <w:t>"О Порядке предоставления в 2023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705EAF3862E9DBA78DE6993F466C1CA15A254EA4723456A5A9A5E569ED00A7CEE42A0592DE33CF02D04C6562C1879F8393F27F4660A18CjAt7N" TargetMode = "External"/>
	<Relationship Id="rId8" Type="http://schemas.openxmlformats.org/officeDocument/2006/relationships/hyperlink" Target="consultantplus://offline/ref=A6705EAF3862E9DBA78DF9882A466C1CA75B2C49A9733456A5A9A5E569ED00A7CEE42A0294DC3AC5578A5C612B968C83848CED7C5860jAt2N" TargetMode = "External"/>
	<Relationship Id="rId9" Type="http://schemas.openxmlformats.org/officeDocument/2006/relationships/hyperlink" Target="consultantplus://offline/ref=A6705EAF3862E9DBA78DF9882A466C1CA75E284AA9773456A5A9A5E569ED00A7CEE42A0592DE33CF0BD04C6562C1879F8393F27F4660A18CjAt7N" TargetMode = "External"/>
	<Relationship Id="rId10" Type="http://schemas.openxmlformats.org/officeDocument/2006/relationships/hyperlink" Target="consultantplus://offline/ref=A6705EAF3862E9DBA78DE6993F466C1CA1552C4BA3773456A5A9A5E569ED00A7CEE42A0592DE33C907D04C6562C1879F8393F27F4660A18CjAt7N" TargetMode = "External"/>
	<Relationship Id="rId11" Type="http://schemas.openxmlformats.org/officeDocument/2006/relationships/hyperlink" Target="consultantplus://offline/ref=A6705EAF3862E9DBA78DE6993F466C1CA1552E48A97E3456A5A9A5E569ED00A7DCE4720990D82DCF02C51A3424j9t7N" TargetMode = "External"/>
	<Relationship Id="rId12" Type="http://schemas.openxmlformats.org/officeDocument/2006/relationships/hyperlink" Target="consultantplus://offline/ref=A6705EAF3862E9DBA78DE6993F466C1CA15A2541A47E3456A5A9A5E569ED00A7CEE42A0693DA3ACC0BD04C6562C1879F8393F27F4660A18CjAt7N" TargetMode = "External"/>
	<Relationship Id="rId13" Type="http://schemas.openxmlformats.org/officeDocument/2006/relationships/hyperlink" Target="consultantplus://offline/ref=A6705EAF3862E9DBA78DF9882A466C1CA75B2C49A9733456A5A9A5E569ED00A7CEE42A0294DC3AC5578A5C612B968C83848CED7C5860jAt2N" TargetMode = "External"/>
	<Relationship Id="rId14" Type="http://schemas.openxmlformats.org/officeDocument/2006/relationships/hyperlink" Target="consultantplus://offline/ref=A6705EAF3862E9DBA78DE6993F466C1CA15A254EA4723456A5A9A5E569ED00A7CEE42A0592DE33CF02D04C6562C1879F8393F27F4660A18CjAt7N" TargetMode = "External"/>
	<Relationship Id="rId15" Type="http://schemas.openxmlformats.org/officeDocument/2006/relationships/hyperlink" Target="consultantplus://offline/ref=A6705EAF3862E9DBA78DE6993F466C1CA1552E48A97E3456A5A9A5E569ED00A7CEE42A0592D935C702D04C6562C1879F8393F27F4660A18CjAt7N" TargetMode = "External"/>
	<Relationship Id="rId16" Type="http://schemas.openxmlformats.org/officeDocument/2006/relationships/hyperlink" Target="consultantplus://offline/ref=A6705EAF3862E9DBA78DE6993F466C1CA1552E48A97E3456A5A9A5E569ED00A7CEE42A0592D934C602D04C6562C1879F8393F27F4660A18CjAt7N" TargetMode = "External"/>
	<Relationship Id="rId17" Type="http://schemas.openxmlformats.org/officeDocument/2006/relationships/hyperlink" Target="consultantplus://offline/ref=A6705EAF3862E9DBA78DE6993F466C1CA15A2541A47E3456A5A9A5E569ED00A7CEE42A0693DA3ACC0BD04C6562C1879F8393F27F4660A18CjAt7N" TargetMode = "External"/>
	<Relationship Id="rId18" Type="http://schemas.openxmlformats.org/officeDocument/2006/relationships/hyperlink" Target="consultantplus://offline/ref=A6705EAF3862E9DBA78DE6993F466C1CA1552C4BA3773456A5A9A5E569ED00A7DCE4720990D82DCF02C51A3424j9t7N" TargetMode = "External"/>
	<Relationship Id="rId19" Type="http://schemas.openxmlformats.org/officeDocument/2006/relationships/hyperlink" Target="consultantplus://offline/ref=A6705EAF3862E9DBA78DE6993F466C1CA15B2E4BA4713456A5A9A5E569ED00A7DCE4720990D82DCF02C51A3424j9t7N" TargetMode = "External"/>
	<Relationship Id="rId20" Type="http://schemas.openxmlformats.org/officeDocument/2006/relationships/hyperlink" Target="consultantplus://offline/ref=A6705EAF3862E9DBA78DE6993F466C1CA15B2E4BA4713456A5A9A5E569ED00A7CEE42A0592DE33C607D04C6562C1879F8393F27F4660A18CjAt7N" TargetMode = "External"/>
	<Relationship Id="rId21" Type="http://schemas.openxmlformats.org/officeDocument/2006/relationships/hyperlink" Target="consultantplus://offline/ref=A6705EAF3862E9DBA78DE6993F466C1CA1552E48A97E3456A5A9A5E569ED00A7DCE4720990D82DCF02C51A3424j9t7N" TargetMode = "External"/>
	<Relationship Id="rId22" Type="http://schemas.openxmlformats.org/officeDocument/2006/relationships/hyperlink" Target="consultantplus://offline/ref=A6705EAF3862E9DBA78DF9882A466C1CA75B2C49A9733456A5A9A5E569ED00A7DCE4720990D82DCF02C51A3424j9t7N" TargetMode = "External"/>
	<Relationship Id="rId23" Type="http://schemas.openxmlformats.org/officeDocument/2006/relationships/hyperlink" Target="consultantplus://offline/ref=A6705EAF3862E9DBA78DF9882A466C1CA75B2C49A9733456A5A9A5E569ED00A7DCE4720990D82DCF02C51A3424j9t7N" TargetMode = "External"/>
	<Relationship Id="rId24" Type="http://schemas.openxmlformats.org/officeDocument/2006/relationships/hyperlink" Target="consultantplus://offline/ref=A6705EAF3862E9DBA78DF9882A466C1CA7582F41A7703456A5A9A5E569ED00A7DCE4720990D82DCF02C51A3424j9t7N" TargetMode = "External"/>
	<Relationship Id="rId25" Type="http://schemas.openxmlformats.org/officeDocument/2006/relationships/hyperlink" Target="consultantplus://offline/ref=A6705EAF3862E9DBA78DF9882A466C1CA75E2E4AA1723456A5A9A5E569ED00A7CEE42A0592DE3ACA0BD04C6562C1879F8393F27F4660A18CjAt7N" TargetMode = "External"/>
	<Relationship Id="rId26" Type="http://schemas.openxmlformats.org/officeDocument/2006/relationships/hyperlink" Target="consultantplus://offline/ref=A6705EAF3862E9DBA78DF9882A466C1CA75E2E4AA1723456A5A9A5E569ED00A7CEE42A0592DE3ACA0BD04C6562C1879F8393F27F4660A18CjAt7N" TargetMode = "External"/>
	<Relationship Id="rId27" Type="http://schemas.openxmlformats.org/officeDocument/2006/relationships/hyperlink" Target="consultantplus://offline/ref=A6705EAF3862E9DBA78DE6993F466C1CA15A244FA8733456A5A9A5E569ED00A7CEE42A0592DE33CF0BD04C6562C1879F8393F27F4660A18CjAt7N" TargetMode = "External"/>
	<Relationship Id="rId28" Type="http://schemas.openxmlformats.org/officeDocument/2006/relationships/hyperlink" Target="consultantplus://offline/ref=A6705EAF3862E9DBA78DF9882A466C1CA75B2C49A9733456A5A9A5E569ED00A7DCE4720990D82DCF02C51A3424j9t7N" TargetMode = "External"/>
	<Relationship Id="rId29" Type="http://schemas.openxmlformats.org/officeDocument/2006/relationships/hyperlink" Target="consultantplus://offline/ref=A6705EAF3862E9DBA78DF9882A466C1CA75B2C49A9733456A5A9A5E569ED00A7DCE4720990D82DCF02C51A3424j9t7N" TargetMode = "External"/>
	<Relationship Id="rId30" Type="http://schemas.openxmlformats.org/officeDocument/2006/relationships/hyperlink" Target="consultantplus://offline/ref=A6705EAF3862E9DBA78DF9882A466C1CA75B2C49A9733456A5A9A5E569ED00A7DCE4720990D82DCF02C51A3424j9t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08.02.2023 N 73
(ред. от 23.08.2023)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dc:title>
  <dcterms:created xsi:type="dcterms:W3CDTF">2023-11-26T13:45:35Z</dcterms:created>
</cp:coreProperties>
</file>