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Комитета по науке и высшей школе Правительства Санкт-Петербурга от 02.06.2023 N 100</w:t>
              <w:br/>
              <w:t xml:space="preserve">"О мерах по реализации постановления Правительства Санкт-Петербурга от 05.05.2023 N 407"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КОМИТЕТ ПО НАУКЕ И ВЫСШЕЙ ШКОЛЕ</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 июня 2023 г. N 100</w:t>
      </w:r>
    </w:p>
    <w:p>
      <w:pPr>
        <w:pStyle w:val="2"/>
        <w:jc w:val="center"/>
      </w:pPr>
      <w:r>
        <w:rPr>
          <w:sz w:val="20"/>
        </w:rPr>
      </w:r>
    </w:p>
    <w:p>
      <w:pPr>
        <w:pStyle w:val="2"/>
        <w:jc w:val="center"/>
      </w:pPr>
      <w:r>
        <w:rPr>
          <w:sz w:val="20"/>
        </w:rPr>
        <w:t xml:space="preserve">О МЕРАХ ПО РЕАЛИЗАЦИИ ПОСТАНОВЛЕНИЯ ПРАВИТЕЛЬСТВА</w:t>
      </w:r>
    </w:p>
    <w:p>
      <w:pPr>
        <w:pStyle w:val="2"/>
        <w:jc w:val="center"/>
      </w:pPr>
      <w:r>
        <w:rPr>
          <w:sz w:val="20"/>
        </w:rPr>
        <w:t xml:space="preserve">САНКТ-ПЕТЕРБУРГА ОТ 05.05.2023 N 407</w:t>
      </w:r>
    </w:p>
    <w:p>
      <w:pPr>
        <w:pStyle w:val="0"/>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w:t>
      </w:r>
      <w:hyperlink w:history="0" r:id="rId8" w:tooltip="Закон Санкт-Петербурга от 29.11.2022 N 666-104 (ред. от 13.11.2023)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w:t>
      </w:r>
      <w:hyperlink w:history="0" r:id="rId9" w:tooltip="Постановление Правительства Санкт-Петербурга от 05.05.2023 N 407 &quot;Об утверждении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05.05.2023 N 407 "Об утверждении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и </w:t>
      </w:r>
      <w:hyperlink w:history="0" r:id="rId10" w:tooltip="Постановление Правительства Санкт-Петербурга от 23.06.2014 N 496 (ред. от 12.09.2023) &quot;О государственной программе Санкт-Петербурга &quot;Экономика знаний в Санкт-Петербурге&quot; {КонсультантПлюс}">
        <w:r>
          <w:rPr>
            <w:sz w:val="20"/>
            <w:color w:val="0000ff"/>
          </w:rPr>
          <w:t xml:space="preserve">подпрограммой 2</w:t>
        </w:r>
      </w:hyperlink>
      <w:r>
        <w:rPr>
          <w:sz w:val="20"/>
        </w:rPr>
        <w:t xml:space="preserve"> государственной программы Санкт-Петербурга "Экономика знаний в Санкт-Петербурге", утвержденной постановлением Правительства Санкт-Петербурга от 23.06.2014 N 496:</w:t>
      </w:r>
    </w:p>
    <w:p>
      <w:pPr>
        <w:pStyle w:val="0"/>
        <w:spacing w:before="200" w:line-rule="auto"/>
        <w:ind w:firstLine="540"/>
        <w:jc w:val="both"/>
      </w:pPr>
      <w:r>
        <w:rPr>
          <w:sz w:val="20"/>
        </w:rPr>
        <w:t xml:space="preserve">1. Утвердить </w:t>
      </w:r>
      <w:hyperlink w:history="0" w:anchor="P30" w:tooltip="ПОРЯДОК">
        <w:r>
          <w:rPr>
            <w:sz w:val="20"/>
            <w:color w:val="0000ff"/>
          </w:rPr>
          <w:t xml:space="preserve">Порядок</w:t>
        </w:r>
      </w:hyperlink>
      <w:r>
        <w:rPr>
          <w:sz w:val="20"/>
        </w:rPr>
        <w:t xml:space="preserve"> проведения конкурсного отбора на право получения в 2023 году субсидий социально ориентированными некоммерческими организациями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согласно приложению N 1.</w:t>
      </w:r>
    </w:p>
    <w:p>
      <w:pPr>
        <w:pStyle w:val="0"/>
        <w:spacing w:before="200" w:line-rule="auto"/>
        <w:ind w:firstLine="540"/>
        <w:jc w:val="both"/>
      </w:pPr>
      <w:r>
        <w:rPr>
          <w:sz w:val="20"/>
        </w:rPr>
        <w:t xml:space="preserve">2. Утвердить </w:t>
      </w:r>
      <w:hyperlink w:history="0" w:anchor="P239" w:tooltip="ПОЛОЖЕНИЕ">
        <w:r>
          <w:rPr>
            <w:sz w:val="20"/>
            <w:color w:val="0000ff"/>
          </w:rPr>
          <w:t xml:space="preserve">Положение</w:t>
        </w:r>
      </w:hyperlink>
      <w:r>
        <w:rPr>
          <w:sz w:val="20"/>
        </w:rPr>
        <w:t xml:space="preserve"> о комиссии для рассмотрения и оценки заявок на участие в конкурсном отборе на право получения в 2023 году субсидий социально ориентированными некоммерческими организациями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согласно приложению N 2.</w:t>
      </w:r>
    </w:p>
    <w:p>
      <w:pPr>
        <w:pStyle w:val="0"/>
        <w:spacing w:before="200" w:line-rule="auto"/>
        <w:ind w:firstLine="540"/>
        <w:jc w:val="both"/>
      </w:pPr>
      <w:r>
        <w:rPr>
          <w:sz w:val="20"/>
        </w:rPr>
        <w:t xml:space="preserve">3. Утвердить </w:t>
      </w:r>
      <w:hyperlink w:history="0" w:anchor="P293" w:tooltip="СОСТАВ">
        <w:r>
          <w:rPr>
            <w:sz w:val="20"/>
            <w:color w:val="0000ff"/>
          </w:rPr>
          <w:t xml:space="preserve">состав</w:t>
        </w:r>
      </w:hyperlink>
      <w:r>
        <w:rPr>
          <w:sz w:val="20"/>
        </w:rPr>
        <w:t xml:space="preserve"> комиссии для рассмотрения и оценки заявок на участие в конкурсном отборе на право получения в 2023 году субсидий социально ориентированными некоммерческими организациями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согласно приложению N 3.</w:t>
      </w:r>
    </w:p>
    <w:p>
      <w:pPr>
        <w:pStyle w:val="0"/>
        <w:spacing w:before="200" w:line-rule="auto"/>
        <w:ind w:firstLine="540"/>
        <w:jc w:val="both"/>
      </w:pPr>
      <w:r>
        <w:rPr>
          <w:sz w:val="20"/>
        </w:rPr>
        <w:t xml:space="preserve">4. Контроль за выполнением распоряжения возложить на заместителя председателя Комитета по науке и высшей школе Степанову А.О.</w:t>
      </w:r>
    </w:p>
    <w:p>
      <w:pPr>
        <w:pStyle w:val="0"/>
      </w:pPr>
      <w:r>
        <w:rPr>
          <w:sz w:val="20"/>
        </w:rPr>
      </w:r>
    </w:p>
    <w:p>
      <w:pPr>
        <w:pStyle w:val="0"/>
        <w:jc w:val="right"/>
      </w:pPr>
      <w:r>
        <w:rPr>
          <w:sz w:val="20"/>
        </w:rPr>
        <w:t xml:space="preserve">Временно исполняющий обязанности</w:t>
      </w:r>
    </w:p>
    <w:p>
      <w:pPr>
        <w:pStyle w:val="0"/>
        <w:jc w:val="right"/>
      </w:pPr>
      <w:r>
        <w:rPr>
          <w:sz w:val="20"/>
        </w:rPr>
        <w:t xml:space="preserve">председателя Комитета</w:t>
      </w:r>
    </w:p>
    <w:p>
      <w:pPr>
        <w:pStyle w:val="0"/>
        <w:jc w:val="right"/>
      </w:pPr>
      <w:r>
        <w:rPr>
          <w:sz w:val="20"/>
        </w:rPr>
        <w:t xml:space="preserve">И.Ю.Ганус</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 Комитета</w:t>
      </w:r>
    </w:p>
    <w:p>
      <w:pPr>
        <w:pStyle w:val="0"/>
        <w:jc w:val="right"/>
      </w:pPr>
      <w:r>
        <w:rPr>
          <w:sz w:val="20"/>
        </w:rPr>
        <w:t xml:space="preserve">по науке и высшей школе</w:t>
      </w:r>
    </w:p>
    <w:p>
      <w:pPr>
        <w:pStyle w:val="0"/>
        <w:jc w:val="right"/>
      </w:pPr>
      <w:r>
        <w:rPr>
          <w:sz w:val="20"/>
        </w:rPr>
        <w:t xml:space="preserve">от 02.06.2023 N 100</w:t>
      </w:r>
    </w:p>
    <w:p>
      <w:pPr>
        <w:pStyle w:val="0"/>
      </w:pPr>
      <w:r>
        <w:rPr>
          <w:sz w:val="20"/>
        </w:rPr>
      </w:r>
    </w:p>
    <w:bookmarkStart w:id="30" w:name="P30"/>
    <w:bookmarkEnd w:id="30"/>
    <w:p>
      <w:pPr>
        <w:pStyle w:val="2"/>
        <w:jc w:val="center"/>
      </w:pPr>
      <w:r>
        <w:rPr>
          <w:sz w:val="20"/>
        </w:rPr>
        <w:t xml:space="preserve">ПОРЯДОК</w:t>
      </w:r>
    </w:p>
    <w:p>
      <w:pPr>
        <w:pStyle w:val="2"/>
        <w:jc w:val="center"/>
      </w:pPr>
      <w:r>
        <w:rPr>
          <w:sz w:val="20"/>
        </w:rPr>
        <w:t xml:space="preserve">ПРОВЕДЕНИЯ КОНКУРСНОГО ОТБОРА НА ПРАВО ПОЛУЧЕНИЯ В 2023 ГОДУ</w:t>
      </w:r>
    </w:p>
    <w:p>
      <w:pPr>
        <w:pStyle w:val="2"/>
        <w:jc w:val="center"/>
      </w:pPr>
      <w:r>
        <w:rPr>
          <w:sz w:val="20"/>
        </w:rPr>
        <w:t xml:space="preserve">СУБСИДИЙ СОЦИАЛЬНО ОРИЕНТИРОВАННЫМИ НЕКОММЕРЧЕСКИМИ</w:t>
      </w:r>
    </w:p>
    <w:p>
      <w:pPr>
        <w:pStyle w:val="2"/>
        <w:jc w:val="center"/>
      </w:pPr>
      <w:r>
        <w:rPr>
          <w:sz w:val="20"/>
        </w:rPr>
        <w:t xml:space="preserve">ОРГАНИЗАЦИЯМИ НА РАЗРАБОТКУ И РЕАЛИЗАЦИЮ ОБРАЗОВАТЕЛЬНЫХ</w:t>
      </w:r>
    </w:p>
    <w:p>
      <w:pPr>
        <w:pStyle w:val="2"/>
        <w:jc w:val="center"/>
      </w:pPr>
      <w:r>
        <w:rPr>
          <w:sz w:val="20"/>
        </w:rPr>
        <w:t xml:space="preserve">ПРОГРАММ РАЗВИТИЯ КОМПЕТЕНЦИЙ СТУДЕНЧЕСКОГО</w:t>
      </w:r>
    </w:p>
    <w:p>
      <w:pPr>
        <w:pStyle w:val="2"/>
        <w:jc w:val="center"/>
      </w:pPr>
      <w:r>
        <w:rPr>
          <w:sz w:val="20"/>
        </w:rPr>
        <w:t xml:space="preserve">ПРЕДПРИНИМАТЕЛЬСТВА (АКАДЕМИЧЕСКОЙ МОБИЛЬНОСТИ)</w:t>
      </w:r>
    </w:p>
    <w:p>
      <w:pPr>
        <w:pStyle w:val="2"/>
        <w:jc w:val="center"/>
      </w:pPr>
      <w:r>
        <w:rPr>
          <w:sz w:val="20"/>
        </w:rPr>
        <w:t xml:space="preserve">НА ТЕРРИТОРИИ САНКТ-ПЕТЕРБУРГА</w:t>
      </w:r>
    </w:p>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разработан в соответствии с Бюджетным </w:t>
      </w:r>
      <w:hyperlink w:history="0" r:id="rId1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w:t>
      </w:r>
      <w:hyperlink w:history="0" r:id="rId12" w:tooltip="Закон Санкт-Петербурга от 29.11.2022 N 666-104 (ред. от 13.11.2023)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(далее - Закон о бюджете Санкт-Петербурга), </w:t>
      </w:r>
      <w:hyperlink w:history="0" r:id="rId13"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w:t>
      </w:r>
      <w:hyperlink w:history="0" r:id="rId14" w:tooltip="Постановление Правительства Санкт-Петербурга от 23.06.2014 N 496 (ред. от 12.09.2023) &quot;О государственной программе Санкт-Петербурга &quot;Экономика знаний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23.06.2014 N 496 "О государственной программе Санкт-Петербурга "Экономика знаний в Санкт-Петербурге" и </w:t>
      </w:r>
      <w:hyperlink w:history="0" r:id="rId15" w:tooltip="Постановление Правительства Санкт-Петербурга от 05.05.2023 N 407 &quot;Об утверждении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quot; {КонсультантПлюс}">
        <w:r>
          <w:rPr>
            <w:sz w:val="20"/>
            <w:color w:val="0000ff"/>
          </w:rPr>
          <w:t xml:space="preserve">Порядком</w:t>
        </w:r>
      </w:hyperlink>
      <w:r>
        <w:rPr>
          <w:sz w:val="20"/>
        </w:rPr>
        <w:t xml:space="preserve">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утвержденным постановлением Правительства Санкт-Петербурга от 05.05.2023 N 407 (далее - Порядок предоставления субсидий).</w:t>
      </w:r>
    </w:p>
    <w:p>
      <w:pPr>
        <w:pStyle w:val="0"/>
        <w:spacing w:before="200" w:line-rule="auto"/>
        <w:ind w:firstLine="540"/>
        <w:jc w:val="both"/>
      </w:pPr>
      <w:r>
        <w:rPr>
          <w:sz w:val="20"/>
        </w:rPr>
        <w:t xml:space="preserve">1.2. Настоящий Порядок устанавливает правила проведения конкурсного отбора на право получения в 2023 году субсидий, предусмотренных Комитету по науке и высшей школе (далее - Комитет) </w:t>
      </w:r>
      <w:hyperlink w:history="0" r:id="rId16" w:tooltip="Закон Санкт-Петербурга от 29.11.2022 N 666-104 (ред. от 13.11.2023)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(код целевой статьи 1120095480) в приложении 2 к Закону о бюджете Санкт-Петербурга в соответствии с </w:t>
      </w:r>
      <w:hyperlink w:history="0" r:id="rId17" w:tooltip="Постановление Правительства Санкт-Петербурга от 23.06.2014 N 496 (ред. от 12.09.2023) &quot;О государственной программе Санкт-Петербурга &quot;Экономика знаний в Санкт-Петербурге&quot; {КонсультантПлюс}">
        <w:r>
          <w:rPr>
            <w:sz w:val="20"/>
            <w:color w:val="0000ff"/>
          </w:rPr>
          <w:t xml:space="preserve">пунктом 17 подраздела 9.2.1</w:t>
        </w:r>
      </w:hyperlink>
      <w:r>
        <w:rPr>
          <w:sz w:val="20"/>
        </w:rPr>
        <w:t xml:space="preserve"> приложения к постановлению Правительства Санкт-Петербурга от 23.06.2014 N 496 "О государственной программе Санкт-Петербурга "Экономика знаний в Санкт-Петербурге" (далее - субсидии).</w:t>
      </w:r>
    </w:p>
    <w:p>
      <w:pPr>
        <w:pStyle w:val="0"/>
        <w:spacing w:before="200" w:line-rule="auto"/>
        <w:ind w:firstLine="540"/>
        <w:jc w:val="both"/>
      </w:pPr>
      <w:r>
        <w:rPr>
          <w:sz w:val="20"/>
        </w:rPr>
        <w:t xml:space="preserve">1.3. В настоящем Порядке применяются следующие понятия:</w:t>
      </w:r>
    </w:p>
    <w:p>
      <w:pPr>
        <w:pStyle w:val="0"/>
        <w:spacing w:before="200" w:line-rule="auto"/>
        <w:ind w:firstLine="540"/>
        <w:jc w:val="both"/>
      </w:pPr>
      <w:r>
        <w:rPr>
          <w:sz w:val="20"/>
        </w:rPr>
        <w:t xml:space="preserve">документы - материалы и документы, в том числе на электронном носителе, включая опись документов с указанием страниц, на которых находятся соответствующие материалы и документы, представляемые для участия в конкурсном отборе на право получения в 2023 году субсидий (далее - отбор);</w:t>
      </w:r>
    </w:p>
    <w:p>
      <w:pPr>
        <w:pStyle w:val="0"/>
        <w:spacing w:before="200" w:line-rule="auto"/>
        <w:ind w:firstLine="540"/>
        <w:jc w:val="both"/>
      </w:pPr>
      <w:r>
        <w:rPr>
          <w:sz w:val="20"/>
        </w:rPr>
        <w:t xml:space="preserve">заявка - заявка на участие в отборе, представляемая участником отбора в Комитет;</w:t>
      </w:r>
    </w:p>
    <w:p>
      <w:pPr>
        <w:pStyle w:val="0"/>
        <w:spacing w:before="200" w:line-rule="auto"/>
        <w:ind w:firstLine="540"/>
        <w:jc w:val="both"/>
      </w:pPr>
      <w:r>
        <w:rPr>
          <w:sz w:val="20"/>
        </w:rPr>
        <w:t xml:space="preserve">конкурсная комиссия - комиссия для рассмотрения и оценки заявок на участие в конкурсном отборе на право получения в 2023 году субсидий, создаваемая Комитетом в целях определения победителя отбора, принятия решений о предоставлении (непредоставлении) субсидий и размере предоставляемых субсидий;</w:t>
      </w:r>
    </w:p>
    <w:p>
      <w:pPr>
        <w:pStyle w:val="0"/>
        <w:spacing w:before="200" w:line-rule="auto"/>
        <w:ind w:firstLine="540"/>
        <w:jc w:val="both"/>
      </w:pPr>
      <w:r>
        <w:rPr>
          <w:sz w:val="20"/>
        </w:rPr>
        <w:t xml:space="preserve">получатель субсидий - участник отбора, в отношении которого по результатам отбора Комитетом принято решение о предоставлении субсидий;</w:t>
      </w:r>
    </w:p>
    <w:p>
      <w:pPr>
        <w:pStyle w:val="0"/>
        <w:spacing w:before="200" w:line-rule="auto"/>
        <w:ind w:firstLine="540"/>
        <w:jc w:val="both"/>
      </w:pPr>
      <w:r>
        <w:rPr>
          <w:sz w:val="20"/>
        </w:rPr>
        <w:t xml:space="preserve">программа развития компетенций студенческого предпринимательства (академической мобильности) на территории Санкт-Петербурга программа повышения квалификации для студентов (на дату издания приказа о зачислении на обучение) по компетенциям студенческого предпринимательства инженерных и IT-специальностей, обеспечивающих модернизацию и технологическое развитие экономики Российской Федерации, включающая в себя аудиторные занятия по адаптации к неопределенности при ведении предпринимательской деятельности; тренинги по критическому и системному мышлению, стрессоустойчивости; аудиторные занятия по организации и планированию бизнеса и производства, управлению изменениями. Указанные программы могут быть реализованы на базовом уровне (не менее 48 академических часов) и углубленном (продвинутом) уровне (не менее 72 академических часов) и составлять в сумме не менее 180 академических часов, в том числе не менее 90 академических часов аудиторных занятий;</w:t>
      </w:r>
    </w:p>
    <w:p>
      <w:pPr>
        <w:pStyle w:val="0"/>
        <w:spacing w:before="200" w:line-rule="auto"/>
        <w:ind w:firstLine="540"/>
        <w:jc w:val="both"/>
      </w:pPr>
      <w:r>
        <w:rPr>
          <w:sz w:val="20"/>
        </w:rPr>
        <w:t xml:space="preserve">участники отбора - социально ориентированные некоммерческие организации, осуществляющие на территории Санкт-Петербурга в соответствии с учредительными документами деятельность в области науки и образования, предусмотренную в </w:t>
      </w:r>
      <w:hyperlink w:history="0" r:id="rId18"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пункте 9 статьи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и подавшие заявку и документы в Комитет.</w:t>
      </w:r>
    </w:p>
    <w:p>
      <w:pPr>
        <w:pStyle w:val="0"/>
        <w:spacing w:before="200" w:line-rule="auto"/>
        <w:ind w:firstLine="540"/>
        <w:jc w:val="both"/>
      </w:pPr>
      <w:r>
        <w:rPr>
          <w:sz w:val="20"/>
        </w:rPr>
        <w:t xml:space="preserve">1.4. Субсидии предоставляются на безвозмездной и безвозвратной основе получателю субсидий в целях финансового обеспечения затрат, возникших в 2023 году, но не позднее 05.12.2023, в связи с реализацией в 2023 году программ развития компетенций студенческого предпринимательства (академической мобильности) на территории Санкт-Петербурга по направлениям затрат, указанным в </w:t>
      </w:r>
      <w:hyperlink w:history="0" r:id="rId19" w:tooltip="Постановление Правительства Санкт-Петербурга от 05.05.2023 N 407 &quot;Об утверждении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quot; {КонсультантПлюс}">
        <w:r>
          <w:rPr>
            <w:sz w:val="20"/>
            <w:color w:val="0000ff"/>
          </w:rPr>
          <w:t xml:space="preserve">приложении N 1</w:t>
        </w:r>
      </w:hyperlink>
      <w:r>
        <w:rPr>
          <w:sz w:val="20"/>
        </w:rPr>
        <w:t xml:space="preserve"> к Порядку предоставления субсидий.</w:t>
      </w:r>
    </w:p>
    <w:p>
      <w:pPr>
        <w:pStyle w:val="0"/>
        <w:spacing w:before="200" w:line-rule="auto"/>
        <w:ind w:firstLine="540"/>
        <w:jc w:val="both"/>
      </w:pPr>
      <w:r>
        <w:rPr>
          <w:sz w:val="20"/>
        </w:rPr>
        <w:t xml:space="preserve">1.5. Субсидии предоставляются участнику отбора, признанному победителем отбора, в пределах лимитов бюджетных обязательств, доведенных Комитету в установленном порядке и предусмотренных в Законе о бюджете Санкт-Петербурга.</w:t>
      </w:r>
    </w:p>
    <w:p>
      <w:pPr>
        <w:pStyle w:val="0"/>
        <w:spacing w:before="200" w:line-rule="auto"/>
        <w:ind w:firstLine="540"/>
        <w:jc w:val="both"/>
      </w:pPr>
      <w:r>
        <w:rPr>
          <w:sz w:val="20"/>
        </w:rPr>
        <w:t xml:space="preserve">1.6. Субсидии предоставляются по результатам отбора. Способом проведения отбора является конкурс, который проводится в целях определения победителя отбора исходя из наилучших условий достижения целей (результатов) предоставления субсидий.</w:t>
      </w:r>
    </w:p>
    <w:p>
      <w:pPr>
        <w:pStyle w:val="0"/>
        <w:spacing w:before="200" w:line-rule="auto"/>
        <w:ind w:firstLine="540"/>
        <w:jc w:val="both"/>
      </w:pPr>
      <w:r>
        <w:rPr>
          <w:sz w:val="20"/>
        </w:rPr>
        <w:t xml:space="preserve">1.7. Настоящий Порядок устанавливает:</w:t>
      </w:r>
    </w:p>
    <w:p>
      <w:pPr>
        <w:pStyle w:val="0"/>
        <w:spacing w:before="200" w:line-rule="auto"/>
        <w:ind w:firstLine="540"/>
        <w:jc w:val="both"/>
      </w:pPr>
      <w:r>
        <w:rPr>
          <w:sz w:val="20"/>
        </w:rPr>
        <w:t xml:space="preserve">1.7.1. Срок размещения объявления о проведении отбора (далее - объявление) на информационном портале Комитета в информационно-телекоммуникационной сети "Интернет" по адресу </w:t>
      </w:r>
      <w:r>
        <w:rPr>
          <w:sz w:val="20"/>
        </w:rPr>
        <w:t xml:space="preserve">http://www.knvsh.gov.spb.ru</w:t>
      </w:r>
      <w:r>
        <w:rPr>
          <w:sz w:val="20"/>
        </w:rPr>
        <w:t xml:space="preserve"> (далее - официальный сайт Комитета) с указанием информации, указанной в </w:t>
      </w:r>
      <w:hyperlink w:history="0" r:id="rId20" w:tooltip="Постановление Правительства Санкт-Петербурга от 05.05.2023 N 407 &quot;Об утверждении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quot; {КонсультантПлюс}">
        <w:r>
          <w:rPr>
            <w:sz w:val="20"/>
            <w:color w:val="0000ff"/>
          </w:rPr>
          <w:t xml:space="preserve">пункте 2.3</w:t>
        </w:r>
      </w:hyperlink>
      <w:r>
        <w:rPr>
          <w:sz w:val="20"/>
        </w:rPr>
        <w:t xml:space="preserve"> Порядка предоставления субсидий.</w:t>
      </w:r>
    </w:p>
    <w:p>
      <w:pPr>
        <w:pStyle w:val="0"/>
        <w:spacing w:before="200" w:line-rule="auto"/>
        <w:ind w:firstLine="540"/>
        <w:jc w:val="both"/>
      </w:pPr>
      <w:r>
        <w:rPr>
          <w:sz w:val="20"/>
        </w:rPr>
        <w:t xml:space="preserve">1.7.2. Срок возврата получателем субсидий в бюджет Санкт-Петербурга остатка субсидий, не использованного в отчетном финансовом году.</w:t>
      </w:r>
    </w:p>
    <w:p>
      <w:pPr>
        <w:pStyle w:val="0"/>
        <w:spacing w:before="200" w:line-rule="auto"/>
        <w:ind w:firstLine="540"/>
        <w:jc w:val="both"/>
      </w:pPr>
      <w:r>
        <w:rPr>
          <w:sz w:val="20"/>
        </w:rPr>
        <w:t xml:space="preserve">1.7.3. Порядок проведения отбора и принятия Комитетом решения о предоставлении субсидий, в части, не урегулированной Порядком предоставления субсидий, устанавливающим в том числе:</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порядок подачи участниками отбора заявок на участие в отборе (далее - заявки) и документов, представляемых участниками отбора в Комитет для участия в отборе (далее - документы);</w:t>
      </w:r>
    </w:p>
    <w:p>
      <w:pPr>
        <w:pStyle w:val="0"/>
        <w:spacing w:before="200" w:line-rule="auto"/>
        <w:ind w:firstLine="540"/>
        <w:jc w:val="both"/>
      </w:pPr>
      <w:r>
        <w:rPr>
          <w:sz w:val="20"/>
        </w:rPr>
        <w:t xml:space="preserve">правила рассмотрения и оценки заявок и документов, включая порядок рассмотрения заявок и документов на предмет их соответствия установленным в объявлении о проведении отбора требованиям, значение весового коэффициента критериев отбора в общей оценке заявки и документов, порядок присвоения баллов по каждому критерию отбора и порядок принятия конкурсной комиссией решения о результатах отбора.</w:t>
      </w:r>
    </w:p>
    <w:p>
      <w:pPr>
        <w:pStyle w:val="0"/>
        <w:spacing w:before="200" w:line-rule="auto"/>
        <w:ind w:firstLine="540"/>
        <w:jc w:val="both"/>
      </w:pPr>
      <w:r>
        <w:rPr>
          <w:sz w:val="20"/>
        </w:rPr>
        <w:t xml:space="preserve">1.7.4. Порядок формирования конкурсной комиссии, ее состав и положение о ней.</w:t>
      </w:r>
    </w:p>
    <w:p>
      <w:pPr>
        <w:pStyle w:val="0"/>
        <w:spacing w:before="200" w:line-rule="auto"/>
        <w:ind w:firstLine="540"/>
        <w:jc w:val="both"/>
      </w:pPr>
      <w:r>
        <w:rPr>
          <w:sz w:val="20"/>
        </w:rPr>
        <w:t xml:space="preserve">1.7.5. Порядок представления и рассмотрения отчетности о достижении результата предоставления субсидий (далее - результат) и показателя, необходимого для достижения результата (далее - показатель), а также сроки представления получателем субсидий отчетности, в части, не урегулированной Порядком предоставления субсидий.</w:t>
      </w:r>
    </w:p>
    <w:p>
      <w:pPr>
        <w:pStyle w:val="0"/>
        <w:spacing w:before="200" w:line-rule="auto"/>
        <w:ind w:firstLine="540"/>
        <w:jc w:val="both"/>
      </w:pPr>
      <w:r>
        <w:rPr>
          <w:sz w:val="20"/>
        </w:rPr>
        <w:t xml:space="preserve">1.7.6. Порядок и сроки проведения Комитетом обязательных проверок соблюдения условий, целей и порядка предоставления субсидий получателем субсидий и проверок соблюдения лицами, получающими за счет субсидий средства на основании договоров, заключенных с получателем субсидий, условий, целей и порядка предоставления субсидий.</w:t>
      </w:r>
    </w:p>
    <w:p>
      <w:pPr>
        <w:pStyle w:val="0"/>
      </w:pPr>
      <w:r>
        <w:rPr>
          <w:sz w:val="20"/>
        </w:rPr>
      </w:r>
    </w:p>
    <w:p>
      <w:pPr>
        <w:pStyle w:val="2"/>
        <w:outlineLvl w:val="1"/>
        <w:jc w:val="center"/>
      </w:pPr>
      <w:r>
        <w:rPr>
          <w:sz w:val="20"/>
        </w:rPr>
        <w:t xml:space="preserve">2. Порядок и сроки размещения на официальном сайте Комитета</w:t>
      </w:r>
    </w:p>
    <w:p>
      <w:pPr>
        <w:pStyle w:val="2"/>
        <w:jc w:val="center"/>
      </w:pPr>
      <w:r>
        <w:rPr>
          <w:sz w:val="20"/>
        </w:rPr>
        <w:t xml:space="preserve">объявления. Порядок подачи заявок и документов</w:t>
      </w:r>
    </w:p>
    <w:p>
      <w:pPr>
        <w:pStyle w:val="2"/>
        <w:jc w:val="center"/>
      </w:pPr>
      <w:r>
        <w:rPr>
          <w:sz w:val="20"/>
        </w:rPr>
        <w:t xml:space="preserve">для участия в отборе</w:t>
      </w:r>
    </w:p>
    <w:p>
      <w:pPr>
        <w:pStyle w:val="0"/>
      </w:pPr>
      <w:r>
        <w:rPr>
          <w:sz w:val="20"/>
        </w:rPr>
      </w:r>
    </w:p>
    <w:p>
      <w:pPr>
        <w:pStyle w:val="0"/>
        <w:ind w:firstLine="540"/>
        <w:jc w:val="both"/>
      </w:pPr>
      <w:r>
        <w:rPr>
          <w:sz w:val="20"/>
        </w:rPr>
        <w:t xml:space="preserve">2.1. Объявление размещается Комитетом на официальном сайте Комитета не позднее чем за 30 календарных дней до дня окончания приема заявок и документов на участие в отборе с указанием информации, указанной в </w:t>
      </w:r>
      <w:hyperlink w:history="0" r:id="rId21" w:tooltip="Постановление Правительства Санкт-Петербурга от 05.05.2023 N 407 &quot;Об утверждении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quot; {КонсультантПлюс}">
        <w:r>
          <w:rPr>
            <w:sz w:val="20"/>
            <w:color w:val="0000ff"/>
          </w:rPr>
          <w:t xml:space="preserve">пункте 2.3</w:t>
        </w:r>
      </w:hyperlink>
      <w:r>
        <w:rPr>
          <w:sz w:val="20"/>
        </w:rPr>
        <w:t xml:space="preserve"> Порядка предоставления субсидий, в срок не позднее рабочего дня, следующего за днем вступления в силу настоящего распоряжения.</w:t>
      </w:r>
    </w:p>
    <w:p>
      <w:pPr>
        <w:pStyle w:val="0"/>
        <w:spacing w:before="200" w:line-rule="auto"/>
        <w:ind w:firstLine="540"/>
        <w:jc w:val="both"/>
      </w:pPr>
      <w:r>
        <w:rPr>
          <w:sz w:val="20"/>
        </w:rPr>
        <w:t xml:space="preserve">2.2. Срок проведения отбора с начала до окончания подачи заявок и документов участниками отбора в Комитет для участия в отборе составляет 30 календарных дней, следующих за днем размещения объявления.</w:t>
      </w:r>
    </w:p>
    <w:p>
      <w:pPr>
        <w:pStyle w:val="0"/>
        <w:spacing w:before="200" w:line-rule="auto"/>
        <w:ind w:firstLine="540"/>
        <w:jc w:val="both"/>
      </w:pPr>
      <w:r>
        <w:rPr>
          <w:sz w:val="20"/>
        </w:rPr>
        <w:t xml:space="preserve">2.3. Электронный графический образ заявки, заявка и документы в соответствии с Порядком предоставления субсидий представляются участниками отбора по адресу электронной почты, в сроки и месте, которые указаны в объявлении. Заявка и документы на бумажном носителе представляются в Комитет лично руководителем участника отбора либо лицом, действующим на основании доверенности или иного документа, предусмотренного </w:t>
      </w:r>
      <w:hyperlink w:history="0" r:id="rId2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4 статьи 185</w:t>
        </w:r>
      </w:hyperlink>
      <w:r>
        <w:rPr>
          <w:sz w:val="20"/>
        </w:rPr>
        <w:t xml:space="preserve"> Гражданского кодекса Российской Федерации, подтверждающего соответствующие полномочия.</w:t>
      </w:r>
    </w:p>
    <w:p>
      <w:pPr>
        <w:pStyle w:val="0"/>
        <w:spacing w:before="200" w:line-rule="auto"/>
        <w:ind w:firstLine="540"/>
        <w:jc w:val="both"/>
      </w:pPr>
      <w:r>
        <w:rPr>
          <w:sz w:val="20"/>
        </w:rPr>
        <w:t xml:space="preserve">2.4. Заявки и документы подаются в организационно-информационный отдел Комитета для регистрации, после чего в тот же рабочий день направляются в Отдел развития программ и проектов в сфере профессионального образования Комитета (далее - Отдел) в порядке, предусмотренном </w:t>
      </w:r>
      <w:hyperlink w:history="0" r:id="rId23" w:tooltip="Приказ Комитета по науке и высшей школе Правительства Санкт-Петербурга от 27.10.2006 N 71 (ред. от 31.08.2023) &quot;Об утверждении Регламента Комитета по науке и высшей школе&quot; {КонсультантПлюс}">
        <w:r>
          <w:rPr>
            <w:sz w:val="20"/>
            <w:color w:val="0000ff"/>
          </w:rPr>
          <w:t xml:space="preserve">Регламентом</w:t>
        </w:r>
      </w:hyperlink>
      <w:r>
        <w:rPr>
          <w:sz w:val="20"/>
        </w:rPr>
        <w:t xml:space="preserve"> Комитета, утвержденным приказом Комитета от 27.10.2006 N 71 (далее - Регламент).</w:t>
      </w:r>
    </w:p>
    <w:p>
      <w:pPr>
        <w:pStyle w:val="0"/>
      </w:pPr>
      <w:r>
        <w:rPr>
          <w:sz w:val="20"/>
        </w:rPr>
      </w:r>
    </w:p>
    <w:p>
      <w:pPr>
        <w:pStyle w:val="2"/>
        <w:outlineLvl w:val="1"/>
        <w:jc w:val="center"/>
      </w:pPr>
      <w:r>
        <w:rPr>
          <w:sz w:val="20"/>
        </w:rPr>
        <w:t xml:space="preserve">3. Порядок расчета рейтинга заявки и принятия решения</w:t>
      </w:r>
    </w:p>
    <w:p>
      <w:pPr>
        <w:pStyle w:val="2"/>
        <w:jc w:val="center"/>
      </w:pPr>
      <w:r>
        <w:rPr>
          <w:sz w:val="20"/>
        </w:rPr>
        <w:t xml:space="preserve">о предоставлении субсидий</w:t>
      </w:r>
    </w:p>
    <w:p>
      <w:pPr>
        <w:pStyle w:val="0"/>
      </w:pPr>
      <w:r>
        <w:rPr>
          <w:sz w:val="20"/>
        </w:rPr>
      </w:r>
    </w:p>
    <w:bookmarkStart w:id="75" w:name="P75"/>
    <w:bookmarkEnd w:id="75"/>
    <w:p>
      <w:pPr>
        <w:pStyle w:val="0"/>
        <w:ind w:firstLine="540"/>
        <w:jc w:val="both"/>
      </w:pPr>
      <w:r>
        <w:rPr>
          <w:sz w:val="20"/>
        </w:rPr>
        <w:t xml:space="preserve">3.1. В течение десяти рабочих дней со дня окончания приема заявок и документов Отдел рассматривает заявки и документы на предмет их соответствия установленным в объявлении форме заявки, перечню документов и требованиям к ним, на соответствие участника отбора условиям предоставления субсидий, установленным Порядком предоставления субсидий, проводит проверку сведений, содержащихся в заявке и документах, проводит проверку обоснованности представленного участником отбора расчета размера субсидий и принимает решение об отклонении заявок и документов или о допуске заявок и документов к отбору.</w:t>
      </w:r>
    </w:p>
    <w:p>
      <w:pPr>
        <w:pStyle w:val="0"/>
        <w:spacing w:before="200" w:line-rule="auto"/>
        <w:ind w:firstLine="540"/>
        <w:jc w:val="both"/>
      </w:pPr>
      <w:r>
        <w:rPr>
          <w:sz w:val="20"/>
        </w:rPr>
        <w:t xml:space="preserve">При проверке обоснованности представленного участником отбора расчета размера субсидий Отдел осуществляет взаимодействие с финансово-бухгалтерским отделом Комитета.</w:t>
      </w:r>
    </w:p>
    <w:p>
      <w:pPr>
        <w:pStyle w:val="0"/>
        <w:spacing w:before="200" w:line-rule="auto"/>
        <w:ind w:firstLine="540"/>
        <w:jc w:val="both"/>
      </w:pPr>
      <w:r>
        <w:rPr>
          <w:sz w:val="20"/>
        </w:rPr>
        <w:t xml:space="preserve">3.2. Лицо, являющееся работником участника отбора, либо лицом, являющимся участником отбора, учредителем участника отбора, членом органа управления участника отбора или его аффилированным лицом, не допускается к осуществлению действий, предусмотренных </w:t>
      </w:r>
      <w:hyperlink w:history="0" w:anchor="P75" w:tooltip="3.1. В течение десяти рабочих дней со дня окончания приема заявок и документов Отдел рассматривает заявки и документы на предмет их соответствия установленным в объявлении форме заявки, перечню документов и требованиям к ним, на соответствие участника отбора условиям предоставления субсидий, установленным Порядком предоставления субсидий, проводит проверку сведений, содержащихся в заявке и документах, проводит проверку обоснованности представленного участником отбора расчета размера субсидий и принимает ...">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3.3. Рейтинг заявки определяется в баллах, в соответствии с </w:t>
      </w:r>
      <w:hyperlink w:history="0" w:anchor="P125" w:tooltip="НОМЕНКЛАТУРА">
        <w:r>
          <w:rPr>
            <w:sz w:val="20"/>
            <w:color w:val="0000ff"/>
          </w:rPr>
          <w:t xml:space="preserve">номенклатурой</w:t>
        </w:r>
      </w:hyperlink>
      <w:r>
        <w:rPr>
          <w:sz w:val="20"/>
        </w:rPr>
        <w:t xml:space="preserve"> критериев определения победителя отбора и их весовыми коэффициентами, представленными в приложении к настоящему порядку.</w:t>
      </w:r>
    </w:p>
    <w:p>
      <w:pPr>
        <w:pStyle w:val="0"/>
        <w:spacing w:before="200" w:line-rule="auto"/>
        <w:ind w:firstLine="540"/>
        <w:jc w:val="both"/>
      </w:pPr>
      <w:r>
        <w:rPr>
          <w:sz w:val="20"/>
        </w:rPr>
        <w:t xml:space="preserve">3.4. Рейтинг заявки рассчитывается по формуле:</w:t>
      </w:r>
    </w:p>
    <w:p>
      <w:pPr>
        <w:pStyle w:val="0"/>
      </w:pPr>
      <w:r>
        <w:rPr>
          <w:sz w:val="20"/>
        </w:rPr>
      </w:r>
    </w:p>
    <w:p>
      <w:pPr>
        <w:pStyle w:val="0"/>
        <w:jc w:val="center"/>
      </w:pPr>
      <w:r>
        <w:rPr>
          <w:position w:val="-24"/>
        </w:rPr>
        <w:drawing>
          <wp:inline distT="0" distB="0" distL="0" distR="0">
            <wp:extent cx="9296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929640" cy="43434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w:t>
      </w:r>
      <w:r>
        <w:rPr>
          <w:sz w:val="20"/>
          <w:vertAlign w:val="subscript"/>
        </w:rPr>
        <w:t xml:space="preserve">i</w:t>
      </w:r>
      <w:r>
        <w:rPr>
          <w:sz w:val="20"/>
        </w:rPr>
        <w:t xml:space="preserve"> - значение критерия определения победителей отбора;</w:t>
      </w:r>
    </w:p>
    <w:p>
      <w:pPr>
        <w:pStyle w:val="0"/>
        <w:spacing w:before="200" w:line-rule="auto"/>
        <w:ind w:firstLine="540"/>
        <w:jc w:val="both"/>
      </w:pPr>
      <w:r>
        <w:rPr>
          <w:sz w:val="20"/>
        </w:rPr>
        <w:t xml:space="preserve">В</w:t>
      </w:r>
      <w:r>
        <w:rPr>
          <w:sz w:val="20"/>
          <w:vertAlign w:val="subscript"/>
        </w:rPr>
        <w:t xml:space="preserve">i</w:t>
      </w:r>
      <w:r>
        <w:rPr>
          <w:sz w:val="20"/>
        </w:rPr>
        <w:t xml:space="preserve"> - весовой коэффициент критерия определения победителей отбора;</w:t>
      </w:r>
    </w:p>
    <w:p>
      <w:pPr>
        <w:pStyle w:val="0"/>
      </w:pPr>
      <w:r>
        <w:rPr>
          <w:sz w:val="20"/>
        </w:rPr>
      </w:r>
    </w:p>
    <w:p>
      <w:pPr>
        <w:pStyle w:val="0"/>
        <w:ind w:firstLine="540"/>
        <w:jc w:val="both"/>
      </w:pPr>
      <w:r>
        <w:rPr>
          <w:sz w:val="20"/>
        </w:rPr>
        <w:t xml:space="preserve">3.5. По итогам рассмотрения заявок и документов Отделом готовится заключение о результатах рассмотрения заявок и документов (далее - заключение). На основании заключения Комитетом принимается решение об отклонении заявок и документов участника отбора или о допуске заявок и документов участника отбора к отбору по основаниям, установленным Порядком предоставления субсидий.</w:t>
      </w:r>
    </w:p>
    <w:p>
      <w:pPr>
        <w:pStyle w:val="0"/>
        <w:spacing w:before="200" w:line-rule="auto"/>
        <w:ind w:firstLine="540"/>
        <w:jc w:val="both"/>
      </w:pPr>
      <w:r>
        <w:rPr>
          <w:sz w:val="20"/>
        </w:rPr>
        <w:t xml:space="preserve">3.6. Заявки и документы участника отбора после принятия Комитетом решения о допуске участника отбора к отбору, а также заключение в течение трех рабочих дней передаются в конкурсную комиссию, состав которой утверждается Комитетом.</w:t>
      </w:r>
    </w:p>
    <w:p>
      <w:pPr>
        <w:pStyle w:val="0"/>
        <w:spacing w:before="200" w:line-rule="auto"/>
        <w:ind w:firstLine="540"/>
        <w:jc w:val="both"/>
      </w:pPr>
      <w:r>
        <w:rPr>
          <w:sz w:val="20"/>
        </w:rPr>
        <w:t xml:space="preserve">3.7. С учетом заключения и в соответствии с Порядком предоставления субсидий конкурсная комиссия определяет победителя отбора и размер предоставляемых субсидий.</w:t>
      </w:r>
    </w:p>
    <w:bookmarkStart w:id="90" w:name="P90"/>
    <w:bookmarkEnd w:id="90"/>
    <w:p>
      <w:pPr>
        <w:pStyle w:val="0"/>
        <w:spacing w:before="200" w:line-rule="auto"/>
        <w:ind w:firstLine="540"/>
        <w:jc w:val="both"/>
      </w:pPr>
      <w:r>
        <w:rPr>
          <w:sz w:val="20"/>
        </w:rPr>
        <w:t xml:space="preserve">3.8. Отдел в течение десяти рабочих дней со дня получения решения конкурсной комиссии осуществляет подготовку проекта распоряжения Комитета о предоставлении субсидий, в котором указываются победитель отбора и размер предоставляемых субсидий, и его согласование в порядке, предусмотренном Регламентом.</w:t>
      </w:r>
    </w:p>
    <w:p>
      <w:pPr>
        <w:pStyle w:val="0"/>
        <w:spacing w:before="200" w:line-rule="auto"/>
        <w:ind w:firstLine="540"/>
        <w:jc w:val="both"/>
      </w:pPr>
      <w:r>
        <w:rPr>
          <w:sz w:val="20"/>
        </w:rPr>
        <w:t xml:space="preserve">3.9. Отдел в соответствии с Порядком предоставления субсидий обеспечивает направление проекта соглашения о предоставлении субсидий, заключаемого между Комитетом и победителем отбора, по адресу электронной почты, указанному в заявке, либо вручает его уполномоченному представителю участника отбора, признанного победителем отбора.</w:t>
      </w:r>
    </w:p>
    <w:p>
      <w:pPr>
        <w:pStyle w:val="0"/>
        <w:spacing w:before="200" w:line-rule="auto"/>
        <w:ind w:firstLine="540"/>
        <w:jc w:val="both"/>
      </w:pPr>
      <w:r>
        <w:rPr>
          <w:sz w:val="20"/>
        </w:rPr>
        <w:t xml:space="preserve">Соглашение о предоставлении субсидии при наличии технической возможности формируется в форме электронного документа в Автоматизированной информационной системе бюджетного процесса электронном казначействе.</w:t>
      </w:r>
    </w:p>
    <w:p>
      <w:pPr>
        <w:pStyle w:val="0"/>
        <w:spacing w:before="200" w:line-rule="auto"/>
        <w:ind w:firstLine="540"/>
        <w:jc w:val="both"/>
      </w:pPr>
      <w:r>
        <w:rPr>
          <w:sz w:val="20"/>
        </w:rPr>
        <w:t xml:space="preserve">3.10. Отдел в течение пяти рабочих дней после издания распоряжения, указанного в </w:t>
      </w:r>
      <w:hyperlink w:history="0" w:anchor="P90" w:tooltip="3.8. Отдел в течение десяти рабочих дней со дня получения решения конкурсной комиссии осуществляет подготовку проекта распоряжения Комитета о предоставлении субсидий, в котором указываются победитель отбора и размер предоставляемых субсидий, и его согласование в порядке, предусмотренном Регламентом.">
        <w:r>
          <w:rPr>
            <w:sz w:val="20"/>
            <w:color w:val="0000ff"/>
          </w:rPr>
          <w:t xml:space="preserve">пункте 3.8</w:t>
        </w:r>
      </w:hyperlink>
      <w:r>
        <w:rPr>
          <w:sz w:val="20"/>
        </w:rPr>
        <w:t xml:space="preserve"> настоящего распоряжения, обеспечивает размещение на официальном сайте Комитета информации о результатах рассмотрения заявок и документов с указанием информации, указанной в </w:t>
      </w:r>
      <w:hyperlink w:history="0" r:id="rId25" w:tooltip="Постановление Правительства Санкт-Петербурга от 05.05.2023 N 407 &quot;Об утверждении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quot; {КонсультантПлюс}">
        <w:r>
          <w:rPr>
            <w:sz w:val="20"/>
            <w:color w:val="0000ff"/>
          </w:rPr>
          <w:t xml:space="preserve">пункте 2.12</w:t>
        </w:r>
      </w:hyperlink>
      <w:r>
        <w:rPr>
          <w:sz w:val="20"/>
        </w:rPr>
        <w:t xml:space="preserve"> Порядка предоставления субсидий.</w:t>
      </w:r>
    </w:p>
    <w:p>
      <w:pPr>
        <w:pStyle w:val="0"/>
      </w:pPr>
      <w:r>
        <w:rPr>
          <w:sz w:val="20"/>
        </w:rPr>
      </w:r>
    </w:p>
    <w:p>
      <w:pPr>
        <w:pStyle w:val="2"/>
        <w:outlineLvl w:val="1"/>
        <w:jc w:val="center"/>
      </w:pPr>
      <w:r>
        <w:rPr>
          <w:sz w:val="20"/>
        </w:rPr>
        <w:t xml:space="preserve">4. Порядок и сроки представления получателем субсидий</w:t>
      </w:r>
    </w:p>
    <w:p>
      <w:pPr>
        <w:pStyle w:val="2"/>
        <w:jc w:val="center"/>
      </w:pPr>
      <w:r>
        <w:rPr>
          <w:sz w:val="20"/>
        </w:rPr>
        <w:t xml:space="preserve">отчетности</w:t>
      </w:r>
    </w:p>
    <w:p>
      <w:pPr>
        <w:pStyle w:val="0"/>
      </w:pPr>
      <w:r>
        <w:rPr>
          <w:sz w:val="20"/>
        </w:rPr>
      </w:r>
    </w:p>
    <w:p>
      <w:pPr>
        <w:pStyle w:val="0"/>
        <w:ind w:firstLine="540"/>
        <w:jc w:val="both"/>
      </w:pPr>
      <w:r>
        <w:rPr>
          <w:sz w:val="20"/>
        </w:rPr>
        <w:t xml:space="preserve">Получатель субсидий представляет в Комитет отчетность в порядке и по форме, установленным </w:t>
      </w:r>
      <w:hyperlink w:history="0" r:id="rId26" w:tooltip="Постановление Правительства Санкт-Петербурга от 05.05.2023 N 407 &quot;Об утверждении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quot; {КонсультантПлюс}">
        <w:r>
          <w:rPr>
            <w:sz w:val="20"/>
            <w:color w:val="0000ff"/>
          </w:rPr>
          <w:t xml:space="preserve">пунктом 3.1</w:t>
        </w:r>
      </w:hyperlink>
      <w:r>
        <w:rPr>
          <w:sz w:val="20"/>
        </w:rPr>
        <w:t xml:space="preserve"> Порядка предоставления субсидий, в срок не позднее 15.12.2023. Прилагаемые документы сшиваются и заверяются подписью руководителя (уполномоченного лица) и оттиском печати получателя субсидий (при наличии печати).</w:t>
      </w:r>
    </w:p>
    <w:p>
      <w:pPr>
        <w:pStyle w:val="0"/>
      </w:pPr>
      <w:r>
        <w:rPr>
          <w:sz w:val="20"/>
        </w:rPr>
      </w:r>
    </w:p>
    <w:p>
      <w:pPr>
        <w:pStyle w:val="2"/>
        <w:outlineLvl w:val="1"/>
        <w:jc w:val="center"/>
      </w:pPr>
      <w:r>
        <w:rPr>
          <w:sz w:val="20"/>
        </w:rPr>
        <w:t xml:space="preserve">5. Сроки и порядок осуществления контроля за соблюдением</w:t>
      </w:r>
    </w:p>
    <w:p>
      <w:pPr>
        <w:pStyle w:val="2"/>
        <w:jc w:val="center"/>
      </w:pPr>
      <w:r>
        <w:rPr>
          <w:sz w:val="20"/>
        </w:rPr>
        <w:t xml:space="preserve">условий, целей и порядка предоставления субсидий. Сроки</w:t>
      </w:r>
    </w:p>
    <w:p>
      <w:pPr>
        <w:pStyle w:val="2"/>
        <w:jc w:val="center"/>
      </w:pPr>
      <w:r>
        <w:rPr>
          <w:sz w:val="20"/>
        </w:rPr>
        <w:t xml:space="preserve">возврата неиспользованного остатка субсидий</w:t>
      </w:r>
    </w:p>
    <w:p>
      <w:pPr>
        <w:pStyle w:val="0"/>
      </w:pPr>
      <w:r>
        <w:rPr>
          <w:sz w:val="20"/>
        </w:rPr>
      </w:r>
    </w:p>
    <w:p>
      <w:pPr>
        <w:pStyle w:val="0"/>
        <w:ind w:firstLine="540"/>
        <w:jc w:val="both"/>
      </w:pPr>
      <w:r>
        <w:rPr>
          <w:sz w:val="20"/>
        </w:rPr>
        <w:t xml:space="preserve">5.1. Порядок проведения обязательных проверок соблюдения получателем субсидий условий, целей и порядка предоставления субсидий и проверок соблюдения лицами, получающими за счет субсидий средства на основании договоров, заключенных с получателем субсидий (далее - контрагенты), условий, целей и порядка предоставления субсидий осуществляется в соответствии с </w:t>
      </w:r>
      <w:hyperlink w:history="0" r:id="rId27" w:tooltip="Распоряжение Комитета по науке и высшей школе Правительства Санкт-Петербурга от 30.11.2020 N 252 &quot;Об утверждении порядка проведения Комитетом по науке и высшей школе обязательных проверок соблюдения получателями субсидий условий, целей и порядка предоставления субсидий&quot; {КонсультантПлюс}">
        <w:r>
          <w:rPr>
            <w:sz w:val="20"/>
            <w:color w:val="0000ff"/>
          </w:rPr>
          <w:t xml:space="preserve">распоряжением</w:t>
        </w:r>
      </w:hyperlink>
      <w:r>
        <w:rPr>
          <w:sz w:val="20"/>
        </w:rPr>
        <w:t xml:space="preserve"> Комитета от 30.11.2020 N 252 "Об утверждении порядка проведения Комитетом по науке и высшей школе обязательных проверок соблюдения получателями субсидий условий, целей и порядка предоставления субсидий" комиссией по осуществлению обязательных проверок соблюдения получателем субсидий и контрагентами условий, целей и порядка предоставления субсидий, состав которой утверждается Комитетом (далее - комиссия).</w:t>
      </w:r>
    </w:p>
    <w:p>
      <w:pPr>
        <w:pStyle w:val="0"/>
        <w:spacing w:before="200" w:line-rule="auto"/>
        <w:ind w:firstLine="540"/>
        <w:jc w:val="both"/>
      </w:pPr>
      <w:r>
        <w:rPr>
          <w:sz w:val="20"/>
        </w:rPr>
        <w:t xml:space="preserve">5.2. Проведение проверок осуществляется Комитетом в период с даты представления получателем субсидий документов, указанных в соглашении, по 29.12.2023, а в случае необходимости до даты полного исполнения сторонами своих обязательств по соглашению.</w:t>
      </w:r>
    </w:p>
    <w:p>
      <w:pPr>
        <w:pStyle w:val="0"/>
        <w:spacing w:before="200" w:line-rule="auto"/>
        <w:ind w:firstLine="540"/>
        <w:jc w:val="both"/>
      </w:pPr>
      <w:r>
        <w:rPr>
          <w:sz w:val="20"/>
        </w:rPr>
        <w:t xml:space="preserve">5.3. По результатам проведения проверок Комитетом составляется акт проведения проверки.</w:t>
      </w:r>
    </w:p>
    <w:p>
      <w:pPr>
        <w:pStyle w:val="0"/>
        <w:spacing w:before="200" w:line-rule="auto"/>
        <w:ind w:firstLine="540"/>
        <w:jc w:val="both"/>
      </w:pPr>
      <w:r>
        <w:rPr>
          <w:sz w:val="20"/>
        </w:rPr>
        <w:t xml:space="preserve">5.4. Проверки соблюдения контрагентами условий, целей и порядка предоставления субсидий осуществляются комиссией в случае, если при проведении обязательных проверок соблюдения получателем субсидий условий, целей и порядка предоставления субсидий выявлены нарушения. Проверки соблюдения контрагентами условий, целей и порядка предоставления субсидий осуществляются в отношении статей затрат, по которым выявлены нарушения, при этом в ходе проверки рассматриваются: полнота, достоверность, правильность представленных первичных финансово-бухгалтерских документов, подтверждающих расходы; целевое назначение расходов; соответствие видов расходов и периодов времени, в которые произведены расходы, условиям предоставления субсидий.</w:t>
      </w:r>
    </w:p>
    <w:p>
      <w:pPr>
        <w:pStyle w:val="0"/>
        <w:spacing w:before="200" w:line-rule="auto"/>
        <w:ind w:firstLine="540"/>
        <w:jc w:val="both"/>
      </w:pPr>
      <w:r>
        <w:rPr>
          <w:sz w:val="20"/>
        </w:rPr>
        <w:t xml:space="preserve">5.5. Не использованный в отчетном финансовом году остаток субсидий подлежит возврату получателем субсидий в бюджет Санкт-Петербурга в порядке, предусмотренном </w:t>
      </w:r>
      <w:hyperlink w:history="0" r:id="rId28" w:tooltip="Постановление Правительства Санкт-Петербурга от 05.05.2023 N 407 &quot;Об утверждении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quot; {КонсультантПлюс}">
        <w:r>
          <w:rPr>
            <w:sz w:val="20"/>
            <w:color w:val="0000ff"/>
          </w:rPr>
          <w:t xml:space="preserve">пунктами 4.7</w:t>
        </w:r>
      </w:hyperlink>
      <w:r>
        <w:rPr>
          <w:sz w:val="20"/>
        </w:rPr>
        <w:t xml:space="preserve"> - </w:t>
      </w:r>
      <w:hyperlink w:history="0" r:id="rId29" w:tooltip="Постановление Правительства Санкт-Петербурга от 05.05.2023 N 407 &quot;Об утверждении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quot; {КонсультантПлюс}">
        <w:r>
          <w:rPr>
            <w:sz w:val="20"/>
            <w:color w:val="0000ff"/>
          </w:rPr>
          <w:t xml:space="preserve">4.9</w:t>
        </w:r>
      </w:hyperlink>
      <w:r>
        <w:rPr>
          <w:sz w:val="20"/>
        </w:rPr>
        <w:t xml:space="preserve"> Порядка предоставления субсидий, в срок не позднее 19.01.2024.</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термины и принятые сокращения, используемые в </w:t>
      </w:r>
      <w:hyperlink w:history="0" w:anchor="P125" w:tooltip="НОМЕНКЛАТУРА">
        <w:r>
          <w:rPr>
            <w:sz w:val="20"/>
            <w:color w:val="0000ff"/>
          </w:rPr>
          <w:t xml:space="preserve">приложении</w:t>
        </w:r>
      </w:hyperlink>
      <w:r>
        <w:rPr>
          <w:sz w:val="20"/>
        </w:rPr>
        <w:t xml:space="preserve"> к настоящему Порядку, используются в значениях, определенных настоящим Порядком.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w:t>
      </w:r>
    </w:p>
    <w:p>
      <w:pPr>
        <w:pStyle w:val="0"/>
        <w:jc w:val="right"/>
      </w:pPr>
      <w:r>
        <w:rPr>
          <w:sz w:val="20"/>
        </w:rPr>
        <w:t xml:space="preserve">к Порядку проведения конкурсного отбора</w:t>
      </w:r>
    </w:p>
    <w:p>
      <w:pPr>
        <w:pStyle w:val="0"/>
        <w:jc w:val="right"/>
      </w:pPr>
      <w:r>
        <w:rPr>
          <w:sz w:val="20"/>
        </w:rPr>
        <w:t xml:space="preserve">на право получения в 2023 году субсидий</w:t>
      </w:r>
    </w:p>
    <w:p>
      <w:pPr>
        <w:pStyle w:val="0"/>
        <w:jc w:val="right"/>
      </w:pPr>
      <w:r>
        <w:rPr>
          <w:sz w:val="20"/>
        </w:rPr>
        <w:t xml:space="preserve">социально ориентированными некоммерческими</w:t>
      </w:r>
    </w:p>
    <w:p>
      <w:pPr>
        <w:pStyle w:val="0"/>
        <w:jc w:val="right"/>
      </w:pPr>
      <w:r>
        <w:rPr>
          <w:sz w:val="20"/>
        </w:rPr>
        <w:t xml:space="preserve">организациями на разработку и реализацию</w:t>
      </w:r>
    </w:p>
    <w:p>
      <w:pPr>
        <w:pStyle w:val="0"/>
        <w:jc w:val="right"/>
      </w:pPr>
      <w:r>
        <w:rPr>
          <w:sz w:val="20"/>
        </w:rPr>
        <w:t xml:space="preserve">образовательных программ развития компетенций</w:t>
      </w:r>
    </w:p>
    <w:p>
      <w:pPr>
        <w:pStyle w:val="0"/>
        <w:jc w:val="right"/>
      </w:pPr>
      <w:r>
        <w:rPr>
          <w:sz w:val="20"/>
        </w:rPr>
        <w:t xml:space="preserve">студенческого предпринимательства (академической</w:t>
      </w:r>
    </w:p>
    <w:p>
      <w:pPr>
        <w:pStyle w:val="0"/>
        <w:jc w:val="right"/>
      </w:pPr>
      <w:r>
        <w:rPr>
          <w:sz w:val="20"/>
        </w:rPr>
        <w:t xml:space="preserve">мобильности) на территории Санкт-Петербурга</w:t>
      </w:r>
    </w:p>
    <w:p>
      <w:pPr>
        <w:pStyle w:val="0"/>
      </w:pPr>
      <w:r>
        <w:rPr>
          <w:sz w:val="20"/>
        </w:rPr>
      </w:r>
    </w:p>
    <w:bookmarkStart w:id="125" w:name="P125"/>
    <w:bookmarkEnd w:id="125"/>
    <w:p>
      <w:pPr>
        <w:pStyle w:val="2"/>
        <w:jc w:val="center"/>
      </w:pPr>
      <w:r>
        <w:rPr>
          <w:sz w:val="20"/>
        </w:rPr>
        <w:t xml:space="preserve">НОМЕНКЛАТУРА</w:t>
      </w:r>
    </w:p>
    <w:p>
      <w:pPr>
        <w:pStyle w:val="2"/>
        <w:jc w:val="center"/>
      </w:pPr>
      <w:r>
        <w:rPr>
          <w:sz w:val="20"/>
        </w:rPr>
        <w:t xml:space="preserve">КРИТЕРИЕВ ОПРЕДЕЛЕНИЯ ПОБЕДИТЕЛЕЙ КОНКУРСНОГО ОТБОРА</w:t>
      </w:r>
    </w:p>
    <w:p>
      <w:pPr>
        <w:pStyle w:val="2"/>
        <w:jc w:val="center"/>
      </w:pPr>
      <w:r>
        <w:rPr>
          <w:sz w:val="20"/>
        </w:rPr>
        <w:t xml:space="preserve">И ИХ ВЕСОВЫЕ КОЭФФИЦИЕНТЫ</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
        <w:gridCol w:w="4195"/>
        <w:gridCol w:w="1134"/>
        <w:gridCol w:w="3231"/>
      </w:tblGrid>
      <w:tr>
        <w:tblPrEx>
          <w:tblBorders>
            <w:insideH w:val="single" w:sz="4"/>
          </w:tblBorders>
        </w:tblPrEx>
        <w:tc>
          <w:tcPr>
            <w:tcW w:w="510" w:type="dxa"/>
            <w:tcBorders>
              <w:top w:val="single" w:sz="4"/>
              <w:bottom w:val="single" w:sz="4"/>
            </w:tcBorders>
          </w:tcPr>
          <w:p>
            <w:pPr>
              <w:pStyle w:val="0"/>
              <w:jc w:val="center"/>
            </w:pPr>
            <w:r>
              <w:rPr>
                <w:sz w:val="20"/>
              </w:rPr>
              <w:t xml:space="preserve">N п/п</w:t>
            </w:r>
          </w:p>
        </w:tc>
        <w:tc>
          <w:tcPr>
            <w:tcW w:w="4195" w:type="dxa"/>
            <w:tcBorders>
              <w:top w:val="single" w:sz="4"/>
              <w:bottom w:val="single" w:sz="4"/>
            </w:tcBorders>
          </w:tcPr>
          <w:p>
            <w:pPr>
              <w:pStyle w:val="0"/>
              <w:jc w:val="center"/>
            </w:pPr>
            <w:r>
              <w:rPr>
                <w:sz w:val="20"/>
              </w:rPr>
              <w:t xml:space="preserve">Критерии определения победителей отбора</w:t>
            </w:r>
          </w:p>
        </w:tc>
        <w:tc>
          <w:tcPr>
            <w:tcW w:w="1134" w:type="dxa"/>
            <w:tcBorders>
              <w:top w:val="single" w:sz="4"/>
              <w:bottom w:val="single" w:sz="4"/>
            </w:tcBorders>
          </w:tcPr>
          <w:p>
            <w:pPr>
              <w:pStyle w:val="0"/>
              <w:jc w:val="center"/>
            </w:pPr>
            <w:r>
              <w:rPr>
                <w:sz w:val="20"/>
              </w:rPr>
              <w:t xml:space="preserve">Значение критерия</w:t>
            </w:r>
          </w:p>
        </w:tc>
        <w:tc>
          <w:tcPr>
            <w:tcW w:w="3231" w:type="dxa"/>
            <w:tcBorders>
              <w:top w:val="single" w:sz="4"/>
              <w:bottom w:val="single" w:sz="4"/>
            </w:tcBorders>
          </w:tcPr>
          <w:p>
            <w:pPr>
              <w:pStyle w:val="0"/>
              <w:jc w:val="center"/>
            </w:pPr>
            <w:r>
              <w:rPr>
                <w:sz w:val="20"/>
              </w:rPr>
              <w:t xml:space="preserve">Весовой коэффициент критерия</w:t>
            </w:r>
          </w:p>
        </w:tc>
      </w:tr>
      <w:tr>
        <w:tblPrEx>
          <w:tblBorders>
            <w:insideH w:val="single" w:sz="4"/>
          </w:tblBorders>
        </w:tblPrEx>
        <w:tc>
          <w:tcPr>
            <w:tcW w:w="510" w:type="dxa"/>
            <w:tcBorders>
              <w:top w:val="single" w:sz="4"/>
              <w:bottom w:val="single" w:sz="4"/>
            </w:tcBorders>
          </w:tcPr>
          <w:p>
            <w:pPr>
              <w:pStyle w:val="0"/>
              <w:jc w:val="center"/>
            </w:pPr>
            <w:r>
              <w:rPr>
                <w:sz w:val="20"/>
              </w:rPr>
              <w:t xml:space="preserve">1</w:t>
            </w:r>
          </w:p>
        </w:tc>
        <w:tc>
          <w:tcPr>
            <w:tcW w:w="4195" w:type="dxa"/>
            <w:tcBorders>
              <w:top w:val="single" w:sz="4"/>
              <w:bottom w:val="single" w:sz="4"/>
            </w:tcBorders>
          </w:tcPr>
          <w:p>
            <w:pPr>
              <w:pStyle w:val="0"/>
              <w:jc w:val="center"/>
            </w:pPr>
            <w:r>
              <w:rPr>
                <w:sz w:val="20"/>
              </w:rPr>
              <w:t xml:space="preserve">2</w:t>
            </w:r>
          </w:p>
        </w:tc>
        <w:tc>
          <w:tcPr>
            <w:tcW w:w="1134" w:type="dxa"/>
            <w:tcBorders>
              <w:top w:val="single" w:sz="4"/>
              <w:bottom w:val="single" w:sz="4"/>
            </w:tcBorders>
          </w:tcPr>
          <w:p>
            <w:pPr>
              <w:pStyle w:val="0"/>
              <w:jc w:val="center"/>
            </w:pPr>
            <w:r>
              <w:rPr>
                <w:sz w:val="20"/>
              </w:rPr>
              <w:t xml:space="preserve">3</w:t>
            </w:r>
          </w:p>
        </w:tc>
        <w:tc>
          <w:tcPr>
            <w:tcW w:w="3231" w:type="dxa"/>
            <w:tcBorders>
              <w:top w:val="single" w:sz="4"/>
              <w:bottom w:val="single" w:sz="4"/>
            </w:tcBorders>
          </w:tcPr>
          <w:p>
            <w:pPr>
              <w:pStyle w:val="0"/>
              <w:jc w:val="center"/>
            </w:pPr>
            <w:r>
              <w:rPr>
                <w:sz w:val="20"/>
              </w:rPr>
              <w:t xml:space="preserve">4</w:t>
            </w:r>
          </w:p>
        </w:tc>
      </w:tr>
      <w:tr>
        <w:tblPrEx>
          <w:tblBorders>
            <w:insideH w:val="single" w:sz="4"/>
          </w:tblBorders>
        </w:tblPrEx>
        <w:tc>
          <w:tcPr>
            <w:tcW w:w="510" w:type="dxa"/>
            <w:tcBorders>
              <w:top w:val="single" w:sz="4"/>
              <w:bottom w:val="single" w:sz="4"/>
            </w:tcBorders>
          </w:tcPr>
          <w:p>
            <w:pPr>
              <w:pStyle w:val="0"/>
              <w:outlineLvl w:val="2"/>
              <w:jc w:val="center"/>
            </w:pPr>
            <w:r>
              <w:rPr>
                <w:sz w:val="20"/>
              </w:rPr>
              <w:t xml:space="preserve">1</w:t>
            </w:r>
          </w:p>
        </w:tc>
        <w:tc>
          <w:tcPr>
            <w:gridSpan w:val="3"/>
            <w:tcW w:w="8560" w:type="dxa"/>
            <w:tcBorders>
              <w:top w:val="single" w:sz="4"/>
              <w:bottom w:val="single" w:sz="4"/>
            </w:tcBorders>
          </w:tcPr>
          <w:p>
            <w:pPr>
              <w:pStyle w:val="0"/>
              <w:jc w:val="both"/>
            </w:pPr>
            <w:r>
              <w:rPr>
                <w:sz w:val="20"/>
              </w:rPr>
              <w:t xml:space="preserve">Критерии профессиональной компетенции</w:t>
            </w:r>
          </w:p>
        </w:tc>
      </w:tr>
      <w:tr>
        <w:tblPrEx>
          <w:tblBorders>
            <w:insideH w:val="single" w:sz="4"/>
          </w:tblBorders>
        </w:tblPrEx>
        <w:tc>
          <w:tcPr>
            <w:tcW w:w="510" w:type="dxa"/>
            <w:tcBorders>
              <w:top w:val="single" w:sz="4"/>
              <w:bottom w:val="single" w:sz="4"/>
            </w:tcBorders>
            <w:vMerge w:val="restart"/>
          </w:tcPr>
          <w:p>
            <w:pPr>
              <w:pStyle w:val="0"/>
              <w:jc w:val="center"/>
            </w:pPr>
            <w:r>
              <w:rPr>
                <w:sz w:val="20"/>
              </w:rPr>
              <w:t xml:space="preserve">1.1</w:t>
            </w:r>
          </w:p>
        </w:tc>
        <w:tc>
          <w:tcPr>
            <w:tcW w:w="4195" w:type="dxa"/>
            <w:tcBorders>
              <w:top w:val="single" w:sz="4"/>
              <w:bottom w:val="nil"/>
            </w:tcBorders>
          </w:tcPr>
          <w:p>
            <w:pPr>
              <w:pStyle w:val="0"/>
              <w:jc w:val="both"/>
            </w:pPr>
            <w:r>
              <w:rPr>
                <w:sz w:val="20"/>
              </w:rPr>
              <w:t xml:space="preserve">Срок осуществления участником отбора своей уставной деятельности:</w:t>
            </w:r>
          </w:p>
        </w:tc>
        <w:tc>
          <w:tcPr>
            <w:tcW w:w="1134" w:type="dxa"/>
            <w:tcBorders>
              <w:top w:val="single" w:sz="4"/>
              <w:bottom w:val="nil"/>
            </w:tcBorders>
          </w:tcPr>
          <w:p>
            <w:pPr>
              <w:pStyle w:val="0"/>
            </w:pPr>
            <w:r>
              <w:rPr>
                <w:sz w:val="20"/>
              </w:rPr>
            </w:r>
          </w:p>
        </w:tc>
        <w:tc>
          <w:tcPr>
            <w:tcW w:w="3231" w:type="dxa"/>
            <w:tcBorders>
              <w:top w:val="single" w:sz="4"/>
              <w:bottom w:val="single" w:sz="4"/>
            </w:tcBorders>
            <w:vMerge w:val="restart"/>
          </w:tcPr>
          <w:p>
            <w:pPr>
              <w:pStyle w:val="0"/>
              <w:jc w:val="center"/>
            </w:pPr>
            <w:r>
              <w:rPr>
                <w:sz w:val="20"/>
              </w:rPr>
              <w:t xml:space="preserve">1 при процентном соотношении очных студентов, обучающихся по программам высшего и среднего профессионального образования к общей численности студентов менее 50% и(или) общим количеством студентов менее 10000 чел.</w:t>
            </w:r>
          </w:p>
          <w:p>
            <w:pPr>
              <w:pStyle w:val="0"/>
              <w:jc w:val="center"/>
            </w:pPr>
            <w:r>
              <w:rPr>
                <w:sz w:val="20"/>
              </w:rPr>
              <w:t xml:space="preserve">2 при процентном соотношении очных студентов, обучающихся по программам высшего и среднего профессионального образования к общей численности студентов от 50% до 60% и общим количеством студентов от 10000 чел. до 15000 чел.</w:t>
            </w:r>
          </w:p>
          <w:p>
            <w:pPr>
              <w:pStyle w:val="0"/>
              <w:jc w:val="center"/>
            </w:pPr>
            <w:r>
              <w:rPr>
                <w:sz w:val="20"/>
              </w:rPr>
              <w:t xml:space="preserve">3 - при процентном соотношении очных студентов, обучающихся по программам высшего и среднего профессионального образования к общей численности студентов более 60% и общим количеством студентов более 20000 чел.</w:t>
            </w: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a) от 30 лет и более;</w:t>
            </w:r>
          </w:p>
        </w:tc>
        <w:tc>
          <w:tcPr>
            <w:tcW w:w="1134" w:type="dxa"/>
            <w:tcBorders>
              <w:top w:val="nil"/>
              <w:bottom w:val="nil"/>
            </w:tcBorders>
          </w:tcPr>
          <w:p>
            <w:pPr>
              <w:pStyle w:val="0"/>
              <w:jc w:val="center"/>
            </w:pPr>
            <w:r>
              <w:rPr>
                <w:sz w:val="20"/>
              </w:rPr>
              <w:t xml:space="preserve">5</w:t>
            </w:r>
          </w:p>
        </w:tc>
        <w:tc>
          <w:tcPr>
            <w:tcBorders>
              <w:top w:val="single" w:sz="4"/>
              <w:bottom w:val="single" w:sz="4"/>
            </w:tcBorders>
            <w:vMerge w:val="continue"/>
          </w:tcP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b) от 10 лет до 29 лет;</w:t>
            </w:r>
          </w:p>
        </w:tc>
        <w:tc>
          <w:tcPr>
            <w:tcW w:w="1134" w:type="dxa"/>
            <w:tcBorders>
              <w:top w:val="nil"/>
              <w:bottom w:val="nil"/>
            </w:tcBorders>
          </w:tcPr>
          <w:p>
            <w:pPr>
              <w:pStyle w:val="0"/>
              <w:jc w:val="center"/>
            </w:pPr>
            <w:r>
              <w:rPr>
                <w:sz w:val="20"/>
              </w:rPr>
              <w:t xml:space="preserve">3</w:t>
            </w:r>
          </w:p>
        </w:tc>
        <w:tc>
          <w:tcPr>
            <w:tcBorders>
              <w:top w:val="single" w:sz="4"/>
              <w:bottom w:val="single" w:sz="4"/>
            </w:tcBorders>
            <w:vMerge w:val="continue"/>
          </w:tcP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c) от 5 лет до 9 лет;</w:t>
            </w:r>
          </w:p>
        </w:tc>
        <w:tc>
          <w:tcPr>
            <w:tcW w:w="1134" w:type="dxa"/>
            <w:tcBorders>
              <w:top w:val="nil"/>
              <w:bottom w:val="nil"/>
            </w:tcBorders>
          </w:tcPr>
          <w:p>
            <w:pPr>
              <w:pStyle w:val="0"/>
              <w:jc w:val="center"/>
            </w:pPr>
            <w:r>
              <w:rPr>
                <w:sz w:val="20"/>
              </w:rPr>
              <w:t xml:space="preserve">1</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W w:w="4195" w:type="dxa"/>
            <w:tcBorders>
              <w:top w:val="nil"/>
              <w:bottom w:val="single" w:sz="4"/>
            </w:tcBorders>
          </w:tcPr>
          <w:p>
            <w:pPr>
              <w:pStyle w:val="0"/>
              <w:jc w:val="both"/>
            </w:pPr>
            <w:r>
              <w:rPr>
                <w:sz w:val="20"/>
              </w:rPr>
              <w:t xml:space="preserve">d) менее 5 лет</w:t>
            </w:r>
          </w:p>
        </w:tc>
        <w:tc>
          <w:tcPr>
            <w:tcW w:w="1134"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10" w:type="dxa"/>
            <w:tcBorders>
              <w:top w:val="single" w:sz="4"/>
              <w:bottom w:val="single" w:sz="4"/>
            </w:tcBorders>
            <w:vMerge w:val="restart"/>
          </w:tcPr>
          <w:p>
            <w:pPr>
              <w:pStyle w:val="0"/>
              <w:jc w:val="center"/>
            </w:pPr>
            <w:r>
              <w:rPr>
                <w:sz w:val="20"/>
              </w:rPr>
              <w:t xml:space="preserve">1.2</w:t>
            </w:r>
          </w:p>
        </w:tc>
        <w:tc>
          <w:tcPr>
            <w:tcW w:w="4195" w:type="dxa"/>
            <w:tcBorders>
              <w:top w:val="single" w:sz="4"/>
              <w:bottom w:val="nil"/>
            </w:tcBorders>
          </w:tcPr>
          <w:p>
            <w:pPr>
              <w:pStyle w:val="0"/>
              <w:jc w:val="both"/>
            </w:pPr>
            <w:r>
              <w:rPr>
                <w:sz w:val="20"/>
              </w:rPr>
              <w:t xml:space="preserve">Наличие у участника отбора опыта не ранее 2019 года по реализации программ дополнительного образования, обеспечивающих модернизацию и технологическое развитие экономики Российской Федерации, с привлечением не менее одной сторонней образовательной организации:</w:t>
            </w:r>
          </w:p>
        </w:tc>
        <w:tc>
          <w:tcPr>
            <w:tcW w:w="1134" w:type="dxa"/>
            <w:tcBorders>
              <w:top w:val="single" w:sz="4"/>
              <w:bottom w:val="nil"/>
            </w:tcBorders>
          </w:tcPr>
          <w:p>
            <w:pPr>
              <w:pStyle w:val="0"/>
            </w:pPr>
            <w:r>
              <w:rPr>
                <w:sz w:val="20"/>
              </w:rPr>
            </w:r>
          </w:p>
        </w:tc>
        <w:tc>
          <w:tcPr>
            <w:tcW w:w="3231" w:type="dxa"/>
            <w:tcBorders>
              <w:top w:val="single" w:sz="4"/>
              <w:bottom w:val="nil"/>
            </w:tcBorders>
          </w:tcPr>
          <w:p>
            <w:pPr>
              <w:pStyle w:val="0"/>
            </w:pPr>
            <w:r>
              <w:rPr>
                <w:sz w:val="20"/>
              </w:rPr>
            </w: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a) имеется, реализовано более 5 программ;</w:t>
            </w:r>
          </w:p>
        </w:tc>
        <w:tc>
          <w:tcPr>
            <w:tcW w:w="1134" w:type="dxa"/>
            <w:tcBorders>
              <w:top w:val="nil"/>
              <w:bottom w:val="nil"/>
            </w:tcBorders>
          </w:tcPr>
          <w:p>
            <w:pPr>
              <w:pStyle w:val="0"/>
              <w:jc w:val="center"/>
            </w:pPr>
            <w:r>
              <w:rPr>
                <w:sz w:val="20"/>
              </w:rPr>
              <w:t xml:space="preserve">5</w:t>
            </w:r>
          </w:p>
        </w:tc>
        <w:tc>
          <w:tcPr>
            <w:tcW w:w="3231" w:type="dxa"/>
            <w:tcBorders>
              <w:top w:val="nil"/>
              <w:bottom w:val="single" w:sz="4"/>
            </w:tcBorders>
            <w:vMerge w:val="restart"/>
          </w:tcPr>
          <w:p>
            <w:pPr>
              <w:pStyle w:val="0"/>
              <w:jc w:val="center"/>
            </w:pPr>
            <w:r>
              <w:rPr>
                <w:sz w:val="20"/>
              </w:rPr>
              <w:t xml:space="preserve">2</w:t>
            </w: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b) имеется, реализовано от 3 до 5 программ;</w:t>
            </w:r>
          </w:p>
        </w:tc>
        <w:tc>
          <w:tcPr>
            <w:tcW w:w="1134" w:type="dxa"/>
            <w:tcBorders>
              <w:top w:val="nil"/>
              <w:bottom w:val="nil"/>
            </w:tcBorders>
          </w:tcPr>
          <w:p>
            <w:pPr>
              <w:pStyle w:val="0"/>
              <w:jc w:val="center"/>
            </w:pPr>
            <w:r>
              <w:rPr>
                <w:sz w:val="20"/>
              </w:rPr>
              <w:t xml:space="preserve">3</w:t>
            </w:r>
          </w:p>
        </w:tc>
        <w:tc>
          <w:tcPr>
            <w:tcBorders>
              <w:top w:val="nil"/>
              <w:bottom w:val="single" w:sz="4"/>
            </w:tcBorders>
            <w:vMerge w:val="continue"/>
          </w:tcP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c) имеется, реализовано от 1 до 2 программ;</w:t>
            </w:r>
          </w:p>
        </w:tc>
        <w:tc>
          <w:tcPr>
            <w:tcW w:w="1134" w:type="dxa"/>
            <w:tcBorders>
              <w:top w:val="nil"/>
              <w:bottom w:val="nil"/>
            </w:tcBorders>
          </w:tcPr>
          <w:p>
            <w:pPr>
              <w:pStyle w:val="0"/>
              <w:jc w:val="center"/>
            </w:pPr>
            <w:r>
              <w:rPr>
                <w:sz w:val="20"/>
              </w:rPr>
              <w:t xml:space="preserve">1</w:t>
            </w:r>
          </w:p>
        </w:tc>
        <w:tc>
          <w:tcPr>
            <w:tcBorders>
              <w:top w:val="nil"/>
              <w:bottom w:val="single" w:sz="4"/>
            </w:tcBorders>
            <w:vMerge w:val="continue"/>
          </w:tcPr>
          <w:p/>
        </w:tc>
      </w:tr>
      <w:tr>
        <w:tblPrEx>
          <w:tblBorders>
            <w:insideH w:val="single" w:sz="4"/>
          </w:tblBorders>
        </w:tblPrEx>
        <w:tc>
          <w:tcPr>
            <w:tcBorders>
              <w:top w:val="single" w:sz="4"/>
              <w:bottom w:val="single" w:sz="4"/>
            </w:tcBorders>
            <w:vMerge w:val="continue"/>
          </w:tcPr>
          <w:p/>
        </w:tc>
        <w:tc>
          <w:tcPr>
            <w:tcW w:w="4195" w:type="dxa"/>
            <w:tcBorders>
              <w:top w:val="nil"/>
              <w:bottom w:val="single" w:sz="4"/>
            </w:tcBorders>
          </w:tcPr>
          <w:p>
            <w:pPr>
              <w:pStyle w:val="0"/>
              <w:jc w:val="both"/>
            </w:pPr>
            <w:r>
              <w:rPr>
                <w:sz w:val="20"/>
              </w:rPr>
              <w:t xml:space="preserve">d) отсутствует</w:t>
            </w:r>
          </w:p>
        </w:tc>
        <w:tc>
          <w:tcPr>
            <w:tcW w:w="1134" w:type="dxa"/>
            <w:tcBorders>
              <w:top w:val="nil"/>
              <w:bottom w:val="single" w:sz="4"/>
            </w:tcBorders>
          </w:tcPr>
          <w:p>
            <w:pPr>
              <w:pStyle w:val="0"/>
              <w:jc w:val="center"/>
            </w:pPr>
            <w:r>
              <w:rPr>
                <w:sz w:val="20"/>
              </w:rPr>
              <w:t xml:space="preserve">0</w:t>
            </w:r>
          </w:p>
        </w:tc>
        <w:tc>
          <w:tcPr>
            <w:tcBorders>
              <w:top w:val="nil"/>
              <w:bottom w:val="single" w:sz="4"/>
            </w:tcBorders>
            <w:vMerge w:val="continue"/>
          </w:tcPr>
          <w:p/>
        </w:tc>
      </w:tr>
      <w:tr>
        <w:tblPrEx>
          <w:tblBorders>
            <w:insideH w:val="single" w:sz="4"/>
          </w:tblBorders>
        </w:tblPrEx>
        <w:tc>
          <w:tcPr>
            <w:tcW w:w="510" w:type="dxa"/>
            <w:tcBorders>
              <w:top w:val="single" w:sz="4"/>
              <w:bottom w:val="single" w:sz="4"/>
            </w:tcBorders>
            <w:vMerge w:val="restart"/>
          </w:tcPr>
          <w:p>
            <w:pPr>
              <w:pStyle w:val="0"/>
              <w:jc w:val="center"/>
            </w:pPr>
            <w:r>
              <w:rPr>
                <w:sz w:val="20"/>
              </w:rPr>
              <w:t xml:space="preserve">1.3</w:t>
            </w:r>
          </w:p>
        </w:tc>
        <w:tc>
          <w:tcPr>
            <w:tcW w:w="4195" w:type="dxa"/>
            <w:tcBorders>
              <w:top w:val="single" w:sz="4"/>
              <w:bottom w:val="nil"/>
            </w:tcBorders>
          </w:tcPr>
          <w:p>
            <w:pPr>
              <w:pStyle w:val="0"/>
              <w:jc w:val="both"/>
            </w:pPr>
            <w:r>
              <w:rPr>
                <w:sz w:val="20"/>
              </w:rPr>
              <w:t xml:space="preserve">Наличие у участника отбора необходимой материально-технической базы для реализации программ развития компетенций студенческого предпринимательства (академической мобильности) на территории Санкт-Петербурга с применением электронного обучения и дистанционных образовательных технологий:</w:t>
            </w:r>
          </w:p>
        </w:tc>
        <w:tc>
          <w:tcPr>
            <w:tcW w:w="1134" w:type="dxa"/>
            <w:tcBorders>
              <w:top w:val="single" w:sz="4"/>
              <w:bottom w:val="nil"/>
            </w:tcBorders>
          </w:tcPr>
          <w:p>
            <w:pPr>
              <w:pStyle w:val="0"/>
            </w:pPr>
            <w:r>
              <w:rPr>
                <w:sz w:val="20"/>
              </w:rPr>
            </w:r>
          </w:p>
        </w:tc>
        <w:tc>
          <w:tcPr>
            <w:tcW w:w="3231" w:type="dxa"/>
            <w:tcBorders>
              <w:top w:val="single" w:sz="4"/>
              <w:bottom w:val="single" w:sz="4"/>
            </w:tcBorders>
            <w:vMerge w:val="restart"/>
          </w:tcPr>
          <w:p>
            <w:pPr>
              <w:pStyle w:val="0"/>
              <w:jc w:val="center"/>
            </w:pPr>
            <w:r>
              <w:rPr>
                <w:sz w:val="20"/>
              </w:rPr>
              <w:t xml:space="preserve">1 - при процентном соотношении сотрудников, имеющих ученую степень от общего числа профессорско-преподавательского состава менее 40% и(или) количеством сотрудников со степенью менее 400 чел.</w:t>
            </w:r>
          </w:p>
          <w:p>
            <w:pPr>
              <w:pStyle w:val="0"/>
              <w:jc w:val="center"/>
            </w:pPr>
            <w:r>
              <w:rPr>
                <w:sz w:val="20"/>
              </w:rPr>
              <w:t xml:space="preserve">2 при процентном соотношении сотрудников, имеющих ученую степень от общего числа профессорско-преподавательского состава от 40% до 80% и количеством сотрудников со степенью менее от 400 чел. до 600 чел.</w:t>
            </w:r>
          </w:p>
          <w:p>
            <w:pPr>
              <w:pStyle w:val="0"/>
              <w:jc w:val="center"/>
            </w:pPr>
            <w:r>
              <w:rPr>
                <w:sz w:val="20"/>
              </w:rPr>
              <w:t xml:space="preserve">3 при процентном соотношении сотрудников, имеющих ученую степень от общего числа профессорско-преподавательского состава более 80% и количеством сотрудников со степенью более 600 чел.</w:t>
            </w: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a) Представлены документы, подтверждающие право использования системы дистанционного обучения, позволяющей осуществлять доступ с различных устройств (в том числе мобильных), проводить вебинары, видеоконференции, тестирования с получением аналитики;</w:t>
            </w:r>
          </w:p>
        </w:tc>
        <w:tc>
          <w:tcPr>
            <w:tcW w:w="1134" w:type="dxa"/>
            <w:tcBorders>
              <w:top w:val="nil"/>
              <w:bottom w:val="nil"/>
            </w:tcBorders>
          </w:tcPr>
          <w:p>
            <w:pPr>
              <w:pStyle w:val="0"/>
              <w:jc w:val="center"/>
            </w:pPr>
            <w:r>
              <w:rPr>
                <w:sz w:val="20"/>
              </w:rPr>
              <w:t xml:space="preserve">5</w:t>
            </w:r>
          </w:p>
        </w:tc>
        <w:tc>
          <w:tcPr>
            <w:tcBorders>
              <w:top w:val="single" w:sz="4"/>
              <w:bottom w:val="single" w:sz="4"/>
            </w:tcBorders>
            <w:vMerge w:val="continue"/>
          </w:tcP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b) Представлены документы, подтверждающие право использования системы дистанционного обучения, позволяющей осуществлять доступ с различных устройств (в том числе мобильных) и(или) проводить вебинары, видеоконференции, тестирования;</w:t>
            </w:r>
          </w:p>
        </w:tc>
        <w:tc>
          <w:tcPr>
            <w:tcW w:w="1134" w:type="dxa"/>
            <w:tcBorders>
              <w:top w:val="nil"/>
              <w:bottom w:val="nil"/>
            </w:tcBorders>
          </w:tcPr>
          <w:p>
            <w:pPr>
              <w:pStyle w:val="0"/>
              <w:jc w:val="center"/>
            </w:pPr>
            <w:r>
              <w:rPr>
                <w:sz w:val="20"/>
              </w:rPr>
              <w:t xml:space="preserve">3</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W w:w="4195" w:type="dxa"/>
            <w:tcBorders>
              <w:top w:val="nil"/>
              <w:bottom w:val="single" w:sz="4"/>
            </w:tcBorders>
          </w:tcPr>
          <w:p>
            <w:pPr>
              <w:pStyle w:val="0"/>
              <w:jc w:val="both"/>
            </w:pPr>
            <w:r>
              <w:rPr>
                <w:sz w:val="20"/>
              </w:rPr>
              <w:t xml:space="preserve">c) Сведения о имеющейся материально-технической базе не представлены или не представлены документы, подтверждающие право использования системы дистанционного обучения</w:t>
            </w:r>
          </w:p>
        </w:tc>
        <w:tc>
          <w:tcPr>
            <w:tcW w:w="1134"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10" w:type="dxa"/>
            <w:tcBorders>
              <w:top w:val="single" w:sz="4"/>
              <w:bottom w:val="single" w:sz="4"/>
            </w:tcBorders>
            <w:vMerge w:val="restart"/>
          </w:tcPr>
          <w:p>
            <w:pPr>
              <w:pStyle w:val="0"/>
              <w:jc w:val="center"/>
            </w:pPr>
            <w:r>
              <w:rPr>
                <w:sz w:val="20"/>
              </w:rPr>
              <w:t xml:space="preserve">1.4</w:t>
            </w:r>
          </w:p>
        </w:tc>
        <w:tc>
          <w:tcPr>
            <w:tcW w:w="4195" w:type="dxa"/>
            <w:tcBorders>
              <w:top w:val="single" w:sz="4"/>
              <w:bottom w:val="nil"/>
            </w:tcBorders>
          </w:tcPr>
          <w:p>
            <w:pPr>
              <w:pStyle w:val="0"/>
              <w:jc w:val="both"/>
            </w:pPr>
            <w:r>
              <w:rPr>
                <w:sz w:val="20"/>
              </w:rPr>
              <w:t xml:space="preserve">Наличие у участника отбора опыта использования целевых поступлений (грантов, субсидий) не ранее 2019 года от федерального органа исполнительной власти, не являющегося учредителем участника отбора или исполнительного органа государственной власти субъекта Российской Федерации, не являющегося учредителем участника отбора:</w:t>
            </w:r>
          </w:p>
        </w:tc>
        <w:tc>
          <w:tcPr>
            <w:tcW w:w="1134" w:type="dxa"/>
            <w:tcBorders>
              <w:top w:val="single" w:sz="4"/>
              <w:bottom w:val="nil"/>
            </w:tcBorders>
          </w:tcPr>
          <w:p>
            <w:pPr>
              <w:pStyle w:val="0"/>
            </w:pPr>
            <w:r>
              <w:rPr>
                <w:sz w:val="20"/>
              </w:rPr>
            </w:r>
          </w:p>
        </w:tc>
        <w:tc>
          <w:tcPr>
            <w:tcW w:w="3231" w:type="dxa"/>
            <w:tcBorders>
              <w:top w:val="single" w:sz="4"/>
              <w:bottom w:val="nil"/>
            </w:tcBorders>
          </w:tcPr>
          <w:p>
            <w:pPr>
              <w:pStyle w:val="0"/>
            </w:pPr>
            <w:r>
              <w:rPr>
                <w:sz w:val="20"/>
              </w:rPr>
            </w: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a) Опыт имеется;</w:t>
            </w:r>
          </w:p>
        </w:tc>
        <w:tc>
          <w:tcPr>
            <w:tcW w:w="1134" w:type="dxa"/>
            <w:tcBorders>
              <w:top w:val="nil"/>
              <w:bottom w:val="nil"/>
            </w:tcBorders>
          </w:tcPr>
          <w:p>
            <w:pPr>
              <w:pStyle w:val="0"/>
              <w:jc w:val="center"/>
            </w:pPr>
            <w:r>
              <w:rPr>
                <w:sz w:val="20"/>
              </w:rPr>
              <w:t xml:space="preserve">5</w:t>
            </w:r>
          </w:p>
        </w:tc>
        <w:tc>
          <w:tcPr>
            <w:tcW w:w="3231" w:type="dxa"/>
            <w:tcBorders>
              <w:top w:val="nil"/>
              <w:bottom w:val="single" w:sz="4"/>
            </w:tcBorders>
            <w:vMerge w:val="restart"/>
          </w:tcPr>
          <w:p>
            <w:pPr>
              <w:pStyle w:val="0"/>
              <w:jc w:val="center"/>
            </w:pPr>
            <w:r>
              <w:rPr>
                <w:sz w:val="20"/>
              </w:rPr>
              <w:t xml:space="preserve">3</w:t>
            </w:r>
          </w:p>
        </w:tc>
      </w:tr>
      <w:tr>
        <w:tblPrEx>
          <w:tblBorders>
            <w:insideH w:val="single" w:sz="4"/>
          </w:tblBorders>
        </w:tblPrEx>
        <w:tc>
          <w:tcPr>
            <w:tcBorders>
              <w:top w:val="single" w:sz="4"/>
              <w:bottom w:val="single" w:sz="4"/>
            </w:tcBorders>
            <w:vMerge w:val="continue"/>
          </w:tcPr>
          <w:p/>
        </w:tc>
        <w:tc>
          <w:tcPr>
            <w:tcW w:w="4195" w:type="dxa"/>
            <w:tcBorders>
              <w:top w:val="nil"/>
              <w:bottom w:val="single" w:sz="4"/>
            </w:tcBorders>
          </w:tcPr>
          <w:p>
            <w:pPr>
              <w:pStyle w:val="0"/>
              <w:jc w:val="both"/>
            </w:pPr>
            <w:r>
              <w:rPr>
                <w:sz w:val="20"/>
              </w:rPr>
              <w:t xml:space="preserve">b) Опыта нет</w:t>
            </w:r>
          </w:p>
        </w:tc>
        <w:tc>
          <w:tcPr>
            <w:tcW w:w="1134" w:type="dxa"/>
            <w:tcBorders>
              <w:top w:val="nil"/>
              <w:bottom w:val="single" w:sz="4"/>
            </w:tcBorders>
          </w:tcPr>
          <w:p>
            <w:pPr>
              <w:pStyle w:val="0"/>
              <w:jc w:val="center"/>
            </w:pPr>
            <w:r>
              <w:rPr>
                <w:sz w:val="20"/>
              </w:rPr>
              <w:t xml:space="preserve">0</w:t>
            </w:r>
          </w:p>
        </w:tc>
        <w:tc>
          <w:tcPr>
            <w:tcBorders>
              <w:top w:val="nil"/>
              <w:bottom w:val="single" w:sz="4"/>
            </w:tcBorders>
            <w:vMerge w:val="continue"/>
          </w:tcPr>
          <w:p/>
        </w:tc>
      </w:tr>
      <w:tr>
        <w:tblPrEx>
          <w:tblBorders>
            <w:insideH w:val="single" w:sz="4"/>
          </w:tblBorders>
        </w:tblPrEx>
        <w:tc>
          <w:tcPr>
            <w:tcW w:w="510" w:type="dxa"/>
            <w:tcBorders>
              <w:top w:val="single" w:sz="4"/>
              <w:bottom w:val="single" w:sz="4"/>
            </w:tcBorders>
          </w:tcPr>
          <w:p>
            <w:pPr>
              <w:pStyle w:val="0"/>
              <w:outlineLvl w:val="2"/>
              <w:jc w:val="center"/>
            </w:pPr>
            <w:r>
              <w:rPr>
                <w:sz w:val="20"/>
              </w:rPr>
              <w:t xml:space="preserve">2</w:t>
            </w:r>
          </w:p>
        </w:tc>
        <w:tc>
          <w:tcPr>
            <w:gridSpan w:val="3"/>
            <w:tcW w:w="8560" w:type="dxa"/>
            <w:tcBorders>
              <w:top w:val="single" w:sz="4"/>
              <w:bottom w:val="single" w:sz="4"/>
            </w:tcBorders>
          </w:tcPr>
          <w:p>
            <w:pPr>
              <w:pStyle w:val="0"/>
              <w:jc w:val="both"/>
            </w:pPr>
            <w:r>
              <w:rPr>
                <w:sz w:val="20"/>
              </w:rPr>
              <w:t xml:space="preserve">Критерии экономической эффективности</w:t>
            </w:r>
          </w:p>
        </w:tc>
      </w:tr>
      <w:tr>
        <w:tblPrEx>
          <w:tblBorders>
            <w:insideH w:val="single" w:sz="4"/>
          </w:tblBorders>
        </w:tblPrEx>
        <w:tc>
          <w:tcPr>
            <w:tcW w:w="510" w:type="dxa"/>
            <w:tcBorders>
              <w:top w:val="single" w:sz="4"/>
              <w:bottom w:val="single" w:sz="4"/>
            </w:tcBorders>
            <w:vMerge w:val="restart"/>
          </w:tcPr>
          <w:p>
            <w:pPr>
              <w:pStyle w:val="0"/>
              <w:jc w:val="center"/>
            </w:pPr>
            <w:r>
              <w:rPr>
                <w:sz w:val="20"/>
              </w:rPr>
              <w:t xml:space="preserve">2.1</w:t>
            </w:r>
          </w:p>
        </w:tc>
        <w:tc>
          <w:tcPr>
            <w:tcW w:w="4195" w:type="dxa"/>
            <w:tcBorders>
              <w:top w:val="single" w:sz="4"/>
              <w:bottom w:val="nil"/>
            </w:tcBorders>
          </w:tcPr>
          <w:p>
            <w:pPr>
              <w:pStyle w:val="0"/>
              <w:jc w:val="both"/>
            </w:pPr>
            <w:r>
              <w:rPr>
                <w:sz w:val="20"/>
              </w:rPr>
              <w:t xml:space="preserve">Соотношение планируемых расходов на реализацию программ развития компетенций студенческого предпринимательства (академической мобильности) на территории Санкт-Петербурга и ее ожидаемых результатов (количество программ, которые будут реализованы; количество студентов):</w:t>
            </w:r>
          </w:p>
        </w:tc>
        <w:tc>
          <w:tcPr>
            <w:tcW w:w="1134" w:type="dxa"/>
            <w:tcBorders>
              <w:top w:val="single" w:sz="4"/>
              <w:bottom w:val="nil"/>
            </w:tcBorders>
          </w:tcPr>
          <w:p>
            <w:pPr>
              <w:pStyle w:val="0"/>
            </w:pPr>
            <w:r>
              <w:rPr>
                <w:sz w:val="20"/>
              </w:rPr>
            </w:r>
          </w:p>
        </w:tc>
        <w:tc>
          <w:tcPr>
            <w:tcW w:w="3231" w:type="dxa"/>
            <w:tcBorders>
              <w:top w:val="single" w:sz="4"/>
              <w:bottom w:val="single" w:sz="4"/>
            </w:tcBorders>
            <w:vMerge w:val="restart"/>
          </w:tcPr>
          <w:p>
            <w:pPr>
              <w:pStyle w:val="0"/>
              <w:jc w:val="center"/>
            </w:pPr>
            <w:r>
              <w:rPr>
                <w:sz w:val="20"/>
              </w:rPr>
              <w:t xml:space="preserve">1 - при реализации 2 образовательных программ развития студенческого предпринимательства (академической мобильности) трудоемкостью 5 зачетных единиц (180 часов, в том числе не менее 90 часов аудиторных занятий) для студентов инженерных и IT-специальностей;</w:t>
            </w:r>
          </w:p>
          <w:p>
            <w:pPr>
              <w:pStyle w:val="0"/>
              <w:jc w:val="center"/>
            </w:pPr>
            <w:r>
              <w:rPr>
                <w:sz w:val="20"/>
              </w:rPr>
              <w:t xml:space="preserve">2 - при реализации 2 образовательных программ развития студенческого предпринимательства (академической мобильности) трудоемкостью 5 зачетных единиц (180 часов, в том числе не менее 110 часов аудиторных занятий) для студентов инженерных и IT-специальностей;</w:t>
            </w:r>
          </w:p>
          <w:p>
            <w:pPr>
              <w:pStyle w:val="0"/>
              <w:jc w:val="center"/>
            </w:pPr>
            <w:r>
              <w:rPr>
                <w:sz w:val="20"/>
              </w:rPr>
              <w:t xml:space="preserve">3 - при реализации 2 образовательных программ развития студенческого предпринимательства (академической мобильности) трудоемкостью 5 зачетных единиц (180 часов, в том числе более 120 часов аудиторных занятий) для студентов инженерных и IT-специальностей</w:t>
            </w: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a) Планируемый объем затрат на обучение 1 студента - менее 34999 рублей;</w:t>
            </w:r>
          </w:p>
        </w:tc>
        <w:tc>
          <w:tcPr>
            <w:tcW w:w="1134" w:type="dxa"/>
            <w:tcBorders>
              <w:top w:val="nil"/>
              <w:bottom w:val="nil"/>
            </w:tcBorders>
          </w:tcPr>
          <w:p>
            <w:pPr>
              <w:pStyle w:val="0"/>
              <w:jc w:val="center"/>
            </w:pPr>
            <w:r>
              <w:rPr>
                <w:sz w:val="20"/>
              </w:rPr>
              <w:t xml:space="preserve">5</w:t>
            </w:r>
          </w:p>
        </w:tc>
        <w:tc>
          <w:tcPr>
            <w:tcBorders>
              <w:top w:val="single" w:sz="4"/>
              <w:bottom w:val="single" w:sz="4"/>
            </w:tcBorders>
            <w:vMerge w:val="continue"/>
          </w:tcP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b) Планируемый объем затрат на обучение 1 студента - от 35000 рублей до 35999 рублей;</w:t>
            </w:r>
          </w:p>
        </w:tc>
        <w:tc>
          <w:tcPr>
            <w:tcW w:w="1134" w:type="dxa"/>
            <w:tcBorders>
              <w:top w:val="nil"/>
              <w:bottom w:val="nil"/>
            </w:tcBorders>
          </w:tcPr>
          <w:p>
            <w:pPr>
              <w:pStyle w:val="0"/>
              <w:jc w:val="center"/>
            </w:pPr>
            <w:r>
              <w:rPr>
                <w:sz w:val="20"/>
              </w:rPr>
              <w:t xml:space="preserve">4</w:t>
            </w:r>
          </w:p>
        </w:tc>
        <w:tc>
          <w:tcPr>
            <w:tcBorders>
              <w:top w:val="single" w:sz="4"/>
              <w:bottom w:val="single" w:sz="4"/>
            </w:tcBorders>
            <w:vMerge w:val="continue"/>
          </w:tcP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c) Планируемый объем затрат на обучение 1 студента - от 36000 рублей до 36999 рублей;</w:t>
            </w:r>
          </w:p>
        </w:tc>
        <w:tc>
          <w:tcPr>
            <w:tcW w:w="1134" w:type="dxa"/>
            <w:tcBorders>
              <w:top w:val="nil"/>
              <w:bottom w:val="nil"/>
            </w:tcBorders>
          </w:tcPr>
          <w:p>
            <w:pPr>
              <w:pStyle w:val="0"/>
              <w:jc w:val="center"/>
            </w:pPr>
            <w:r>
              <w:rPr>
                <w:sz w:val="20"/>
              </w:rPr>
              <w:t xml:space="preserve">3</w:t>
            </w:r>
          </w:p>
        </w:tc>
        <w:tc>
          <w:tcPr>
            <w:tcBorders>
              <w:top w:val="single" w:sz="4"/>
              <w:bottom w:val="single" w:sz="4"/>
            </w:tcBorders>
            <w:vMerge w:val="continue"/>
          </w:tcP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d) Планируемый объем затрат на обучение 1 студента - от 37000 рублей до 38999 рублей;</w:t>
            </w:r>
          </w:p>
        </w:tc>
        <w:tc>
          <w:tcPr>
            <w:tcW w:w="1134" w:type="dxa"/>
            <w:tcBorders>
              <w:top w:val="nil"/>
              <w:bottom w:val="nil"/>
            </w:tcBorders>
          </w:tcPr>
          <w:p>
            <w:pPr>
              <w:pStyle w:val="0"/>
              <w:jc w:val="center"/>
            </w:pPr>
            <w:r>
              <w:rPr>
                <w:sz w:val="20"/>
              </w:rPr>
              <w:t xml:space="preserve">2</w:t>
            </w:r>
          </w:p>
        </w:tc>
        <w:tc>
          <w:tcPr>
            <w:tcBorders>
              <w:top w:val="single" w:sz="4"/>
              <w:bottom w:val="single" w:sz="4"/>
            </w:tcBorders>
            <w:vMerge w:val="continue"/>
          </w:tcPr>
          <w:p/>
        </w:tc>
      </w:tr>
      <w:tr>
        <w:tc>
          <w:tcPr>
            <w:tcBorders>
              <w:top w:val="single" w:sz="4"/>
              <w:bottom w:val="single" w:sz="4"/>
            </w:tcBorders>
            <w:vMerge w:val="continue"/>
          </w:tcPr>
          <w:p/>
        </w:tc>
        <w:tc>
          <w:tcPr>
            <w:tcW w:w="4195" w:type="dxa"/>
            <w:tcBorders>
              <w:top w:val="nil"/>
              <w:bottom w:val="single" w:sz="4"/>
            </w:tcBorders>
          </w:tcPr>
          <w:p>
            <w:pPr>
              <w:pStyle w:val="0"/>
              <w:jc w:val="both"/>
            </w:pPr>
            <w:r>
              <w:rPr>
                <w:sz w:val="20"/>
              </w:rPr>
              <w:t xml:space="preserve">e) Планируемый объем затрат на обучение 1 студента - от 39000 рублей до 40000 рублей</w:t>
            </w:r>
          </w:p>
        </w:tc>
        <w:tc>
          <w:tcPr>
            <w:tcW w:w="1134" w:type="dxa"/>
            <w:tcBorders>
              <w:top w:val="nil"/>
              <w:bottom w:val="single" w:sz="4"/>
            </w:tcBorders>
          </w:tcPr>
          <w:p>
            <w:pPr>
              <w:pStyle w:val="0"/>
              <w:jc w:val="center"/>
            </w:pPr>
            <w:r>
              <w:rPr>
                <w:sz w:val="20"/>
              </w:rPr>
              <w:t xml:space="preserve">1</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W w:w="4195" w:type="dxa"/>
            <w:tcBorders>
              <w:top w:val="single" w:sz="4"/>
              <w:bottom w:val="single" w:sz="4"/>
            </w:tcBorders>
          </w:tcPr>
          <w:p>
            <w:pPr>
              <w:pStyle w:val="0"/>
              <w:jc w:val="both"/>
            </w:pPr>
            <w:r>
              <w:rPr>
                <w:sz w:val="20"/>
              </w:rPr>
              <w:t xml:space="preserve">c) Запланирована реализация 1-3 программ</w:t>
            </w:r>
          </w:p>
        </w:tc>
        <w:tc>
          <w:tcPr>
            <w:tcW w:w="1134" w:type="dxa"/>
            <w:tcBorders>
              <w:top w:val="single" w:sz="4"/>
              <w:bottom w:val="single" w:sz="4"/>
            </w:tcBorders>
          </w:tcPr>
          <w:p>
            <w:pPr>
              <w:pStyle w:val="0"/>
              <w:jc w:val="center"/>
            </w:pPr>
            <w:r>
              <w:rPr>
                <w:sz w:val="20"/>
              </w:rPr>
              <w:t xml:space="preserve">1</w:t>
            </w:r>
          </w:p>
        </w:tc>
        <w:tc>
          <w:tcPr>
            <w:tcBorders>
              <w:top w:val="single" w:sz="4"/>
              <w:bottom w:val="single" w:sz="4"/>
            </w:tcBorders>
            <w:vMerge w:val="continue"/>
          </w:tcPr>
          <w:p/>
        </w:tc>
      </w:tr>
      <w:tr>
        <w:tblPrEx>
          <w:tblBorders>
            <w:insideH w:val="single" w:sz="4"/>
          </w:tblBorders>
        </w:tblPrEx>
        <w:tc>
          <w:tcPr>
            <w:tcW w:w="510" w:type="dxa"/>
            <w:tcBorders>
              <w:top w:val="single" w:sz="4"/>
              <w:bottom w:val="single" w:sz="4"/>
            </w:tcBorders>
            <w:vMerge w:val="restart"/>
          </w:tcPr>
          <w:p>
            <w:pPr>
              <w:pStyle w:val="0"/>
              <w:jc w:val="center"/>
            </w:pPr>
            <w:r>
              <w:rPr>
                <w:sz w:val="20"/>
              </w:rPr>
              <w:t xml:space="preserve">2.2</w:t>
            </w:r>
          </w:p>
        </w:tc>
        <w:tc>
          <w:tcPr>
            <w:tcW w:w="4195" w:type="dxa"/>
            <w:tcBorders>
              <w:top w:val="single" w:sz="4"/>
              <w:bottom w:val="nil"/>
            </w:tcBorders>
          </w:tcPr>
          <w:p>
            <w:pPr>
              <w:pStyle w:val="0"/>
              <w:jc w:val="both"/>
            </w:pPr>
            <w:r>
              <w:rPr>
                <w:sz w:val="20"/>
              </w:rPr>
              <w:t xml:space="preserve">Обоснованность расходов на реализацию программ развития компетенций студенческого предпринимательства (академической мобильности) на территории Санкт-Петербурга:</w:t>
            </w:r>
          </w:p>
        </w:tc>
        <w:tc>
          <w:tcPr>
            <w:tcW w:w="1134" w:type="dxa"/>
            <w:tcBorders>
              <w:top w:val="single" w:sz="4"/>
              <w:bottom w:val="nil"/>
            </w:tcBorders>
          </w:tcPr>
          <w:p>
            <w:pPr>
              <w:pStyle w:val="0"/>
            </w:pPr>
            <w:r>
              <w:rPr>
                <w:sz w:val="20"/>
              </w:rPr>
            </w:r>
          </w:p>
        </w:tc>
        <w:tc>
          <w:tcPr>
            <w:tcW w:w="3231" w:type="dxa"/>
            <w:tcBorders>
              <w:top w:val="single" w:sz="4"/>
              <w:bottom w:val="nil"/>
            </w:tcBorders>
          </w:tcPr>
          <w:p>
            <w:pPr>
              <w:pStyle w:val="0"/>
            </w:pPr>
            <w:r>
              <w:rPr>
                <w:sz w:val="20"/>
              </w:rPr>
            </w: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a) Экономическое обоснование представлено по каждой из запланированных статей затрат;</w:t>
            </w:r>
          </w:p>
        </w:tc>
        <w:tc>
          <w:tcPr>
            <w:tcW w:w="1134" w:type="dxa"/>
            <w:tcBorders>
              <w:top w:val="nil"/>
              <w:bottom w:val="nil"/>
            </w:tcBorders>
          </w:tcPr>
          <w:p>
            <w:pPr>
              <w:pStyle w:val="0"/>
              <w:jc w:val="center"/>
            </w:pPr>
            <w:r>
              <w:rPr>
                <w:sz w:val="20"/>
              </w:rPr>
              <w:t xml:space="preserve">5</w:t>
            </w:r>
          </w:p>
        </w:tc>
        <w:tc>
          <w:tcPr>
            <w:tcW w:w="3231" w:type="dxa"/>
            <w:tcBorders>
              <w:top w:val="nil"/>
              <w:bottom w:val="single" w:sz="4"/>
            </w:tcBorders>
            <w:vMerge w:val="restart"/>
          </w:tcPr>
          <w:p>
            <w:pPr>
              <w:pStyle w:val="0"/>
              <w:jc w:val="center"/>
            </w:pPr>
            <w:r>
              <w:rPr>
                <w:sz w:val="20"/>
              </w:rPr>
              <w:t xml:space="preserve">1</w:t>
            </w: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b) Экономическое обоснование не представлено по нескольким из запланированных статей затрат;</w:t>
            </w:r>
          </w:p>
        </w:tc>
        <w:tc>
          <w:tcPr>
            <w:tcW w:w="1134" w:type="dxa"/>
            <w:tcBorders>
              <w:top w:val="nil"/>
              <w:bottom w:val="nil"/>
            </w:tcBorders>
          </w:tcPr>
          <w:p>
            <w:pPr>
              <w:pStyle w:val="0"/>
              <w:jc w:val="center"/>
            </w:pPr>
            <w:r>
              <w:rPr>
                <w:sz w:val="20"/>
              </w:rPr>
              <w:t xml:space="preserve">3</w:t>
            </w:r>
          </w:p>
        </w:tc>
        <w:tc>
          <w:tcPr>
            <w:tcBorders>
              <w:top w:val="nil"/>
              <w:bottom w:val="single" w:sz="4"/>
            </w:tcBorders>
            <w:vMerge w:val="continue"/>
          </w:tcPr>
          <w:p/>
        </w:tc>
      </w:tr>
      <w:tr>
        <w:tblPrEx>
          <w:tblBorders>
            <w:insideH w:val="single" w:sz="4"/>
          </w:tblBorders>
        </w:tblPrEx>
        <w:tc>
          <w:tcPr>
            <w:tcBorders>
              <w:top w:val="single" w:sz="4"/>
              <w:bottom w:val="single" w:sz="4"/>
            </w:tcBorders>
            <w:vMerge w:val="continue"/>
          </w:tcPr>
          <w:p/>
        </w:tc>
        <w:tc>
          <w:tcPr>
            <w:tcW w:w="4195" w:type="dxa"/>
            <w:tcBorders>
              <w:top w:val="nil"/>
              <w:bottom w:val="single" w:sz="4"/>
            </w:tcBorders>
          </w:tcPr>
          <w:p>
            <w:pPr>
              <w:pStyle w:val="0"/>
              <w:jc w:val="both"/>
            </w:pPr>
            <w:r>
              <w:rPr>
                <w:sz w:val="20"/>
              </w:rPr>
              <w:t xml:space="preserve">c) Экономическое обоснование затрат не представлено</w:t>
            </w:r>
          </w:p>
        </w:tc>
        <w:tc>
          <w:tcPr>
            <w:tcW w:w="1134" w:type="dxa"/>
            <w:tcBorders>
              <w:top w:val="nil"/>
              <w:bottom w:val="single" w:sz="4"/>
            </w:tcBorders>
          </w:tcPr>
          <w:p>
            <w:pPr>
              <w:pStyle w:val="0"/>
              <w:jc w:val="center"/>
            </w:pPr>
            <w:r>
              <w:rPr>
                <w:sz w:val="20"/>
              </w:rPr>
              <w:t xml:space="preserve">0</w:t>
            </w:r>
          </w:p>
        </w:tc>
        <w:tc>
          <w:tcPr>
            <w:tcBorders>
              <w:top w:val="nil"/>
              <w:bottom w:val="single" w:sz="4"/>
            </w:tcBorders>
            <w:vMerge w:val="continue"/>
          </w:tcPr>
          <w:p/>
        </w:tc>
      </w:tr>
      <w:tr>
        <w:tblPrEx>
          <w:tblBorders>
            <w:insideH w:val="single" w:sz="4"/>
          </w:tblBorders>
        </w:tblPrEx>
        <w:tc>
          <w:tcPr>
            <w:tcW w:w="510" w:type="dxa"/>
            <w:tcBorders>
              <w:top w:val="single" w:sz="4"/>
              <w:bottom w:val="single" w:sz="4"/>
            </w:tcBorders>
            <w:vMerge w:val="restart"/>
          </w:tcPr>
          <w:p>
            <w:pPr>
              <w:pStyle w:val="0"/>
              <w:jc w:val="center"/>
            </w:pPr>
            <w:r>
              <w:rPr>
                <w:sz w:val="20"/>
              </w:rPr>
              <w:t xml:space="preserve">2.3</w:t>
            </w:r>
          </w:p>
        </w:tc>
        <w:tc>
          <w:tcPr>
            <w:tcW w:w="4195" w:type="dxa"/>
            <w:tcBorders>
              <w:top w:val="single" w:sz="4"/>
              <w:bottom w:val="nil"/>
            </w:tcBorders>
          </w:tcPr>
          <w:p>
            <w:pPr>
              <w:pStyle w:val="0"/>
              <w:jc w:val="both"/>
            </w:pPr>
            <w:r>
              <w:rPr>
                <w:sz w:val="20"/>
              </w:rPr>
              <w:t xml:space="preserve">Объем предполагаемых поступлений на реализацию программ развития компетенций студенческого предпринимательства (академической мобильности) на территории Санкт-Петербурга из иных источников, включая денежные средства, иное имущество, имущественные права, безвозмездно выполняемые работы и оказываемые услуги:</w:t>
            </w:r>
          </w:p>
        </w:tc>
        <w:tc>
          <w:tcPr>
            <w:tcW w:w="1134" w:type="dxa"/>
            <w:tcBorders>
              <w:top w:val="single" w:sz="4"/>
              <w:bottom w:val="nil"/>
            </w:tcBorders>
          </w:tcPr>
          <w:p>
            <w:pPr>
              <w:pStyle w:val="0"/>
            </w:pPr>
            <w:r>
              <w:rPr>
                <w:sz w:val="20"/>
              </w:rPr>
            </w:r>
          </w:p>
        </w:tc>
        <w:tc>
          <w:tcPr>
            <w:tcW w:w="3231" w:type="dxa"/>
            <w:tcBorders>
              <w:top w:val="single" w:sz="4"/>
              <w:bottom w:val="nil"/>
            </w:tcBorders>
          </w:tcPr>
          <w:p>
            <w:pPr>
              <w:pStyle w:val="0"/>
            </w:pPr>
            <w:r>
              <w:rPr>
                <w:sz w:val="20"/>
              </w:rPr>
            </w: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a) От 51% до 100% к запрашиваемому объему субсидий;</w:t>
            </w:r>
          </w:p>
        </w:tc>
        <w:tc>
          <w:tcPr>
            <w:tcW w:w="1134" w:type="dxa"/>
            <w:tcBorders>
              <w:top w:val="nil"/>
              <w:bottom w:val="nil"/>
            </w:tcBorders>
          </w:tcPr>
          <w:p>
            <w:pPr>
              <w:pStyle w:val="0"/>
              <w:jc w:val="center"/>
            </w:pPr>
            <w:r>
              <w:rPr>
                <w:sz w:val="20"/>
              </w:rPr>
              <w:t xml:space="preserve">2</w:t>
            </w:r>
          </w:p>
        </w:tc>
        <w:tc>
          <w:tcPr>
            <w:tcW w:w="3231" w:type="dxa"/>
            <w:tcBorders>
              <w:top w:val="nil"/>
              <w:bottom w:val="single" w:sz="4"/>
            </w:tcBorders>
            <w:vMerge w:val="restart"/>
          </w:tcPr>
          <w:p>
            <w:pPr>
              <w:pStyle w:val="0"/>
              <w:jc w:val="center"/>
            </w:pPr>
            <w:r>
              <w:rPr>
                <w:sz w:val="20"/>
              </w:rPr>
              <w:t xml:space="preserve">1</w:t>
            </w: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b) от 1% до 50% к запрашиваемому объему субсидий;</w:t>
            </w:r>
          </w:p>
        </w:tc>
        <w:tc>
          <w:tcPr>
            <w:tcW w:w="1134" w:type="dxa"/>
            <w:tcBorders>
              <w:top w:val="nil"/>
              <w:bottom w:val="nil"/>
            </w:tcBorders>
          </w:tcPr>
          <w:p>
            <w:pPr>
              <w:pStyle w:val="0"/>
              <w:jc w:val="center"/>
            </w:pPr>
            <w:r>
              <w:rPr>
                <w:sz w:val="20"/>
              </w:rPr>
              <w:t xml:space="preserve">1</w:t>
            </w:r>
          </w:p>
        </w:tc>
        <w:tc>
          <w:tcPr>
            <w:tcBorders>
              <w:top w:val="nil"/>
              <w:bottom w:val="single" w:sz="4"/>
            </w:tcBorders>
            <w:vMerge w:val="continue"/>
          </w:tcPr>
          <w:p/>
        </w:tc>
      </w:tr>
      <w:tr>
        <w:tc>
          <w:tcPr>
            <w:tcBorders>
              <w:top w:val="single" w:sz="4"/>
              <w:bottom w:val="single" w:sz="4"/>
            </w:tcBorders>
            <w:vMerge w:val="continue"/>
          </w:tcPr>
          <w:p/>
        </w:tc>
        <w:tc>
          <w:tcPr>
            <w:tcW w:w="4195" w:type="dxa"/>
            <w:tcBorders>
              <w:top w:val="nil"/>
              <w:bottom w:val="single" w:sz="4"/>
            </w:tcBorders>
          </w:tcPr>
          <w:p>
            <w:pPr>
              <w:pStyle w:val="0"/>
              <w:jc w:val="both"/>
            </w:pPr>
            <w:r>
              <w:rPr>
                <w:sz w:val="20"/>
              </w:rPr>
              <w:t xml:space="preserve">c) Поступления из иных источников не предполагаются</w:t>
            </w:r>
          </w:p>
        </w:tc>
        <w:tc>
          <w:tcPr>
            <w:tcW w:w="1134" w:type="dxa"/>
            <w:tcBorders>
              <w:top w:val="nil"/>
              <w:bottom w:val="single" w:sz="4"/>
            </w:tcBorders>
          </w:tcPr>
          <w:p>
            <w:pPr>
              <w:pStyle w:val="0"/>
              <w:jc w:val="center"/>
            </w:pPr>
            <w:r>
              <w:rPr>
                <w:sz w:val="20"/>
              </w:rPr>
              <w:t xml:space="preserve">0</w:t>
            </w:r>
          </w:p>
        </w:tc>
        <w:tc>
          <w:tcPr>
            <w:tcBorders>
              <w:top w:val="nil"/>
              <w:bottom w:val="single" w:sz="4"/>
            </w:tcBorders>
            <w:vMerge w:val="continue"/>
          </w:tcP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t xml:space="preserve">к распоряжению Комитета</w:t>
      </w:r>
    </w:p>
    <w:p>
      <w:pPr>
        <w:pStyle w:val="0"/>
        <w:jc w:val="right"/>
      </w:pPr>
      <w:r>
        <w:rPr>
          <w:sz w:val="20"/>
        </w:rPr>
        <w:t xml:space="preserve">по науке и высшей школе</w:t>
      </w:r>
    </w:p>
    <w:p>
      <w:pPr>
        <w:pStyle w:val="0"/>
        <w:jc w:val="right"/>
      </w:pPr>
      <w:r>
        <w:rPr>
          <w:sz w:val="20"/>
        </w:rPr>
        <w:t xml:space="preserve">от 02.06.2023 N 100</w:t>
      </w:r>
    </w:p>
    <w:p>
      <w:pPr>
        <w:pStyle w:val="0"/>
      </w:pPr>
      <w:r>
        <w:rPr>
          <w:sz w:val="20"/>
        </w:rPr>
      </w:r>
    </w:p>
    <w:bookmarkStart w:id="239" w:name="P239"/>
    <w:bookmarkEnd w:id="239"/>
    <w:p>
      <w:pPr>
        <w:pStyle w:val="2"/>
        <w:jc w:val="center"/>
      </w:pPr>
      <w:r>
        <w:rPr>
          <w:sz w:val="20"/>
        </w:rPr>
        <w:t xml:space="preserve">ПОЛОЖЕНИЕ</w:t>
      </w:r>
    </w:p>
    <w:p>
      <w:pPr>
        <w:pStyle w:val="2"/>
        <w:jc w:val="center"/>
      </w:pPr>
      <w:r>
        <w:rPr>
          <w:sz w:val="20"/>
        </w:rPr>
        <w:t xml:space="preserve">О КОМИССИИ ДЛЯ РАССМОТРЕНИЯ И ОЦЕНКИ ЗАЯВОК НА УЧАСТИЕ</w:t>
      </w:r>
    </w:p>
    <w:p>
      <w:pPr>
        <w:pStyle w:val="2"/>
        <w:jc w:val="center"/>
      </w:pPr>
      <w:r>
        <w:rPr>
          <w:sz w:val="20"/>
        </w:rPr>
        <w:t xml:space="preserve">В КОНКУРСНОМ ОТБОРЕ НА ПРАВО ПОЛУЧЕНИЯ В 2023 ГОДУ СУБСИДИЙ</w:t>
      </w:r>
    </w:p>
    <w:p>
      <w:pPr>
        <w:pStyle w:val="2"/>
        <w:jc w:val="center"/>
      </w:pPr>
      <w:r>
        <w:rPr>
          <w:sz w:val="20"/>
        </w:rPr>
        <w:t xml:space="preserve">СОЦИАЛЬНО ОРИЕНТИРОВАННЫМИ НЕКОММЕРЧЕСКИМИ ОРГАНИЗАЦИЯМИ</w:t>
      </w:r>
    </w:p>
    <w:p>
      <w:pPr>
        <w:pStyle w:val="2"/>
        <w:jc w:val="center"/>
      </w:pPr>
      <w:r>
        <w:rPr>
          <w:sz w:val="20"/>
        </w:rPr>
        <w:t xml:space="preserve">НА РАЗРАБОТКУ И РЕАЛИЗАЦИЮ ОБРАЗОВАТЕЛЬНЫХ ПРОГРАММ РАЗВИТИЯ</w:t>
      </w:r>
    </w:p>
    <w:p>
      <w:pPr>
        <w:pStyle w:val="2"/>
        <w:jc w:val="center"/>
      </w:pPr>
      <w:r>
        <w:rPr>
          <w:sz w:val="20"/>
        </w:rPr>
        <w:t xml:space="preserve">КОМПЕТЕНЦИЙ СТУДЕНЧЕСКОГО ПРЕДПРИНИМАТЕЛЬСТВА (АКАДЕМИЧЕСКОЙ</w:t>
      </w:r>
    </w:p>
    <w:p>
      <w:pPr>
        <w:pStyle w:val="2"/>
        <w:jc w:val="center"/>
      </w:pPr>
      <w:r>
        <w:rPr>
          <w:sz w:val="20"/>
        </w:rPr>
        <w:t xml:space="preserve">МОБИЛЬНОСТИ) НА ТЕРРИТОРИИ САНКТ-ПЕТЕРБУРГА</w:t>
      </w:r>
    </w:p>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Настоящим Положением определяется порядок формирования и деятельности комиссии для рассмотрения и оценки заявок на участие в конкурсном отборе на право получения в 2023 году субсидий социально ориентированными некоммерческими организациями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(далее - конкурсная комиссия).</w:t>
      </w:r>
    </w:p>
    <w:p>
      <w:pPr>
        <w:pStyle w:val="0"/>
        <w:spacing w:before="200" w:line-rule="auto"/>
        <w:ind w:firstLine="540"/>
        <w:jc w:val="both"/>
      </w:pPr>
      <w:r>
        <w:rPr>
          <w:sz w:val="20"/>
        </w:rPr>
        <w:t xml:space="preserve">1.2. Конкурсная комиссия создается Комитетом по науке и высшей школе (далее - Комитет) в соответствии с </w:t>
      </w:r>
      <w:hyperlink w:history="0" r:id="rId30" w:tooltip="Постановление Правительства Санкт-Петербурга от 05.05.2023 N 407 &quot;Об утверждении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05.05.2023 N 407 "Об утверждении Порядка предоставления в 2023 году субсидий социально ориентированными некоммерческими организациями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в целях определения победителя конкурсного отбора на право получения в 2023 году субсидий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(далее соответственно - отбор, субсидии), а также размера предоставляемых субсидий победителю отбора.</w:t>
      </w:r>
    </w:p>
    <w:p>
      <w:pPr>
        <w:pStyle w:val="0"/>
        <w:spacing w:before="200" w:line-rule="auto"/>
        <w:ind w:firstLine="540"/>
        <w:jc w:val="both"/>
      </w:pPr>
      <w:r>
        <w:rPr>
          <w:sz w:val="20"/>
        </w:rPr>
        <w:t xml:space="preserve">1.3. Конкурсная комиссия в своей деятельности руководствуется законодательством Российской Федерации и Санкт-Петербурга, а также настоящим Положением.</w:t>
      </w:r>
    </w:p>
    <w:p>
      <w:pPr>
        <w:pStyle w:val="0"/>
      </w:pPr>
      <w:r>
        <w:rPr>
          <w:sz w:val="20"/>
        </w:rPr>
      </w:r>
    </w:p>
    <w:p>
      <w:pPr>
        <w:pStyle w:val="2"/>
        <w:outlineLvl w:val="1"/>
        <w:jc w:val="center"/>
      </w:pPr>
      <w:r>
        <w:rPr>
          <w:sz w:val="20"/>
        </w:rPr>
        <w:t xml:space="preserve">2. Основные задачи конкурсной комиссии</w:t>
      </w:r>
    </w:p>
    <w:p>
      <w:pPr>
        <w:pStyle w:val="0"/>
      </w:pPr>
      <w:r>
        <w:rPr>
          <w:sz w:val="20"/>
        </w:rPr>
      </w:r>
    </w:p>
    <w:p>
      <w:pPr>
        <w:pStyle w:val="0"/>
        <w:ind w:firstLine="540"/>
        <w:jc w:val="both"/>
      </w:pPr>
      <w:r>
        <w:rPr>
          <w:sz w:val="20"/>
        </w:rPr>
        <w:t xml:space="preserve">2.1. Рассмотрение и оценка заявок на участие в отборе (далее - заявки) и документов, представляемых участниками отбора в Комитет для участия в отборе (далее - документы), определение баллов по каждому критерию отбора, ранжирование заявок и документов по критериям отбора, установленным Порядком предоставления субсидий, определение победителя отбора.</w:t>
      </w:r>
    </w:p>
    <w:p>
      <w:pPr>
        <w:pStyle w:val="0"/>
        <w:spacing w:before="200" w:line-rule="auto"/>
        <w:ind w:firstLine="540"/>
        <w:jc w:val="both"/>
      </w:pPr>
      <w:r>
        <w:rPr>
          <w:sz w:val="20"/>
        </w:rPr>
        <w:t xml:space="preserve">2.2. Определение размера предоставляемых субсидий победителю отбора в соответствии с Порядком предоставления субсидий и настоящим Положением.</w:t>
      </w:r>
    </w:p>
    <w:p>
      <w:pPr>
        <w:pStyle w:val="0"/>
      </w:pPr>
      <w:r>
        <w:rPr>
          <w:sz w:val="20"/>
        </w:rPr>
      </w:r>
    </w:p>
    <w:p>
      <w:pPr>
        <w:pStyle w:val="2"/>
        <w:outlineLvl w:val="1"/>
        <w:jc w:val="center"/>
      </w:pPr>
      <w:r>
        <w:rPr>
          <w:sz w:val="20"/>
        </w:rPr>
        <w:t xml:space="preserve">3. Состав и порядок работы конкурсной комиссии</w:t>
      </w:r>
    </w:p>
    <w:p>
      <w:pPr>
        <w:pStyle w:val="0"/>
      </w:pPr>
      <w:r>
        <w:rPr>
          <w:sz w:val="20"/>
        </w:rPr>
      </w:r>
    </w:p>
    <w:p>
      <w:pPr>
        <w:pStyle w:val="0"/>
        <w:ind w:firstLine="540"/>
        <w:jc w:val="both"/>
      </w:pPr>
      <w:r>
        <w:rPr>
          <w:sz w:val="20"/>
        </w:rPr>
        <w:t xml:space="preserve">3.1. В состав конкурсной комиссии включаются работники Комитета, представители Общественного совета при Комитете, состав которого утвержден распоряжением Комитета от 24.06.2015 N 71, и представители образовательных учреждений Санкт-Петербурга. В состав конкурсной комиссии входят председатель конкурсной комиссии, члены конкурсной комиссии и секретарь конкурсной комиссии. Состав конкурсной комиссии утверждается Комитетом.</w:t>
      </w:r>
    </w:p>
    <w:p>
      <w:pPr>
        <w:pStyle w:val="0"/>
        <w:spacing w:before="200" w:line-rule="auto"/>
        <w:ind w:firstLine="540"/>
        <w:jc w:val="both"/>
      </w:pPr>
      <w:r>
        <w:rPr>
          <w:sz w:val="20"/>
        </w:rPr>
        <w:t xml:space="preserve">3.2. Председатель конкурсной комиссии:</w:t>
      </w:r>
    </w:p>
    <w:p>
      <w:pPr>
        <w:pStyle w:val="0"/>
        <w:spacing w:before="200" w:line-rule="auto"/>
        <w:ind w:firstLine="540"/>
        <w:jc w:val="both"/>
      </w:pPr>
      <w:r>
        <w:rPr>
          <w:sz w:val="20"/>
        </w:rPr>
        <w:t xml:space="preserve">организует и координирует работу конкурсной комиссии;</w:t>
      </w:r>
    </w:p>
    <w:p>
      <w:pPr>
        <w:pStyle w:val="0"/>
        <w:spacing w:before="200" w:line-rule="auto"/>
        <w:ind w:firstLine="540"/>
        <w:jc w:val="both"/>
      </w:pPr>
      <w:r>
        <w:rPr>
          <w:sz w:val="20"/>
        </w:rPr>
        <w:t xml:space="preserve">назначает даты проведения заседаний конкурсной комиссии;</w:t>
      </w:r>
    </w:p>
    <w:p>
      <w:pPr>
        <w:pStyle w:val="0"/>
        <w:spacing w:before="200" w:line-rule="auto"/>
        <w:ind w:firstLine="540"/>
        <w:jc w:val="both"/>
      </w:pPr>
      <w:r>
        <w:rPr>
          <w:sz w:val="20"/>
        </w:rPr>
        <w:t xml:space="preserve">проводит заседания конкурсной комиссии.</w:t>
      </w:r>
    </w:p>
    <w:p>
      <w:pPr>
        <w:pStyle w:val="0"/>
        <w:spacing w:before="200" w:line-rule="auto"/>
        <w:ind w:firstLine="540"/>
        <w:jc w:val="both"/>
      </w:pPr>
      <w:r>
        <w:rPr>
          <w:sz w:val="20"/>
        </w:rPr>
        <w:t xml:space="preserve">3.3. Секретарь конкурсной комиссии:</w:t>
      </w:r>
    </w:p>
    <w:p>
      <w:pPr>
        <w:pStyle w:val="0"/>
        <w:spacing w:before="200" w:line-rule="auto"/>
        <w:ind w:firstLine="540"/>
        <w:jc w:val="both"/>
      </w:pPr>
      <w:r>
        <w:rPr>
          <w:sz w:val="20"/>
        </w:rPr>
        <w:t xml:space="preserve">готовит материалы к заседаниям конкурсной комиссии;</w:t>
      </w:r>
    </w:p>
    <w:p>
      <w:pPr>
        <w:pStyle w:val="0"/>
        <w:spacing w:before="200" w:line-rule="auto"/>
        <w:ind w:firstLine="540"/>
        <w:jc w:val="both"/>
      </w:pPr>
      <w:r>
        <w:rPr>
          <w:sz w:val="20"/>
        </w:rPr>
        <w:t xml:space="preserve">ведет протоколы заседаний конкурсной комиссии;</w:t>
      </w:r>
    </w:p>
    <w:p>
      <w:pPr>
        <w:pStyle w:val="0"/>
        <w:spacing w:before="200" w:line-rule="auto"/>
        <w:ind w:firstLine="540"/>
        <w:jc w:val="both"/>
      </w:pPr>
      <w:r>
        <w:rPr>
          <w:sz w:val="20"/>
        </w:rPr>
        <w:t xml:space="preserve">извещает членов конкурсной комиссии о времени, месте проведения заседаний конкурсной комиссии и направляет членам конкурсной комиссии проект повестки дня соответствующего заседания конкурсной комиссии.</w:t>
      </w:r>
    </w:p>
    <w:p>
      <w:pPr>
        <w:pStyle w:val="0"/>
        <w:spacing w:before="200" w:line-rule="auto"/>
        <w:ind w:firstLine="540"/>
        <w:jc w:val="both"/>
      </w:pPr>
      <w:r>
        <w:rPr>
          <w:sz w:val="20"/>
        </w:rPr>
        <w:t xml:space="preserve">3.4. Заседания конкурсной комиссии считаются правомочными при условии присутствия на них не менее половины численного состава конкурсной комиссии. В случае невозможности личного присутствия на заседании конкурсной комиссии член конкурсной комиссии может направить своего представителя, полномочия которого должны быть подтверждены в установленном порядке.</w:t>
      </w:r>
    </w:p>
    <w:p>
      <w:pPr>
        <w:pStyle w:val="0"/>
        <w:spacing w:before="200" w:line-rule="auto"/>
        <w:ind w:firstLine="540"/>
        <w:jc w:val="both"/>
      </w:pPr>
      <w:r>
        <w:rPr>
          <w:sz w:val="20"/>
        </w:rPr>
        <w:t xml:space="preserve">3.5. Решения конкурсной комиссии принимаются простым большинством голосов (при условии присутствия на заседании конкурсной комиссии не менее половины численного состава конкурсной комиссии).</w:t>
      </w:r>
    </w:p>
    <w:p>
      <w:pPr>
        <w:pStyle w:val="0"/>
        <w:spacing w:before="200" w:line-rule="auto"/>
        <w:ind w:firstLine="540"/>
        <w:jc w:val="both"/>
      </w:pPr>
      <w:r>
        <w:rPr>
          <w:sz w:val="20"/>
        </w:rPr>
        <w:t xml:space="preserve">3.6. Решение о победителе отбора и размере предоставляемых ему субсидий принимается конкурсной комиссией путем голосования за победителя отбора с указанием размера предоставляемых ему субсидий, определенного по результатам рассмотрения и оценки заявок и документов, а также на основании рейтинга заявок.</w:t>
      </w:r>
    </w:p>
    <w:p>
      <w:pPr>
        <w:pStyle w:val="0"/>
        <w:spacing w:before="200" w:line-rule="auto"/>
        <w:ind w:firstLine="540"/>
        <w:jc w:val="both"/>
      </w:pPr>
      <w:r>
        <w:rPr>
          <w:sz w:val="20"/>
        </w:rPr>
        <w:t xml:space="preserve">Способ голосования определяется решением конкурсной комиссии на ее заседании.</w:t>
      </w:r>
    </w:p>
    <w:p>
      <w:pPr>
        <w:pStyle w:val="0"/>
        <w:spacing w:before="200" w:line-rule="auto"/>
        <w:ind w:firstLine="540"/>
        <w:jc w:val="both"/>
      </w:pPr>
      <w:r>
        <w:rPr>
          <w:sz w:val="20"/>
        </w:rPr>
        <w:t xml:space="preserve">3.7. В случае осуществления голосования индивидуально за каждого из участников отбора лицо, входящее в состав конкурсной комиссии, обязано заявить самоотвод от голосования за участника отбора в случае, если оно является работником участника отбора либо лицом, являющимся участником, учредителем участника отбора, членом органа управления участника отбора или его аффилированным лицом.</w:t>
      </w:r>
    </w:p>
    <w:p>
      <w:pPr>
        <w:pStyle w:val="0"/>
        <w:spacing w:before="200" w:line-rule="auto"/>
        <w:ind w:firstLine="540"/>
        <w:jc w:val="both"/>
      </w:pPr>
      <w:r>
        <w:rPr>
          <w:sz w:val="20"/>
        </w:rPr>
        <w:t xml:space="preserve">Решение о самоотводе члена конкурсной комиссии от голосования вносится в протокол заседания конкурсной комиссии.</w:t>
      </w:r>
    </w:p>
    <w:p>
      <w:pPr>
        <w:pStyle w:val="0"/>
        <w:spacing w:before="200" w:line-rule="auto"/>
        <w:ind w:firstLine="540"/>
        <w:jc w:val="both"/>
      </w:pPr>
      <w:r>
        <w:rPr>
          <w:sz w:val="20"/>
        </w:rPr>
        <w:t xml:space="preserve">3.8. В голосовании принимают участие председатель конкурсной комиссии, члены конкурсной комиссии, включая направленных представителей.</w:t>
      </w:r>
    </w:p>
    <w:p>
      <w:pPr>
        <w:pStyle w:val="0"/>
        <w:spacing w:before="200" w:line-rule="auto"/>
        <w:ind w:firstLine="540"/>
        <w:jc w:val="both"/>
      </w:pPr>
      <w:r>
        <w:rPr>
          <w:sz w:val="20"/>
        </w:rPr>
        <w:t xml:space="preserve">В случае равенства голосов решающим является голос председателя конкурсной комиссии.</w:t>
      </w:r>
    </w:p>
    <w:p>
      <w:pPr>
        <w:pStyle w:val="0"/>
        <w:spacing w:before="200" w:line-rule="auto"/>
        <w:ind w:firstLine="540"/>
        <w:jc w:val="both"/>
      </w:pPr>
      <w:r>
        <w:rPr>
          <w:sz w:val="20"/>
        </w:rPr>
        <w:t xml:space="preserve">3.9. Решения конкурсной комиссии оформляются протоколом, который подписывается председателем конкурсной комиссии и секретарем конкурсной комиссии.</w:t>
      </w:r>
    </w:p>
    <w:p>
      <w:pPr>
        <w:pStyle w:val="0"/>
      </w:pPr>
      <w:r>
        <w:rPr>
          <w:sz w:val="20"/>
        </w:rPr>
      </w:r>
    </w:p>
    <w:p>
      <w:pPr>
        <w:pStyle w:val="2"/>
        <w:outlineLvl w:val="1"/>
        <w:jc w:val="center"/>
      </w:pPr>
      <w:r>
        <w:rPr>
          <w:sz w:val="20"/>
        </w:rPr>
        <w:t xml:space="preserve">4. Организационно-техническое обеспечение деятельности</w:t>
      </w:r>
    </w:p>
    <w:p>
      <w:pPr>
        <w:pStyle w:val="2"/>
        <w:jc w:val="center"/>
      </w:pPr>
      <w:r>
        <w:rPr>
          <w:sz w:val="20"/>
        </w:rPr>
        <w:t xml:space="preserve">конкурсной комиссии</w:t>
      </w:r>
    </w:p>
    <w:p>
      <w:pPr>
        <w:pStyle w:val="0"/>
      </w:pPr>
      <w:r>
        <w:rPr>
          <w:sz w:val="20"/>
        </w:rPr>
      </w:r>
    </w:p>
    <w:p>
      <w:pPr>
        <w:pStyle w:val="0"/>
        <w:ind w:firstLine="540"/>
        <w:jc w:val="both"/>
      </w:pPr>
      <w:r>
        <w:rPr>
          <w:sz w:val="20"/>
        </w:rPr>
        <w:t xml:space="preserve">Организационно-техническое обеспечение деятельности конкурсной комиссии осуществляет Комитет.</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3</w:t>
      </w:r>
    </w:p>
    <w:p>
      <w:pPr>
        <w:pStyle w:val="0"/>
        <w:jc w:val="right"/>
      </w:pPr>
      <w:r>
        <w:rPr>
          <w:sz w:val="20"/>
        </w:rPr>
        <w:t xml:space="preserve">к распоряжению Комитета</w:t>
      </w:r>
    </w:p>
    <w:p>
      <w:pPr>
        <w:pStyle w:val="0"/>
        <w:jc w:val="right"/>
      </w:pPr>
      <w:r>
        <w:rPr>
          <w:sz w:val="20"/>
        </w:rPr>
        <w:t xml:space="preserve">по науке и высшей школе</w:t>
      </w:r>
    </w:p>
    <w:p>
      <w:pPr>
        <w:pStyle w:val="0"/>
        <w:jc w:val="right"/>
      </w:pPr>
      <w:r>
        <w:rPr>
          <w:sz w:val="20"/>
        </w:rPr>
        <w:t xml:space="preserve">от 02.06.2023 N 100</w:t>
      </w:r>
    </w:p>
    <w:p>
      <w:pPr>
        <w:pStyle w:val="0"/>
      </w:pPr>
      <w:r>
        <w:rPr>
          <w:sz w:val="20"/>
        </w:rPr>
      </w:r>
    </w:p>
    <w:bookmarkStart w:id="293" w:name="P293"/>
    <w:bookmarkEnd w:id="293"/>
    <w:p>
      <w:pPr>
        <w:pStyle w:val="2"/>
        <w:jc w:val="center"/>
      </w:pPr>
      <w:r>
        <w:rPr>
          <w:sz w:val="20"/>
        </w:rPr>
        <w:t xml:space="preserve">СОСТАВ</w:t>
      </w:r>
    </w:p>
    <w:p>
      <w:pPr>
        <w:pStyle w:val="2"/>
        <w:jc w:val="center"/>
      </w:pPr>
      <w:r>
        <w:rPr>
          <w:sz w:val="20"/>
        </w:rPr>
        <w:t xml:space="preserve">КОМИССИИ ДЛЯ РАССМОТРЕНИЯ И ОЦЕНКИ ЗАЯВОК НА УЧАСТИЕ</w:t>
      </w:r>
    </w:p>
    <w:p>
      <w:pPr>
        <w:pStyle w:val="2"/>
        <w:jc w:val="center"/>
      </w:pPr>
      <w:r>
        <w:rPr>
          <w:sz w:val="20"/>
        </w:rPr>
        <w:t xml:space="preserve">В КОНКУРСНОМ ОТБОРЕ НА ПРАВО ПОЛУЧЕНИЯ В 2023 ГОДУ СУБСИДИЙ</w:t>
      </w:r>
    </w:p>
    <w:p>
      <w:pPr>
        <w:pStyle w:val="2"/>
        <w:jc w:val="center"/>
      </w:pPr>
      <w:r>
        <w:rPr>
          <w:sz w:val="20"/>
        </w:rPr>
        <w:t xml:space="preserve">СОЦИАЛЬНО ОРИЕНТИРОВАННЫМИ НЕКОММЕРЧЕСКИМИ ОРГАНИЗАЦИЯМИ</w:t>
      </w:r>
    </w:p>
    <w:p>
      <w:pPr>
        <w:pStyle w:val="2"/>
        <w:jc w:val="center"/>
      </w:pPr>
      <w:r>
        <w:rPr>
          <w:sz w:val="20"/>
        </w:rPr>
        <w:t xml:space="preserve">НА РАЗРАБОТКУ И РЕАЛИЗАЦИЮ ОБРАЗОВАТЕЛЬНЫХ ПРОГРАММ РАЗВИТИЯ</w:t>
      </w:r>
    </w:p>
    <w:p>
      <w:pPr>
        <w:pStyle w:val="2"/>
        <w:jc w:val="center"/>
      </w:pPr>
      <w:r>
        <w:rPr>
          <w:sz w:val="20"/>
        </w:rPr>
        <w:t xml:space="preserve">КОМПЕТЕНЦИЙ СТУДЕНЧЕСКОГО ПРЕДПРИНИМАТЕЛЬСТВА (АКАДЕМИЧЕСКОЙ</w:t>
      </w:r>
    </w:p>
    <w:p>
      <w:pPr>
        <w:pStyle w:val="2"/>
        <w:jc w:val="center"/>
      </w:pPr>
      <w:r>
        <w:rPr>
          <w:sz w:val="20"/>
        </w:rPr>
        <w:t xml:space="preserve">МОБИЛЬНОСТИ) НА ТЕРРИТОРИИ САНКТ-ПЕТЕРБУРГА</w:t>
      </w:r>
    </w:p>
    <w:p>
      <w:pPr>
        <w:pStyle w:val="0"/>
      </w:pPr>
      <w:r>
        <w:rPr>
          <w:sz w:val="20"/>
        </w:rPr>
      </w:r>
    </w:p>
    <w:tbl>
      <w:tblPr>
        <w:tblInd w:w="0" w:type="dxa"/>
        <w:tblLayout w:type="fixed"/>
        <w:tblCellMar>
          <w:top w:w="102" w:type="dxa"/>
          <w:left w:w="62" w:type="dxa"/>
          <w:bottom w:w="102" w:type="dxa"/>
          <w:right w:w="62" w:type="dxa"/>
        </w:tblCellMar>
      </w:tblPr>
      <w:tblGrid>
        <w:gridCol w:w="2551"/>
        <w:gridCol w:w="340"/>
        <w:gridCol w:w="6180"/>
      </w:tblGrid>
      <w:tr>
        <w:tc>
          <w:tcPr>
            <w:gridSpan w:val="3"/>
            <w:tcW w:w="9071" w:type="dxa"/>
            <w:tcBorders>
              <w:top w:val="nil"/>
              <w:left w:val="nil"/>
              <w:bottom w:val="nil"/>
              <w:right w:val="nil"/>
            </w:tcBorders>
          </w:tcPr>
          <w:p>
            <w:pPr>
              <w:pStyle w:val="0"/>
            </w:pPr>
            <w:r>
              <w:rPr>
                <w:sz w:val="20"/>
              </w:rPr>
              <w:t xml:space="preserve">Председатель комиссии</w:t>
            </w:r>
          </w:p>
        </w:tc>
      </w:tr>
      <w:tr>
        <w:tc>
          <w:tcPr>
            <w:tcW w:w="2551" w:type="dxa"/>
            <w:tcBorders>
              <w:top w:val="nil"/>
              <w:left w:val="nil"/>
              <w:bottom w:val="nil"/>
              <w:right w:val="nil"/>
            </w:tcBorders>
          </w:tcPr>
          <w:p>
            <w:pPr>
              <w:pStyle w:val="0"/>
            </w:pPr>
            <w:r>
              <w:rPr>
                <w:sz w:val="20"/>
              </w:rPr>
              <w:t xml:space="preserve">Шевчик</w:t>
            </w:r>
          </w:p>
          <w:p>
            <w:pPr>
              <w:pStyle w:val="0"/>
            </w:pPr>
            <w:r>
              <w:rPr>
                <w:sz w:val="20"/>
              </w:rPr>
              <w:t xml:space="preserve">Андрей Павлович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ректор федерального государственного бюджетного образовательного учреждения высшего образования "Санкт-Петербургский государственный технологический институт (технический университет)" (по согласованию)</w:t>
            </w:r>
          </w:p>
        </w:tc>
      </w:tr>
      <w:tr>
        <w:tc>
          <w:tcPr>
            <w:gridSpan w:val="3"/>
            <w:tcW w:w="9071" w:type="dxa"/>
            <w:tcBorders>
              <w:top w:val="nil"/>
              <w:left w:val="nil"/>
              <w:bottom w:val="nil"/>
              <w:right w:val="nil"/>
            </w:tcBorders>
          </w:tcPr>
          <w:p>
            <w:pPr>
              <w:pStyle w:val="0"/>
            </w:pPr>
            <w:r>
              <w:rPr>
                <w:sz w:val="20"/>
              </w:rPr>
              <w:t xml:space="preserve">Члены комиссии:</w:t>
            </w:r>
          </w:p>
        </w:tc>
      </w:tr>
      <w:tr>
        <w:tc>
          <w:tcPr>
            <w:tcW w:w="2551" w:type="dxa"/>
            <w:tcBorders>
              <w:top w:val="nil"/>
              <w:left w:val="nil"/>
              <w:bottom w:val="nil"/>
              <w:right w:val="nil"/>
            </w:tcBorders>
          </w:tcPr>
          <w:p>
            <w:pPr>
              <w:pStyle w:val="0"/>
            </w:pPr>
            <w:r>
              <w:rPr>
                <w:sz w:val="20"/>
              </w:rPr>
              <w:t xml:space="preserve">Быстров</w:t>
            </w:r>
          </w:p>
          <w:p>
            <w:pPr>
              <w:pStyle w:val="0"/>
            </w:pPr>
            <w:r>
              <w:rPr>
                <w:sz w:val="20"/>
              </w:rPr>
              <w:t xml:space="preserve">Константин Олегович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главный специалист-юрисконсульт отдела правового обеспечения, кадров и государственной службы Комитета по науке и высшей школе</w:t>
            </w:r>
          </w:p>
        </w:tc>
      </w:tr>
      <w:tr>
        <w:tc>
          <w:tcPr>
            <w:tcW w:w="2551" w:type="dxa"/>
            <w:tcBorders>
              <w:top w:val="nil"/>
              <w:left w:val="nil"/>
              <w:bottom w:val="nil"/>
              <w:right w:val="nil"/>
            </w:tcBorders>
          </w:tcPr>
          <w:p>
            <w:pPr>
              <w:pStyle w:val="0"/>
            </w:pPr>
            <w:r>
              <w:rPr>
                <w:sz w:val="20"/>
              </w:rPr>
              <w:t xml:space="preserve">Василюк</w:t>
            </w:r>
          </w:p>
          <w:p>
            <w:pPr>
              <w:pStyle w:val="0"/>
            </w:pPr>
            <w:r>
              <w:rPr>
                <w:sz w:val="20"/>
              </w:rPr>
              <w:t xml:space="preserve">Виктория Дмитриевна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начальник отдела профессионального образования и воспитательной работы Комитета по науке и высшей школе</w:t>
            </w:r>
          </w:p>
        </w:tc>
      </w:tr>
      <w:tr>
        <w:tc>
          <w:tcPr>
            <w:tcW w:w="2551" w:type="dxa"/>
            <w:tcBorders>
              <w:top w:val="nil"/>
              <w:left w:val="nil"/>
              <w:bottom w:val="nil"/>
              <w:right w:val="nil"/>
            </w:tcBorders>
          </w:tcPr>
          <w:p>
            <w:pPr>
              <w:pStyle w:val="0"/>
            </w:pPr>
            <w:r>
              <w:rPr>
                <w:sz w:val="20"/>
              </w:rPr>
              <w:t xml:space="preserve">Новоселова</w:t>
            </w:r>
          </w:p>
          <w:p>
            <w:pPr>
              <w:pStyle w:val="0"/>
            </w:pPr>
            <w:r>
              <w:rPr>
                <w:sz w:val="20"/>
              </w:rPr>
              <w:t xml:space="preserve">Инеса Геннадьевна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начальник отдела развития программ и проектов в сфере профессионального образования Комитета по науке и высшей школе</w:t>
            </w:r>
          </w:p>
        </w:tc>
      </w:tr>
      <w:tr>
        <w:tc>
          <w:tcPr>
            <w:tcW w:w="2551" w:type="dxa"/>
            <w:tcBorders>
              <w:top w:val="nil"/>
              <w:left w:val="nil"/>
              <w:bottom w:val="nil"/>
              <w:right w:val="nil"/>
            </w:tcBorders>
          </w:tcPr>
          <w:p>
            <w:pPr>
              <w:pStyle w:val="0"/>
            </w:pPr>
            <w:r>
              <w:rPr>
                <w:sz w:val="20"/>
              </w:rPr>
              <w:t xml:space="preserve">Смирнов</w:t>
            </w:r>
          </w:p>
          <w:p>
            <w:pPr>
              <w:pStyle w:val="0"/>
            </w:pPr>
            <w:r>
              <w:rPr>
                <w:sz w:val="20"/>
              </w:rPr>
              <w:t xml:space="preserve">Виктор Павлович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директор Санкт-Петербургского государственного бюджетного профессионального образовательного учреждения "Санкт-Петербургский технический колледж управления и коммерции" (по согласованию)</w:t>
            </w:r>
          </w:p>
        </w:tc>
      </w:tr>
      <w:tr>
        <w:tc>
          <w:tcPr>
            <w:tcW w:w="2551" w:type="dxa"/>
            <w:tcBorders>
              <w:top w:val="nil"/>
              <w:left w:val="nil"/>
              <w:bottom w:val="nil"/>
              <w:right w:val="nil"/>
            </w:tcBorders>
          </w:tcPr>
          <w:p>
            <w:pPr>
              <w:pStyle w:val="0"/>
            </w:pPr>
            <w:r>
              <w:rPr>
                <w:sz w:val="20"/>
              </w:rPr>
              <w:t xml:space="preserve">Смирнова</w:t>
            </w:r>
          </w:p>
          <w:p>
            <w:pPr>
              <w:pStyle w:val="0"/>
            </w:pPr>
            <w:r>
              <w:rPr>
                <w:sz w:val="20"/>
              </w:rPr>
              <w:t xml:space="preserve">Юлия Викторовна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начальник сектора внутреннего финансового и ведомственного контроля Комитета по науке и высшей школе</w:t>
            </w:r>
          </w:p>
        </w:tc>
      </w:tr>
      <w:tr>
        <w:tc>
          <w:tcPr>
            <w:gridSpan w:val="3"/>
            <w:tcW w:w="9071" w:type="dxa"/>
            <w:tcBorders>
              <w:top w:val="nil"/>
              <w:left w:val="nil"/>
              <w:bottom w:val="nil"/>
              <w:right w:val="nil"/>
            </w:tcBorders>
          </w:tcPr>
          <w:p>
            <w:pPr>
              <w:pStyle w:val="0"/>
            </w:pPr>
            <w:r>
              <w:rPr>
                <w:sz w:val="20"/>
              </w:rPr>
              <w:t xml:space="preserve">Секретарь комиссии</w:t>
            </w:r>
          </w:p>
        </w:tc>
      </w:tr>
      <w:tr>
        <w:tc>
          <w:tcPr>
            <w:tcW w:w="2551" w:type="dxa"/>
            <w:tcBorders>
              <w:top w:val="nil"/>
              <w:left w:val="nil"/>
              <w:bottom w:val="nil"/>
              <w:right w:val="nil"/>
            </w:tcBorders>
          </w:tcPr>
          <w:p>
            <w:pPr>
              <w:pStyle w:val="0"/>
            </w:pPr>
            <w:r>
              <w:rPr>
                <w:sz w:val="20"/>
              </w:rPr>
              <w:t xml:space="preserve">Попов</w:t>
            </w:r>
          </w:p>
          <w:p>
            <w:pPr>
              <w:pStyle w:val="0"/>
            </w:pPr>
            <w:r>
              <w:rPr>
                <w:sz w:val="20"/>
              </w:rPr>
              <w:t xml:space="preserve">Константин Игоревич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главный специалист отдела развития программ и проектов в сфере профессионального образования Комитета по науке и высшей школе</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Комитета по науке и высшей школе Правительства Санкт-Петербурга от 02.06.2023 N 100</w:t>
            <w:br/>
            <w:t>"О мерах по реализации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1085" TargetMode = "External"/>
	<Relationship Id="rId8" Type="http://schemas.openxmlformats.org/officeDocument/2006/relationships/hyperlink" Target="https://login.consultant.ru/link/?req=doc&amp;base=SPB&amp;n=283188" TargetMode = "External"/>
	<Relationship Id="rId9" Type="http://schemas.openxmlformats.org/officeDocument/2006/relationships/hyperlink" Target="https://login.consultant.ru/link/?req=doc&amp;base=SPB&amp;n=273361&amp;dst=100006" TargetMode = "External"/>
	<Relationship Id="rId10" Type="http://schemas.openxmlformats.org/officeDocument/2006/relationships/hyperlink" Target="https://login.consultant.ru/link/?req=doc&amp;base=SPB&amp;n=279849&amp;dst=155872" TargetMode = "External"/>
	<Relationship Id="rId11" Type="http://schemas.openxmlformats.org/officeDocument/2006/relationships/hyperlink" Target="https://login.consultant.ru/link/?req=doc&amp;base=LAW&amp;n=461085" TargetMode = "External"/>
	<Relationship Id="rId12" Type="http://schemas.openxmlformats.org/officeDocument/2006/relationships/hyperlink" Target="https://login.consultant.ru/link/?req=doc&amp;base=SPB&amp;n=283188" TargetMode = "External"/>
	<Relationship Id="rId13" Type="http://schemas.openxmlformats.org/officeDocument/2006/relationships/hyperlink" Target="https://login.consultant.ru/link/?req=doc&amp;base=SPB&amp;n=281221" TargetMode = "External"/>
	<Relationship Id="rId14" Type="http://schemas.openxmlformats.org/officeDocument/2006/relationships/hyperlink" Target="https://login.consultant.ru/link/?req=doc&amp;base=SPB&amp;n=279849&amp;dst=155872" TargetMode = "External"/>
	<Relationship Id="rId15" Type="http://schemas.openxmlformats.org/officeDocument/2006/relationships/hyperlink" Target="https://login.consultant.ru/link/?req=doc&amp;base=SPB&amp;n=273361&amp;dst=100035" TargetMode = "External"/>
	<Relationship Id="rId16" Type="http://schemas.openxmlformats.org/officeDocument/2006/relationships/hyperlink" Target="https://login.consultant.ru/link/?req=doc&amp;base=SPB&amp;n=283188&amp;dst=108851" TargetMode = "External"/>
	<Relationship Id="rId17" Type="http://schemas.openxmlformats.org/officeDocument/2006/relationships/hyperlink" Target="https://login.consultant.ru/link/?req=doc&amp;base=SPB&amp;n=279849&amp;dst=155851" TargetMode = "External"/>
	<Relationship Id="rId18" Type="http://schemas.openxmlformats.org/officeDocument/2006/relationships/hyperlink" Target="https://login.consultant.ru/link/?req=doc&amp;base=SPB&amp;n=281221&amp;dst=100114" TargetMode = "External"/>
	<Relationship Id="rId19" Type="http://schemas.openxmlformats.org/officeDocument/2006/relationships/hyperlink" Target="https://login.consultant.ru/link/?req=doc&amp;base=SPB&amp;n=273361&amp;dst=100180" TargetMode = "External"/>
	<Relationship Id="rId20" Type="http://schemas.openxmlformats.org/officeDocument/2006/relationships/hyperlink" Target="https://login.consultant.ru/link/?req=doc&amp;base=SPB&amp;n=273361&amp;dst=100056" TargetMode = "External"/>
	<Relationship Id="rId21" Type="http://schemas.openxmlformats.org/officeDocument/2006/relationships/hyperlink" Target="https://login.consultant.ru/link/?req=doc&amp;base=SPB&amp;n=273361&amp;dst=100056" TargetMode = "External"/>
	<Relationship Id="rId22" Type="http://schemas.openxmlformats.org/officeDocument/2006/relationships/hyperlink" Target="https://login.consultant.ru/link/?req=doc&amp;base=LAW&amp;n=452991&amp;dst=470" TargetMode = "External"/>
	<Relationship Id="rId23" Type="http://schemas.openxmlformats.org/officeDocument/2006/relationships/hyperlink" Target="https://login.consultant.ru/link/?req=doc&amp;base=SPB&amp;n=279374&amp;dst=100013" TargetMode = "External"/>
	<Relationship Id="rId24" Type="http://schemas.openxmlformats.org/officeDocument/2006/relationships/image" Target="media/image2.wmf"/>
	<Relationship Id="rId25" Type="http://schemas.openxmlformats.org/officeDocument/2006/relationships/hyperlink" Target="https://login.consultant.ru/link/?req=doc&amp;base=SPB&amp;n=273361&amp;dst=100133" TargetMode = "External"/>
	<Relationship Id="rId26" Type="http://schemas.openxmlformats.org/officeDocument/2006/relationships/hyperlink" Target="https://login.consultant.ru/link/?req=doc&amp;base=SPB&amp;n=273361&amp;dst=100157" TargetMode = "External"/>
	<Relationship Id="rId27" Type="http://schemas.openxmlformats.org/officeDocument/2006/relationships/hyperlink" Target="https://login.consultant.ru/link/?req=doc&amp;base=SPB&amp;n=235181" TargetMode = "External"/>
	<Relationship Id="rId28" Type="http://schemas.openxmlformats.org/officeDocument/2006/relationships/hyperlink" Target="https://login.consultant.ru/link/?req=doc&amp;base=SPB&amp;n=273361&amp;dst=100173" TargetMode = "External"/>
	<Relationship Id="rId29" Type="http://schemas.openxmlformats.org/officeDocument/2006/relationships/hyperlink" Target="https://login.consultant.ru/link/?req=doc&amp;base=SPB&amp;n=273361&amp;dst=100176" TargetMode = "External"/>
	<Relationship Id="rId30" Type="http://schemas.openxmlformats.org/officeDocument/2006/relationships/hyperlink" Target="https://login.consultant.ru/link/?req=doc&amp;base=SPB&amp;n=273361&amp;dst=10003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Комитета по науке и высшей школе Правительства Санкт-Петербурга от 02.06.2023 N 100
"О мерах по реализации постановления Правительства Санкт-Петербурга от 05.05.2023 N 407"</dc:title>
  <dcterms:created xsi:type="dcterms:W3CDTF">2023-11-30T13:16:35Z</dcterms:created>
</cp:coreProperties>
</file>