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управлению имуществом Саратовской области от 23.01.2024 N 3</w:t>
              <w:br/>
              <w:t xml:space="preserve">"Об общественном совете при комитете по управлению имуществом Саратовской области"</w:t>
              <w:br/>
              <w:t xml:space="preserve">(вместе с "Положением об общественном совете при комитете по управлению имуществом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УПРАВЛЕНИЮ ИМУЩЕСТВОМ</w:t>
      </w:r>
    </w:p>
    <w:p>
      <w:pPr>
        <w:pStyle w:val="2"/>
        <w:jc w:val="center"/>
      </w:pPr>
      <w:r>
        <w:rPr>
          <w:sz w:val="20"/>
        </w:rPr>
        <w:t xml:space="preserve">САРАТОВСКОЙ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января 2024 г. N 3</w:t>
      </w:r>
    </w:p>
    <w:p>
      <w:pPr>
        <w:pStyle w:val="2"/>
        <w:jc w:val="center"/>
      </w:pPr>
      <w:r>
        <w:rPr>
          <w:sz w:val="20"/>
        </w:rPr>
      </w:r>
    </w:p>
    <w:p>
      <w:pPr>
        <w:pStyle w:val="2"/>
        <w:jc w:val="center"/>
      </w:pPr>
      <w:r>
        <w:rPr>
          <w:sz w:val="20"/>
        </w:rPr>
        <w:t xml:space="preserve">ОБ ОБЩЕСТВЕННОМ СОВЕТЕ ПРИ КОМИТЕТЕ</w:t>
      </w:r>
    </w:p>
    <w:p>
      <w:pPr>
        <w:pStyle w:val="2"/>
        <w:jc w:val="center"/>
      </w:pPr>
      <w:r>
        <w:rPr>
          <w:sz w:val="20"/>
        </w:rPr>
        <w:t xml:space="preserve">ПО УПРАВЛЕНИЮ ИМУЩЕСТВОМ САРАТОВСКОЙ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Губернатора Саратовской области от 21.07.2016 N 183 (ред. от 01.12.2023) &quot;Об утверждении Типового положения об общественных советах при исполнительных органах области&quot; {КонсультантПлюс}">
        <w:r>
          <w:rPr>
            <w:sz w:val="20"/>
            <w:color w:val="0000ff"/>
          </w:rPr>
          <w:t xml:space="preserve">постановлением</w:t>
        </w:r>
      </w:hyperlink>
      <w:r>
        <w:rPr>
          <w:sz w:val="20"/>
        </w:rPr>
        <w:t xml:space="preserve"> Губернатора Саратовской области от 21 июля 2016 года N 183 "Об утверждении Типового положения об общественных советах при органах исполнительной власти области", </w:t>
      </w:r>
      <w:hyperlink w:history="0" r:id="rId8" w:tooltip="Постановление Правительства Саратовской области от 23.05.2018 N 280-П (ред. от 05.12.2023) &quot;Вопросы комитета по управлению имуществом Саратовской области&quot; (вместе с &quot;Положением о Комитете по управлению имуществом Саратовской области&quot;, &quot;Перечнем юридических лиц, подведомственных комитету по управлению имуществом Саратовской области&quot;) {КонсультантПлюс}">
        <w:r>
          <w:rPr>
            <w:sz w:val="20"/>
            <w:color w:val="0000ff"/>
          </w:rPr>
          <w:t xml:space="preserve">Положением</w:t>
        </w:r>
      </w:hyperlink>
      <w:r>
        <w:rPr>
          <w:sz w:val="20"/>
        </w:rPr>
        <w:t xml:space="preserve"> о комитете по управлению имуществом Саратовской области, утвержденным постановлением Правительства Саратовской области от 23 мая 2018 года N 280-П "Вопросы комитета по управлению имуществом Саратовской области", приказываю:</w:t>
      </w:r>
    </w:p>
    <w:p>
      <w:pPr>
        <w:pStyle w:val="0"/>
        <w:spacing w:before="200" w:line-rule="auto"/>
        <w:ind w:firstLine="540"/>
        <w:jc w:val="both"/>
      </w:pPr>
      <w:r>
        <w:rPr>
          <w:sz w:val="20"/>
        </w:rPr>
        <w:t xml:space="preserve">1. Утвердить </w:t>
      </w:r>
      <w:hyperlink w:history="0" w:anchor="P35" w:tooltip="ПОЛОЖЕНИЕ">
        <w:r>
          <w:rPr>
            <w:sz w:val="20"/>
            <w:color w:val="0000ff"/>
          </w:rPr>
          <w:t xml:space="preserve">Положение</w:t>
        </w:r>
      </w:hyperlink>
      <w:r>
        <w:rPr>
          <w:sz w:val="20"/>
        </w:rPr>
        <w:t xml:space="preserve"> об общественном совете при комитете по управлению имуществом Саратовской области согласно приложению.</w:t>
      </w:r>
    </w:p>
    <w:p>
      <w:pPr>
        <w:pStyle w:val="0"/>
        <w:spacing w:before="200" w:line-rule="auto"/>
        <w:ind w:firstLine="540"/>
        <w:jc w:val="both"/>
      </w:pPr>
      <w:r>
        <w:rPr>
          <w:sz w:val="20"/>
        </w:rPr>
        <w:t xml:space="preserve">2. Признать утратившим силу </w:t>
      </w:r>
      <w:hyperlink w:history="0" r:id="rId9" w:tooltip="Приказ комитета по управлению имуществом Саратовской области от 05.02.2019 N 7 &quot;Об Общественном совете при комитете по управлению имуществом Саратовской области&quot; (вместе с &quot;Положением об Общественном совете при комитете по управлению имуществом Саратовской области&quot;) ------------ Утратил силу или отменен {КонсультантПлюс}">
        <w:r>
          <w:rPr>
            <w:sz w:val="20"/>
            <w:color w:val="0000ff"/>
          </w:rPr>
          <w:t xml:space="preserve">приказ</w:t>
        </w:r>
      </w:hyperlink>
      <w:r>
        <w:rPr>
          <w:sz w:val="20"/>
        </w:rPr>
        <w:t xml:space="preserve"> комитета по управлению имуществом Саратовской области от 5 февраля 2019 года N 7 "Об Общественном совете при комитете по управлению имуществом Саратовской области".</w:t>
      </w:r>
    </w:p>
    <w:p>
      <w:pPr>
        <w:pStyle w:val="0"/>
        <w:spacing w:before="200" w:line-rule="auto"/>
        <w:ind w:firstLine="540"/>
        <w:jc w:val="both"/>
      </w:pPr>
      <w:r>
        <w:rPr>
          <w:sz w:val="20"/>
        </w:rPr>
        <w:t xml:space="preserve">3. Отделу организационно-кадровой работы комитета:</w:t>
      </w:r>
    </w:p>
    <w:p>
      <w:pPr>
        <w:pStyle w:val="0"/>
        <w:spacing w:before="200" w:line-rule="auto"/>
        <w:ind w:firstLine="540"/>
        <w:jc w:val="both"/>
      </w:pPr>
      <w:r>
        <w:rPr>
          <w:sz w:val="20"/>
        </w:rPr>
        <w:t xml:space="preserve">в течение одного рабочего дня со дня подписания направить настоящий приказ в министерство информации и массовых коммуникаций Саратовской области для государственной регистрации и официального опубликования;</w:t>
      </w:r>
    </w:p>
    <w:p>
      <w:pPr>
        <w:pStyle w:val="0"/>
        <w:spacing w:before="200" w:line-rule="auto"/>
        <w:ind w:firstLine="540"/>
        <w:jc w:val="both"/>
      </w:pPr>
      <w:r>
        <w:rPr>
          <w:sz w:val="20"/>
        </w:rPr>
        <w:t xml:space="preserve">в течение трех рабочих дней со дня подписания направить настоящий приказ в прокуратуру Саратовской области;</w:t>
      </w:r>
    </w:p>
    <w:p>
      <w:pPr>
        <w:pStyle w:val="0"/>
        <w:spacing w:before="200" w:line-rule="auto"/>
        <w:ind w:firstLine="540"/>
        <w:jc w:val="both"/>
      </w:pPr>
      <w:r>
        <w:rPr>
          <w:sz w:val="20"/>
        </w:rPr>
        <w:t xml:space="preserve">в течение десяти календарных дней со дня подписания обеспечить размещение настоящего приказа на официальном сайте комитета по управлению имуществом Саратовской области в информационно-телекоммуникационной сети "Интернет";</w:t>
      </w:r>
    </w:p>
    <w:p>
      <w:pPr>
        <w:pStyle w:val="0"/>
        <w:spacing w:before="200" w:line-rule="auto"/>
        <w:ind w:firstLine="540"/>
        <w:jc w:val="both"/>
      </w:pPr>
      <w:r>
        <w:rPr>
          <w:sz w:val="20"/>
        </w:rPr>
        <w:t xml:space="preserve">в течение семи календарных дней после дня первого официального опубликования приказа направить копию настоящего приказа и сведения об источниках его официального опубликования в электронном виде посредством межведомственного электронного документооборота Саратовской области в Управление Министерства юстиции Российской Федерации по Саратовской области для включения в федеральный регистр нормативных правовых актов субъектов Российской Федерации и проведения правовой экспертизы.</w:t>
      </w:r>
    </w:p>
    <w:p>
      <w:pPr>
        <w:pStyle w:val="0"/>
        <w:spacing w:before="200" w:line-rule="auto"/>
        <w:ind w:firstLine="540"/>
        <w:jc w:val="both"/>
      </w:pPr>
      <w:r>
        <w:rPr>
          <w:sz w:val="20"/>
        </w:rPr>
        <w:t xml:space="preserve">4 Министерству информации и массовых коммуникаций области опубликовать настоящий приказ в течение десяти дней со дня его подписания.</w:t>
      </w:r>
    </w:p>
    <w:p>
      <w:pPr>
        <w:pStyle w:val="0"/>
        <w:spacing w:before="200" w:line-rule="auto"/>
        <w:ind w:firstLine="540"/>
        <w:jc w:val="both"/>
      </w:pPr>
      <w:r>
        <w:rPr>
          <w:sz w:val="20"/>
        </w:rPr>
        <w:t xml:space="preserve">5.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 области -</w:t>
      </w:r>
    </w:p>
    <w:p>
      <w:pPr>
        <w:pStyle w:val="0"/>
        <w:jc w:val="right"/>
      </w:pPr>
      <w:r>
        <w:rPr>
          <w:sz w:val="20"/>
        </w:rPr>
        <w:t xml:space="preserve">председатель комитета</w:t>
      </w:r>
    </w:p>
    <w:p>
      <w:pPr>
        <w:pStyle w:val="0"/>
        <w:jc w:val="right"/>
      </w:pPr>
      <w:r>
        <w:rPr>
          <w:sz w:val="20"/>
        </w:rPr>
        <w:t xml:space="preserve">Е.В.ЛАВРЕНКО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комитета по управлению имуществом</w:t>
      </w:r>
    </w:p>
    <w:p>
      <w:pPr>
        <w:pStyle w:val="0"/>
        <w:jc w:val="right"/>
      </w:pPr>
      <w:r>
        <w:rPr>
          <w:sz w:val="20"/>
        </w:rPr>
        <w:t xml:space="preserve">Саратовской области</w:t>
      </w:r>
    </w:p>
    <w:p>
      <w:pPr>
        <w:pStyle w:val="0"/>
        <w:jc w:val="right"/>
      </w:pPr>
      <w:r>
        <w:rPr>
          <w:sz w:val="20"/>
        </w:rPr>
        <w:t xml:space="preserve">от 23 января 2024 г. N 3</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КОМИТЕТЕ ПО УПРАВЛЕНИЮ</w:t>
      </w:r>
    </w:p>
    <w:p>
      <w:pPr>
        <w:pStyle w:val="2"/>
        <w:jc w:val="center"/>
      </w:pPr>
      <w:r>
        <w:rPr>
          <w:sz w:val="20"/>
        </w:rPr>
        <w:t xml:space="preserve">ИМУЩЕСТВОМ САРАТОВСКОЙ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комитете по управлению имуществом Саратовской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комитета по управлению имуществом Саратовской области (далее - Комитет), а также в целях осуществления общественного контроля за деятельностью Комитета.</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общественного контроля.</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за деятельностью Комитета,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Комитета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общественный совет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11" w:tooltip="Закон Саратовской области от 02.06.2005 N 46-ЗСО (ред. от 27.12.2023) &quot;Устав (Основной Закон) Саратовской области&quot; (принят Саратовской областной Думой 24.05.2005) ------------ Недействующая редакция {КонсультантПлюс}">
        <w:r>
          <w:rPr>
            <w:sz w:val="20"/>
            <w:color w:val="0000ff"/>
          </w:rPr>
          <w:t xml:space="preserve">Уставом</w:t>
        </w:r>
      </w:hyperlink>
      <w:r>
        <w:rPr>
          <w:sz w:val="20"/>
        </w:rPr>
        <w:t xml:space="preserve"> (Основным Законом) Саратовской области, настоящим Положением и иными нормативными правовыми актами.</w:t>
      </w:r>
    </w:p>
    <w:p>
      <w:pPr>
        <w:pStyle w:val="0"/>
        <w:spacing w:before="200" w:line-rule="auto"/>
        <w:ind w:firstLine="540"/>
        <w:jc w:val="both"/>
      </w:pPr>
      <w:r>
        <w:rPr>
          <w:sz w:val="20"/>
        </w:rPr>
        <w:t xml:space="preserve">5. Обеспечение деятельности общественного совета осуществляет Комитет в порядке, установленном настоящим Положением.</w:t>
      </w:r>
    </w:p>
    <w:p>
      <w:pPr>
        <w:pStyle w:val="0"/>
        <w:jc w:val="both"/>
      </w:pPr>
      <w:r>
        <w:rPr>
          <w:sz w:val="20"/>
        </w:rPr>
      </w:r>
    </w:p>
    <w:p>
      <w:pPr>
        <w:pStyle w:val="2"/>
        <w:outlineLvl w:val="1"/>
        <w:jc w:val="center"/>
      </w:pPr>
      <w:r>
        <w:rPr>
          <w:sz w:val="20"/>
        </w:rPr>
        <w:t xml:space="preserve">II. Права и обязанности общественного совета</w:t>
      </w:r>
    </w:p>
    <w:p>
      <w:pPr>
        <w:pStyle w:val="0"/>
        <w:jc w:val="both"/>
      </w:pPr>
      <w:r>
        <w:rPr>
          <w:sz w:val="20"/>
        </w:rPr>
      </w:r>
    </w:p>
    <w:p>
      <w:pPr>
        <w:pStyle w:val="0"/>
        <w:ind w:firstLine="540"/>
        <w:jc w:val="both"/>
      </w:pPr>
      <w:r>
        <w:rPr>
          <w:sz w:val="20"/>
        </w:rPr>
        <w:t xml:space="preserve">6. Общественный совет вправе:</w:t>
      </w:r>
    </w:p>
    <w:p>
      <w:pPr>
        <w:pStyle w:val="0"/>
        <w:spacing w:before="200" w:line-rule="auto"/>
        <w:ind w:firstLine="540"/>
        <w:jc w:val="both"/>
      </w:pPr>
      <w:r>
        <w:rPr>
          <w:sz w:val="20"/>
        </w:rPr>
        <w:t xml:space="preserve">а) рассматривать ежегодные планы сферы деятельности Комитета, а также участвовать в подготовке публичного отчета по их исполнению;</w:t>
      </w:r>
    </w:p>
    <w:p>
      <w:pPr>
        <w:pStyle w:val="0"/>
        <w:spacing w:before="200" w:line-rule="auto"/>
        <w:ind w:firstLine="540"/>
        <w:jc w:val="both"/>
      </w:pPr>
      <w:r>
        <w:rPr>
          <w:sz w:val="20"/>
        </w:rPr>
        <w:t xml:space="preserve">б) проводить слушания по приоритетным направлениям деятельности Комитета;</w:t>
      </w:r>
    </w:p>
    <w:p>
      <w:pPr>
        <w:pStyle w:val="0"/>
        <w:spacing w:before="200" w:line-rule="auto"/>
        <w:ind w:firstLine="540"/>
        <w:jc w:val="both"/>
      </w:pPr>
      <w:r>
        <w:rPr>
          <w:sz w:val="20"/>
        </w:rPr>
        <w:t xml:space="preserve">в) утверждать результаты общественных обсуждений решений и отчетов Комитета по итогам общественной экспертизы нормативных правовых актов;</w:t>
      </w:r>
    </w:p>
    <w:p>
      <w:pPr>
        <w:pStyle w:val="0"/>
        <w:spacing w:before="200" w:line-rule="auto"/>
        <w:ind w:firstLine="540"/>
        <w:jc w:val="both"/>
      </w:pPr>
      <w:r>
        <w:rPr>
          <w:sz w:val="20"/>
        </w:rPr>
        <w:t xml:space="preserve">г) участвовать в оценке эффективности государственных закупок Комитета;</w:t>
      </w:r>
    </w:p>
    <w:p>
      <w:pPr>
        <w:pStyle w:val="0"/>
        <w:spacing w:before="200" w:line-rule="auto"/>
        <w:ind w:firstLine="540"/>
        <w:jc w:val="both"/>
      </w:pPr>
      <w:r>
        <w:rPr>
          <w:sz w:val="20"/>
        </w:rPr>
        <w:t xml:space="preserve">д)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е)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ж)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Общественный совет совместно с руководителем Комитета вправе определить перечень иных приоритетных правовых актов и важнейших вопросов, относящихся к сфере деятельности Комитета,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8.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руководителей исполнительных органов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pPr>
        <w:pStyle w:val="0"/>
        <w:spacing w:before="200" w:line-rule="auto"/>
        <w:ind w:firstLine="540"/>
        <w:jc w:val="both"/>
      </w:pPr>
      <w:r>
        <w:rPr>
          <w:sz w:val="20"/>
        </w:rPr>
        <w:t xml:space="preserve">б) создавать по вопросам, отнесенным к компетенции общественных советов,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Комитетом;</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ж) по согласованию с руководителем Комитета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общественных советов, открытия дискуссионных модерируемых площадок (форумов), личных кабинетов членов общественных советов и т.п.).</w:t>
      </w:r>
    </w:p>
    <w:p>
      <w:pPr>
        <w:pStyle w:val="0"/>
        <w:spacing w:before="200" w:line-rule="auto"/>
        <w:ind w:firstLine="540"/>
        <w:jc w:val="both"/>
      </w:pPr>
      <w:r>
        <w:rPr>
          <w:sz w:val="20"/>
        </w:rPr>
        <w:t xml:space="preserve">9. Общественный совет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б) рассматривать проекты социально значимых нормативных правовых актов и иных документов, разрабатываемых Комитетом;</w:t>
      </w:r>
    </w:p>
    <w:p>
      <w:pPr>
        <w:pStyle w:val="0"/>
        <w:spacing w:before="200" w:line-rule="auto"/>
        <w:ind w:firstLine="540"/>
        <w:jc w:val="both"/>
      </w:pPr>
      <w:r>
        <w:rPr>
          <w:sz w:val="20"/>
        </w:rPr>
        <w:t xml:space="preserve">в) участвовать в мониторинге качества оказания государственных услуг Комитетом;</w:t>
      </w:r>
    </w:p>
    <w:p>
      <w:pPr>
        <w:pStyle w:val="0"/>
        <w:spacing w:before="200" w:line-rule="auto"/>
        <w:ind w:firstLine="540"/>
        <w:jc w:val="both"/>
      </w:pPr>
      <w:r>
        <w:rPr>
          <w:sz w:val="20"/>
        </w:rPr>
        <w:t xml:space="preserve">г)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bookmarkStart w:id="74" w:name="P74"/>
    <w:bookmarkEnd w:id="74"/>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12"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устанавливается Комитетом, но составляет не менее двух и не более трех лет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12. Общественный совет формируется на основе добровольного участия в их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Комитетом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Комитета.</w:t>
      </w:r>
    </w:p>
    <w:bookmarkStart w:id="78" w:name="P78"/>
    <w:bookmarkEnd w:id="78"/>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82" w:tooltip="14. Количественный состав общественного совета определяется Комитетом с учетом сохранения пропорций, указанных в пункте 13 настоящего Положения. Общая численность членов общественного совета не должна быть менее 12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82" w:tooltip="14. Количественный состав общественного совета определяется Комитетом с учетом сохранения пропорций, указанных в пункте 13 настоящего Положения. Общая численность членов общественного совета не должна быть менее 12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82" w:tooltip="14. Количественный состав общественного совета определяется Комитетом с учетом сохранения пропорций, указанных в пункте 13 настоящего Положения. Общая численность членов общественного совета не должна быть менее 12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Комитетом.</w:t>
      </w:r>
    </w:p>
    <w:bookmarkStart w:id="82" w:name="P82"/>
    <w:bookmarkEnd w:id="82"/>
    <w:p>
      <w:pPr>
        <w:pStyle w:val="0"/>
        <w:spacing w:before="200" w:line-rule="auto"/>
        <w:ind w:firstLine="540"/>
        <w:jc w:val="both"/>
      </w:pPr>
      <w:r>
        <w:rPr>
          <w:sz w:val="20"/>
        </w:rPr>
        <w:t xml:space="preserve">14. Количественный состав общественного совета определяется Комитетом с учетом сохранения пропорций, указанных в </w:t>
      </w:r>
      <w:hyperlink w:history="0" w:anchor="P78"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Общая численность членов общественного совета не должна быть менее 12 и более 48 человек.</w:t>
      </w:r>
    </w:p>
    <w:p>
      <w:pPr>
        <w:pStyle w:val="0"/>
        <w:spacing w:before="200" w:line-rule="auto"/>
        <w:ind w:firstLine="540"/>
        <w:jc w:val="both"/>
      </w:pPr>
      <w:r>
        <w:rPr>
          <w:sz w:val="20"/>
        </w:rPr>
        <w:t xml:space="preserve">15. В целях формирования состава общественного совета на официальном сайте Комитета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Комитета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bookmarkStart w:id="85" w:name="P85"/>
    <w:bookmarkEnd w:id="85"/>
    <w:p>
      <w:pPr>
        <w:pStyle w:val="0"/>
        <w:spacing w:before="200" w:line-rule="auto"/>
        <w:ind w:firstLine="540"/>
        <w:jc w:val="both"/>
      </w:pPr>
      <w:r>
        <w:rPr>
          <w:sz w:val="20"/>
        </w:rPr>
        <w:t xml:space="preserve">В уведомлении указываются требования к кандидатам в члены общественного совета, срок и адрес направления организациями и лицами, указанными в </w:t>
      </w:r>
      <w:hyperlink w:history="0" w:anchor="P78"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16. 1/2 состава общественного совета из числа кандидатов, выдвинутых Общественной палатой области и Комитетом, утверждается соответствующим приказом Комитета в течение 7 рабочих дней со дня истечения срока, установленного </w:t>
      </w:r>
      <w:hyperlink w:history="0" w:anchor="P85" w:tooltip="В уведомлении указываются требования к кандидатам в члены общественного совета, срок и адрес направления организациями и лицами, указанными в пункте 13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
        <w:r>
          <w:rPr>
            <w:sz w:val="20"/>
            <w:color w:val="0000ff"/>
          </w:rPr>
          <w:t xml:space="preserve">частью третьей пункта 15</w:t>
        </w:r>
      </w:hyperlink>
      <w:r>
        <w:rPr>
          <w:sz w:val="20"/>
        </w:rPr>
        <w:t xml:space="preserve"> настоящего Положения.</w:t>
      </w:r>
    </w:p>
    <w:p>
      <w:pPr>
        <w:pStyle w:val="0"/>
        <w:spacing w:before="200" w:line-rule="auto"/>
        <w:ind w:firstLine="540"/>
        <w:jc w:val="both"/>
      </w:pPr>
      <w:r>
        <w:rPr>
          <w:sz w:val="20"/>
        </w:rPr>
        <w:t xml:space="preserve">17. Кандидаты в члены общественного совета направляют в Комитет следующие документы:</w:t>
      </w:r>
    </w:p>
    <w:p>
      <w:pPr>
        <w:pStyle w:val="0"/>
        <w:spacing w:before="200" w:line-rule="auto"/>
        <w:ind w:firstLine="540"/>
        <w:jc w:val="both"/>
      </w:pPr>
      <w:r>
        <w:rPr>
          <w:sz w:val="20"/>
        </w:rPr>
        <w:t xml:space="preserve">а) </w:t>
      </w:r>
      <w:hyperlink w:history="0" w:anchor="P181"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215" w:tooltip="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в) согласие на обработку персональных данных по форме согласно </w:t>
      </w:r>
      <w:hyperlink w:history="0" w:anchor="P263" w:tooltip="Приложение N 3">
        <w:r>
          <w:rPr>
            <w:sz w:val="20"/>
            <w:color w:val="0000ff"/>
          </w:rPr>
          <w:t xml:space="preserve">приложению N 3</w:t>
        </w:r>
      </w:hyperlink>
      <w:r>
        <w:rPr>
          <w:sz w:val="20"/>
        </w:rPr>
        <w:t xml:space="preserve"> к настоящему Положению.</w:t>
      </w:r>
    </w:p>
    <w:p>
      <w:pPr>
        <w:pStyle w:val="0"/>
        <w:spacing w:before="200" w:line-rule="auto"/>
        <w:ind w:firstLine="540"/>
        <w:jc w:val="both"/>
      </w:pPr>
      <w:r>
        <w:rPr>
          <w:sz w:val="20"/>
        </w:rPr>
        <w:t xml:space="preserve">18. При выдвижении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руководителя Комитета, содержащее предложение о выдвижении кандидата.</w:t>
      </w:r>
    </w:p>
    <w:p>
      <w:pPr>
        <w:pStyle w:val="0"/>
        <w:spacing w:before="200" w:line-rule="auto"/>
        <w:ind w:firstLine="540"/>
        <w:jc w:val="both"/>
      </w:pPr>
      <w:r>
        <w:rPr>
          <w:sz w:val="20"/>
        </w:rPr>
        <w:t xml:space="preserve">19.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исполнительные органы области в течение 30 дней с момента размещения уведомления о начале процедуры формирования состава общественного совета направляют в Комитет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spacing w:before="200" w:line-rule="auto"/>
        <w:ind w:firstLine="540"/>
        <w:jc w:val="both"/>
      </w:pPr>
      <w:r>
        <w:rPr>
          <w:sz w:val="20"/>
        </w:rPr>
        <w:t xml:space="preserve">20. В течение 10 рабочих дней со дня завершения приема писем о выдвижении кандидатов в члены общественного совета Комитет формирует сводный перечень выдвинутых кандидатов с указанием принадлежности кандидатов к Комитету.</w:t>
      </w:r>
    </w:p>
    <w:p>
      <w:pPr>
        <w:pStyle w:val="0"/>
        <w:spacing w:before="200" w:line-rule="auto"/>
        <w:ind w:firstLine="540"/>
        <w:jc w:val="both"/>
      </w:pPr>
      <w:r>
        <w:rPr>
          <w:sz w:val="20"/>
        </w:rPr>
        <w:t xml:space="preserve">21. Комитет включает в сводный перечень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74"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г...">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22. Биографические данные кандидатов, о выдвижении которых в общественный совет поступили письма, подлежат опубликованию на сайте Комитета в течение одного рабочего дня с даты поступления указанных писем в объеме, указанном в согласии на опубликование персональных данных кандидата.</w:t>
      </w:r>
    </w:p>
    <w:p>
      <w:pPr>
        <w:pStyle w:val="0"/>
        <w:spacing w:before="200" w:line-rule="auto"/>
        <w:ind w:firstLine="540"/>
        <w:jc w:val="both"/>
      </w:pPr>
      <w:r>
        <w:rPr>
          <w:sz w:val="20"/>
        </w:rPr>
        <w:t xml:space="preserve">23. Члены общественного совета из числа кандидатов, выдвинутых Общественной палатой области и Комитетом, утвержденные приказом Комитета, в течение 5 рабочих дней со дня получения от Комитета сводного перечня всех кандидатов направляют Комитету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bookmarkStart w:id="99" w:name="P99"/>
    <w:bookmarkEnd w:id="99"/>
    <w:p>
      <w:pPr>
        <w:pStyle w:val="0"/>
        <w:spacing w:before="200" w:line-rule="auto"/>
        <w:ind w:firstLine="540"/>
        <w:jc w:val="both"/>
      </w:pPr>
      <w:r>
        <w:rPr>
          <w:sz w:val="20"/>
        </w:rPr>
        <w:t xml:space="preserve">24. Комитет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Комитета состав общественного совета.</w:t>
      </w:r>
    </w:p>
    <w:p>
      <w:pPr>
        <w:pStyle w:val="0"/>
        <w:spacing w:before="200" w:line-rule="auto"/>
        <w:ind w:firstLine="540"/>
        <w:jc w:val="both"/>
      </w:pPr>
      <w:r>
        <w:rPr>
          <w:sz w:val="20"/>
        </w:rPr>
        <w:t xml:space="preserve">25. В течение 5 рабочих дней со дня подписания приказа, указанного в </w:t>
      </w:r>
      <w:hyperlink w:history="0" w:anchor="P99" w:tooltip="24. Комитет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Комитета состав общественного совета.">
        <w:r>
          <w:rPr>
            <w:sz w:val="20"/>
            <w:color w:val="0000ff"/>
          </w:rPr>
          <w:t xml:space="preserve">пункте 24</w:t>
        </w:r>
      </w:hyperlink>
      <w:r>
        <w:rPr>
          <w:sz w:val="20"/>
        </w:rPr>
        <w:t xml:space="preserve"> настоящего Положения, Комитет размещает информацию о составе общественного совета на официальном сайте Комитета, а также направляет кандидатам уведомление о включении (об отказе во включении) в члены общественного совета.</w:t>
      </w:r>
    </w:p>
    <w:p>
      <w:pPr>
        <w:pStyle w:val="0"/>
        <w:spacing w:before="200" w:line-rule="auto"/>
        <w:ind w:firstLine="540"/>
        <w:jc w:val="both"/>
      </w:pPr>
      <w:r>
        <w:rPr>
          <w:sz w:val="20"/>
        </w:rPr>
        <w:t xml:space="preserve">26.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Комитетом.</w:t>
      </w:r>
    </w:p>
    <w:p>
      <w:pPr>
        <w:pStyle w:val="0"/>
        <w:spacing w:before="200" w:line-rule="auto"/>
        <w:ind w:firstLine="540"/>
        <w:jc w:val="both"/>
      </w:pPr>
      <w:r>
        <w:rPr>
          <w:sz w:val="20"/>
        </w:rPr>
        <w:t xml:space="preserve">27.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общественных советов</w:t>
      </w:r>
    </w:p>
    <w:p>
      <w:pPr>
        <w:pStyle w:val="0"/>
        <w:jc w:val="both"/>
      </w:pPr>
      <w:r>
        <w:rPr>
          <w:sz w:val="20"/>
        </w:rPr>
      </w:r>
    </w:p>
    <w:p>
      <w:pPr>
        <w:pStyle w:val="0"/>
        <w:ind w:firstLine="540"/>
        <w:jc w:val="both"/>
      </w:pPr>
      <w:r>
        <w:rPr>
          <w:sz w:val="20"/>
        </w:rPr>
        <w:t xml:space="preserve">28. Члены общественного совета на первом заседании избирают председателя общественного совета и его заместителя.</w:t>
      </w:r>
    </w:p>
    <w:p>
      <w:pPr>
        <w:pStyle w:val="0"/>
        <w:spacing w:before="200" w:line-rule="auto"/>
        <w:ind w:firstLine="540"/>
        <w:jc w:val="both"/>
      </w:pPr>
      <w:r>
        <w:rPr>
          <w:sz w:val="20"/>
        </w:rPr>
        <w:t xml:space="preserve">29.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руководителем Комитета, либо членами общественного совета (включая возможное самовыдвижение).</w:t>
      </w:r>
    </w:p>
    <w:p>
      <w:pPr>
        <w:pStyle w:val="0"/>
        <w:jc w:val="both"/>
      </w:pPr>
      <w:r>
        <w:rPr>
          <w:sz w:val="20"/>
        </w:rPr>
      </w:r>
    </w:p>
    <w:p>
      <w:pPr>
        <w:pStyle w:val="2"/>
        <w:outlineLvl w:val="1"/>
        <w:jc w:val="center"/>
      </w:pPr>
      <w:r>
        <w:rPr>
          <w:sz w:val="20"/>
        </w:rPr>
        <w:t xml:space="preserve">V. Порядок деятельности общественных советов</w:t>
      </w:r>
    </w:p>
    <w:p>
      <w:pPr>
        <w:pStyle w:val="0"/>
        <w:jc w:val="both"/>
      </w:pPr>
      <w:r>
        <w:rPr>
          <w:sz w:val="20"/>
        </w:rPr>
      </w:r>
    </w:p>
    <w:p>
      <w:pPr>
        <w:pStyle w:val="0"/>
        <w:ind w:firstLine="540"/>
        <w:jc w:val="both"/>
      </w:pPr>
      <w:r>
        <w:rPr>
          <w:sz w:val="20"/>
        </w:rPr>
        <w:t xml:space="preserve">30.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31. Общественный совет осуществляет свою деятельность в соответствии с планом работы на год, согласованным с руководителем Комитета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них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33.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34. При равенстве голосов решающим является голос председательствующего на заседании.</w:t>
      </w:r>
    </w:p>
    <w:p>
      <w:pPr>
        <w:pStyle w:val="0"/>
        <w:spacing w:before="200" w:line-rule="auto"/>
        <w:ind w:firstLine="540"/>
        <w:jc w:val="both"/>
      </w:pPr>
      <w:r>
        <w:rPr>
          <w:sz w:val="20"/>
        </w:rPr>
        <w:t xml:space="preserve">35. Решения общественного совета отражаются в протоколах его заседаний, утверждаемых в течение 10 календарных дней со дня заседания общественного совета. Копии протоколов представляются ответственным секретарем общественного совета членам общественного совета в течение 15 календарных дней со дня утверждения протокола.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Комитетом.</w:t>
      </w:r>
    </w:p>
    <w:p>
      <w:pPr>
        <w:pStyle w:val="0"/>
        <w:spacing w:before="200" w:line-rule="auto"/>
        <w:ind w:firstLine="540"/>
        <w:jc w:val="both"/>
      </w:pPr>
      <w:r>
        <w:rPr>
          <w:sz w:val="20"/>
        </w:rPr>
        <w:t xml:space="preserve">36.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37.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руководителю Комитета и членам общественного совета.</w:t>
      </w:r>
    </w:p>
    <w:p>
      <w:pPr>
        <w:pStyle w:val="0"/>
        <w:spacing w:before="200" w:line-rule="auto"/>
        <w:ind w:firstLine="540"/>
        <w:jc w:val="both"/>
      </w:pPr>
      <w:r>
        <w:rPr>
          <w:sz w:val="20"/>
        </w:rPr>
        <w:t xml:space="preserve">38.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копий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з) взаимодействует с руководителем Комитета по вопросам реализации решений общественного совета;</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39. Заместитель председателя общественного совета:</w:t>
      </w:r>
    </w:p>
    <w:p>
      <w:pPr>
        <w:pStyle w:val="0"/>
        <w:spacing w:before="200" w:line-rule="auto"/>
        <w:ind w:firstLine="540"/>
        <w:jc w:val="both"/>
      </w:pPr>
      <w:r>
        <w:rPr>
          <w:sz w:val="20"/>
        </w:rPr>
        <w:t xml:space="preserve">а)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40. Члены общественного совета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Комитета, а также с результатами рассмотрения таких обращений;</w:t>
      </w:r>
    </w:p>
    <w:p>
      <w:pPr>
        <w:pStyle w:val="0"/>
        <w:spacing w:before="200" w:line-rule="auto"/>
        <w:ind w:firstLine="540"/>
        <w:jc w:val="both"/>
      </w:pPr>
      <w:r>
        <w:rPr>
          <w:sz w:val="20"/>
        </w:rPr>
        <w:t xml:space="preserve">ж) принимать участие в заседаниях коллегии Комитета;</w:t>
      </w:r>
    </w:p>
    <w:p>
      <w:pPr>
        <w:pStyle w:val="0"/>
        <w:spacing w:before="200" w:line-rule="auto"/>
        <w:ind w:firstLine="540"/>
        <w:jc w:val="both"/>
      </w:pPr>
      <w:r>
        <w:rPr>
          <w:sz w:val="20"/>
        </w:rPr>
        <w:t xml:space="preserve">з) принимать участие в порядке, определяемом руководителем Комитета, в приеме граждан, осуществляемом должностными лицами Комитета;</w:t>
      </w:r>
    </w:p>
    <w:p>
      <w:pPr>
        <w:pStyle w:val="0"/>
        <w:spacing w:before="200" w:line-rule="auto"/>
        <w:ind w:firstLine="540"/>
        <w:jc w:val="both"/>
      </w:pPr>
      <w:r>
        <w:rPr>
          <w:sz w:val="20"/>
        </w:rPr>
        <w:t xml:space="preserve">и) запрашивать отчетность о реализации рекомендаций общественного совета, направленных Комитету;</w:t>
      </w:r>
    </w:p>
    <w:p>
      <w:pPr>
        <w:pStyle w:val="0"/>
        <w:spacing w:before="200" w:line-rule="auto"/>
        <w:ind w:firstLine="540"/>
        <w:jc w:val="both"/>
      </w:pPr>
      <w:r>
        <w:rPr>
          <w:sz w:val="20"/>
        </w:rPr>
        <w:t xml:space="preserve">к) оказывать Комитету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л) свободно выйти из общественного совета по собственному желанию;</w:t>
      </w:r>
    </w:p>
    <w:p>
      <w:pPr>
        <w:pStyle w:val="0"/>
        <w:spacing w:before="200" w:line-rule="auto"/>
        <w:ind w:firstLine="540"/>
        <w:jc w:val="both"/>
      </w:pPr>
      <w:r>
        <w:rPr>
          <w:sz w:val="20"/>
        </w:rPr>
        <w:t xml:space="preserve">м) входить в состав конкурсной и аттестационной комиссий в Комитете;</w:t>
      </w:r>
    </w:p>
    <w:p>
      <w:pPr>
        <w:pStyle w:val="0"/>
        <w:spacing w:before="200" w:line-rule="auto"/>
        <w:ind w:firstLine="540"/>
        <w:jc w:val="both"/>
      </w:pPr>
      <w:r>
        <w:rPr>
          <w:sz w:val="20"/>
        </w:rPr>
        <w:t xml:space="preserve">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42.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43. Ответственный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44.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45. Общественный совет в срок до 15 января года, следующего за отчетным, в целях обобщения практики работы направляет в министерство внутренней политики и общественных отношений области и Общественную палату области ежегодный отчет о своей работе.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комитете</w:t>
      </w:r>
    </w:p>
    <w:p>
      <w:pPr>
        <w:pStyle w:val="0"/>
        <w:jc w:val="right"/>
      </w:pPr>
      <w:r>
        <w:rPr>
          <w:sz w:val="20"/>
        </w:rPr>
        <w:t xml:space="preserve">по управлению имуществом Саратовской области</w:t>
      </w:r>
    </w:p>
    <w:p>
      <w:pPr>
        <w:pStyle w:val="0"/>
        <w:jc w:val="both"/>
      </w:pPr>
      <w:r>
        <w:rPr>
          <w:sz w:val="20"/>
        </w:rPr>
      </w:r>
    </w:p>
    <w:p>
      <w:pPr>
        <w:pStyle w:val="1"/>
        <w:jc w:val="both"/>
      </w:pPr>
      <w:r>
        <w:rPr>
          <w:sz w:val="20"/>
        </w:rPr>
        <w:t xml:space="preserve">                                         В Комитет по управлению имуществом</w:t>
      </w:r>
    </w:p>
    <w:p>
      <w:pPr>
        <w:pStyle w:val="1"/>
        <w:jc w:val="both"/>
      </w:pPr>
      <w:r>
        <w:rPr>
          <w:sz w:val="20"/>
        </w:rPr>
        <w:t xml:space="preserve">                                         Саратовской области</w:t>
      </w:r>
    </w:p>
    <w:p>
      <w:pPr>
        <w:pStyle w:val="1"/>
        <w:jc w:val="both"/>
      </w:pPr>
      <w:r>
        <w:rPr>
          <w:sz w:val="20"/>
        </w:rPr>
        <w:t xml:space="preserve">                                         от _______________________________</w:t>
      </w:r>
    </w:p>
    <w:p>
      <w:pPr>
        <w:pStyle w:val="1"/>
        <w:jc w:val="both"/>
      </w:pPr>
      <w:r>
        <w:rPr>
          <w:sz w:val="20"/>
        </w:rPr>
        <w:t xml:space="preserve">                                                (фамилия, имя, отчество)</w:t>
      </w:r>
    </w:p>
    <w:p>
      <w:pPr>
        <w:pStyle w:val="1"/>
        <w:jc w:val="both"/>
      </w:pPr>
      <w:r>
        <w:rPr>
          <w:sz w:val="20"/>
        </w:rPr>
      </w:r>
    </w:p>
    <w:bookmarkStart w:id="181" w:name="P181"/>
    <w:bookmarkEnd w:id="181"/>
    <w:p>
      <w:pPr>
        <w:pStyle w:val="1"/>
        <w:jc w:val="both"/>
      </w:pPr>
      <w:r>
        <w:rPr>
          <w:sz w:val="20"/>
        </w:rPr>
        <w:t xml:space="preserve">                                 Заявление</w:t>
      </w:r>
    </w:p>
    <w:p>
      <w:pPr>
        <w:pStyle w:val="1"/>
        <w:jc w:val="both"/>
      </w:pPr>
      <w:r>
        <w:rPr>
          <w:sz w:val="20"/>
        </w:rPr>
        <w:t xml:space="preserve">               о включении в общественный совет при комитете</w:t>
      </w:r>
    </w:p>
    <w:p>
      <w:pPr>
        <w:pStyle w:val="1"/>
        <w:jc w:val="both"/>
      </w:pPr>
      <w:r>
        <w:rPr>
          <w:sz w:val="20"/>
        </w:rPr>
        <w:t xml:space="preserve">               по управлению имуществом Саратовской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прошу  включить  меня  в  состав  общественного  совета при комитете по</w:t>
      </w:r>
    </w:p>
    <w:p>
      <w:pPr>
        <w:pStyle w:val="1"/>
        <w:jc w:val="both"/>
      </w:pPr>
      <w:r>
        <w:rPr>
          <w:sz w:val="20"/>
        </w:rPr>
        <w:t xml:space="preserve">управлению имуществом Саратовской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комитете по</w:t>
      </w:r>
    </w:p>
    <w:p>
      <w:pPr>
        <w:pStyle w:val="1"/>
        <w:jc w:val="both"/>
      </w:pPr>
      <w:r>
        <w:rPr>
          <w:sz w:val="20"/>
        </w:rPr>
        <w:t xml:space="preserve">управлению  имуществом Саратовской области, и выражаю свое согласие войти в</w:t>
      </w:r>
    </w:p>
    <w:p>
      <w:pPr>
        <w:pStyle w:val="1"/>
        <w:jc w:val="both"/>
      </w:pPr>
      <w:r>
        <w:rPr>
          <w:sz w:val="20"/>
        </w:rPr>
        <w:t xml:space="preserve">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    содержащего  предложение  о  выдвижении кандидата в члены общественного</w:t>
      </w:r>
    </w:p>
    <w:p>
      <w:pPr>
        <w:pStyle w:val="1"/>
        <w:jc w:val="both"/>
      </w:pPr>
      <w:r>
        <w:rPr>
          <w:sz w:val="20"/>
        </w:rPr>
        <w:t xml:space="preserve">совета (при наличии).</w:t>
      </w:r>
    </w:p>
    <w:p>
      <w:pPr>
        <w:pStyle w:val="1"/>
        <w:jc w:val="both"/>
      </w:pPr>
      <w:r>
        <w:rPr>
          <w:sz w:val="20"/>
        </w:rPr>
      </w:r>
    </w:p>
    <w:p>
      <w:pPr>
        <w:pStyle w:val="1"/>
        <w:jc w:val="both"/>
      </w:pPr>
      <w:r>
        <w:rPr>
          <w:sz w:val="20"/>
        </w:rPr>
        <w:t xml:space="preserve">    "__" __________ 20__ года    _______________ 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комитете</w:t>
      </w:r>
    </w:p>
    <w:p>
      <w:pPr>
        <w:pStyle w:val="0"/>
        <w:jc w:val="right"/>
      </w:pPr>
      <w:r>
        <w:rPr>
          <w:sz w:val="20"/>
        </w:rPr>
        <w:t xml:space="preserve">по управлению имуществом Саратовской области</w:t>
      </w:r>
    </w:p>
    <w:p>
      <w:pPr>
        <w:pStyle w:val="0"/>
        <w:jc w:val="both"/>
      </w:pPr>
      <w:r>
        <w:rPr>
          <w:sz w:val="20"/>
        </w:rPr>
      </w:r>
    </w:p>
    <w:bookmarkStart w:id="215" w:name="P215"/>
    <w:bookmarkEnd w:id="215"/>
    <w:p>
      <w:pPr>
        <w:pStyle w:val="0"/>
        <w:jc w:val="center"/>
      </w:pPr>
      <w:r>
        <w:rPr>
          <w:sz w:val="20"/>
        </w:rPr>
        <w:t xml:space="preserve">Анкета</w:t>
      </w:r>
    </w:p>
    <w:p>
      <w:pPr>
        <w:pStyle w:val="0"/>
        <w:jc w:val="center"/>
      </w:pPr>
      <w:r>
        <w:rPr>
          <w:sz w:val="20"/>
        </w:rPr>
        <w:t xml:space="preserve">кандидата в члены общественного совета при комитете</w:t>
      </w:r>
    </w:p>
    <w:p>
      <w:pPr>
        <w:pStyle w:val="0"/>
        <w:jc w:val="center"/>
      </w:pPr>
      <w:r>
        <w:rPr>
          <w:sz w:val="20"/>
        </w:rPr>
        <w:t xml:space="preserve">по управлению имуществом Саратовской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803"/>
        <w:gridCol w:w="1644"/>
      </w:tblGrid>
      <w:tr>
        <w:tc>
          <w:tcPr>
            <w:tcW w:w="510" w:type="dxa"/>
          </w:tcPr>
          <w:p>
            <w:pPr>
              <w:pStyle w:val="0"/>
              <w:jc w:val="center"/>
            </w:pPr>
            <w:r>
              <w:rPr>
                <w:sz w:val="20"/>
              </w:rPr>
              <w:t xml:space="preserve">N п/п</w:t>
            </w:r>
          </w:p>
        </w:tc>
        <w:tc>
          <w:tcPr>
            <w:tcW w:w="6803" w:type="dxa"/>
          </w:tcPr>
          <w:p>
            <w:pPr>
              <w:pStyle w:val="0"/>
              <w:jc w:val="center"/>
            </w:pPr>
            <w:r>
              <w:rPr>
                <w:sz w:val="20"/>
              </w:rPr>
              <w:t xml:space="preserve">Сведения о кандидате</w:t>
            </w:r>
          </w:p>
        </w:tc>
        <w:tc>
          <w:tcPr>
            <w:tcW w:w="1644" w:type="dxa"/>
          </w:tcPr>
          <w:p>
            <w:pPr>
              <w:pStyle w:val="0"/>
              <w:jc w:val="center"/>
            </w:pPr>
            <w:r>
              <w:rPr>
                <w:sz w:val="20"/>
              </w:rPr>
              <w:t xml:space="preserve">Графа для заполнения</w:t>
            </w:r>
          </w:p>
        </w:tc>
      </w:tr>
      <w:tr>
        <w:tc>
          <w:tcPr>
            <w:tcW w:w="510" w:type="dxa"/>
          </w:tcPr>
          <w:p>
            <w:pPr>
              <w:pStyle w:val="0"/>
              <w:jc w:val="center"/>
            </w:pPr>
            <w:r>
              <w:rPr>
                <w:sz w:val="20"/>
              </w:rPr>
              <w:t xml:space="preserve">1.</w:t>
            </w:r>
          </w:p>
        </w:tc>
        <w:tc>
          <w:tcPr>
            <w:tcW w:w="6803" w:type="dxa"/>
          </w:tcPr>
          <w:p>
            <w:pPr>
              <w:pStyle w:val="0"/>
            </w:pPr>
            <w:r>
              <w:rPr>
                <w:sz w:val="20"/>
              </w:rPr>
              <w:t xml:space="preserve">Фамилия, имя, отчество (при наличии)</w:t>
            </w:r>
          </w:p>
        </w:tc>
        <w:tc>
          <w:tcPr>
            <w:tcW w:w="1644" w:type="dxa"/>
          </w:tcPr>
          <w:p>
            <w:pPr>
              <w:pStyle w:val="0"/>
            </w:pPr>
            <w:r>
              <w:rPr>
                <w:sz w:val="20"/>
              </w:rPr>
            </w:r>
          </w:p>
        </w:tc>
      </w:tr>
      <w:tr>
        <w:tc>
          <w:tcPr>
            <w:tcW w:w="510" w:type="dxa"/>
          </w:tcPr>
          <w:p>
            <w:pPr>
              <w:pStyle w:val="0"/>
              <w:jc w:val="center"/>
            </w:pPr>
            <w:r>
              <w:rPr>
                <w:sz w:val="20"/>
              </w:rPr>
              <w:t xml:space="preserve">2.</w:t>
            </w:r>
          </w:p>
        </w:tc>
        <w:tc>
          <w:tcPr>
            <w:tcW w:w="6803" w:type="dxa"/>
          </w:tcPr>
          <w:p>
            <w:pPr>
              <w:pStyle w:val="0"/>
            </w:pPr>
            <w:r>
              <w:rPr>
                <w:sz w:val="20"/>
              </w:rPr>
              <w:t xml:space="preserve">Должность</w:t>
            </w:r>
          </w:p>
        </w:tc>
        <w:tc>
          <w:tcPr>
            <w:tcW w:w="1644" w:type="dxa"/>
          </w:tcPr>
          <w:p>
            <w:pPr>
              <w:pStyle w:val="0"/>
            </w:pPr>
            <w:r>
              <w:rPr>
                <w:sz w:val="20"/>
              </w:rPr>
            </w:r>
          </w:p>
        </w:tc>
      </w:tr>
      <w:tr>
        <w:tc>
          <w:tcPr>
            <w:tcW w:w="510" w:type="dxa"/>
          </w:tcPr>
          <w:p>
            <w:pPr>
              <w:pStyle w:val="0"/>
              <w:jc w:val="center"/>
            </w:pPr>
            <w:r>
              <w:rPr>
                <w:sz w:val="20"/>
              </w:rPr>
              <w:t xml:space="preserve">3.</w:t>
            </w:r>
          </w:p>
        </w:tc>
        <w:tc>
          <w:tcPr>
            <w:tcW w:w="6803" w:type="dxa"/>
          </w:tcPr>
          <w:p>
            <w:pPr>
              <w:pStyle w:val="0"/>
            </w:pPr>
            <w:r>
              <w:rPr>
                <w:sz w:val="20"/>
              </w:rPr>
              <w:t xml:space="preserve">Дата рождения</w:t>
            </w:r>
          </w:p>
        </w:tc>
        <w:tc>
          <w:tcPr>
            <w:tcW w:w="1644" w:type="dxa"/>
          </w:tcPr>
          <w:p>
            <w:pPr>
              <w:pStyle w:val="0"/>
            </w:pPr>
            <w:r>
              <w:rPr>
                <w:sz w:val="20"/>
              </w:rPr>
            </w:r>
          </w:p>
        </w:tc>
      </w:tr>
      <w:tr>
        <w:tc>
          <w:tcPr>
            <w:tcW w:w="510" w:type="dxa"/>
          </w:tcPr>
          <w:p>
            <w:pPr>
              <w:pStyle w:val="0"/>
              <w:jc w:val="center"/>
            </w:pPr>
            <w:r>
              <w:rPr>
                <w:sz w:val="20"/>
              </w:rPr>
              <w:t xml:space="preserve">4.</w:t>
            </w:r>
          </w:p>
        </w:tc>
        <w:tc>
          <w:tcPr>
            <w:tcW w:w="6803" w:type="dxa"/>
          </w:tcPr>
          <w:p>
            <w:pPr>
              <w:pStyle w:val="0"/>
            </w:pPr>
            <w:r>
              <w:rPr>
                <w:sz w:val="20"/>
              </w:rPr>
              <w:t xml:space="preserve">Место жительства</w:t>
            </w:r>
          </w:p>
        </w:tc>
        <w:tc>
          <w:tcPr>
            <w:tcW w:w="1644" w:type="dxa"/>
          </w:tcPr>
          <w:p>
            <w:pPr>
              <w:pStyle w:val="0"/>
            </w:pPr>
            <w:r>
              <w:rPr>
                <w:sz w:val="20"/>
              </w:rPr>
            </w:r>
          </w:p>
        </w:tc>
      </w:tr>
      <w:tr>
        <w:tc>
          <w:tcPr>
            <w:tcW w:w="510" w:type="dxa"/>
          </w:tcPr>
          <w:p>
            <w:pPr>
              <w:pStyle w:val="0"/>
              <w:jc w:val="center"/>
            </w:pPr>
            <w:r>
              <w:rPr>
                <w:sz w:val="20"/>
              </w:rPr>
              <w:t xml:space="preserve">5.</w:t>
            </w:r>
          </w:p>
        </w:tc>
        <w:tc>
          <w:tcPr>
            <w:tcW w:w="6803" w:type="dxa"/>
          </w:tcPr>
          <w:p>
            <w:pPr>
              <w:pStyle w:val="0"/>
            </w:pPr>
            <w:r>
              <w:rPr>
                <w:sz w:val="20"/>
              </w:rPr>
              <w:t xml:space="preserve">Контактный телефон</w:t>
            </w:r>
          </w:p>
        </w:tc>
        <w:tc>
          <w:tcPr>
            <w:tcW w:w="1644" w:type="dxa"/>
          </w:tcPr>
          <w:p>
            <w:pPr>
              <w:pStyle w:val="0"/>
            </w:pPr>
            <w:r>
              <w:rPr>
                <w:sz w:val="20"/>
              </w:rPr>
            </w:r>
          </w:p>
        </w:tc>
      </w:tr>
      <w:tr>
        <w:tc>
          <w:tcPr>
            <w:tcW w:w="510" w:type="dxa"/>
          </w:tcPr>
          <w:p>
            <w:pPr>
              <w:pStyle w:val="0"/>
              <w:jc w:val="center"/>
            </w:pPr>
            <w:r>
              <w:rPr>
                <w:sz w:val="20"/>
              </w:rPr>
              <w:t xml:space="preserve">6.</w:t>
            </w:r>
          </w:p>
        </w:tc>
        <w:tc>
          <w:tcPr>
            <w:tcW w:w="6803" w:type="dxa"/>
          </w:tcPr>
          <w:p>
            <w:pPr>
              <w:pStyle w:val="0"/>
            </w:pPr>
            <w:r>
              <w:rPr>
                <w:sz w:val="20"/>
              </w:rPr>
              <w:t xml:space="preserve">E-meil (при наличии)</w:t>
            </w:r>
          </w:p>
        </w:tc>
        <w:tc>
          <w:tcPr>
            <w:tcW w:w="1644" w:type="dxa"/>
          </w:tcPr>
          <w:p>
            <w:pPr>
              <w:pStyle w:val="0"/>
            </w:pPr>
            <w:r>
              <w:rPr>
                <w:sz w:val="20"/>
              </w:rPr>
            </w:r>
          </w:p>
        </w:tc>
      </w:tr>
      <w:tr>
        <w:tc>
          <w:tcPr>
            <w:tcW w:w="510" w:type="dxa"/>
          </w:tcPr>
          <w:p>
            <w:pPr>
              <w:pStyle w:val="0"/>
              <w:jc w:val="center"/>
            </w:pPr>
            <w:r>
              <w:rPr>
                <w:sz w:val="20"/>
              </w:rPr>
              <w:t xml:space="preserve">7.</w:t>
            </w:r>
          </w:p>
        </w:tc>
        <w:tc>
          <w:tcPr>
            <w:tcW w:w="6803" w:type="dxa"/>
          </w:tcPr>
          <w:p>
            <w:pPr>
              <w:pStyle w:val="0"/>
            </w:pPr>
            <w:r>
              <w:rPr>
                <w:sz w:val="20"/>
              </w:rPr>
              <w:t xml:space="preserve">Уровень образования, наименование учебного заведения</w:t>
            </w:r>
          </w:p>
        </w:tc>
        <w:tc>
          <w:tcPr>
            <w:tcW w:w="1644" w:type="dxa"/>
          </w:tcPr>
          <w:p>
            <w:pPr>
              <w:pStyle w:val="0"/>
            </w:pPr>
            <w:r>
              <w:rPr>
                <w:sz w:val="20"/>
              </w:rPr>
            </w:r>
          </w:p>
        </w:tc>
      </w:tr>
      <w:tr>
        <w:tc>
          <w:tcPr>
            <w:tcW w:w="510" w:type="dxa"/>
          </w:tcPr>
          <w:p>
            <w:pPr>
              <w:pStyle w:val="0"/>
              <w:jc w:val="center"/>
            </w:pPr>
            <w:r>
              <w:rPr>
                <w:sz w:val="20"/>
              </w:rPr>
              <w:t xml:space="preserve">8.</w:t>
            </w:r>
          </w:p>
        </w:tc>
        <w:tc>
          <w:tcPr>
            <w:tcW w:w="6803" w:type="dxa"/>
          </w:tcPr>
          <w:p>
            <w:pPr>
              <w:pStyle w:val="0"/>
            </w:pPr>
            <w:r>
              <w:rPr>
                <w:sz w:val="20"/>
              </w:rPr>
              <w:t xml:space="preserve">Наличие ученого звания, ученой степени</w:t>
            </w:r>
          </w:p>
        </w:tc>
        <w:tc>
          <w:tcPr>
            <w:tcW w:w="1644" w:type="dxa"/>
          </w:tcPr>
          <w:p>
            <w:pPr>
              <w:pStyle w:val="0"/>
            </w:pPr>
            <w:r>
              <w:rPr>
                <w:sz w:val="20"/>
              </w:rPr>
            </w:r>
          </w:p>
        </w:tc>
      </w:tr>
      <w:tr>
        <w:tc>
          <w:tcPr>
            <w:tcW w:w="510" w:type="dxa"/>
          </w:tcPr>
          <w:p>
            <w:pPr>
              <w:pStyle w:val="0"/>
              <w:jc w:val="center"/>
            </w:pPr>
            <w:r>
              <w:rPr>
                <w:sz w:val="20"/>
              </w:rPr>
              <w:t xml:space="preserve">9.</w:t>
            </w:r>
          </w:p>
        </w:tc>
        <w:tc>
          <w:tcPr>
            <w:tcW w:w="6803" w:type="dxa"/>
          </w:tcPr>
          <w:p>
            <w:pPr>
              <w:pStyle w:val="0"/>
            </w:pPr>
            <w:r>
              <w:rPr>
                <w:sz w:val="20"/>
              </w:rPr>
              <w:t xml:space="preserve">Трудовая деятельность за последние 5 лет</w:t>
            </w:r>
          </w:p>
        </w:tc>
        <w:tc>
          <w:tcPr>
            <w:tcW w:w="1644" w:type="dxa"/>
          </w:tcPr>
          <w:p>
            <w:pPr>
              <w:pStyle w:val="0"/>
            </w:pPr>
            <w:r>
              <w:rPr>
                <w:sz w:val="20"/>
              </w:rPr>
            </w:r>
          </w:p>
        </w:tc>
      </w:tr>
      <w:tr>
        <w:tc>
          <w:tcPr>
            <w:tcW w:w="510" w:type="dxa"/>
          </w:tcPr>
          <w:p>
            <w:pPr>
              <w:pStyle w:val="0"/>
              <w:jc w:val="center"/>
            </w:pPr>
            <w:r>
              <w:rPr>
                <w:sz w:val="20"/>
              </w:rPr>
              <w:t xml:space="preserve">10.</w:t>
            </w:r>
          </w:p>
        </w:tc>
        <w:tc>
          <w:tcPr>
            <w:tcW w:w="6803" w:type="dxa"/>
          </w:tcPr>
          <w:p>
            <w:pPr>
              <w:pStyle w:val="0"/>
            </w:pPr>
            <w:r>
              <w:rPr>
                <w:sz w:val="20"/>
              </w:rPr>
              <w:t xml:space="preserve">Общественная деятельность</w:t>
            </w:r>
          </w:p>
        </w:tc>
        <w:tc>
          <w:tcPr>
            <w:tcW w:w="1644" w:type="dxa"/>
          </w:tcPr>
          <w:p>
            <w:pPr>
              <w:pStyle w:val="0"/>
            </w:pPr>
            <w:r>
              <w:rPr>
                <w:sz w:val="20"/>
              </w:rPr>
            </w:r>
          </w:p>
        </w:tc>
      </w:tr>
      <w:tr>
        <w:tc>
          <w:tcPr>
            <w:tcW w:w="510" w:type="dxa"/>
          </w:tcPr>
          <w:p>
            <w:pPr>
              <w:pStyle w:val="0"/>
              <w:jc w:val="center"/>
            </w:pPr>
            <w:r>
              <w:rPr>
                <w:sz w:val="20"/>
              </w:rPr>
              <w:t xml:space="preserve">11.</w:t>
            </w:r>
          </w:p>
        </w:tc>
        <w:tc>
          <w:tcPr>
            <w:tcW w:w="6803" w:type="dxa"/>
          </w:tcPr>
          <w:p>
            <w:pPr>
              <w:pStyle w:val="0"/>
            </w:pPr>
            <w:r>
              <w:rPr>
                <w:sz w:val="20"/>
              </w:rPr>
              <w:t xml:space="preserve">Наличие (отсутствие) неснятой или непогашенной судимости</w:t>
            </w:r>
          </w:p>
        </w:tc>
        <w:tc>
          <w:tcPr>
            <w:tcW w:w="1644" w:type="dxa"/>
          </w:tcPr>
          <w:p>
            <w:pPr>
              <w:pStyle w:val="0"/>
            </w:pPr>
            <w:r>
              <w:rPr>
                <w:sz w:val="20"/>
              </w:rPr>
            </w:r>
          </w:p>
        </w:tc>
      </w:tr>
      <w:tr>
        <w:tc>
          <w:tcPr>
            <w:tcW w:w="510" w:type="dxa"/>
          </w:tcPr>
          <w:p>
            <w:pPr>
              <w:pStyle w:val="0"/>
              <w:jc w:val="center"/>
            </w:pPr>
            <w:r>
              <w:rPr>
                <w:sz w:val="20"/>
              </w:rPr>
              <w:t xml:space="preserve">12.</w:t>
            </w:r>
          </w:p>
        </w:tc>
        <w:tc>
          <w:tcPr>
            <w:tcW w:w="6803" w:type="dxa"/>
          </w:tcPr>
          <w:p>
            <w:pPr>
              <w:pStyle w:val="0"/>
            </w:pPr>
            <w:r>
              <w:rPr>
                <w:sz w:val="20"/>
              </w:rPr>
              <w:t xml:space="preserve">Дополнительная информация</w:t>
            </w:r>
          </w:p>
        </w:tc>
        <w:tc>
          <w:tcPr>
            <w:tcW w:w="164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63" w:name="P263"/>
    <w:bookmarkEnd w:id="263"/>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комитете</w:t>
      </w:r>
    </w:p>
    <w:p>
      <w:pPr>
        <w:pStyle w:val="0"/>
        <w:jc w:val="right"/>
      </w:pPr>
      <w:r>
        <w:rPr>
          <w:sz w:val="20"/>
        </w:rPr>
        <w:t xml:space="preserve">по управлению имуществом Саратовской области</w:t>
      </w:r>
    </w:p>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    проживающий(ая) по адресу: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  порядке и на условиях, определенных Федеральным от 27 июля 2006 года</w:t>
      </w:r>
    </w:p>
    <w:p>
      <w:pPr>
        <w:pStyle w:val="1"/>
        <w:jc w:val="both"/>
      </w:pPr>
      <w:hyperlink w:history="0" r:id="rId13" w:tooltip="Федеральный закон от 27.07.2006 N 152-ФЗ (ред. от 06.02.2023) &quot;О персональных данных&quot; {КонсультантПлюс}">
        <w:r>
          <w:rPr>
            <w:sz w:val="20"/>
            <w:color w:val="0000ff"/>
          </w:rPr>
          <w:t xml:space="preserve">N 152-ФЗ</w:t>
        </w:r>
      </w:hyperlink>
      <w:r>
        <w:rPr>
          <w:sz w:val="20"/>
        </w:rPr>
        <w:t xml:space="preserve"> "О персональных данных", выражаю комитету по управлению имуществом</w:t>
      </w:r>
    </w:p>
    <w:p>
      <w:pPr>
        <w:pStyle w:val="1"/>
        <w:jc w:val="both"/>
      </w:pPr>
      <w:r>
        <w:rPr>
          <w:sz w:val="20"/>
        </w:rPr>
        <w:t xml:space="preserve">Саратовской области, расположенному по адресу: г. Саратов, ул. Радищева, 30</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комитете по управлению имуществом</w:t>
      </w:r>
    </w:p>
    <w:p>
      <w:pPr>
        <w:pStyle w:val="1"/>
        <w:jc w:val="both"/>
      </w:pPr>
      <w:r>
        <w:rPr>
          <w:sz w:val="20"/>
        </w:rPr>
        <w:t xml:space="preserve">Саратовской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комитета  по  управлению имуществом</w:t>
      </w:r>
    </w:p>
    <w:p>
      <w:pPr>
        <w:pStyle w:val="1"/>
        <w:jc w:val="both"/>
      </w:pPr>
      <w:r>
        <w:rPr>
          <w:sz w:val="20"/>
        </w:rPr>
        <w:t xml:space="preserve">Саратовской  области в информационно-телекоммуникационной сети "Интернет" и</w:t>
      </w:r>
    </w:p>
    <w:p>
      <w:pPr>
        <w:pStyle w:val="1"/>
        <w:jc w:val="both"/>
      </w:pPr>
      <w:r>
        <w:rPr>
          <w:sz w:val="20"/>
        </w:rPr>
        <w:t xml:space="preserve">(или)  на  официальной  странице  комитета  сайта Правительства Саратовской</w:t>
      </w:r>
    </w:p>
    <w:p>
      <w:pPr>
        <w:pStyle w:val="1"/>
        <w:jc w:val="both"/>
      </w:pPr>
      <w:r>
        <w:rPr>
          <w:sz w:val="20"/>
        </w:rPr>
        <w:t xml:space="preserve">области,  Оператор  вправе  осуществлять  смешанную  (автоматизированную  и</w:t>
      </w:r>
    </w:p>
    <w:p>
      <w:pPr>
        <w:pStyle w:val="1"/>
        <w:jc w:val="both"/>
      </w:pPr>
      <w:r>
        <w:rPr>
          <w:sz w:val="20"/>
        </w:rPr>
        <w:t xml:space="preserve">неавтоматизированную)   обработку   моих  персональных  данных  посредством</w:t>
      </w:r>
    </w:p>
    <w:p>
      <w:pPr>
        <w:pStyle w:val="1"/>
        <w:jc w:val="both"/>
      </w:pPr>
      <w:r>
        <w:rPr>
          <w:sz w:val="20"/>
        </w:rPr>
        <w:t xml:space="preserve">внесения  их  в  электронную  базу  данных,  включения в списки (реестры) и</w:t>
      </w:r>
    </w:p>
    <w:p>
      <w:pPr>
        <w:pStyle w:val="1"/>
        <w:jc w:val="both"/>
      </w:pPr>
      <w:r>
        <w:rPr>
          <w:sz w:val="20"/>
        </w:rPr>
        <w:t xml:space="preserve">отчетные     формы,    предусмотренные    документами,    регламентирующими</w:t>
      </w:r>
    </w:p>
    <w:p>
      <w:pPr>
        <w:pStyle w:val="1"/>
        <w:jc w:val="both"/>
      </w:pPr>
      <w:r>
        <w:rPr>
          <w:sz w:val="20"/>
        </w:rPr>
        <w:t xml:space="preserve">представление   отчетных  данных  (документов).  Срок  действия  настоящего</w:t>
      </w:r>
    </w:p>
    <w:p>
      <w:pPr>
        <w:pStyle w:val="1"/>
        <w:jc w:val="both"/>
      </w:pPr>
      <w:r>
        <w:rPr>
          <w:sz w:val="20"/>
        </w:rPr>
        <w:t xml:space="preserve">согласия  ограничен сроком полномочий общественного совета, членом которого</w:t>
      </w:r>
    </w:p>
    <w:p>
      <w:pPr>
        <w:pStyle w:val="1"/>
        <w:jc w:val="both"/>
      </w:pPr>
      <w:r>
        <w:rPr>
          <w:sz w:val="20"/>
        </w:rPr>
        <w:t xml:space="preserve">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  Я  ознакомлен(а) с правами субъекта</w:t>
      </w:r>
    </w:p>
    <w:p>
      <w:pPr>
        <w:pStyle w:val="1"/>
        <w:jc w:val="both"/>
      </w:pPr>
      <w:r>
        <w:rPr>
          <w:sz w:val="20"/>
        </w:rPr>
        <w:t xml:space="preserve">персональных  данных,  предусмотренными Федерального </w:t>
      </w:r>
      <w:hyperlink w:history="0" r:id="rId14"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w:t>
      </w:r>
    </w:p>
    <w:p>
      <w:pPr>
        <w:pStyle w:val="1"/>
        <w:jc w:val="both"/>
      </w:pPr>
      <w:r>
        <w:rPr>
          <w:sz w:val="20"/>
        </w:rPr>
        <w:t xml:space="preserve">года N 152-ФЗ "О персональных данных".</w:t>
      </w:r>
    </w:p>
    <w:p>
      <w:pPr>
        <w:pStyle w:val="1"/>
        <w:jc w:val="both"/>
      </w:pPr>
      <w:r>
        <w:rPr>
          <w:sz w:val="20"/>
        </w:rPr>
      </w:r>
    </w:p>
    <w:p>
      <w:pPr>
        <w:pStyle w:val="1"/>
        <w:jc w:val="both"/>
      </w:pPr>
      <w:r>
        <w:rPr>
          <w:sz w:val="20"/>
        </w:rPr>
        <w:t xml:space="preserve">    "__" __________ 20__ года    _______________ 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управлению имуществом Саратовской области от 23.01.2024 N 3</w:t>
            <w:br/>
            <w:t>"Об общественном совете при комитете по 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169181" TargetMode = "External"/>
	<Relationship Id="rId8" Type="http://schemas.openxmlformats.org/officeDocument/2006/relationships/hyperlink" Target="https://login.consultant.ru/link/?req=doc&amp;base=RLAW358&amp;n=169161&amp;dst=100012" TargetMode = "External"/>
	<Relationship Id="rId9" Type="http://schemas.openxmlformats.org/officeDocument/2006/relationships/hyperlink" Target="https://login.consultant.ru/link/?req=doc&amp;base=RLAW358&amp;n=119830"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RLAW358&amp;n=169687" TargetMode = "External"/>
	<Relationship Id="rId12" Type="http://schemas.openxmlformats.org/officeDocument/2006/relationships/hyperlink" Target="https://login.consultant.ru/link/?req=doc&amp;base=LAW&amp;n=449631" TargetMode = "External"/>
	<Relationship Id="rId13" Type="http://schemas.openxmlformats.org/officeDocument/2006/relationships/hyperlink" Target="https://login.consultant.ru/link/?req=doc&amp;base=LAW&amp;n=439201" TargetMode = "External"/>
	<Relationship Id="rId14"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управлению имуществом Саратовской области от 23.01.2024 N 3
"Об общественном совете при комитете по управлению имуществом Саратовской области"
(вместе с "Положением об общественном совете при комитете по управлению имуществом Саратовской области")</dc:title>
  <dcterms:created xsi:type="dcterms:W3CDTF">2024-06-08T16:18:30Z</dcterms:created>
</cp:coreProperties>
</file>