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обеспечения безопасности жизнедеятельности населения Правительства Саратовской области от 22.01.2024 N 6</w:t>
              <w:br/>
              <w:t xml:space="preserve">"Об общественном совете при управлении обеспечения безопасности жизнедеятельности населения Правительства Саратовской области"</w:t>
              <w:br/>
              <w:t xml:space="preserve">(вместе с "Положением об общественном совете при управлении обеспечения безопасности жизнедеятельности населения Правительства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ОБЕСПЕЧЕНИЯ БЕЗОПАСНОСТИ</w:t>
      </w:r>
    </w:p>
    <w:p>
      <w:pPr>
        <w:pStyle w:val="2"/>
        <w:jc w:val="center"/>
      </w:pPr>
      <w:r>
        <w:rPr>
          <w:sz w:val="20"/>
        </w:rPr>
        <w:t xml:space="preserve">ЖИЗНЕДЕЯТЕЛЬНОСТИ НАСЕЛЕНИЯ ПРАВИТЕЛЬСТВА</w:t>
      </w:r>
    </w:p>
    <w:p>
      <w:pPr>
        <w:pStyle w:val="2"/>
        <w:jc w:val="center"/>
      </w:pPr>
      <w:r>
        <w:rPr>
          <w:sz w:val="20"/>
        </w:rPr>
        <w:t xml:space="preserve">САРАТОВСКОЙ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22 января 2024 г. N 6</w:t>
      </w:r>
    </w:p>
    <w:p>
      <w:pPr>
        <w:pStyle w:val="2"/>
        <w:ind w:firstLine="540"/>
        <w:jc w:val="both"/>
      </w:pPr>
      <w:r>
        <w:rPr>
          <w:sz w:val="20"/>
        </w:rPr>
      </w:r>
    </w:p>
    <w:p>
      <w:pPr>
        <w:pStyle w:val="2"/>
        <w:jc w:val="center"/>
      </w:pPr>
      <w:r>
        <w:rPr>
          <w:sz w:val="20"/>
        </w:rPr>
        <w:t xml:space="preserve">ОБ ОБЩЕСТВЕННОМ СОВЕТЕ ПРИ УПРАВЛЕНИИ</w:t>
      </w:r>
    </w:p>
    <w:p>
      <w:pPr>
        <w:pStyle w:val="2"/>
        <w:jc w:val="center"/>
      </w:pPr>
      <w:r>
        <w:rPr>
          <w:sz w:val="20"/>
        </w:rPr>
        <w:t xml:space="preserve">ОБЕСПЕЧЕНИЯ БЕЗОПАСНОСТИ ЖИЗНЕДЕЯТЕЛЬНОСТИ НАСЕЛЕНИЯ</w:t>
      </w:r>
    </w:p>
    <w:p>
      <w:pPr>
        <w:pStyle w:val="2"/>
        <w:jc w:val="center"/>
      </w:pPr>
      <w:r>
        <w:rPr>
          <w:sz w:val="20"/>
        </w:rPr>
        <w:t xml:space="preserve">ПРАВИТЕЛЬСТВА САРАТОВСКОЙ ОБЛАСТИ</w:t>
      </w:r>
    </w:p>
    <w:p>
      <w:pPr>
        <w:pStyle w:val="0"/>
        <w:jc w:val="both"/>
      </w:pPr>
      <w:r>
        <w:rPr>
          <w:sz w:val="20"/>
        </w:rPr>
      </w:r>
    </w:p>
    <w:p>
      <w:pPr>
        <w:pStyle w:val="0"/>
        <w:ind w:firstLine="540"/>
        <w:jc w:val="both"/>
      </w:pPr>
      <w:r>
        <w:rPr>
          <w:sz w:val="20"/>
        </w:rPr>
        <w:t xml:space="preserve">В соответствии </w:t>
      </w:r>
      <w:hyperlink w:history="0" r:id="rId7"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частью 2 статьи 4</w:t>
        </w:r>
      </w:hyperlink>
      <w:r>
        <w:rPr>
          <w:sz w:val="20"/>
        </w:rP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и </w:t>
      </w:r>
      <w:hyperlink w:history="0" r:id="rId8"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постановлением</w:t>
        </w:r>
      </w:hyperlink>
      <w:r>
        <w:rPr>
          <w:sz w:val="20"/>
        </w:rPr>
        <w:t xml:space="preserve"> Губернатора Саратовской области от 21 июля 2016 года N 183 "Об утверждении Типового положения об общественных советах при исполнительных органах области"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управлении обеспечения безопасности жизнедеятельности населения Правительства Саратовской области (приложение).</w:t>
      </w:r>
    </w:p>
    <w:p>
      <w:pPr>
        <w:pStyle w:val="0"/>
        <w:spacing w:before="200" w:line-rule="auto"/>
        <w:ind w:firstLine="540"/>
        <w:jc w:val="both"/>
      </w:pPr>
      <w:r>
        <w:rPr>
          <w:sz w:val="20"/>
        </w:rPr>
        <w:t xml:space="preserve">2. Признать утратившим силу приказ управления обеспечения безопасности жизнедеятельности населения Правительства Саратовской области от 12 декабря 2018 года N 101 "Об утверждении Положения об Общественном совете".</w:t>
      </w:r>
    </w:p>
    <w:p>
      <w:pPr>
        <w:pStyle w:val="0"/>
        <w:spacing w:before="200" w:line-rule="auto"/>
        <w:ind w:firstLine="540"/>
        <w:jc w:val="both"/>
      </w:pPr>
      <w:r>
        <w:rPr>
          <w:sz w:val="20"/>
        </w:rPr>
        <w:t xml:space="preserve">3. Отделу правовой и кадровой работы управления обеспечения безопасности жизнедеятельности населения Правительства Саратовской области обеспечить направление текстового и электронного варианта настоящего приказа:</w:t>
      </w:r>
    </w:p>
    <w:p>
      <w:pPr>
        <w:pStyle w:val="0"/>
        <w:spacing w:before="200" w:line-rule="auto"/>
        <w:ind w:firstLine="540"/>
        <w:jc w:val="both"/>
      </w:pPr>
      <w:r>
        <w:rPr>
          <w:sz w:val="20"/>
        </w:rPr>
        <w:t xml:space="preserve">в течение 1 рабочего дня в министерство информации и массовых коммуникаций Саратовской области для официального опубликования;</w:t>
      </w:r>
    </w:p>
    <w:p>
      <w:pPr>
        <w:pStyle w:val="0"/>
        <w:spacing w:before="200" w:line-rule="auto"/>
        <w:ind w:firstLine="540"/>
        <w:jc w:val="both"/>
      </w:pPr>
      <w:r>
        <w:rPr>
          <w:sz w:val="20"/>
        </w:rPr>
        <w:t xml:space="preserve">в течение 3 дней в прокуратуру Саратовской области;</w:t>
      </w:r>
    </w:p>
    <w:p>
      <w:pPr>
        <w:pStyle w:val="0"/>
        <w:spacing w:before="200" w:line-rule="auto"/>
        <w:ind w:firstLine="540"/>
        <w:jc w:val="both"/>
      </w:pPr>
      <w:r>
        <w:rPr>
          <w:sz w:val="20"/>
        </w:rPr>
        <w:t xml:space="preserve">в течение 7 рабочих дней со дня официального опубликования в Управление Министерства юстиции Российской Федерации по Саратовской области.</w:t>
      </w:r>
    </w:p>
    <w:p>
      <w:pPr>
        <w:pStyle w:val="0"/>
        <w:spacing w:before="200" w:line-rule="auto"/>
        <w:ind w:firstLine="540"/>
        <w:jc w:val="both"/>
      </w:pPr>
      <w:r>
        <w:rPr>
          <w:sz w:val="20"/>
        </w:rPr>
        <w:t xml:space="preserve">4. Контроль за исполнением настоящего возложить на заместителя начальника управления обеспечения безопасности жизнедеятельности населения Правительства Саратовской области - начальника экспертно-аналитического отдела.</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Ю.С.ЮРИН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обеспечения безопасности жизнедеятельности</w:t>
      </w:r>
    </w:p>
    <w:p>
      <w:pPr>
        <w:pStyle w:val="0"/>
        <w:jc w:val="right"/>
      </w:pPr>
      <w:r>
        <w:rPr>
          <w:sz w:val="20"/>
        </w:rPr>
        <w:t xml:space="preserve">населения Правительства Саратовской области</w:t>
      </w:r>
    </w:p>
    <w:p>
      <w:pPr>
        <w:pStyle w:val="0"/>
        <w:jc w:val="right"/>
      </w:pPr>
      <w:r>
        <w:rPr>
          <w:sz w:val="20"/>
        </w:rPr>
        <w:t xml:space="preserve">от 22 января 2024 г. N 6</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УПРАВЛЕНИИ ОБЕСПЕЧЕНИЯ</w:t>
      </w:r>
    </w:p>
    <w:p>
      <w:pPr>
        <w:pStyle w:val="2"/>
        <w:jc w:val="center"/>
      </w:pPr>
      <w:r>
        <w:rPr>
          <w:sz w:val="20"/>
        </w:rPr>
        <w:t xml:space="preserve">БЕЗОПАСНОСТИ ЖИЗНЕДЕЯТЕЛЬНОСТИ НАСЕЛЕНИЯ ПРАВИТЕЛЬСТВА</w:t>
      </w:r>
    </w:p>
    <w:p>
      <w:pPr>
        <w:pStyle w:val="2"/>
        <w:jc w:val="center"/>
      </w:pPr>
      <w:r>
        <w:rPr>
          <w:sz w:val="20"/>
        </w:rPr>
        <w:t xml:space="preserve">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управлении обеспечения безопасности жизнедеятельности населения Правительства Саратовской области (далее - Общественный совет, управление)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управления, а также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управления,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управления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руководствуются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0"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настоящим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экспертно-аналитический отдел управления в порядке, установленном настоящим Положением.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рассматривать ежегодные планы деятельности управления, а также участвовать в подготовке публичного отчета по их исполнению;</w:t>
      </w:r>
    </w:p>
    <w:p>
      <w:pPr>
        <w:pStyle w:val="0"/>
        <w:spacing w:before="200" w:line-rule="auto"/>
        <w:ind w:firstLine="540"/>
        <w:jc w:val="both"/>
      </w:pPr>
      <w:r>
        <w:rPr>
          <w:sz w:val="20"/>
        </w:rPr>
        <w:t xml:space="preserve">проводить слушания по приоритетным направлениям деятельности управления;</w:t>
      </w:r>
    </w:p>
    <w:p>
      <w:pPr>
        <w:pStyle w:val="0"/>
        <w:spacing w:before="200" w:line-rule="auto"/>
        <w:ind w:firstLine="540"/>
        <w:jc w:val="both"/>
      </w:pPr>
      <w:r>
        <w:rPr>
          <w:sz w:val="20"/>
        </w:rPr>
        <w:t xml:space="preserve">утверждать результаты общественных обсуждений решений и отчетов управления по итогам общественной экспертизы нормативных правовых актов;</w:t>
      </w:r>
    </w:p>
    <w:p>
      <w:pPr>
        <w:pStyle w:val="0"/>
        <w:spacing w:before="200" w:line-rule="auto"/>
        <w:ind w:firstLine="540"/>
        <w:jc w:val="both"/>
      </w:pPr>
      <w:r>
        <w:rPr>
          <w:sz w:val="20"/>
        </w:rPr>
        <w:t xml:space="preserve">участвовать в оценке эффективности государственных закупок управления;</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начальником управления вправе определить перечень иных приоритетных правовых актов и важнейших вопросов, относящихся к деятельности управления,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создавать по вопросам, отнесенным к полномочиям Общественного совета, комиссии и рабочие группы;</w:t>
      </w:r>
    </w:p>
    <w:p>
      <w:pPr>
        <w:pStyle w:val="0"/>
        <w:spacing w:before="200" w:line-rule="auto"/>
        <w:ind w:firstLine="540"/>
        <w:jc w:val="both"/>
      </w:pPr>
      <w:r>
        <w:rPr>
          <w:sz w:val="20"/>
        </w:rPr>
        <w:t xml:space="preserve">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управлением;</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начальником управления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рассматривать проекты социально значимых нормативных правовых актов и иных документов, разрабатываемых управлением;</w:t>
      </w:r>
    </w:p>
    <w:p>
      <w:pPr>
        <w:pStyle w:val="0"/>
        <w:spacing w:before="200" w:line-rule="auto"/>
        <w:ind w:firstLine="540"/>
        <w:jc w:val="both"/>
      </w:pPr>
      <w:r>
        <w:rPr>
          <w:sz w:val="20"/>
        </w:rPr>
        <w:t xml:space="preserve">участвовать в мониторинге качества оказания государственных услуг управлением;</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общественных советов</w:t>
      </w:r>
    </w:p>
    <w:p>
      <w:pPr>
        <w:pStyle w:val="0"/>
        <w:jc w:val="both"/>
      </w:pPr>
      <w:r>
        <w:rPr>
          <w:sz w:val="20"/>
        </w:rPr>
      </w:r>
    </w:p>
    <w:bookmarkStart w:id="76" w:name="P76"/>
    <w:bookmarkEnd w:id="76"/>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устанавливается управлением самостоятельно, но составляет не менее двух и не более трех лет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управлением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управления.</w:t>
      </w:r>
    </w:p>
    <w:bookmarkStart w:id="80" w:name="P80"/>
    <w:bookmarkEnd w:id="80"/>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кандидаты в члены Общественного совета в количестве 1/2 от указанного в </w:t>
      </w:r>
      <w:hyperlink w:history="0" w:anchor="P84" w:tooltip="14. Количественный состав Общественного совета определяется управление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Типового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кандидаты в члены Общественного совета в количестве 1/4 от указанного в </w:t>
      </w:r>
      <w:hyperlink w:history="0" w:anchor="P84" w:tooltip="14. Количественный состав Общественного совета определяется управление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кандидаты в члены Общественного совета в количестве 1/4 от указанного в </w:t>
      </w:r>
      <w:hyperlink w:history="0" w:anchor="P84" w:tooltip="14. Количественный состав Общественного совета определяется управление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управлением.</w:t>
      </w:r>
    </w:p>
    <w:bookmarkStart w:id="84" w:name="P84"/>
    <w:bookmarkEnd w:id="84"/>
    <w:p>
      <w:pPr>
        <w:pStyle w:val="0"/>
        <w:spacing w:before="200" w:line-rule="auto"/>
        <w:ind w:firstLine="540"/>
        <w:jc w:val="both"/>
      </w:pPr>
      <w:r>
        <w:rPr>
          <w:sz w:val="20"/>
        </w:rPr>
        <w:t xml:space="preserve">14. Количественный состав Общественного совета определяется управлением с учетом сохранения пропорций, указанных в </w:t>
      </w:r>
      <w:hyperlink w:history="0" w:anchor="P8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не должна быть менее 12 и более 48 человек.</w:t>
      </w:r>
    </w:p>
    <w:p>
      <w:pPr>
        <w:pStyle w:val="0"/>
        <w:spacing w:before="200" w:line-rule="auto"/>
        <w:ind w:firstLine="540"/>
        <w:jc w:val="both"/>
      </w:pPr>
      <w:r>
        <w:rPr>
          <w:sz w:val="20"/>
        </w:rPr>
        <w:t xml:space="preserve">15. В целях формирования состава Общественного совета в информационно-телекоммуникационной сети "Интернет" на официальном странице управления, расположенной на Портале Правительства Саратовской области,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в информационно-телекоммуникационной сети "Интернет" на официальной странице управления, расположенной на Портале Правительства Саратовской области, не позднее чем за 3 месяца до истечения полномочий членов общественного совета действующего состава.</w:t>
      </w:r>
    </w:p>
    <w:bookmarkStart w:id="87" w:name="P87"/>
    <w:bookmarkEnd w:id="87"/>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в информационно-телекоммуникационной сети "Интернет" на официальной странице управления, расположенной на Портале Правительства Саратовской области.</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управлением, утверждается соответствующим приказом управления в течение 7 рабочих дней со дня истечения срока, установленного </w:t>
      </w:r>
      <w:hyperlink w:history="0" w:anchor="P87"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
        <w:r>
          <w:rPr>
            <w:sz w:val="20"/>
            <w:color w:val="0000ff"/>
          </w:rPr>
          <w:t xml:space="preserve">частью третьей пункта 15</w:t>
        </w:r>
      </w:hyperlink>
      <w:r>
        <w:rPr>
          <w:sz w:val="20"/>
        </w:rPr>
        <w:t xml:space="preserve"> настоящего Положения.</w:t>
      </w:r>
    </w:p>
    <w:p>
      <w:pPr>
        <w:pStyle w:val="0"/>
        <w:spacing w:before="200" w:line-rule="auto"/>
        <w:ind w:firstLine="540"/>
        <w:jc w:val="both"/>
      </w:pPr>
      <w:r>
        <w:rPr>
          <w:sz w:val="20"/>
        </w:rPr>
        <w:t xml:space="preserve">17. Кандидаты в члены Общественного совета направляют в управление следующие документы:</w:t>
      </w:r>
    </w:p>
    <w:p>
      <w:pPr>
        <w:pStyle w:val="0"/>
        <w:spacing w:before="200" w:line-rule="auto"/>
        <w:ind w:firstLine="540"/>
        <w:jc w:val="both"/>
      </w:pPr>
      <w:hyperlink w:history="0" w:anchor="P186"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hyperlink w:history="0" w:anchor="P221"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hyperlink w:history="0" w:anchor="P276"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8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письмо начальника управления,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управление в течение 30 дней с момента размещения уведомления о начале процедуры формирования состава Общественного совета направляют в управление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управление формирует сводный перечень выдвинутых кандидатов с указанием принадлежности кандидатов к управлению.</w:t>
      </w:r>
    </w:p>
    <w:p>
      <w:pPr>
        <w:pStyle w:val="0"/>
        <w:spacing w:before="200" w:line-rule="auto"/>
        <w:ind w:firstLine="540"/>
        <w:jc w:val="both"/>
      </w:pPr>
      <w:r>
        <w:rPr>
          <w:sz w:val="20"/>
        </w:rPr>
        <w:t xml:space="preserve">21. Управление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6"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официальной странице управления, расположенной на Портале Правительства Саратовской области в информационно-телекоммуникационной сети "Интернет"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управлением, в течение 5 рабочих дней со дня получения от управления сводного списка всех кандидатов направляют в управление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101" w:name="P101"/>
    <w:bookmarkEnd w:id="101"/>
    <w:p>
      <w:pPr>
        <w:pStyle w:val="0"/>
        <w:spacing w:before="200" w:line-rule="auto"/>
        <w:ind w:firstLine="540"/>
        <w:jc w:val="both"/>
      </w:pPr>
      <w:r>
        <w:rPr>
          <w:sz w:val="20"/>
        </w:rPr>
        <w:t xml:space="preserve">24.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01" w:tooltip="24.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
        <w:r>
          <w:rPr>
            <w:sz w:val="20"/>
            <w:color w:val="0000ff"/>
          </w:rPr>
          <w:t xml:space="preserve">пункте 24</w:t>
        </w:r>
      </w:hyperlink>
      <w:r>
        <w:rPr>
          <w:sz w:val="20"/>
        </w:rPr>
        <w:t xml:space="preserve"> настоящего Положения, управление размещает информацию о составе общественного совета на официальной странице управления, расположенной на Портале Правительства Саратовской области в информационно-телекоммуникационной сети "Интернет",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при управлении утверждение нового члена Общественного совета при управлении осуществляется в течение 30 календарных дней управлением.</w:t>
      </w:r>
    </w:p>
    <w:p>
      <w:pPr>
        <w:pStyle w:val="0"/>
        <w:spacing w:before="200" w:line-rule="auto"/>
        <w:ind w:firstLine="540"/>
        <w:jc w:val="both"/>
      </w:pPr>
      <w:r>
        <w:rPr>
          <w:sz w:val="20"/>
        </w:rPr>
        <w:t xml:space="preserve">27. Полномочия члена Общественного совета при управлении прекращаются в случаях:</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 при управлении;</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начальником управления,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управления.</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начальником управления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при управлении, копии которых представляются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управлением.</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начальнику управления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в информационно-телекоммуникационной сети "Интернет" на официальной странице управления, расположенной на сайте Правительства Саратовской области;</w:t>
      </w:r>
    </w:p>
    <w:p>
      <w:pPr>
        <w:pStyle w:val="0"/>
        <w:spacing w:before="200" w:line-rule="auto"/>
        <w:ind w:firstLine="540"/>
        <w:jc w:val="both"/>
      </w:pPr>
      <w:r>
        <w:rPr>
          <w:sz w:val="20"/>
        </w:rPr>
        <w:t xml:space="preserve">взаимодействует с начальником управления по вопросам реализации решений Общественного совета;</w:t>
      </w:r>
    </w:p>
    <w:p>
      <w:pPr>
        <w:pStyle w:val="0"/>
        <w:spacing w:before="200" w:line-rule="auto"/>
        <w:ind w:firstLine="540"/>
        <w:jc w:val="both"/>
      </w:pPr>
      <w:r>
        <w:rPr>
          <w:sz w:val="20"/>
        </w:rPr>
        <w:t xml:space="preserve">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полномочий управления,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 начальником управления, в приеме граждан, осуществляемом должностными лицами управления;</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управлению;</w:t>
      </w:r>
    </w:p>
    <w:p>
      <w:pPr>
        <w:pStyle w:val="0"/>
        <w:spacing w:before="200" w:line-rule="auto"/>
        <w:ind w:firstLine="540"/>
        <w:jc w:val="both"/>
      </w:pPr>
      <w:r>
        <w:rPr>
          <w:sz w:val="20"/>
        </w:rPr>
        <w:t xml:space="preserve">оказывать управлению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входить в состав конкурсной и аттестационной комиссий управления;</w:t>
      </w:r>
    </w:p>
    <w:p>
      <w:pPr>
        <w:pStyle w:val="0"/>
        <w:spacing w:before="200" w:line-rule="auto"/>
        <w:ind w:firstLine="540"/>
        <w:jc w:val="both"/>
      </w:pPr>
      <w:r>
        <w:rPr>
          <w:sz w:val="20"/>
        </w:rPr>
        <w:t xml:space="preserve">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 в информационно-телекоммуникационной сети "Интернет" на официальной странице управления, расположенной на Портале Правительства Саратовской области.</w:t>
      </w:r>
    </w:p>
    <w:p>
      <w:pPr>
        <w:pStyle w:val="0"/>
        <w:spacing w:before="200" w:line-rule="auto"/>
        <w:ind w:firstLine="540"/>
        <w:jc w:val="both"/>
      </w:pPr>
      <w:r>
        <w:rPr>
          <w:sz w:val="20"/>
        </w:rPr>
        <w:t xml:space="preserve">43.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в информационно-телекоммуникационной сети "Интернет" на официальной странице управления, расположенной на сайте Правительства Саратовской области.</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обеспечения безопасности жизнедеятельности населения</w:t>
      </w:r>
    </w:p>
    <w:p>
      <w:pPr>
        <w:pStyle w:val="0"/>
        <w:jc w:val="right"/>
      </w:pPr>
      <w:r>
        <w:rPr>
          <w:sz w:val="20"/>
        </w:rPr>
        <w:t xml:space="preserve">Правительства Саратовской области</w:t>
      </w:r>
    </w:p>
    <w:p>
      <w:pPr>
        <w:pStyle w:val="0"/>
        <w:jc w:val="both"/>
      </w:pPr>
      <w:r>
        <w:rPr>
          <w:sz w:val="20"/>
        </w:rPr>
      </w:r>
    </w:p>
    <w:p>
      <w:pPr>
        <w:pStyle w:val="1"/>
        <w:jc w:val="both"/>
      </w:pPr>
      <w:r>
        <w:rPr>
          <w:sz w:val="20"/>
        </w:rPr>
        <w:t xml:space="preserve">                             ______________________________________________</w:t>
      </w:r>
    </w:p>
    <w:p>
      <w:pPr>
        <w:pStyle w:val="1"/>
        <w:jc w:val="both"/>
      </w:pPr>
      <w:r>
        <w:rPr>
          <w:sz w:val="20"/>
        </w:rPr>
        <w:t xml:space="preserve">                             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r>
    </w:p>
    <w:p>
      <w:pPr>
        <w:pStyle w:val="1"/>
        <w:jc w:val="both"/>
      </w:pPr>
      <w:r>
        <w:rPr>
          <w:sz w:val="20"/>
        </w:rPr>
        <w:t xml:space="preserve">                             от ___________________________________________</w:t>
      </w:r>
    </w:p>
    <w:p>
      <w:pPr>
        <w:pStyle w:val="1"/>
        <w:jc w:val="both"/>
      </w:pPr>
      <w:r>
        <w:rPr>
          <w:sz w:val="20"/>
        </w:rPr>
        <w:t xml:space="preserve">                                        (фамилия, имя, отчество)</w:t>
      </w:r>
    </w:p>
    <w:p>
      <w:pPr>
        <w:pStyle w:val="1"/>
        <w:jc w:val="both"/>
      </w:pPr>
      <w:r>
        <w:rPr>
          <w:sz w:val="20"/>
        </w:rPr>
      </w:r>
    </w:p>
    <w:bookmarkStart w:id="186" w:name="P186"/>
    <w:bookmarkEnd w:id="186"/>
    <w:p>
      <w:pPr>
        <w:pStyle w:val="1"/>
        <w:jc w:val="both"/>
      </w:pPr>
      <w:r>
        <w:rPr>
          <w:sz w:val="20"/>
        </w:rPr>
        <w:t xml:space="preserve">                                 Заявление</w:t>
      </w:r>
    </w:p>
    <w:p>
      <w:pPr>
        <w:pStyle w:val="1"/>
        <w:jc w:val="both"/>
      </w:pPr>
      <w:r>
        <w:rPr>
          <w:sz w:val="20"/>
        </w:rPr>
        <w:t xml:space="preserve">              о включении в общественный совет при управлении</w:t>
      </w:r>
    </w:p>
    <w:p>
      <w:pPr>
        <w:pStyle w:val="1"/>
        <w:jc w:val="both"/>
      </w:pPr>
      <w:r>
        <w:rPr>
          <w:sz w:val="20"/>
        </w:rPr>
        <w:t xml:space="preserve">           обеспечения безопасности жизнедеятельности населения</w:t>
      </w:r>
    </w:p>
    <w:p>
      <w:pPr>
        <w:pStyle w:val="1"/>
        <w:jc w:val="both"/>
      </w:pPr>
      <w:r>
        <w:rPr>
          <w:sz w:val="20"/>
        </w:rPr>
        <w:t xml:space="preserve">                     Правительства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прошу  включить  меня  в  состав  общественного  совета  при управлении</w:t>
      </w:r>
    </w:p>
    <w:p>
      <w:pPr>
        <w:pStyle w:val="1"/>
        <w:jc w:val="both"/>
      </w:pPr>
      <w:r>
        <w:rPr>
          <w:sz w:val="20"/>
        </w:rPr>
        <w:t xml:space="preserve">обеспечения безопасности жизнедеятельности населения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области,  и  выражаю  свое  согласие  войти  в состав общественного</w:t>
      </w:r>
    </w:p>
    <w:p>
      <w:pPr>
        <w:pStyle w:val="1"/>
        <w:jc w:val="both"/>
      </w:pPr>
      <w:r>
        <w:rPr>
          <w:sz w:val="20"/>
        </w:rPr>
        <w:t xml:space="preserve">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предложение  о  выдвижении  кандидата  в  члены  общественного  совета (при</w:t>
      </w:r>
    </w:p>
    <w:p>
      <w:pPr>
        <w:pStyle w:val="1"/>
        <w:jc w:val="both"/>
      </w:pPr>
      <w:r>
        <w:rPr>
          <w:sz w:val="20"/>
        </w:rPr>
        <w:t xml:space="preserve">наличии).</w:t>
      </w:r>
    </w:p>
    <w:p>
      <w:pPr>
        <w:pStyle w:val="1"/>
        <w:jc w:val="both"/>
      </w:pPr>
      <w:r>
        <w:rPr>
          <w:sz w:val="20"/>
        </w:rPr>
      </w:r>
    </w:p>
    <w:p>
      <w:pPr>
        <w:pStyle w:val="1"/>
        <w:jc w:val="both"/>
      </w:pPr>
      <w:r>
        <w:rPr>
          <w:sz w:val="20"/>
        </w:rPr>
        <w:t xml:space="preserve">    "__" _____________  20__ года       _________________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обеспечения безопасности жизнедеятельности населения</w:t>
      </w:r>
    </w:p>
    <w:p>
      <w:pPr>
        <w:pStyle w:val="0"/>
        <w:jc w:val="right"/>
      </w:pPr>
      <w:r>
        <w:rPr>
          <w:sz w:val="20"/>
        </w:rPr>
        <w:t xml:space="preserve">Правительства Саратовской области</w:t>
      </w:r>
    </w:p>
    <w:p>
      <w:pPr>
        <w:pStyle w:val="0"/>
        <w:jc w:val="both"/>
      </w:pPr>
      <w:r>
        <w:rPr>
          <w:sz w:val="20"/>
        </w:rPr>
      </w:r>
    </w:p>
    <w:bookmarkStart w:id="221" w:name="P221"/>
    <w:bookmarkEnd w:id="221"/>
    <w:p>
      <w:pPr>
        <w:pStyle w:val="0"/>
        <w:jc w:val="center"/>
      </w:pPr>
      <w:r>
        <w:rPr>
          <w:sz w:val="20"/>
        </w:rPr>
        <w:t xml:space="preserve">Анкета</w:t>
      </w:r>
    </w:p>
    <w:p>
      <w:pPr>
        <w:pStyle w:val="0"/>
        <w:jc w:val="center"/>
      </w:pPr>
      <w:r>
        <w:rPr>
          <w:sz w:val="20"/>
        </w:rPr>
        <w:t xml:space="preserve">кандидата в члены общественного совета при управлении</w:t>
      </w:r>
    </w:p>
    <w:p>
      <w:pPr>
        <w:pStyle w:val="0"/>
        <w:jc w:val="center"/>
      </w:pPr>
      <w:r>
        <w:rPr>
          <w:sz w:val="20"/>
        </w:rPr>
        <w:t xml:space="preserve">обеспечения безопасности жизнедеятельности населения</w:t>
      </w:r>
    </w:p>
    <w:p>
      <w:pPr>
        <w:pStyle w:val="0"/>
        <w:jc w:val="center"/>
      </w:pPr>
      <w:r>
        <w:rPr>
          <w:sz w:val="20"/>
        </w:rPr>
        <w:t xml:space="preserve">Правительства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7030"/>
        <w:gridCol w:w="1417"/>
      </w:tblGrid>
      <w:tr>
        <w:tc>
          <w:tcPr>
            <w:tcW w:w="571" w:type="dxa"/>
            <w:vAlign w:val="bottom"/>
          </w:tcPr>
          <w:p>
            <w:pPr>
              <w:pStyle w:val="0"/>
              <w:jc w:val="center"/>
            </w:pPr>
            <w:r>
              <w:rPr>
                <w:sz w:val="20"/>
              </w:rPr>
              <w:t xml:space="preserve">N п/п</w:t>
            </w:r>
          </w:p>
        </w:tc>
        <w:tc>
          <w:tcPr>
            <w:tcW w:w="7030" w:type="dxa"/>
          </w:tcPr>
          <w:p>
            <w:pPr>
              <w:pStyle w:val="0"/>
              <w:jc w:val="center"/>
            </w:pPr>
            <w:r>
              <w:rPr>
                <w:sz w:val="20"/>
              </w:rPr>
              <w:t xml:space="preserve">Сведения о кандидате</w:t>
            </w:r>
          </w:p>
        </w:tc>
        <w:tc>
          <w:tcPr>
            <w:tcW w:w="1417" w:type="dxa"/>
          </w:tcPr>
          <w:p>
            <w:pPr>
              <w:pStyle w:val="0"/>
              <w:jc w:val="center"/>
            </w:pPr>
            <w:r>
              <w:rPr>
                <w:sz w:val="20"/>
              </w:rPr>
              <w:t xml:space="preserve">Графа для заполнения</w:t>
            </w:r>
          </w:p>
        </w:tc>
      </w:tr>
      <w:tr>
        <w:tc>
          <w:tcPr>
            <w:tcW w:w="571" w:type="dxa"/>
            <w:vAlign w:val="bottom"/>
          </w:tcPr>
          <w:p>
            <w:pPr>
              <w:pStyle w:val="0"/>
              <w:jc w:val="center"/>
            </w:pPr>
            <w:r>
              <w:rPr>
                <w:sz w:val="20"/>
              </w:rPr>
              <w:t xml:space="preserve">1.</w:t>
            </w:r>
          </w:p>
        </w:tc>
        <w:tc>
          <w:tcPr>
            <w:tcW w:w="7030" w:type="dxa"/>
            <w:vAlign w:val="bottom"/>
          </w:tcPr>
          <w:p>
            <w:pPr>
              <w:pStyle w:val="0"/>
            </w:pPr>
            <w:r>
              <w:rPr>
                <w:sz w:val="20"/>
              </w:rPr>
              <w:t xml:space="preserve">Фамилия, имя, отчество (при наличии)</w:t>
            </w:r>
          </w:p>
        </w:tc>
        <w:tc>
          <w:tcPr>
            <w:tcW w:w="1417" w:type="dxa"/>
          </w:tcPr>
          <w:p>
            <w:pPr>
              <w:pStyle w:val="0"/>
            </w:pPr>
            <w:r>
              <w:rPr>
                <w:sz w:val="20"/>
              </w:rPr>
            </w:r>
          </w:p>
        </w:tc>
      </w:tr>
      <w:tr>
        <w:tc>
          <w:tcPr>
            <w:tcW w:w="571" w:type="dxa"/>
            <w:vAlign w:val="bottom"/>
          </w:tcPr>
          <w:p>
            <w:pPr>
              <w:pStyle w:val="0"/>
              <w:jc w:val="center"/>
            </w:pPr>
            <w:r>
              <w:rPr>
                <w:sz w:val="20"/>
              </w:rPr>
              <w:t xml:space="preserve">2.</w:t>
            </w:r>
          </w:p>
        </w:tc>
        <w:tc>
          <w:tcPr>
            <w:tcW w:w="7030" w:type="dxa"/>
            <w:vAlign w:val="bottom"/>
          </w:tcPr>
          <w:p>
            <w:pPr>
              <w:pStyle w:val="0"/>
            </w:pPr>
            <w:r>
              <w:rPr>
                <w:sz w:val="20"/>
              </w:rPr>
              <w:t xml:space="preserve">Должность</w:t>
            </w:r>
          </w:p>
        </w:tc>
        <w:tc>
          <w:tcPr>
            <w:tcW w:w="1417" w:type="dxa"/>
          </w:tcPr>
          <w:p>
            <w:pPr>
              <w:pStyle w:val="0"/>
            </w:pPr>
            <w:r>
              <w:rPr>
                <w:sz w:val="20"/>
              </w:rPr>
            </w:r>
          </w:p>
        </w:tc>
      </w:tr>
      <w:tr>
        <w:tc>
          <w:tcPr>
            <w:tcW w:w="571" w:type="dxa"/>
            <w:vAlign w:val="bottom"/>
          </w:tcPr>
          <w:p>
            <w:pPr>
              <w:pStyle w:val="0"/>
              <w:jc w:val="center"/>
            </w:pPr>
            <w:r>
              <w:rPr>
                <w:sz w:val="20"/>
              </w:rPr>
              <w:t xml:space="preserve">3.</w:t>
            </w:r>
          </w:p>
        </w:tc>
        <w:tc>
          <w:tcPr>
            <w:tcW w:w="7030" w:type="dxa"/>
            <w:vAlign w:val="bottom"/>
          </w:tcPr>
          <w:p>
            <w:pPr>
              <w:pStyle w:val="0"/>
            </w:pPr>
            <w:r>
              <w:rPr>
                <w:sz w:val="20"/>
              </w:rPr>
              <w:t xml:space="preserve">Дата рождения</w:t>
            </w:r>
          </w:p>
        </w:tc>
        <w:tc>
          <w:tcPr>
            <w:tcW w:w="1417" w:type="dxa"/>
          </w:tcPr>
          <w:p>
            <w:pPr>
              <w:pStyle w:val="0"/>
            </w:pPr>
            <w:r>
              <w:rPr>
                <w:sz w:val="20"/>
              </w:rPr>
            </w:r>
          </w:p>
        </w:tc>
      </w:tr>
      <w:tr>
        <w:tc>
          <w:tcPr>
            <w:tcW w:w="571" w:type="dxa"/>
          </w:tcPr>
          <w:p>
            <w:pPr>
              <w:pStyle w:val="0"/>
              <w:jc w:val="center"/>
            </w:pPr>
            <w:r>
              <w:rPr>
                <w:sz w:val="20"/>
              </w:rPr>
              <w:t xml:space="preserve">4.</w:t>
            </w:r>
          </w:p>
        </w:tc>
        <w:tc>
          <w:tcPr>
            <w:tcW w:w="7030" w:type="dxa"/>
          </w:tcPr>
          <w:p>
            <w:pPr>
              <w:pStyle w:val="0"/>
            </w:pPr>
            <w:r>
              <w:rPr>
                <w:sz w:val="20"/>
              </w:rPr>
              <w:t xml:space="preserve">Место жительства</w:t>
            </w:r>
          </w:p>
        </w:tc>
        <w:tc>
          <w:tcPr>
            <w:tcW w:w="1417" w:type="dxa"/>
          </w:tcPr>
          <w:p>
            <w:pPr>
              <w:pStyle w:val="0"/>
            </w:pPr>
            <w:r>
              <w:rPr>
                <w:sz w:val="20"/>
              </w:rPr>
            </w:r>
          </w:p>
        </w:tc>
      </w:tr>
      <w:tr>
        <w:tc>
          <w:tcPr>
            <w:tcW w:w="571" w:type="dxa"/>
            <w:vAlign w:val="bottom"/>
          </w:tcPr>
          <w:p>
            <w:pPr>
              <w:pStyle w:val="0"/>
              <w:jc w:val="center"/>
            </w:pPr>
            <w:r>
              <w:rPr>
                <w:sz w:val="20"/>
              </w:rPr>
              <w:t xml:space="preserve">5.</w:t>
            </w:r>
          </w:p>
        </w:tc>
        <w:tc>
          <w:tcPr>
            <w:tcW w:w="7030" w:type="dxa"/>
            <w:vAlign w:val="bottom"/>
          </w:tcPr>
          <w:p>
            <w:pPr>
              <w:pStyle w:val="0"/>
            </w:pPr>
            <w:r>
              <w:rPr>
                <w:sz w:val="20"/>
              </w:rPr>
              <w:t xml:space="preserve">Контактный телефон</w:t>
            </w:r>
          </w:p>
        </w:tc>
        <w:tc>
          <w:tcPr>
            <w:tcW w:w="1417" w:type="dxa"/>
          </w:tcPr>
          <w:p>
            <w:pPr>
              <w:pStyle w:val="0"/>
            </w:pPr>
            <w:r>
              <w:rPr>
                <w:sz w:val="20"/>
              </w:rPr>
            </w:r>
          </w:p>
        </w:tc>
      </w:tr>
      <w:tr>
        <w:tc>
          <w:tcPr>
            <w:tcW w:w="571" w:type="dxa"/>
            <w:vAlign w:val="bottom"/>
          </w:tcPr>
          <w:p>
            <w:pPr>
              <w:pStyle w:val="0"/>
              <w:jc w:val="center"/>
            </w:pPr>
            <w:r>
              <w:rPr>
                <w:sz w:val="20"/>
              </w:rPr>
              <w:t xml:space="preserve">6.</w:t>
            </w:r>
          </w:p>
        </w:tc>
        <w:tc>
          <w:tcPr>
            <w:tcW w:w="7030" w:type="dxa"/>
            <w:vAlign w:val="bottom"/>
          </w:tcPr>
          <w:p>
            <w:pPr>
              <w:pStyle w:val="0"/>
            </w:pPr>
            <w:r>
              <w:rPr>
                <w:sz w:val="20"/>
              </w:rPr>
              <w:t xml:space="preserve">E-mail (при наличии)</w:t>
            </w:r>
          </w:p>
        </w:tc>
        <w:tc>
          <w:tcPr>
            <w:tcW w:w="1417" w:type="dxa"/>
          </w:tcPr>
          <w:p>
            <w:pPr>
              <w:pStyle w:val="0"/>
            </w:pPr>
            <w:r>
              <w:rPr>
                <w:sz w:val="20"/>
              </w:rPr>
            </w:r>
          </w:p>
        </w:tc>
      </w:tr>
      <w:tr>
        <w:tc>
          <w:tcPr>
            <w:tcW w:w="571" w:type="dxa"/>
            <w:vAlign w:val="bottom"/>
          </w:tcPr>
          <w:p>
            <w:pPr>
              <w:pStyle w:val="0"/>
              <w:jc w:val="center"/>
            </w:pPr>
            <w:r>
              <w:rPr>
                <w:sz w:val="20"/>
              </w:rPr>
              <w:t xml:space="preserve">7.</w:t>
            </w:r>
          </w:p>
        </w:tc>
        <w:tc>
          <w:tcPr>
            <w:tcW w:w="7030" w:type="dxa"/>
            <w:vAlign w:val="bottom"/>
          </w:tcPr>
          <w:p>
            <w:pPr>
              <w:pStyle w:val="0"/>
            </w:pPr>
            <w:r>
              <w:rPr>
                <w:sz w:val="20"/>
              </w:rPr>
              <w:t xml:space="preserve">Уровень образования, наименование учебного заведения</w:t>
            </w:r>
          </w:p>
        </w:tc>
        <w:tc>
          <w:tcPr>
            <w:tcW w:w="1417" w:type="dxa"/>
          </w:tcPr>
          <w:p>
            <w:pPr>
              <w:pStyle w:val="0"/>
            </w:pPr>
            <w:r>
              <w:rPr>
                <w:sz w:val="20"/>
              </w:rPr>
            </w:r>
          </w:p>
        </w:tc>
      </w:tr>
      <w:tr>
        <w:tc>
          <w:tcPr>
            <w:tcW w:w="571" w:type="dxa"/>
            <w:vAlign w:val="bottom"/>
          </w:tcPr>
          <w:p>
            <w:pPr>
              <w:pStyle w:val="0"/>
              <w:jc w:val="center"/>
            </w:pPr>
            <w:r>
              <w:rPr>
                <w:sz w:val="20"/>
              </w:rPr>
              <w:t xml:space="preserve">8.</w:t>
            </w:r>
          </w:p>
        </w:tc>
        <w:tc>
          <w:tcPr>
            <w:tcW w:w="7030" w:type="dxa"/>
            <w:vAlign w:val="bottom"/>
          </w:tcPr>
          <w:p>
            <w:pPr>
              <w:pStyle w:val="0"/>
            </w:pPr>
            <w:r>
              <w:rPr>
                <w:sz w:val="20"/>
              </w:rPr>
              <w:t xml:space="preserve">Наличие ученого звания, ученой степени</w:t>
            </w:r>
          </w:p>
        </w:tc>
        <w:tc>
          <w:tcPr>
            <w:tcW w:w="1417" w:type="dxa"/>
          </w:tcPr>
          <w:p>
            <w:pPr>
              <w:pStyle w:val="0"/>
            </w:pPr>
            <w:r>
              <w:rPr>
                <w:sz w:val="20"/>
              </w:rPr>
            </w:r>
          </w:p>
        </w:tc>
      </w:tr>
      <w:tr>
        <w:tc>
          <w:tcPr>
            <w:tcW w:w="571" w:type="dxa"/>
            <w:vAlign w:val="bottom"/>
          </w:tcPr>
          <w:p>
            <w:pPr>
              <w:pStyle w:val="0"/>
              <w:jc w:val="center"/>
            </w:pPr>
            <w:r>
              <w:rPr>
                <w:sz w:val="20"/>
              </w:rPr>
              <w:t xml:space="preserve">9.</w:t>
            </w:r>
          </w:p>
        </w:tc>
        <w:tc>
          <w:tcPr>
            <w:tcW w:w="7030" w:type="dxa"/>
            <w:vAlign w:val="bottom"/>
          </w:tcPr>
          <w:p>
            <w:pPr>
              <w:pStyle w:val="0"/>
            </w:pPr>
            <w:r>
              <w:rPr>
                <w:sz w:val="20"/>
              </w:rPr>
              <w:t xml:space="preserve">Трудовая деятельность за последние 5 лет</w:t>
            </w:r>
          </w:p>
        </w:tc>
        <w:tc>
          <w:tcPr>
            <w:tcW w:w="1417" w:type="dxa"/>
          </w:tcPr>
          <w:p>
            <w:pPr>
              <w:pStyle w:val="0"/>
            </w:pPr>
            <w:r>
              <w:rPr>
                <w:sz w:val="20"/>
              </w:rPr>
            </w:r>
          </w:p>
        </w:tc>
      </w:tr>
      <w:tr>
        <w:tc>
          <w:tcPr>
            <w:tcW w:w="571" w:type="dxa"/>
            <w:vAlign w:val="bottom"/>
          </w:tcPr>
          <w:p>
            <w:pPr>
              <w:pStyle w:val="0"/>
              <w:jc w:val="center"/>
            </w:pPr>
            <w:r>
              <w:rPr>
                <w:sz w:val="20"/>
              </w:rPr>
              <w:t xml:space="preserve">10.</w:t>
            </w:r>
          </w:p>
        </w:tc>
        <w:tc>
          <w:tcPr>
            <w:tcW w:w="7030" w:type="dxa"/>
            <w:vAlign w:val="bottom"/>
          </w:tcPr>
          <w:p>
            <w:pPr>
              <w:pStyle w:val="0"/>
            </w:pPr>
            <w:r>
              <w:rPr>
                <w:sz w:val="20"/>
              </w:rPr>
              <w:t xml:space="preserve">Общественная деятельность</w:t>
            </w:r>
          </w:p>
        </w:tc>
        <w:tc>
          <w:tcPr>
            <w:tcW w:w="1417" w:type="dxa"/>
          </w:tcPr>
          <w:p>
            <w:pPr>
              <w:pStyle w:val="0"/>
            </w:pPr>
            <w:r>
              <w:rPr>
                <w:sz w:val="20"/>
              </w:rPr>
            </w:r>
          </w:p>
        </w:tc>
      </w:tr>
      <w:tr>
        <w:tc>
          <w:tcPr>
            <w:tcW w:w="571" w:type="dxa"/>
            <w:vAlign w:val="bottom"/>
          </w:tcPr>
          <w:p>
            <w:pPr>
              <w:pStyle w:val="0"/>
              <w:jc w:val="center"/>
            </w:pPr>
            <w:r>
              <w:rPr>
                <w:sz w:val="20"/>
              </w:rPr>
              <w:t xml:space="preserve">11.</w:t>
            </w:r>
          </w:p>
        </w:tc>
        <w:tc>
          <w:tcPr>
            <w:tcW w:w="7030" w:type="dxa"/>
            <w:vAlign w:val="bottom"/>
          </w:tcPr>
          <w:p>
            <w:pPr>
              <w:pStyle w:val="0"/>
            </w:pPr>
            <w:r>
              <w:rPr>
                <w:sz w:val="20"/>
              </w:rPr>
              <w:t xml:space="preserve">Наличие (отсутствие) неснятой или непогашенной судимости</w:t>
            </w:r>
          </w:p>
        </w:tc>
        <w:tc>
          <w:tcPr>
            <w:tcW w:w="1417" w:type="dxa"/>
          </w:tcPr>
          <w:p>
            <w:pPr>
              <w:pStyle w:val="0"/>
            </w:pPr>
            <w:r>
              <w:rPr>
                <w:sz w:val="20"/>
              </w:rPr>
            </w:r>
          </w:p>
        </w:tc>
      </w:tr>
      <w:tr>
        <w:tc>
          <w:tcPr>
            <w:tcW w:w="571" w:type="dxa"/>
            <w:vAlign w:val="bottom"/>
          </w:tcPr>
          <w:p>
            <w:pPr>
              <w:pStyle w:val="0"/>
              <w:jc w:val="center"/>
            </w:pPr>
            <w:r>
              <w:rPr>
                <w:sz w:val="20"/>
              </w:rPr>
              <w:t xml:space="preserve">12.</w:t>
            </w:r>
          </w:p>
        </w:tc>
        <w:tc>
          <w:tcPr>
            <w:tcW w:w="7030" w:type="dxa"/>
            <w:vAlign w:val="bottom"/>
          </w:tcPr>
          <w:p>
            <w:pPr>
              <w:pStyle w:val="0"/>
            </w:pPr>
            <w:r>
              <w:rPr>
                <w:sz w:val="20"/>
              </w:rPr>
              <w:t xml:space="preserve">Дополнительная информация</w:t>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обеспечения безопасности жизнедеятельности населения</w:t>
      </w:r>
    </w:p>
    <w:p>
      <w:pPr>
        <w:pStyle w:val="0"/>
        <w:jc w:val="right"/>
      </w:pPr>
      <w:r>
        <w:rPr>
          <w:sz w:val="20"/>
        </w:rPr>
        <w:t xml:space="preserve">Правительства Саратовской области</w:t>
      </w:r>
    </w:p>
    <w:p>
      <w:pPr>
        <w:pStyle w:val="0"/>
        <w:jc w:val="both"/>
      </w:pPr>
      <w:r>
        <w:rPr>
          <w:sz w:val="20"/>
        </w:rPr>
      </w:r>
    </w:p>
    <w:bookmarkStart w:id="276" w:name="P276"/>
    <w:bookmarkEnd w:id="276"/>
    <w:p>
      <w:pPr>
        <w:pStyle w:val="1"/>
        <w:jc w:val="both"/>
      </w:pPr>
      <w:r>
        <w:rPr>
          <w:sz w:val="20"/>
        </w:rPr>
        <w:t xml:space="preserve">                                 Согласие</w:t>
      </w:r>
    </w:p>
    <w:p>
      <w:pPr>
        <w:pStyle w:val="1"/>
        <w:jc w:val="both"/>
      </w:pPr>
      <w:r>
        <w:rPr>
          <w:sz w:val="20"/>
        </w:rPr>
        <w:t xml:space="preserve">         на обработку персональных данных кандидата в общественный</w:t>
      </w:r>
    </w:p>
    <w:p>
      <w:pPr>
        <w:pStyle w:val="1"/>
        <w:jc w:val="both"/>
      </w:pPr>
      <w:r>
        <w:rPr>
          <w:sz w:val="20"/>
        </w:rPr>
        <w:t xml:space="preserve">               совет при управлении обеспечения безопасности</w:t>
      </w:r>
    </w:p>
    <w:p>
      <w:pPr>
        <w:pStyle w:val="1"/>
        <w:jc w:val="both"/>
      </w:pPr>
      <w:r>
        <w:rPr>
          <w:sz w:val="20"/>
        </w:rPr>
        <w:t xml:space="preserve">                 жизнедеятельности населения Правительства</w:t>
      </w:r>
    </w:p>
    <w:p>
      <w:pPr>
        <w:pStyle w:val="1"/>
        <w:jc w:val="both"/>
      </w:pPr>
      <w:r>
        <w:rPr>
          <w:sz w:val="20"/>
        </w:rPr>
        <w:t xml:space="preserve">                            Саратовской области</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    проживающий(ая) по адресу: ___________________________________________,</w:t>
      </w:r>
    </w:p>
    <w:p>
      <w:pPr>
        <w:pStyle w:val="1"/>
        <w:jc w:val="both"/>
      </w:pPr>
      <w:r>
        <w:rPr>
          <w:sz w:val="20"/>
        </w:rPr>
        <w:t xml:space="preserve">    в  порядке  и  на условиях, определенных Федеральным </w:t>
      </w:r>
      <w:hyperlink w:history="0" r:id="rId1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расположенному(ной) по адресу: ________________________________________</w:t>
      </w:r>
    </w:p>
    <w:p>
      <w:pPr>
        <w:pStyle w:val="1"/>
        <w:jc w:val="both"/>
      </w:pPr>
      <w:r>
        <w:rPr>
          <w:sz w:val="20"/>
        </w:rPr>
        <w:t xml:space="preserve">    (далее   -   оператор),  согласие  на  обработку  персональных  данных,</w:t>
      </w:r>
    </w:p>
    <w:p>
      <w:pPr>
        <w:pStyle w:val="1"/>
        <w:jc w:val="both"/>
      </w:pPr>
      <w:r>
        <w:rPr>
          <w:sz w:val="20"/>
        </w:rPr>
        <w:t xml:space="preserve">указанных   в   анкете   кандидата  в  общественный  совет  при  управлении</w:t>
      </w:r>
    </w:p>
    <w:p>
      <w:pPr>
        <w:pStyle w:val="1"/>
        <w:jc w:val="both"/>
      </w:pPr>
      <w:r>
        <w:rPr>
          <w:sz w:val="20"/>
        </w:rPr>
        <w:t xml:space="preserve">обеспечения безопасности жизнедеятельности населения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исполнительного  органа  области, размещенной на официальном интернет-сайте</w:t>
      </w:r>
    </w:p>
    <w:p>
      <w:pPr>
        <w:pStyle w:val="1"/>
        <w:jc w:val="both"/>
      </w:pPr>
      <w:r>
        <w:rPr>
          <w:sz w:val="20"/>
        </w:rPr>
        <w:t xml:space="preserve">исполнительных  органов  области.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 ______________ 20__ года    __________________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обеспечения безопасности жизнедеятельности населения Правительства Саратовской области от 22.01.2024 N...</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27881&amp;dst=100028" TargetMode = "External"/>
	<Relationship Id="rId8" Type="http://schemas.openxmlformats.org/officeDocument/2006/relationships/hyperlink" Target="https://login.consultant.ru/link/?req=doc&amp;base=RLAW358&amp;n=169181"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58&amp;n=169687" TargetMode = "External"/>
	<Relationship Id="rId11" Type="http://schemas.openxmlformats.org/officeDocument/2006/relationships/hyperlink" Target="https://login.consultant.ru/link/?req=doc&amp;base=LAW&amp;n=449631" TargetMode = "External"/>
	<Relationship Id="rId12" Type="http://schemas.openxmlformats.org/officeDocument/2006/relationships/hyperlink" Target="https://login.consultant.ru/link/?req=doc&amp;base=LAW&amp;n=439201" TargetMode = "External"/>
	<Relationship Id="rId13"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обеспечения безопасности жизнедеятельности населения Правительства Саратовской области от 22.01.2024 N 6
"Об общественном совете при управлении обеспечения безопасности жизнедеятельности населения Правительства Саратовской области"
(вместе с "Положением об общественном совете при управлении обеспечения безопасности жизнедеятельности населения Правительства Саратовской области")</dc:title>
  <dcterms:created xsi:type="dcterms:W3CDTF">2024-06-08T16:18:47Z</dcterms:created>
</cp:coreProperties>
</file>