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министерства молодежной политики Ставропольского края от 01.02.2024 N 01-10/5 о/д</w:t>
              <w:br/>
              <w:t xml:space="preserve">"Об утверждении Решения о порядке предоставления в 2024 году из бюджета Ставропольского края грантов в форме субсидий некоммерческим организациям, не являющимся казенными учреждениями, на финансовое обеспечение мероприятий, связанных с реализацией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МОЛОДЕЖНОЙ ПОЛИТИКИ</w:t>
      </w:r>
    </w:p>
    <w:p>
      <w:pPr>
        <w:pStyle w:val="2"/>
        <w:jc w:val="center"/>
      </w:pPr>
      <w:r>
        <w:rPr>
          <w:sz w:val="20"/>
        </w:rPr>
        <w:t xml:space="preserve">СТАВРОПОЛЬСКОГО КРАЯ</w:t>
      </w:r>
    </w:p>
    <w:p>
      <w:pPr>
        <w:pStyle w:val="2"/>
      </w:pPr>
      <w:r>
        <w:rPr>
          <w:sz w:val="20"/>
        </w:rPr>
      </w:r>
    </w:p>
    <w:p>
      <w:pPr>
        <w:pStyle w:val="2"/>
        <w:jc w:val="center"/>
      </w:pPr>
      <w:r>
        <w:rPr>
          <w:sz w:val="20"/>
        </w:rPr>
        <w:t xml:space="preserve">ПРИКАЗ</w:t>
      </w:r>
    </w:p>
    <w:p>
      <w:pPr>
        <w:pStyle w:val="2"/>
        <w:jc w:val="center"/>
      </w:pPr>
      <w:r>
        <w:rPr>
          <w:sz w:val="20"/>
        </w:rPr>
        <w:t xml:space="preserve">от 1 февраля 2024 г. N 01-10/5 о/д</w:t>
      </w:r>
    </w:p>
    <w:p>
      <w:pPr>
        <w:pStyle w:val="2"/>
      </w:pPr>
      <w:r>
        <w:rPr>
          <w:sz w:val="20"/>
        </w:rPr>
      </w:r>
    </w:p>
    <w:p>
      <w:pPr>
        <w:pStyle w:val="2"/>
        <w:jc w:val="center"/>
      </w:pPr>
      <w:r>
        <w:rPr>
          <w:sz w:val="20"/>
        </w:rPr>
        <w:t xml:space="preserve">ОБ УТВЕРЖДЕНИИ РЕШЕНИЯ О ПОРЯДКЕ ПРЕДОСТАВЛЕНИЯ В 2024 ГОДУ</w:t>
      </w:r>
    </w:p>
    <w:p>
      <w:pPr>
        <w:pStyle w:val="2"/>
        <w:jc w:val="center"/>
      </w:pPr>
      <w:r>
        <w:rPr>
          <w:sz w:val="20"/>
        </w:rPr>
        <w:t xml:space="preserve">ИЗ БЮДЖЕТА СТАВРОПОЛЬСКОГО КРАЯ ГРАНТОВ В ФОРМЕ СУБСИДИЙ</w:t>
      </w:r>
    </w:p>
    <w:p>
      <w:pPr>
        <w:pStyle w:val="2"/>
        <w:jc w:val="center"/>
      </w:pPr>
      <w:r>
        <w:rPr>
          <w:sz w:val="20"/>
        </w:rPr>
        <w:t xml:space="preserve">НЕКОММЕРЧЕСКИМ ОРГАНИЗАЦИЯМ, НЕ ЯВЛЯЮЩИМСЯ КАЗЕННЫМИ</w:t>
      </w:r>
    </w:p>
    <w:p>
      <w:pPr>
        <w:pStyle w:val="2"/>
        <w:jc w:val="center"/>
      </w:pPr>
      <w:r>
        <w:rPr>
          <w:sz w:val="20"/>
        </w:rPr>
        <w:t xml:space="preserve">УЧРЕЖДЕНИЯМИ, НА ФИНАНСОВОЕ ОБЕСПЕЧЕНИЕ МЕРОПРИЯТИЙ,</w:t>
      </w:r>
    </w:p>
    <w:p>
      <w:pPr>
        <w:pStyle w:val="2"/>
        <w:jc w:val="center"/>
      </w:pPr>
      <w:r>
        <w:rPr>
          <w:sz w:val="20"/>
        </w:rPr>
        <w:t xml:space="preserve">СВЯЗАННЫХ С РЕАЛИЗАЦИЕЙ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w:t>
      </w:r>
    </w:p>
    <w:p>
      <w:pPr>
        <w:pStyle w:val="2"/>
        <w:jc w:val="center"/>
      </w:pPr>
      <w:r>
        <w:rPr>
          <w:sz w:val="20"/>
        </w:rPr>
        <w:t xml:space="preserve">"РЕГИОН ДОБРЫХ ДЕЛ"</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w:t>
      </w:r>
      <w:hyperlink w:history="0" r:id="rId9" w:tooltip="Закон Ставропольского края от 19.11.2007 N 59-кз (ред. от 28.12.2023) &quot;О бюджетном процессе в Ставропольском крае&quot; (принят Государственной Думой Ставропольского края 01.11.2007) (с изм. и доп., вступающими в силу с 01.01.2024) {КонсультантПлюс}">
        <w:r>
          <w:rPr>
            <w:sz w:val="20"/>
            <w:color w:val="0000ff"/>
          </w:rPr>
          <w:t xml:space="preserve">Законом</w:t>
        </w:r>
      </w:hyperlink>
      <w:r>
        <w:rPr>
          <w:sz w:val="20"/>
        </w:rPr>
        <w:t xml:space="preserve"> Ставропольского края "О бюджетном процессе в Ставропольском крае" приказываю:</w:t>
      </w:r>
    </w:p>
    <w:p>
      <w:pPr>
        <w:pStyle w:val="0"/>
      </w:pPr>
      <w:r>
        <w:rPr>
          <w:sz w:val="20"/>
        </w:rPr>
      </w:r>
    </w:p>
    <w:p>
      <w:pPr>
        <w:pStyle w:val="0"/>
        <w:ind w:firstLine="540"/>
        <w:jc w:val="both"/>
      </w:pPr>
      <w:r>
        <w:rPr>
          <w:sz w:val="20"/>
        </w:rPr>
        <w:t xml:space="preserve">1. Утвердить прилагаемое </w:t>
      </w:r>
      <w:hyperlink w:history="0" w:anchor="P37" w:tooltip="РЕШЕНИЕ">
        <w:r>
          <w:rPr>
            <w:sz w:val="20"/>
            <w:color w:val="0000ff"/>
          </w:rPr>
          <w:t xml:space="preserve">Решение</w:t>
        </w:r>
      </w:hyperlink>
      <w:r>
        <w:rPr>
          <w:sz w:val="20"/>
        </w:rPr>
        <w:t xml:space="preserve"> о порядке предоставления в 2024 году из бюджета Ставропольского края грантов в форме субсидий некоммерческим организациям, не являющимся казенными учреждениями, на финансовое обеспечение мероприятий, связанных с реализацией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(далее соответственно - Решение, грант).</w:t>
      </w:r>
    </w:p>
    <w:p>
      <w:pPr>
        <w:pStyle w:val="0"/>
        <w:spacing w:before="200" w:line-rule="auto"/>
        <w:ind w:firstLine="540"/>
        <w:jc w:val="both"/>
      </w:pPr>
      <w:r>
        <w:rPr>
          <w:sz w:val="20"/>
        </w:rPr>
        <w:t xml:space="preserve">2. Решение применяется при предоставлении грантов, отбор получателей которого осуществляется с 01 января 2024 года.</w:t>
      </w:r>
    </w:p>
    <w:p>
      <w:pPr>
        <w:pStyle w:val="0"/>
        <w:spacing w:before="200" w:line-rule="auto"/>
        <w:ind w:firstLine="540"/>
        <w:jc w:val="both"/>
      </w:pPr>
      <w:r>
        <w:rPr>
          <w:sz w:val="20"/>
        </w:rPr>
        <w:t xml:space="preserve">3. Контроль за выполнением настоящего приказа возложить на заместителя министра А.Д. Войскового.</w:t>
      </w:r>
    </w:p>
    <w:p>
      <w:pPr>
        <w:pStyle w:val="0"/>
        <w:spacing w:before="200" w:line-rule="auto"/>
        <w:ind w:firstLine="540"/>
        <w:jc w:val="both"/>
      </w:pPr>
      <w:r>
        <w:rPr>
          <w:sz w:val="20"/>
        </w:rPr>
        <w:t xml:space="preserve">4. Настоящий приказ вступает в силу на следующий день после дня его официального опубликования.</w:t>
      </w:r>
    </w:p>
    <w:p>
      <w:pPr>
        <w:pStyle w:val="0"/>
      </w:pPr>
      <w:r>
        <w:rPr>
          <w:sz w:val="20"/>
        </w:rPr>
      </w:r>
    </w:p>
    <w:p>
      <w:pPr>
        <w:pStyle w:val="0"/>
        <w:jc w:val="right"/>
      </w:pPr>
      <w:r>
        <w:rPr>
          <w:sz w:val="20"/>
        </w:rPr>
        <w:t xml:space="preserve">Министр</w:t>
      </w:r>
    </w:p>
    <w:p>
      <w:pPr>
        <w:pStyle w:val="0"/>
        <w:jc w:val="right"/>
      </w:pPr>
      <w:r>
        <w:rPr>
          <w:sz w:val="20"/>
        </w:rPr>
        <w:t xml:space="preserve">В.С.КОРШУН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молодежной политики</w:t>
      </w:r>
    </w:p>
    <w:p>
      <w:pPr>
        <w:pStyle w:val="0"/>
        <w:jc w:val="right"/>
      </w:pPr>
      <w:r>
        <w:rPr>
          <w:sz w:val="20"/>
        </w:rPr>
        <w:t xml:space="preserve">Ставропольского края</w:t>
      </w:r>
    </w:p>
    <w:p>
      <w:pPr>
        <w:pStyle w:val="0"/>
        <w:jc w:val="right"/>
      </w:pPr>
      <w:r>
        <w:rPr>
          <w:sz w:val="20"/>
        </w:rPr>
        <w:t xml:space="preserve">от 01.02.2024 N 01-10/5 о/д</w:t>
      </w:r>
    </w:p>
    <w:p>
      <w:pPr>
        <w:pStyle w:val="0"/>
      </w:pPr>
      <w:r>
        <w:rPr>
          <w:sz w:val="20"/>
        </w:rPr>
      </w:r>
    </w:p>
    <w:bookmarkStart w:id="37" w:name="P37"/>
    <w:bookmarkEnd w:id="37"/>
    <w:p>
      <w:pPr>
        <w:pStyle w:val="2"/>
        <w:jc w:val="center"/>
      </w:pPr>
      <w:r>
        <w:rPr>
          <w:sz w:val="20"/>
        </w:rPr>
        <w:t xml:space="preserve">РЕШЕНИЕ</w:t>
      </w:r>
    </w:p>
    <w:p>
      <w:pPr>
        <w:pStyle w:val="2"/>
        <w:jc w:val="center"/>
      </w:pPr>
      <w:r>
        <w:rPr>
          <w:sz w:val="20"/>
        </w:rPr>
        <w:t xml:space="preserve">О ПОРЯДКЕ ПРЕДОСТАВЛЕНИЯ В 2024 ГОДУ ИЗ БЮДЖЕТА</w:t>
      </w:r>
    </w:p>
    <w:p>
      <w:pPr>
        <w:pStyle w:val="2"/>
        <w:jc w:val="center"/>
      </w:pPr>
      <w:r>
        <w:rPr>
          <w:sz w:val="20"/>
        </w:rPr>
        <w:t xml:space="preserve">СТАВРОПОЛЬСКОГО КРАЯ ГРАНТОВ В ФОРМЕ СУБСИДИЙ НЕКОММЕРЧЕСКИМ</w:t>
      </w:r>
    </w:p>
    <w:p>
      <w:pPr>
        <w:pStyle w:val="2"/>
        <w:jc w:val="center"/>
      </w:pPr>
      <w:r>
        <w:rPr>
          <w:sz w:val="20"/>
        </w:rPr>
        <w:t xml:space="preserve">ОРГАНИЗАЦИЯМ, НЕ ЯВЛЯЮЩИМСЯ КАЗЕННЫМИ УЧРЕЖДЕНИЯМИ,</w:t>
      </w:r>
    </w:p>
    <w:p>
      <w:pPr>
        <w:pStyle w:val="2"/>
        <w:jc w:val="center"/>
      </w:pPr>
      <w:r>
        <w:rPr>
          <w:sz w:val="20"/>
        </w:rPr>
        <w:t xml:space="preserve">НА ФИНАНСОВОЕ ОБЕСПЕЧЕНИЕ МЕРОПРИЯТИЙ, СВЯЗАННЫХ</w:t>
      </w:r>
    </w:p>
    <w:p>
      <w:pPr>
        <w:pStyle w:val="2"/>
        <w:jc w:val="center"/>
      </w:pPr>
      <w:r>
        <w:rPr>
          <w:sz w:val="20"/>
        </w:rPr>
        <w:t xml:space="preserve">С РЕАЛИЗАЦИЕЙ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w:t>
      </w:r>
    </w:p>
    <w:p>
      <w:pPr>
        <w:pStyle w:val="2"/>
        <w:jc w:val="center"/>
      </w:pPr>
      <w:r>
        <w:rPr>
          <w:sz w:val="20"/>
        </w:rPr>
        <w:t xml:space="preserve">"РЕГИОН ДОБРЫХ ДЕЛ"</w:t>
      </w:r>
    </w:p>
    <w:p>
      <w:pPr>
        <w:pStyle w:val="0"/>
      </w:pPr>
      <w:r>
        <w:rPr>
          <w:sz w:val="20"/>
        </w:rPr>
      </w:r>
    </w:p>
    <w:p>
      <w:pPr>
        <w:pStyle w:val="0"/>
        <w:ind w:firstLine="540"/>
        <w:jc w:val="both"/>
      </w:pPr>
      <w:r>
        <w:rPr>
          <w:sz w:val="20"/>
        </w:rPr>
        <w:t xml:space="preserve">1. Настоящее Решение определяет порядок, цель и условия предоставления в 2024 году из бюджета Ставропольского края грантов в форме субсидий некоммерческим организациям, не являющимся казенными учреждениями, на финансовое обеспечение мероприятий, связанных с реализацией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(далее соответственно - краевой бюджет, грант, некоммерческая организация).</w:t>
      </w:r>
    </w:p>
    <w:p>
      <w:pPr>
        <w:pStyle w:val="0"/>
        <w:spacing w:before="200" w:line-rule="auto"/>
        <w:ind w:firstLine="540"/>
        <w:jc w:val="both"/>
      </w:pPr>
      <w:r>
        <w:rPr>
          <w:sz w:val="20"/>
        </w:rPr>
        <w:t xml:space="preserve">2. Гранты предоставляются из бюджета Ставропольского края в соответствии с порядком, установленным </w:t>
      </w:r>
      <w:hyperlink w:history="0" r:id="rId10"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Правилами</w:t>
        </w:r>
      </w:hyperlink>
      <w:r>
        <w:rPr>
          <w:sz w:val="20"/>
        </w:rPr>
        <w:t xml:space="preserve">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 N 1780 (далее - Правила предоставления), и настоящим Решением.</w:t>
      </w:r>
    </w:p>
    <w:p>
      <w:pPr>
        <w:pStyle w:val="0"/>
        <w:spacing w:before="200" w:line-rule="auto"/>
        <w:ind w:firstLine="540"/>
        <w:jc w:val="both"/>
      </w:pPr>
      <w:r>
        <w:rPr>
          <w:sz w:val="20"/>
        </w:rPr>
        <w:t xml:space="preserve">3. Гранты предоставляются министерством молодежной политики Ставропольского края (далее - министерство) в рамках реализации регионального проекта "Социальная активность (Ставропольский край)" (далее - региональный проект) государственной </w:t>
      </w:r>
      <w:hyperlink w:history="0" r:id="rId11" w:tooltip="Постановление Правительства Ставропольского края от 28.12.2023 N 823-п &quot;Об утверждении государственной программы Ставропольского края &quot;Молодежная политика&quot; {КонсультантПлюс}">
        <w:r>
          <w:rPr>
            <w:sz w:val="20"/>
            <w:color w:val="0000ff"/>
          </w:rPr>
          <w:t xml:space="preserve">программы</w:t>
        </w:r>
      </w:hyperlink>
      <w:r>
        <w:rPr>
          <w:sz w:val="20"/>
        </w:rPr>
        <w:t xml:space="preserve"> Ставропольского края "Молодежная политика", утвержденной постановлением Правительства Ставропольского края от 28 декабря 2023 г. N 823-п, за счет средств краевого бюджета, предусмотренных </w:t>
      </w:r>
      <w:hyperlink w:history="0" r:id="rId12" w:tooltip="Закон Ставропольского края от 12.12.2023 N 138-кз (ред. от 06.03.2024) &quot;О бюджете Ставропольского края на 2024 год и плановый период 2025 и 2026 годов&quot; (принят Думой Ставропольского края 30.11.2023)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4 год и плановый период 2025 и 2026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2024 год и плановый период 2025 и 2026 годов" на предоставление грантов, и лимитов бюджетных обязательств, утвержденных и доведенных министерству в установленном порядке на предоставление грантов, включая субсидии, поступившие из федерального бюджета, возникающих при реализации национального </w:t>
      </w:r>
      <w:hyperlink w:history="0" r:id="rId1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рамках государственной </w:t>
      </w:r>
      <w:hyperlink w:history="0" r:id="rId14"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 N 1642.</w:t>
      </w:r>
    </w:p>
    <w:bookmarkStart w:id="51" w:name="P51"/>
    <w:bookmarkEnd w:id="51"/>
    <w:p>
      <w:pPr>
        <w:pStyle w:val="0"/>
        <w:spacing w:before="200" w:line-rule="auto"/>
        <w:ind w:firstLine="540"/>
        <w:jc w:val="both"/>
      </w:pPr>
      <w:r>
        <w:rPr>
          <w:sz w:val="20"/>
        </w:rPr>
        <w:t xml:space="preserve">4. Грант предоставляется с целью финансового обеспечения затрат некоммерческой организации, в соответствии со сметой расходов на реализацию мероприятий в рамках заявки Ставропольского края на участие во Всероссийском конкурсе лучших региональных практик поддержки добровольчества (волонтерства) "Регион добрых дел" 2023 года, на реализацию следующих практик поддержки добровольчества (волонтерства) в Ставропольском крае, отобранных в рамках Всероссийского конкурса лучших региональных практик поддержки добровольчества (волонтерства) "Регион добрый дел" в 2023 году:</w:t>
      </w:r>
    </w:p>
    <w:p>
      <w:pPr>
        <w:pStyle w:val="0"/>
        <w:spacing w:before="200" w:line-rule="auto"/>
        <w:ind w:firstLine="540"/>
        <w:jc w:val="both"/>
      </w:pPr>
      <w:r>
        <w:rPr>
          <w:sz w:val="20"/>
        </w:rPr>
        <w:t xml:space="preserve">1) "Региональная система добровольчества "Социальная активность. Ставропольский край";</w:t>
      </w:r>
    </w:p>
    <w:p>
      <w:pPr>
        <w:pStyle w:val="0"/>
        <w:spacing w:before="200" w:line-rule="auto"/>
        <w:ind w:firstLine="540"/>
        <w:jc w:val="both"/>
      </w:pPr>
      <w:r>
        <w:rPr>
          <w:sz w:val="20"/>
        </w:rPr>
        <w:t xml:space="preserve">2) "Информационно-просветительская акция "Стань добровольцем!";</w:t>
      </w:r>
    </w:p>
    <w:p>
      <w:pPr>
        <w:pStyle w:val="0"/>
        <w:spacing w:before="200" w:line-rule="auto"/>
        <w:ind w:firstLine="540"/>
        <w:jc w:val="both"/>
      </w:pPr>
      <w:r>
        <w:rPr>
          <w:sz w:val="20"/>
        </w:rPr>
        <w:t xml:space="preserve">3) "Слет добровольческих объединений Ставропольского края "Доброволец Ставрополья";</w:t>
      </w:r>
    </w:p>
    <w:p>
      <w:pPr>
        <w:pStyle w:val="0"/>
        <w:spacing w:before="200" w:line-rule="auto"/>
        <w:ind w:firstLine="540"/>
        <w:jc w:val="both"/>
      </w:pPr>
      <w:r>
        <w:rPr>
          <w:sz w:val="20"/>
        </w:rPr>
        <w:t xml:space="preserve">4) "Краевая акция "Гуманитарная миссия Ставрополья";</w:t>
      </w:r>
    </w:p>
    <w:p>
      <w:pPr>
        <w:pStyle w:val="0"/>
        <w:spacing w:before="200" w:line-rule="auto"/>
        <w:ind w:firstLine="540"/>
        <w:jc w:val="both"/>
      </w:pPr>
      <w:r>
        <w:rPr>
          <w:sz w:val="20"/>
        </w:rPr>
        <w:t xml:space="preserve">5) "Конкурс лучших практик в сфере серебряного добровольчества"</w:t>
      </w:r>
    </w:p>
    <w:p>
      <w:pPr>
        <w:pStyle w:val="0"/>
        <w:spacing w:before="200" w:line-rule="auto"/>
        <w:jc w:val="both"/>
      </w:pPr>
      <w:r>
        <w:rPr>
          <w:sz w:val="20"/>
        </w:rPr>
        <w:t xml:space="preserve">(далее - практики).</w:t>
      </w:r>
    </w:p>
    <w:p>
      <w:pPr>
        <w:pStyle w:val="0"/>
        <w:spacing w:before="200" w:line-rule="auto"/>
        <w:ind w:firstLine="540"/>
        <w:jc w:val="both"/>
      </w:pPr>
      <w:r>
        <w:rPr>
          <w:sz w:val="20"/>
        </w:rPr>
        <w:t xml:space="preserve">5. Коды классификации расходов краевого бюджета, по которому предусмотрены бюджетные ассигнования на предоставление грантов (доведены лимиты бюджетных обязательств на предоставление грантов) (с детализацией элемента вида расходов): 078 070710 1 Е8 54120 633.</w:t>
      </w:r>
    </w:p>
    <w:p>
      <w:pPr>
        <w:pStyle w:val="0"/>
        <w:spacing w:before="200" w:line-rule="auto"/>
        <w:ind w:firstLine="540"/>
        <w:jc w:val="both"/>
      </w:pPr>
      <w:r>
        <w:rPr>
          <w:sz w:val="20"/>
        </w:rPr>
        <w:t xml:space="preserve">6. Тип грантов - гранты на оказание услуг (выполнение работ).</w:t>
      </w:r>
    </w:p>
    <w:p>
      <w:pPr>
        <w:pStyle w:val="0"/>
        <w:spacing w:before="200" w:line-rule="auto"/>
        <w:ind w:firstLine="540"/>
        <w:jc w:val="both"/>
      </w:pPr>
      <w:r>
        <w:rPr>
          <w:sz w:val="20"/>
        </w:rPr>
        <w:t xml:space="preserve">7. Тип результата предоставления грантов - проведение массовых мероприятий.</w:t>
      </w:r>
    </w:p>
    <w:p>
      <w:pPr>
        <w:pStyle w:val="0"/>
        <w:spacing w:before="200" w:line-rule="auto"/>
        <w:ind w:firstLine="540"/>
        <w:jc w:val="both"/>
      </w:pPr>
      <w:r>
        <w:rPr>
          <w:sz w:val="20"/>
        </w:rPr>
        <w:t xml:space="preserve">8. Код результата предоставления гранта определяется в соответствии с порядком, установленным Министерством финансов Российской Федерации (далее - Минфин России).</w:t>
      </w:r>
    </w:p>
    <w:p>
      <w:pPr>
        <w:pStyle w:val="0"/>
        <w:spacing w:before="200" w:line-rule="auto"/>
        <w:ind w:firstLine="540"/>
        <w:jc w:val="both"/>
      </w:pPr>
      <w:r>
        <w:rPr>
          <w:sz w:val="20"/>
        </w:rPr>
        <w:t xml:space="preserve">9. Участниками отбора для предоставления грантов, проводимого министерством в форме конкурса заявок некоммерческих организаций на право получения за счет средств краевого бюджета грантов, являются зарегистрированные и осуществляющие деятельность на территории Ставропольского края некоммерческие организации (далее соответственно - конкурс, заявка).</w:t>
      </w:r>
    </w:p>
    <w:p>
      <w:pPr>
        <w:pStyle w:val="0"/>
        <w:spacing w:before="200" w:line-rule="auto"/>
        <w:ind w:firstLine="540"/>
        <w:jc w:val="both"/>
      </w:pPr>
      <w:r>
        <w:rPr>
          <w:sz w:val="20"/>
        </w:rPr>
        <w:t xml:space="preserve">10. Конкурс проводится в соответствии с </w:t>
      </w:r>
      <w:hyperlink w:history="0" r:id="rId15"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Правилами</w:t>
        </w:r>
      </w:hyperlink>
      <w:r>
        <w:rPr>
          <w:sz w:val="20"/>
        </w:rPr>
        <w:t xml:space="preserve">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 N 1781, и настоящим Решением.</w:t>
      </w:r>
    </w:p>
    <w:bookmarkStart w:id="64" w:name="P64"/>
    <w:bookmarkEnd w:id="64"/>
    <w:p>
      <w:pPr>
        <w:pStyle w:val="0"/>
        <w:spacing w:before="200" w:line-rule="auto"/>
        <w:ind w:firstLine="540"/>
        <w:jc w:val="both"/>
      </w:pPr>
      <w:r>
        <w:rPr>
          <w:sz w:val="20"/>
        </w:rPr>
        <w:t xml:space="preserve">11. Требования к заявке и документам, прилагаемым к заявке, устанавливаются в объявлении о проведении конкурса, размещаемом министерством на едином портале бюджетной системы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12. Некоммерческая организация, претендующая на участие в конкурсе, должна одновременно соответствовать следующим требованиям:</w:t>
      </w:r>
    </w:p>
    <w:p>
      <w:pPr>
        <w:pStyle w:val="0"/>
        <w:spacing w:before="200" w:line-rule="auto"/>
        <w:ind w:firstLine="540"/>
        <w:jc w:val="both"/>
      </w:pPr>
      <w:r>
        <w:rPr>
          <w:sz w:val="20"/>
        </w:rPr>
        <w:t xml:space="preserve">1) некоммерческая организация на дату не ранее чем за 30 календарных дней до даты подачи заявки соответствует требованиям и условиям, определенным </w:t>
      </w:r>
      <w:hyperlink w:history="0" r:id="rId16"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пунктом 18</w:t>
        </w:r>
      </w:hyperlink>
      <w:r>
        <w:rPr>
          <w:sz w:val="20"/>
        </w:rPr>
        <w:t xml:space="preserve">, </w:t>
      </w:r>
      <w:hyperlink w:history="0" r:id="rId17"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подпунктам "а"</w:t>
        </w:r>
      </w:hyperlink>
      <w:r>
        <w:rPr>
          <w:sz w:val="20"/>
        </w:rPr>
        <w:t xml:space="preserve"> - </w:t>
      </w:r>
      <w:hyperlink w:history="0" r:id="rId18"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"в" пункта 19</w:t>
        </w:r>
      </w:hyperlink>
      <w:r>
        <w:rPr>
          <w:sz w:val="20"/>
        </w:rPr>
        <w:t xml:space="preserve"> и </w:t>
      </w:r>
      <w:hyperlink w:history="0" r:id="rId19"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подпунктами "б"</w:t>
        </w:r>
      </w:hyperlink>
      <w:r>
        <w:rPr>
          <w:sz w:val="20"/>
        </w:rPr>
        <w:t xml:space="preserve">, </w:t>
      </w:r>
      <w:hyperlink w:history="0" r:id="rId20"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"в"</w:t>
        </w:r>
      </w:hyperlink>
      <w:r>
        <w:rPr>
          <w:sz w:val="20"/>
        </w:rPr>
        <w:t xml:space="preserve"> и </w:t>
      </w:r>
      <w:hyperlink w:history="0" r:id="rId21"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"д" пункта 25</w:t>
        </w:r>
      </w:hyperlink>
      <w:r>
        <w:rPr>
          <w:sz w:val="20"/>
        </w:rPr>
        <w:t xml:space="preserve"> Правил предоставления;</w:t>
      </w:r>
    </w:p>
    <w:p>
      <w:pPr>
        <w:pStyle w:val="0"/>
        <w:spacing w:before="200" w:line-rule="auto"/>
        <w:ind w:firstLine="540"/>
        <w:jc w:val="both"/>
      </w:pPr>
      <w:r>
        <w:rPr>
          <w:sz w:val="20"/>
        </w:rPr>
        <w:t xml:space="preserve">2) наличие согласия органа государственной власти (государственного органа) и (или) органа местного самоуправления, осуществляющего функции и полномочия учредителя в отношении некоммерческой организации, являющейся бюджетным или автономным учреждением, на участие некоммерческой организации в конкурсе, оформленного на бланке указанного органа;</w:t>
      </w:r>
    </w:p>
    <w:p>
      <w:pPr>
        <w:pStyle w:val="0"/>
        <w:spacing w:before="200" w:line-rule="auto"/>
        <w:ind w:firstLine="540"/>
        <w:jc w:val="both"/>
      </w:pPr>
      <w:r>
        <w:rPr>
          <w:sz w:val="20"/>
        </w:rPr>
        <w:t xml:space="preserve">3) некоммерческая организация на дату не ранее чем за 30 календарных дней до даты подачи заявки должна соответствовать установленным федеральными законами и иными нормативными правовыми актами Российской Федерации требованиям;</w:t>
      </w:r>
    </w:p>
    <w:p>
      <w:pPr>
        <w:pStyle w:val="0"/>
        <w:spacing w:before="200" w:line-rule="auto"/>
        <w:ind w:firstLine="540"/>
        <w:jc w:val="both"/>
      </w:pPr>
      <w:r>
        <w:rPr>
          <w:sz w:val="20"/>
        </w:rPr>
        <w:t xml:space="preserve">4) некоммерческая организация на дату не ранее чем за 30 календарных дней до даты подачи заявки не получает средства из федерального бюджета на основании иных нормативных правовых актов на цель, указанную в </w:t>
      </w:r>
      <w:hyperlink w:history="0" w:anchor="P51" w:tooltip="4. Грант предоставляется с целью финансового обеспечения затрат некоммерческой организации, в соответствии со сметой расходов на реализацию мероприятий в рамках заявки Ставропольского края на участие во Всероссийском конкурсе лучших региональных практик поддержки добровольчества (волонтерства) &quot;Регион добрых дел&quot; 2023 года, на реализацию следующих практик поддержки добровольчества (волонтерства) в Ставропольском крае, отобранных в рамках Всероссийского конкурса лучших региональных практик поддержки добро...">
        <w:r>
          <w:rPr>
            <w:sz w:val="20"/>
            <w:color w:val="0000ff"/>
          </w:rPr>
          <w:t xml:space="preserve">пункте 4</w:t>
        </w:r>
      </w:hyperlink>
      <w:r>
        <w:rPr>
          <w:sz w:val="20"/>
        </w:rPr>
        <w:t xml:space="preserve"> настоящего Решения.</w:t>
      </w:r>
    </w:p>
    <w:p>
      <w:pPr>
        <w:pStyle w:val="0"/>
        <w:spacing w:before="200" w:line-rule="auto"/>
        <w:ind w:firstLine="540"/>
        <w:jc w:val="both"/>
      </w:pPr>
      <w:r>
        <w:rPr>
          <w:sz w:val="20"/>
        </w:rPr>
        <w:t xml:space="preserve">13. Гранты предоставляются на основании соглашения, заключаемого между министерством и некоммерческими организациями, победившими в конкурсе, с соблюдением положений, предусмотренных </w:t>
      </w:r>
      <w:hyperlink w:history="0" r:id="rId22"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пунктами 10</w:t>
        </w:r>
      </w:hyperlink>
      <w:r>
        <w:rPr>
          <w:sz w:val="20"/>
        </w:rPr>
        <w:t xml:space="preserve">, </w:t>
      </w:r>
      <w:hyperlink w:history="0" r:id="rId23"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11</w:t>
        </w:r>
      </w:hyperlink>
      <w:r>
        <w:rPr>
          <w:sz w:val="20"/>
        </w:rPr>
        <w:t xml:space="preserve">, </w:t>
      </w:r>
      <w:hyperlink w:history="0" r:id="rId24"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13</w:t>
        </w:r>
      </w:hyperlink>
      <w:r>
        <w:rPr>
          <w:sz w:val="20"/>
        </w:rPr>
        <w:t xml:space="preserve">, </w:t>
      </w:r>
      <w:hyperlink w:history="0" r:id="rId25"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подпунктами "а"</w:t>
        </w:r>
      </w:hyperlink>
      <w:r>
        <w:rPr>
          <w:sz w:val="20"/>
        </w:rPr>
        <w:t xml:space="preserve"> - </w:t>
      </w:r>
      <w:hyperlink w:history="0" r:id="rId26"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"в"</w:t>
        </w:r>
      </w:hyperlink>
      <w:r>
        <w:rPr>
          <w:sz w:val="20"/>
        </w:rPr>
        <w:t xml:space="preserve"> и </w:t>
      </w:r>
      <w:hyperlink w:history="0" r:id="rId27"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"д" пункта 25</w:t>
        </w:r>
      </w:hyperlink>
      <w:r>
        <w:rPr>
          <w:sz w:val="20"/>
        </w:rPr>
        <w:t xml:space="preserve">, </w:t>
      </w:r>
      <w:hyperlink w:history="0" r:id="rId28"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пунктами 28</w:t>
        </w:r>
      </w:hyperlink>
      <w:r>
        <w:rPr>
          <w:sz w:val="20"/>
        </w:rPr>
        <w:t xml:space="preserve">, </w:t>
      </w:r>
      <w:hyperlink w:history="0" r:id="rId29"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29</w:t>
        </w:r>
      </w:hyperlink>
      <w:r>
        <w:rPr>
          <w:sz w:val="20"/>
        </w:rPr>
        <w:t xml:space="preserve"> и </w:t>
      </w:r>
      <w:hyperlink w:history="0" r:id="rId30"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42</w:t>
        </w:r>
      </w:hyperlink>
      <w:r>
        <w:rPr>
          <w:sz w:val="20"/>
        </w:rPr>
        <w:t xml:space="preserve"> Правил предоставления, в соответствии с типовой формой соглашения о предоставлении грантов, утверждаемой Минфином России, в государственной интегрированной информационной системе управления общественными финансами "Электронный бюджет" (далее соответственно - соглашение, получатель, ГИС "Электронный бюджет").</w:t>
      </w:r>
    </w:p>
    <w:p>
      <w:pPr>
        <w:pStyle w:val="0"/>
        <w:spacing w:before="200" w:line-rule="auto"/>
        <w:ind w:firstLine="540"/>
        <w:jc w:val="both"/>
      </w:pPr>
      <w:r>
        <w:rPr>
          <w:sz w:val="20"/>
        </w:rPr>
        <w:t xml:space="preserve">14. Размер гранта, предоставляемого министерством получателю, на реализацию практик составляет:</w:t>
      </w:r>
    </w:p>
    <w:p>
      <w:pPr>
        <w:pStyle w:val="0"/>
        <w:spacing w:before="200" w:line-rule="auto"/>
        <w:ind w:firstLine="540"/>
        <w:jc w:val="both"/>
      </w:pPr>
      <w:r>
        <w:rPr>
          <w:sz w:val="20"/>
        </w:rPr>
        <w:t xml:space="preserve">1) 834900,00 рубля - на реализацию практики "Региональная система добровольчества "Социальная активность. Ставропольский край";</w:t>
      </w:r>
    </w:p>
    <w:p>
      <w:pPr>
        <w:pStyle w:val="0"/>
        <w:spacing w:before="200" w:line-rule="auto"/>
        <w:ind w:firstLine="540"/>
        <w:jc w:val="both"/>
      </w:pPr>
      <w:r>
        <w:rPr>
          <w:sz w:val="20"/>
        </w:rPr>
        <w:t xml:space="preserve">2) 1651876,00 рубля - на реализацию практики "Информационно-просветительская акция "Стань добровольцем!";</w:t>
      </w:r>
    </w:p>
    <w:p>
      <w:pPr>
        <w:pStyle w:val="0"/>
        <w:spacing w:before="200" w:line-rule="auto"/>
        <w:ind w:firstLine="540"/>
        <w:jc w:val="both"/>
      </w:pPr>
      <w:r>
        <w:rPr>
          <w:sz w:val="20"/>
        </w:rPr>
        <w:t xml:space="preserve">3) 1222500,00 рубля - на реализацию практики "Слет добровольческих объединений Ставропольского края "Доброволец Ставрополья";</w:t>
      </w:r>
    </w:p>
    <w:p>
      <w:pPr>
        <w:pStyle w:val="0"/>
        <w:spacing w:before="200" w:line-rule="auto"/>
        <w:ind w:firstLine="540"/>
        <w:jc w:val="both"/>
      </w:pPr>
      <w:r>
        <w:rPr>
          <w:sz w:val="20"/>
        </w:rPr>
        <w:t xml:space="preserve">4) 650000,00 рубля - на реализацию практики "Краевая акция "Гуманитарная миссия Ставрополья";</w:t>
      </w:r>
    </w:p>
    <w:p>
      <w:pPr>
        <w:pStyle w:val="0"/>
        <w:spacing w:before="200" w:line-rule="auto"/>
        <w:ind w:firstLine="540"/>
        <w:jc w:val="both"/>
      </w:pPr>
      <w:r>
        <w:rPr>
          <w:sz w:val="20"/>
        </w:rPr>
        <w:t xml:space="preserve">5) 263105,05 рубля - на реализацию практики "Конкурс лучших практик в сфере серебряного добровольчества".</w:t>
      </w:r>
    </w:p>
    <w:p>
      <w:pPr>
        <w:pStyle w:val="0"/>
        <w:spacing w:before="200" w:line-rule="auto"/>
        <w:ind w:firstLine="540"/>
        <w:jc w:val="both"/>
      </w:pPr>
      <w:r>
        <w:rPr>
          <w:sz w:val="20"/>
        </w:rPr>
        <w:t xml:space="preserve">15. Конкретным и измеримым результатом предоставления гранта является количество реализованных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(далее - результат).</w:t>
      </w:r>
    </w:p>
    <w:p>
      <w:pPr>
        <w:pStyle w:val="0"/>
        <w:spacing w:before="200" w:line-rule="auto"/>
        <w:ind w:firstLine="540"/>
        <w:jc w:val="both"/>
      </w:pPr>
      <w:r>
        <w:rPr>
          <w:sz w:val="20"/>
        </w:rPr>
        <w:t xml:space="preserve">16. Значение результата с указанием точной даты завершения и конечного значения результата устанавливается соглашением.</w:t>
      </w:r>
    </w:p>
    <w:bookmarkStart w:id="79" w:name="P79"/>
    <w:bookmarkEnd w:id="79"/>
    <w:p>
      <w:pPr>
        <w:pStyle w:val="0"/>
        <w:spacing w:before="200" w:line-rule="auto"/>
        <w:ind w:firstLine="540"/>
        <w:jc w:val="both"/>
      </w:pPr>
      <w:r>
        <w:rPr>
          <w:sz w:val="20"/>
        </w:rPr>
        <w:t xml:space="preserve">17. Получатель ежеквартально, до 10 числа месяца, следующего за отчетным кварталом, представляет в ГИС "Электронный бюджет" по формам, установленным соглашением, следующие отчеты:</w:t>
      </w:r>
    </w:p>
    <w:p>
      <w:pPr>
        <w:pStyle w:val="0"/>
        <w:spacing w:before="200" w:line-rule="auto"/>
        <w:ind w:firstLine="540"/>
        <w:jc w:val="both"/>
      </w:pPr>
      <w:r>
        <w:rPr>
          <w:sz w:val="20"/>
        </w:rPr>
        <w:t xml:space="preserve">1) отчет о достижении значения результата;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с приложением электронных копий документов (документов на бумажном носителе, преобразованных в электронную форму путем сканирования), подтверждающих его фактические расходы (договоров аренды нежилых помещений, договоров на поставку товаров, выполнение работ, оказание услуг, товарных накладных, актов сдачи-приемки товаров, выполненных работ, оказанных услуг, счетов-фактур, платежных поручений с отметкой кредитной организации, расходные кассовые ордера), заверенных руководителем получателя или иным уполномоченным лицом получателя и скрепленных печатью получателя (при наличии печати)</w:t>
      </w:r>
    </w:p>
    <w:p>
      <w:pPr>
        <w:pStyle w:val="0"/>
        <w:spacing w:before="200" w:line-rule="auto"/>
        <w:jc w:val="both"/>
      </w:pPr>
      <w:r>
        <w:rPr>
          <w:sz w:val="20"/>
        </w:rPr>
        <w:t xml:space="preserve">(далее - отчеты).</w:t>
      </w:r>
    </w:p>
    <w:p>
      <w:pPr>
        <w:pStyle w:val="0"/>
        <w:spacing w:before="200" w:line-rule="auto"/>
        <w:ind w:firstLine="540"/>
        <w:jc w:val="both"/>
      </w:pPr>
      <w:r>
        <w:rPr>
          <w:sz w:val="20"/>
        </w:rPr>
        <w:t xml:space="preserve">18. Министерство осуществляет проверку и принятие отчетов в срок, не превышающий 15 рабочих дней со дня предоставления отчетов.</w:t>
      </w:r>
    </w:p>
    <w:p>
      <w:pPr>
        <w:pStyle w:val="0"/>
        <w:spacing w:before="200" w:line-rule="auto"/>
        <w:ind w:firstLine="540"/>
        <w:jc w:val="both"/>
      </w:pPr>
      <w:r>
        <w:rPr>
          <w:sz w:val="20"/>
        </w:rPr>
        <w:t xml:space="preserve">19. Мониторинг достижения результата осуществляется исходя из достижения результата, установленного соглашением, и события, отражающего факт завершения соответствующего мероприятия по получению результата (контрольной точки), в порядке и по формам, установленным Минфином России.</w:t>
      </w:r>
    </w:p>
    <w:bookmarkStart w:id="85" w:name="P85"/>
    <w:bookmarkEnd w:id="85"/>
    <w:p>
      <w:pPr>
        <w:pStyle w:val="0"/>
        <w:spacing w:before="200" w:line-rule="auto"/>
        <w:ind w:firstLine="540"/>
        <w:jc w:val="both"/>
      </w:pPr>
      <w:r>
        <w:rPr>
          <w:sz w:val="20"/>
        </w:rPr>
        <w:t xml:space="preserve">20. Грант подлежит возврату в краевой бюджет в случаях:</w:t>
      </w:r>
    </w:p>
    <w:bookmarkStart w:id="86" w:name="P86"/>
    <w:bookmarkEnd w:id="86"/>
    <w:p>
      <w:pPr>
        <w:pStyle w:val="0"/>
        <w:spacing w:before="200" w:line-rule="auto"/>
        <w:ind w:firstLine="540"/>
        <w:jc w:val="both"/>
      </w:pPr>
      <w:r>
        <w:rPr>
          <w:sz w:val="20"/>
        </w:rPr>
        <w:t xml:space="preserve">1) нарушения получателем условий предоставления гранта, выявленного в том числе по фактам проверок, проведенных министерством и (или) органами государственного финансового контроля;</w:t>
      </w:r>
    </w:p>
    <w:bookmarkStart w:id="87" w:name="P87"/>
    <w:bookmarkEnd w:id="87"/>
    <w:p>
      <w:pPr>
        <w:pStyle w:val="0"/>
        <w:spacing w:before="200" w:line-rule="auto"/>
        <w:ind w:firstLine="540"/>
        <w:jc w:val="both"/>
      </w:pPr>
      <w:r>
        <w:rPr>
          <w:sz w:val="20"/>
        </w:rPr>
        <w:t xml:space="preserve">2) установления факта представления получателем недостоверной информации в целях получения гранта;</w:t>
      </w:r>
    </w:p>
    <w:bookmarkStart w:id="88" w:name="P88"/>
    <w:bookmarkEnd w:id="88"/>
    <w:p>
      <w:pPr>
        <w:pStyle w:val="0"/>
        <w:spacing w:before="200" w:line-rule="auto"/>
        <w:ind w:firstLine="540"/>
        <w:jc w:val="both"/>
      </w:pPr>
      <w:r>
        <w:rPr>
          <w:sz w:val="20"/>
        </w:rPr>
        <w:t xml:space="preserve">3) недостижения получателем значения результата, установленного соглашением;</w:t>
      </w:r>
    </w:p>
    <w:bookmarkStart w:id="89" w:name="P89"/>
    <w:bookmarkEnd w:id="89"/>
    <w:p>
      <w:pPr>
        <w:pStyle w:val="0"/>
        <w:spacing w:before="200" w:line-rule="auto"/>
        <w:ind w:firstLine="540"/>
        <w:jc w:val="both"/>
      </w:pPr>
      <w:r>
        <w:rPr>
          <w:sz w:val="20"/>
        </w:rPr>
        <w:t xml:space="preserve">4) образования остатка гранта, не использованного получателем на 31 декабря 2024 года (далее - остаток гранта).</w:t>
      </w:r>
    </w:p>
    <w:bookmarkStart w:id="90" w:name="P90"/>
    <w:bookmarkEnd w:id="90"/>
    <w:p>
      <w:pPr>
        <w:pStyle w:val="0"/>
        <w:spacing w:before="200" w:line-rule="auto"/>
        <w:ind w:firstLine="540"/>
        <w:jc w:val="both"/>
      </w:pPr>
      <w:r>
        <w:rPr>
          <w:sz w:val="20"/>
        </w:rPr>
        <w:t xml:space="preserve">21. В случаях, предусмотренных </w:t>
      </w:r>
      <w:hyperlink w:history="0" w:anchor="P86" w:tooltip="1) нарушения получателем условий предоставления гранта, выявленного в том числе по фактам проверок, проведенных министерством и (или) органами государственного финансового контроля;">
        <w:r>
          <w:rPr>
            <w:sz w:val="20"/>
            <w:color w:val="0000ff"/>
          </w:rPr>
          <w:t xml:space="preserve">подпунктами "1"</w:t>
        </w:r>
      </w:hyperlink>
      <w:r>
        <w:rPr>
          <w:sz w:val="20"/>
        </w:rPr>
        <w:t xml:space="preserve"> (за исключением нецелевого использования субсидии) и (или) </w:t>
      </w:r>
      <w:hyperlink w:history="0" w:anchor="P87" w:tooltip="2) установления факта представления получателем недостоверной информации в целях получения гранта;">
        <w:r>
          <w:rPr>
            <w:sz w:val="20"/>
            <w:color w:val="0000ff"/>
          </w:rPr>
          <w:t xml:space="preserve">"2" пункта 20</w:t>
        </w:r>
      </w:hyperlink>
      <w:r>
        <w:rPr>
          <w:sz w:val="20"/>
        </w:rPr>
        <w:t xml:space="preserve"> настоящего Решения, к получателю применяется штрафная санкция в виде возврата гранта получателем в краевой бюджет в полном объеме.</w:t>
      </w:r>
    </w:p>
    <w:p>
      <w:pPr>
        <w:pStyle w:val="0"/>
        <w:spacing w:before="200" w:line-rule="auto"/>
        <w:ind w:firstLine="540"/>
        <w:jc w:val="both"/>
      </w:pPr>
      <w:r>
        <w:rPr>
          <w:sz w:val="20"/>
        </w:rPr>
        <w:t xml:space="preserve">В случае нецелевого использования гранта средства гранта, использованные не по целевому назначению, подлежат возврату в краевой бюджет в соответствии с законодательством Российской Федерации.</w:t>
      </w:r>
    </w:p>
    <w:p>
      <w:pPr>
        <w:pStyle w:val="0"/>
        <w:spacing w:before="200" w:line-rule="auto"/>
        <w:ind w:firstLine="540"/>
        <w:jc w:val="both"/>
      </w:pPr>
      <w:r>
        <w:rPr>
          <w:sz w:val="20"/>
        </w:rPr>
        <w:t xml:space="preserve">22. В случае, предусмотренном </w:t>
      </w:r>
      <w:hyperlink w:history="0" w:anchor="P88" w:tooltip="3) недостижения получателем значения результата, установленного соглашением;">
        <w:r>
          <w:rPr>
            <w:sz w:val="20"/>
            <w:color w:val="0000ff"/>
          </w:rPr>
          <w:t xml:space="preserve">подпунктом "3" пункта 20</w:t>
        </w:r>
      </w:hyperlink>
      <w:r>
        <w:rPr>
          <w:sz w:val="20"/>
        </w:rPr>
        <w:t xml:space="preserve"> настоящего Решения, грант подлежит возврату получателем в краевой бюджет в порядке, определенном </w:t>
      </w:r>
      <w:hyperlink w:history="0" r:id="rId31"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пунктами 37</w:t>
        </w:r>
      </w:hyperlink>
      <w:r>
        <w:rPr>
          <w:sz w:val="20"/>
        </w:rPr>
        <w:t xml:space="preserve"> - </w:t>
      </w:r>
      <w:hyperlink w:history="0" r:id="rId32"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39</w:t>
        </w:r>
      </w:hyperlink>
      <w:r>
        <w:rPr>
          <w:sz w:val="20"/>
        </w:rPr>
        <w:t xml:space="preserve"> Правил предоставления.</w:t>
      </w:r>
    </w:p>
    <w:bookmarkStart w:id="93" w:name="P93"/>
    <w:bookmarkEnd w:id="93"/>
    <w:p>
      <w:pPr>
        <w:pStyle w:val="0"/>
        <w:spacing w:before="200" w:line-rule="auto"/>
        <w:ind w:firstLine="540"/>
        <w:jc w:val="both"/>
      </w:pPr>
      <w:r>
        <w:rPr>
          <w:sz w:val="20"/>
        </w:rPr>
        <w:t xml:space="preserve">23. В случае нарушения установленного в </w:t>
      </w:r>
      <w:hyperlink w:history="0" w:anchor="P99" w:tooltip="получатель производит возврат гранта в течение 60 календарных дней со дня получения от министерства требования о возврате гранта.">
        <w:r>
          <w:rPr>
            <w:sz w:val="20"/>
            <w:color w:val="0000ff"/>
          </w:rPr>
          <w:t xml:space="preserve">абзаце третьем пункта 25</w:t>
        </w:r>
      </w:hyperlink>
      <w:r>
        <w:rPr>
          <w:sz w:val="20"/>
        </w:rPr>
        <w:t xml:space="preserve"> настоящего Решения срока возврата гранта, осуществляемого в соответствии с </w:t>
      </w:r>
      <w:hyperlink w:history="0" w:anchor="P90" w:tooltip="21. В случаях, предусмотренных подпунктами &quot;1&quot; (за исключением нецелевого использования субсидии) и (или) &quot;2&quot; пункта 20 настоящего Решения, к получателю применяется штрафная санкция в виде возврата гранта получателем в краевой бюджет в полном объеме.">
        <w:r>
          <w:rPr>
            <w:sz w:val="20"/>
            <w:color w:val="0000ff"/>
          </w:rPr>
          <w:t xml:space="preserve">абзацем первым пункта 21</w:t>
        </w:r>
      </w:hyperlink>
      <w:r>
        <w:rPr>
          <w:sz w:val="20"/>
        </w:rPr>
        <w:t xml:space="preserve"> настоящего Решения, получатель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подлежащей возврату получателем, за каждый день просрочки (с первого дня, следующего за днем истечения срока возврата гранта получателем в краевой бюджет, указанного в </w:t>
      </w:r>
      <w:hyperlink w:history="0" w:anchor="P99" w:tooltip="получатель производит возврат гранта в течение 60 календарных дней со дня получения от министерства требования о возврате гранта.">
        <w:r>
          <w:rPr>
            <w:sz w:val="20"/>
            <w:color w:val="0000ff"/>
          </w:rPr>
          <w:t xml:space="preserve">абзаце третьем пункта 25</w:t>
        </w:r>
      </w:hyperlink>
      <w:r>
        <w:rPr>
          <w:sz w:val="20"/>
        </w:rPr>
        <w:t xml:space="preserve"> настоящего Решения, до дня возврата гранта получателем в краевой бюджет в полном объеме).</w:t>
      </w:r>
    </w:p>
    <w:p>
      <w:pPr>
        <w:pStyle w:val="0"/>
        <w:spacing w:before="200" w:line-rule="auto"/>
        <w:ind w:firstLine="540"/>
        <w:jc w:val="both"/>
      </w:pPr>
      <w:r>
        <w:rPr>
          <w:sz w:val="20"/>
        </w:rPr>
        <w:t xml:space="preserve">При недостижении получателем в установленные соглашением сроки значения результата, установленного соглашением, получатель уплачивает пени в соответствии с </w:t>
      </w:r>
      <w:hyperlink w:history="0" r:id="rId33"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абзацем четвертым пункта 39</w:t>
        </w:r>
      </w:hyperlink>
      <w:r>
        <w:rPr>
          <w:sz w:val="20"/>
        </w:rPr>
        <w:t xml:space="preserve"> Правил предоставления.</w:t>
      </w:r>
    </w:p>
    <w:p>
      <w:pPr>
        <w:pStyle w:val="0"/>
        <w:spacing w:before="200" w:line-rule="auto"/>
        <w:ind w:firstLine="540"/>
        <w:jc w:val="both"/>
      </w:pPr>
      <w:r>
        <w:rPr>
          <w:sz w:val="20"/>
        </w:rPr>
        <w:t xml:space="preserve">24. Требования о возврате средств гранта, об уплате штрафных санкций, в том числе пеней, предусмотренные </w:t>
      </w:r>
      <w:hyperlink w:history="0" w:anchor="P85" w:tooltip="20. Грант подлежит возврату в краевой бюджет в случаях:">
        <w:r>
          <w:rPr>
            <w:sz w:val="20"/>
            <w:color w:val="0000ff"/>
          </w:rPr>
          <w:t xml:space="preserve">пунктами 20</w:t>
        </w:r>
      </w:hyperlink>
      <w:r>
        <w:rPr>
          <w:sz w:val="20"/>
        </w:rPr>
        <w:t xml:space="preserve"> - </w:t>
      </w:r>
      <w:hyperlink w:history="0" w:anchor="P93" w:tooltip="23. В случае нарушения установленного в абзаце третьем пункта 25 настоящего Решения срока возврата гранта, осуществляемого в соответствии с абзацем первым пункта 21 настоящего Решения, получатель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подлежащей возврату получателем, за каждый день просрочки (с первого дня, следующего за днем истечения срока возврата гранта получателем в крае...">
        <w:r>
          <w:rPr>
            <w:sz w:val="20"/>
            <w:color w:val="0000ff"/>
          </w:rPr>
          <w:t xml:space="preserve">23</w:t>
        </w:r>
      </w:hyperlink>
      <w:r>
        <w:rPr>
          <w:sz w:val="20"/>
        </w:rPr>
        <w:t xml:space="preserve"> настоящего Решения (за исключением неиспользованного остатка гранта, подлежащего возврату получателем в краевой бюджет), не применяются в случае, если соблюдение условий предоставления гранта, в том числе исполнение обязательств по достижению значения результата, оказалось невозможным вследствие обстоятельств непреодолимой силы.</w:t>
      </w:r>
    </w:p>
    <w:p>
      <w:pPr>
        <w:pStyle w:val="0"/>
        <w:spacing w:before="200" w:line-rule="auto"/>
        <w:ind w:firstLine="540"/>
        <w:jc w:val="both"/>
      </w:pPr>
      <w:r>
        <w:rPr>
          <w:sz w:val="20"/>
        </w:rPr>
        <w:t xml:space="preserve">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отсутствие на рынке необходимых для исполнения обязательств товаров, отсутствие у получателя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pPr>
        <w:pStyle w:val="0"/>
        <w:spacing w:before="200" w:line-rule="auto"/>
        <w:ind w:firstLine="540"/>
        <w:jc w:val="both"/>
      </w:pPr>
      <w:r>
        <w:rPr>
          <w:sz w:val="20"/>
        </w:rPr>
        <w:t xml:space="preserve">25. В случаях, предусмотренных </w:t>
      </w:r>
      <w:hyperlink w:history="0" w:anchor="P86" w:tooltip="1) нарушения получателем условий предоставления гранта, выявленного в том числе по фактам проверок, проведенных министерством и (или) органами государственного финансового контроля;">
        <w:r>
          <w:rPr>
            <w:sz w:val="20"/>
            <w:color w:val="0000ff"/>
          </w:rPr>
          <w:t xml:space="preserve">подпунктами "1"</w:t>
        </w:r>
      </w:hyperlink>
      <w:r>
        <w:rPr>
          <w:sz w:val="20"/>
        </w:rPr>
        <w:t xml:space="preserve"> - </w:t>
      </w:r>
      <w:hyperlink w:history="0" w:anchor="P88" w:tooltip="3) недостижения получателем значения результата, установленного соглашением;">
        <w:r>
          <w:rPr>
            <w:sz w:val="20"/>
            <w:color w:val="0000ff"/>
          </w:rPr>
          <w:t xml:space="preserve">"3" пункта 20</w:t>
        </w:r>
      </w:hyperlink>
      <w:r>
        <w:rPr>
          <w:sz w:val="20"/>
        </w:rPr>
        <w:t xml:space="preserve"> настоящего Решения, грант подлежит возврату получателем в краевой бюджет в соответствии с законодательством Российской Федерации в следующем порядке:</w:t>
      </w:r>
    </w:p>
    <w:p>
      <w:pPr>
        <w:pStyle w:val="0"/>
        <w:spacing w:before="200" w:line-rule="auto"/>
        <w:ind w:firstLine="540"/>
        <w:jc w:val="both"/>
      </w:pPr>
      <w:r>
        <w:rPr>
          <w:sz w:val="20"/>
        </w:rPr>
        <w:t xml:space="preserve">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органов государственного финансового контроля направляет получателю требование о возврате гранта;</w:t>
      </w:r>
    </w:p>
    <w:bookmarkStart w:id="99" w:name="P99"/>
    <w:bookmarkEnd w:id="99"/>
    <w:p>
      <w:pPr>
        <w:pStyle w:val="0"/>
        <w:spacing w:before="200" w:line-rule="auto"/>
        <w:ind w:firstLine="540"/>
        <w:jc w:val="both"/>
      </w:pPr>
      <w:r>
        <w:rPr>
          <w:sz w:val="20"/>
        </w:rPr>
        <w:t xml:space="preserve">получатель производит возврат гранта в течение 60 календарных дней со дня получения от министерства требования о возврате гранта.</w:t>
      </w:r>
    </w:p>
    <w:p>
      <w:pPr>
        <w:pStyle w:val="0"/>
        <w:spacing w:before="200" w:line-rule="auto"/>
        <w:ind w:firstLine="540"/>
        <w:jc w:val="both"/>
      </w:pPr>
      <w:r>
        <w:rPr>
          <w:sz w:val="20"/>
        </w:rPr>
        <w:t xml:space="preserve">В случае, предусмотренном </w:t>
      </w:r>
      <w:hyperlink w:history="0" w:anchor="P89" w:tooltip="4) образования остатка гранта, не использованного получателем на 31 декабря 2024 года (далее - остаток гранта).">
        <w:r>
          <w:rPr>
            <w:sz w:val="20"/>
            <w:color w:val="0000ff"/>
          </w:rPr>
          <w:t xml:space="preserve">подпунктом "4" пункта 20</w:t>
        </w:r>
      </w:hyperlink>
      <w:r>
        <w:rPr>
          <w:sz w:val="20"/>
        </w:rPr>
        <w:t xml:space="preserve"> настоящего Решения, остаток гранта подлежит возврату получателем в краевой бюджет в порядке, установленном министерством финансов Ставропольского края.</w:t>
      </w:r>
    </w:p>
    <w:p>
      <w:pPr>
        <w:pStyle w:val="0"/>
        <w:spacing w:before="200" w:line-rule="auto"/>
        <w:ind w:firstLine="540"/>
        <w:jc w:val="both"/>
      </w:pPr>
      <w:r>
        <w:rPr>
          <w:sz w:val="20"/>
        </w:rPr>
        <w:t xml:space="preserve">26. При нарушении получателем срока возврата гранта, уплаты штрафных санкций, в том числе пеней, установленных </w:t>
      </w:r>
      <w:hyperlink w:history="0" w:anchor="P85" w:tooltip="20. Грант подлежит возврату в краевой бюджет в случаях:">
        <w:r>
          <w:rPr>
            <w:sz w:val="20"/>
            <w:color w:val="0000ff"/>
          </w:rPr>
          <w:t xml:space="preserve">пунктами 20</w:t>
        </w:r>
      </w:hyperlink>
      <w:r>
        <w:rPr>
          <w:sz w:val="20"/>
        </w:rPr>
        <w:t xml:space="preserve"> - </w:t>
      </w:r>
      <w:hyperlink w:history="0" w:anchor="P93" w:tooltip="23. В случае нарушения установленного в абзаце третьем пункта 25 настоящего Решения срока возврата гранта, осуществляемого в соответствии с абзацем первым пункта 21 настоящего Решения, получатель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гранта, подлежащей возврату получателем, за каждый день просрочки (с первого дня, следующего за днем истечения срока возврата гранта получателем в крае...">
        <w:r>
          <w:rPr>
            <w:sz w:val="20"/>
            <w:color w:val="0000ff"/>
          </w:rPr>
          <w:t xml:space="preserve">23</w:t>
        </w:r>
      </w:hyperlink>
      <w:r>
        <w:rPr>
          <w:sz w:val="20"/>
        </w:rPr>
        <w:t xml:space="preserve"> настоящего Решения, министерство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27. Получатель несет ответственность за полноту и достоверность представляемых в министерство документов, предусмотренных </w:t>
      </w:r>
      <w:hyperlink w:history="0" w:anchor="P64" w:tooltip="11. Требования к заявке и документам, прилагаемым к заявке, устанавливаются в объявлении о проведении конкурса, размещаемом министерством на едином портале бюджетной системы Российской Федерации в информационно-телекоммуникационной сети &quot;Интернет&quot;.">
        <w:r>
          <w:rPr>
            <w:sz w:val="20"/>
            <w:color w:val="0000ff"/>
          </w:rPr>
          <w:t xml:space="preserve">пунктами 11</w:t>
        </w:r>
      </w:hyperlink>
      <w:r>
        <w:rPr>
          <w:sz w:val="20"/>
        </w:rPr>
        <w:t xml:space="preserve"> и </w:t>
      </w:r>
      <w:hyperlink w:history="0" w:anchor="P79" w:tooltip="17. Получатель ежеквартально, до 10 числа месяца, следующего за отчетным кварталом, представляет в ГИС &quot;Электронный бюджет&quot; по формам, установленным соглашением, следующие отчеты:">
        <w:r>
          <w:rPr>
            <w:sz w:val="20"/>
            <w:color w:val="0000ff"/>
          </w:rPr>
          <w:t xml:space="preserve">17</w:t>
        </w:r>
      </w:hyperlink>
      <w:r>
        <w:rPr>
          <w:sz w:val="20"/>
        </w:rPr>
        <w:t xml:space="preserve"> настоящего Решения, а также своевременность их представления в порядке, установленном законодательством Российской Федерации и законодательством Ставропольского края.</w:t>
      </w:r>
    </w:p>
    <w:p>
      <w:pPr>
        <w:pStyle w:val="1"/>
        <w:spacing w:before="200" w:line-rule="auto"/>
        <w:jc w:val="both"/>
      </w:pPr>
      <w:r>
        <w:rPr>
          <w:sz w:val="20"/>
        </w:rPr>
        <w:t xml:space="preserve">    28.  Контроль  за  соблюдением  получателем  целей,  условий  и порядка</w:t>
      </w:r>
    </w:p>
    <w:p>
      <w:pPr>
        <w:pStyle w:val="1"/>
        <w:jc w:val="both"/>
      </w:pPr>
      <w:r>
        <w:rPr>
          <w:sz w:val="20"/>
        </w:rPr>
        <w:t xml:space="preserve">предоставления  гранта, в том числе в части достижения значения результата,</w:t>
      </w:r>
    </w:p>
    <w:p>
      <w:pPr>
        <w:pStyle w:val="1"/>
        <w:jc w:val="both"/>
      </w:pPr>
      <w:r>
        <w:rPr>
          <w:sz w:val="20"/>
        </w:rPr>
        <w:t xml:space="preserve">установленного  соглашением, осуществляется министерством, а также органами</w:t>
      </w:r>
    </w:p>
    <w:p>
      <w:pPr>
        <w:pStyle w:val="1"/>
        <w:jc w:val="both"/>
      </w:pPr>
      <w:r>
        <w:rPr>
          <w:sz w:val="20"/>
        </w:rPr>
        <w:t xml:space="preserve">                                                                        1</w:t>
      </w:r>
    </w:p>
    <w:p>
      <w:pPr>
        <w:pStyle w:val="1"/>
        <w:jc w:val="both"/>
      </w:pPr>
      <w:r>
        <w:rPr>
          <w:sz w:val="20"/>
        </w:rPr>
        <w:t xml:space="preserve">государственного  финансового  контроля  в  соответствии со </w:t>
      </w:r>
      <w:hyperlink w:history="0" r:id="rId34"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35"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молодежной политики Ставропольского края от 01.02.2024 N 01-10/5 о/д</w:t>
            <w:br/>
            <w:t>"Об утверждении Решения о поряд...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169" TargetMode = "External"/>
	<Relationship Id="rId8" Type="http://schemas.openxmlformats.org/officeDocument/2006/relationships/hyperlink" Target="https://login.consultant.ru/link/?req=doc&amp;base=LAW&amp;n=463136&amp;dst=100022" TargetMode = "External"/>
	<Relationship Id="rId9" Type="http://schemas.openxmlformats.org/officeDocument/2006/relationships/hyperlink" Target="https://login.consultant.ru/link/?req=doc&amp;base=RLAW077&amp;n=210492" TargetMode = "External"/>
	<Relationship Id="rId10" Type="http://schemas.openxmlformats.org/officeDocument/2006/relationships/hyperlink" Target="https://login.consultant.ru/link/?req=doc&amp;base=LAW&amp;n=463136&amp;dst=100032" TargetMode = "External"/>
	<Relationship Id="rId11" Type="http://schemas.openxmlformats.org/officeDocument/2006/relationships/hyperlink" Target="https://login.consultant.ru/link/?req=doc&amp;base=RLAW077&amp;n=217286&amp;dst=100020" TargetMode = "External"/>
	<Relationship Id="rId12" Type="http://schemas.openxmlformats.org/officeDocument/2006/relationships/hyperlink" Target="https://login.consultant.ru/link/?req=doc&amp;base=RLAW077&amp;n=220195" TargetMode = "External"/>
	<Relationship Id="rId13" Type="http://schemas.openxmlformats.org/officeDocument/2006/relationships/hyperlink" Target="https://login.consultant.ru/link/?req=doc&amp;base=LAW&amp;n=319308" TargetMode = "External"/>
	<Relationship Id="rId14" Type="http://schemas.openxmlformats.org/officeDocument/2006/relationships/hyperlink" Target="https://login.consultant.ru/link/?req=doc&amp;base=LAW&amp;n=464120&amp;dst=100019" TargetMode = "External"/>
	<Relationship Id="rId15" Type="http://schemas.openxmlformats.org/officeDocument/2006/relationships/hyperlink" Target="https://login.consultant.ru/link/?req=doc&amp;base=LAW&amp;n=463135&amp;dst=100021" TargetMode = "External"/>
	<Relationship Id="rId16" Type="http://schemas.openxmlformats.org/officeDocument/2006/relationships/hyperlink" Target="https://login.consultant.ru/link/?req=doc&amp;base=LAW&amp;n=463136&amp;dst=100122" TargetMode = "External"/>
	<Relationship Id="rId17" Type="http://schemas.openxmlformats.org/officeDocument/2006/relationships/hyperlink" Target="https://login.consultant.ru/link/?req=doc&amp;base=LAW&amp;n=463136&amp;dst=100132" TargetMode = "External"/>
	<Relationship Id="rId18" Type="http://schemas.openxmlformats.org/officeDocument/2006/relationships/hyperlink" Target="https://login.consultant.ru/link/?req=doc&amp;base=LAW&amp;n=463136&amp;dst=100134" TargetMode = "External"/>
	<Relationship Id="rId19" Type="http://schemas.openxmlformats.org/officeDocument/2006/relationships/hyperlink" Target="https://login.consultant.ru/link/?req=doc&amp;base=LAW&amp;n=463136&amp;dst=100154" TargetMode = "External"/>
	<Relationship Id="rId20" Type="http://schemas.openxmlformats.org/officeDocument/2006/relationships/hyperlink" Target="https://login.consultant.ru/link/?req=doc&amp;base=LAW&amp;n=463136&amp;dst=100155" TargetMode = "External"/>
	<Relationship Id="rId21" Type="http://schemas.openxmlformats.org/officeDocument/2006/relationships/hyperlink" Target="https://login.consultant.ru/link/?req=doc&amp;base=LAW&amp;n=463136&amp;dst=100157" TargetMode = "External"/>
	<Relationship Id="rId22" Type="http://schemas.openxmlformats.org/officeDocument/2006/relationships/hyperlink" Target="https://login.consultant.ru/link/?req=doc&amp;base=LAW&amp;n=463136&amp;dst=100107" TargetMode = "External"/>
	<Relationship Id="rId23" Type="http://schemas.openxmlformats.org/officeDocument/2006/relationships/hyperlink" Target="https://login.consultant.ru/link/?req=doc&amp;base=LAW&amp;n=463136&amp;dst=100110" TargetMode = "External"/>
	<Relationship Id="rId24" Type="http://schemas.openxmlformats.org/officeDocument/2006/relationships/hyperlink" Target="https://login.consultant.ru/link/?req=doc&amp;base=LAW&amp;n=463136&amp;dst=100113" TargetMode = "External"/>
	<Relationship Id="rId25" Type="http://schemas.openxmlformats.org/officeDocument/2006/relationships/hyperlink" Target="https://login.consultant.ru/link/?req=doc&amp;base=LAW&amp;n=463136&amp;dst=100153" TargetMode = "External"/>
	<Relationship Id="rId26" Type="http://schemas.openxmlformats.org/officeDocument/2006/relationships/hyperlink" Target="https://login.consultant.ru/link/?req=doc&amp;base=LAW&amp;n=463136&amp;dst=100155" TargetMode = "External"/>
	<Relationship Id="rId27" Type="http://schemas.openxmlformats.org/officeDocument/2006/relationships/hyperlink" Target="https://login.consultant.ru/link/?req=doc&amp;base=LAW&amp;n=463136&amp;dst=100157" TargetMode = "External"/>
	<Relationship Id="rId28" Type="http://schemas.openxmlformats.org/officeDocument/2006/relationships/hyperlink" Target="https://login.consultant.ru/link/?req=doc&amp;base=LAW&amp;n=463136&amp;dst=100166" TargetMode = "External"/>
	<Relationship Id="rId29" Type="http://schemas.openxmlformats.org/officeDocument/2006/relationships/hyperlink" Target="https://login.consultant.ru/link/?req=doc&amp;base=LAW&amp;n=463136&amp;dst=100168" TargetMode = "External"/>
	<Relationship Id="rId30" Type="http://schemas.openxmlformats.org/officeDocument/2006/relationships/hyperlink" Target="https://login.consultant.ru/link/?req=doc&amp;base=LAW&amp;n=463136&amp;dst=100204" TargetMode = "External"/>
	<Relationship Id="rId31" Type="http://schemas.openxmlformats.org/officeDocument/2006/relationships/hyperlink" Target="https://login.consultant.ru/link/?req=doc&amp;base=LAW&amp;n=463136&amp;dst=100186" TargetMode = "External"/>
	<Relationship Id="rId32" Type="http://schemas.openxmlformats.org/officeDocument/2006/relationships/hyperlink" Target="https://login.consultant.ru/link/?req=doc&amp;base=LAW&amp;n=463136&amp;dst=100196" TargetMode = "External"/>
	<Relationship Id="rId33" Type="http://schemas.openxmlformats.org/officeDocument/2006/relationships/hyperlink" Target="https://login.consultant.ru/link/?req=doc&amp;base=LAW&amp;n=463136&amp;dst=100199" TargetMode = "External"/>
	<Relationship Id="rId34" Type="http://schemas.openxmlformats.org/officeDocument/2006/relationships/hyperlink" Target="https://login.consultant.ru/link/?req=doc&amp;base=LAW&amp;n=470713&amp;dst=3704" TargetMode = "External"/>
	<Relationship Id="rId35"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молодежной политики Ставропольского края от 01.02.2024 N 01-10/5 о/д
"Об утверждении Решения о порядке предоставления в 2024 году из бюджета Ставропольского края грантов в форме субсидий некоммерческим организациям, не являющимся казенными учреждениями, на финансовое обеспечение мероприятий, связанных с реализацией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dc:title>
  <dcterms:created xsi:type="dcterms:W3CDTF">2024-05-20T17:35:58Z</dcterms:created>
</cp:coreProperties>
</file>