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0"/>
              </w:rPr>
              <w:t xml:space="preserve">Постановление Правительства Свердловской области от 21.08.2025 N 472-ПП</w:t>
              <w:br/>
              <w:t xml:space="preserve">"Об утверждении порядков предоставления грантов в форме субсидий некоммерческим организациям, осуществляющим деятельность в сфере культуры и искусства, в целях реализации творческих проектов"</w:t>
              <w:br/>
              <w:t xml:space="preserve">(вместе с "Порядком предоставления грантов в форме субсидий на оказание государственной поддержки в сфере культуры и искусства организациям культуры и искусства", "Порядком предоставления грантов в форме субсидий на реализацию всероссийских и международных творческих проектов в области музыкального и театрального искусства", "Порядком предоставления грантов в форме субсидий некоммерческим организациям, не являющимся государственными и муниципальными учреждениями, в сфере культуры")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СВЕРДЛОВСКОЙ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21 августа 2025 г. N 472-ПП</w:t>
      </w:r>
    </w:p>
    <w:p>
      <w:pPr>
        <w:pStyle w:val="2"/>
        <w:jc w:val="center"/>
      </w:pPr>
      <w:r>
        <w:rPr>
          <w:sz w:val="20"/>
        </w:rPr>
      </w:r>
    </w:p>
    <w:p>
      <w:pPr>
        <w:pStyle w:val="2"/>
        <w:jc w:val="center"/>
      </w:pPr>
      <w:r>
        <w:rPr>
          <w:sz w:val="20"/>
        </w:rPr>
        <w:t xml:space="preserve">ОБ УТВЕРЖДЕНИИ ПОРЯДКОВ ПРЕДОСТАВЛЕНИЯ ГРАНТОВ В ФОРМЕ</w:t>
      </w:r>
    </w:p>
    <w:p>
      <w:pPr>
        <w:pStyle w:val="2"/>
        <w:jc w:val="center"/>
      </w:pPr>
      <w:r>
        <w:rPr>
          <w:sz w:val="20"/>
        </w:rPr>
        <w:t xml:space="preserve">СУБСИДИЙ НЕКОММЕРЧЕСКИМ ОРГАНИЗАЦИЯМ, ОСУЩЕСТВЛЯЮЩИМ</w:t>
      </w:r>
    </w:p>
    <w:p>
      <w:pPr>
        <w:pStyle w:val="2"/>
        <w:jc w:val="center"/>
      </w:pPr>
      <w:r>
        <w:rPr>
          <w:sz w:val="20"/>
        </w:rPr>
        <w:t xml:space="preserve">ДЕЯТЕЛЬНОСТЬ В СФЕРЕ КУЛЬТУРЫ И ИСКУССТВА,</w:t>
      </w:r>
    </w:p>
    <w:p>
      <w:pPr>
        <w:pStyle w:val="2"/>
        <w:jc w:val="center"/>
      </w:pPr>
      <w:r>
        <w:rPr>
          <w:sz w:val="20"/>
        </w:rPr>
        <w:t xml:space="preserve">В ЦЕЛЯХ РЕАЛИЗАЦИИ ТВОРЧЕСКИХ ПРОЕКТОВ</w:t>
      </w:r>
    </w:p>
    <w:p>
      <w:pPr>
        <w:pStyle w:val="0"/>
        <w:ind w:firstLine="540"/>
        <w:jc w:val="both"/>
      </w:pPr>
      <w:r>
        <w:rPr>
          <w:sz w:val="20"/>
        </w:rPr>
      </w:r>
    </w:p>
    <w:p>
      <w:pPr>
        <w:pStyle w:val="0"/>
        <w:ind w:firstLine="540"/>
        <w:jc w:val="both"/>
      </w:pPr>
      <w:r>
        <w:rPr>
          <w:sz w:val="20"/>
        </w:rPr>
        <w:t xml:space="preserve">В соответствии с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пунктами 2</w:t>
        </w:r>
      </w:hyperlink>
      <w:r>
        <w:rPr>
          <w:sz w:val="20"/>
        </w:rPr>
        <w:t xml:space="preserve"> и </w:t>
      </w:r>
      <w:hyperlink w:history="0" r:id="rId9" w:tooltip="&quot;Бюджетный кодекс Российской Федерации&quot; от 31.07.1998 N 145-ФЗ (ред. от 28.11.2025) ------------ Недействующая редакция {КонсультантПлюс}">
        <w:r>
          <w:rPr>
            <w:sz w:val="20"/>
            <w:color w:val="0000ff"/>
          </w:rPr>
          <w:t xml:space="preserve">4 статьи 78.1</w:t>
        </w:r>
      </w:hyperlink>
      <w:r>
        <w:rPr>
          <w:sz w:val="20"/>
        </w:rPr>
        <w:t xml:space="preserve"> Бюджетного кодекса Российской Федерации, </w:t>
      </w:r>
      <w:hyperlink w:history="0" r:id="rId10"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в целях реализации </w:t>
      </w:r>
      <w:hyperlink w:history="0" r:id="rId11" w:tooltip="Постановление Правительства Свердловской области от 21.10.2013 N 1268-ПП (ред. от 24.12.2025) &quot;Об утверждении государственной программы Свердловской области &quot;Развитие культуры в Свердловской области&quot; {КонсультантПлюс}">
        <w:r>
          <w:rPr>
            <w:sz w:val="20"/>
            <w:color w:val="0000ff"/>
          </w:rPr>
          <w:t xml:space="preserve">Постановления</w:t>
        </w:r>
      </w:hyperlink>
      <w:r>
        <w:rPr>
          <w:sz w:val="20"/>
        </w:rPr>
        <w:t xml:space="preserve"> Правительства Свердловской области от 21.10.2013 N 1268-ПП "Об утверждении государственной программы Свердловской области "Развитие культуры в Свердловской области" Правительство Свердловской области постановляет:</w:t>
      </w:r>
    </w:p>
    <w:p>
      <w:pPr>
        <w:pStyle w:val="0"/>
        <w:spacing w:before="200" w:lineRule="auto"/>
        <w:ind w:firstLine="540"/>
        <w:jc w:val="both"/>
      </w:pPr>
      <w:r>
        <w:rPr>
          <w:sz w:val="20"/>
        </w:rPr>
        <w:t xml:space="preserve">1. Утвердить:</w:t>
      </w:r>
    </w:p>
    <w:p>
      <w:pPr>
        <w:pStyle w:val="0"/>
        <w:spacing w:before="200" w:lineRule="auto"/>
        <w:ind w:firstLine="540"/>
        <w:jc w:val="both"/>
      </w:pPr>
      <w:r>
        <w:rPr>
          <w:sz w:val="20"/>
        </w:rPr>
        <w:t xml:space="preserve">1) </w:t>
      </w:r>
      <w:hyperlink w:history="0" w:anchor="P40" w:tooltip="ПОРЯДОК">
        <w:r>
          <w:rPr>
            <w:sz w:val="20"/>
            <w:color w:val="0000ff"/>
          </w:rPr>
          <w:t xml:space="preserve">Порядок</w:t>
        </w:r>
      </w:hyperlink>
      <w:r>
        <w:rPr>
          <w:sz w:val="20"/>
        </w:rPr>
        <w:t xml:space="preserve"> предоставления грантов в форме субсидий на оказание государственной поддержки в сфере культуры и искусства организациям культуры и искусства (прилагается);</w:t>
      </w:r>
    </w:p>
    <w:p>
      <w:pPr>
        <w:pStyle w:val="0"/>
        <w:spacing w:before="200" w:lineRule="auto"/>
        <w:ind w:firstLine="540"/>
        <w:jc w:val="both"/>
      </w:pPr>
      <w:r>
        <w:rPr>
          <w:sz w:val="20"/>
        </w:rPr>
        <w:t xml:space="preserve">2) </w:t>
      </w:r>
      <w:hyperlink w:history="0" w:anchor="P361" w:tooltip="ПОРЯДОК">
        <w:r>
          <w:rPr>
            <w:sz w:val="20"/>
            <w:color w:val="0000ff"/>
          </w:rPr>
          <w:t xml:space="preserve">Порядок</w:t>
        </w:r>
      </w:hyperlink>
      <w:r>
        <w:rPr>
          <w:sz w:val="20"/>
        </w:rPr>
        <w:t xml:space="preserve"> предоставления грантов в форме субсидий на реализацию всероссийских и международных творческих проектов в области музыкального и театрального искусства (прилагается);</w:t>
      </w:r>
    </w:p>
    <w:p>
      <w:pPr>
        <w:pStyle w:val="0"/>
        <w:spacing w:before="200" w:lineRule="auto"/>
        <w:ind w:firstLine="540"/>
        <w:jc w:val="both"/>
      </w:pPr>
      <w:r>
        <w:rPr>
          <w:sz w:val="20"/>
        </w:rPr>
        <w:t xml:space="preserve">3) </w:t>
      </w:r>
      <w:hyperlink w:history="0" w:anchor="P677" w:tooltip="ПОРЯДОК">
        <w:r>
          <w:rPr>
            <w:sz w:val="20"/>
            <w:color w:val="0000ff"/>
          </w:rPr>
          <w:t xml:space="preserve">Порядок</w:t>
        </w:r>
      </w:hyperlink>
      <w:r>
        <w:rPr>
          <w:sz w:val="20"/>
        </w:rPr>
        <w:t xml:space="preserve"> предоставления грантов в форме субсидий некоммерческим организациям, не являющимся государственными и муниципальными учреждениями, в сфере культуры (прилагается).</w:t>
      </w:r>
    </w:p>
    <w:p>
      <w:pPr>
        <w:pStyle w:val="0"/>
        <w:spacing w:before="200" w:lineRule="auto"/>
        <w:ind w:firstLine="540"/>
        <w:jc w:val="both"/>
      </w:pPr>
      <w:r>
        <w:rPr>
          <w:sz w:val="20"/>
        </w:rPr>
        <w:t xml:space="preserve">2. Контроль за исполнением настоящего Постановления возложить на Заместителя Губернатора Свердловской области - Министра здравоохранения Свердловской области Т.Л. Савинову.</w:t>
      </w:r>
    </w:p>
    <w:p>
      <w:pPr>
        <w:pStyle w:val="0"/>
        <w:spacing w:before="200" w:lineRule="auto"/>
        <w:ind w:firstLine="540"/>
        <w:jc w:val="both"/>
      </w:pPr>
      <w:r>
        <w:rPr>
          <w:sz w:val="20"/>
        </w:rPr>
        <w:t xml:space="preserve">3. Настоящее Постановление вступает в силу на следующий день после его официального опубликования.</w:t>
      </w:r>
    </w:p>
    <w:p>
      <w:pPr>
        <w:pStyle w:val="0"/>
        <w:spacing w:before="200" w:lineRule="auto"/>
        <w:ind w:firstLine="540"/>
        <w:jc w:val="both"/>
      </w:pPr>
      <w:r>
        <w:rPr>
          <w:sz w:val="20"/>
        </w:rPr>
        <w:t xml:space="preserve">4. Установить, что </w:t>
      </w:r>
      <w:hyperlink w:history="0" r:id="rId12" w:tooltip="Постановление Правительства Свердловской области от 27.05.2021 N 314-ПП (ред. от 27.12.2022) &quot;Об утверждении Порядка предоставления грантов в форме субсидий на оказание государственной поддержки в сфере культуры и искусства организациям культуры и искусства и Порядка предоставления грантов в форме субсидий на реализацию всероссийских и международных творческих проектов в области музыкального и театрального искусства&quot; (с изм. и доп., вступающими в силу с 01.01.2023) {КонсультантПлюс}">
        <w:r>
          <w:rPr>
            <w:sz w:val="20"/>
            <w:color w:val="0000ff"/>
          </w:rPr>
          <w:t xml:space="preserve">Постановление</w:t>
        </w:r>
      </w:hyperlink>
      <w:r>
        <w:rPr>
          <w:sz w:val="20"/>
        </w:rPr>
        <w:t xml:space="preserve"> Правительства Свердловской области от 27.05.2021 N 314-ПП "Об утверждении Порядка предоставления грантов в форме субсидий на оказание государственной поддержки в сфере культуры и искусства организациям культуры и искусства и Порядка предоставления грантов в форме субсидий на реализацию всероссийских и международных творческих проектов в области музыкального и театрального искусства" применяется к отношениям по предоставлению грантов в форме субсидий на оказание государственной поддержки в сфере культуры и искусства организациям культуры и искусства и грантов в форме субсидий на реализацию всероссийских и международных творческих проектов в области музыкального и театрального искусства, возникшим до 30 марта 2025 года.</w:t>
      </w:r>
    </w:p>
    <w:p>
      <w:pPr>
        <w:pStyle w:val="0"/>
        <w:spacing w:before="200" w:lineRule="auto"/>
        <w:ind w:firstLine="540"/>
        <w:jc w:val="both"/>
      </w:pPr>
      <w:r>
        <w:rPr>
          <w:sz w:val="20"/>
        </w:rPr>
        <w:t xml:space="preserve">5. Настоящее Постановление опубликовать на "Официальном интернет-портале правовой информации Свердловской области" (</w:t>
      </w:r>
      <w:hyperlink w:history="0" r:id="rId13">
        <w:r>
          <w:rPr>
            <w:sz w:val="20"/>
            <w:color w:val="0000ff"/>
          </w:rPr>
          <w:t xml:space="preserve">www.pravo.gov66.ru</w:t>
        </w:r>
      </w:hyperlink>
      <w:r>
        <w:rPr>
          <w:sz w:val="20"/>
        </w:rPr>
        <w:t xml:space="preserve">).</w:t>
      </w:r>
    </w:p>
    <w:p>
      <w:pPr>
        <w:pStyle w:val="0"/>
        <w:ind w:firstLine="54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Губернатора Свердловской области</w:t>
      </w:r>
    </w:p>
    <w:p>
      <w:pPr>
        <w:pStyle w:val="0"/>
        <w:jc w:val="right"/>
      </w:pPr>
      <w:r>
        <w:rPr>
          <w:sz w:val="20"/>
        </w:rPr>
        <w:t xml:space="preserve">Д.В.ПАСЛЕР</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Свердловской области</w:t>
      </w:r>
    </w:p>
    <w:p>
      <w:pPr>
        <w:pStyle w:val="0"/>
        <w:jc w:val="right"/>
      </w:pPr>
      <w:r>
        <w:rPr>
          <w:sz w:val="20"/>
        </w:rPr>
        <w:t xml:space="preserve">от 21 августа 2025 г. N 472-ПП</w:t>
      </w:r>
    </w:p>
    <w:p>
      <w:pPr>
        <w:pStyle w:val="0"/>
        <w:jc w:val="right"/>
      </w:pPr>
      <w:r>
        <w:rPr>
          <w:sz w:val="20"/>
        </w:rPr>
        <w:t xml:space="preserve">"Об утверждении порядков</w:t>
      </w:r>
    </w:p>
    <w:p>
      <w:pPr>
        <w:pStyle w:val="0"/>
        <w:jc w:val="right"/>
      </w:pPr>
      <w:r>
        <w:rPr>
          <w:sz w:val="20"/>
        </w:rPr>
        <w:t xml:space="preserve">предоставления грантов в форме</w:t>
      </w:r>
    </w:p>
    <w:p>
      <w:pPr>
        <w:pStyle w:val="0"/>
        <w:jc w:val="right"/>
      </w:pPr>
      <w:r>
        <w:rPr>
          <w:sz w:val="20"/>
        </w:rPr>
        <w:t xml:space="preserve">субсидий некоммерческим организациям,</w:t>
      </w:r>
    </w:p>
    <w:p>
      <w:pPr>
        <w:pStyle w:val="0"/>
        <w:jc w:val="right"/>
      </w:pPr>
      <w:r>
        <w:rPr>
          <w:sz w:val="20"/>
        </w:rPr>
        <w:t xml:space="preserve">осуществляющим деятельность</w:t>
      </w:r>
    </w:p>
    <w:p>
      <w:pPr>
        <w:pStyle w:val="0"/>
        <w:jc w:val="right"/>
      </w:pPr>
      <w:r>
        <w:rPr>
          <w:sz w:val="20"/>
        </w:rPr>
        <w:t xml:space="preserve">в сфере культуры и искусства,</w:t>
      </w:r>
    </w:p>
    <w:p>
      <w:pPr>
        <w:pStyle w:val="0"/>
        <w:jc w:val="right"/>
      </w:pPr>
      <w:r>
        <w:rPr>
          <w:sz w:val="20"/>
        </w:rPr>
        <w:t xml:space="preserve">в целях реализации творческих проектов"</w:t>
      </w:r>
    </w:p>
    <w:p>
      <w:pPr>
        <w:pStyle w:val="0"/>
        <w:ind w:firstLine="540"/>
        <w:jc w:val="both"/>
      </w:pPr>
      <w:r>
        <w:rPr>
          <w:sz w:val="20"/>
        </w:rPr>
      </w:r>
    </w:p>
    <w:bookmarkStart w:id="40" w:name="P40"/>
    <w:bookmarkEnd w:id="40"/>
    <w:p>
      <w:pPr>
        <w:pStyle w:val="2"/>
        <w:jc w:val="center"/>
      </w:pPr>
      <w:r>
        <w:rPr>
          <w:sz w:val="20"/>
        </w:rPr>
        <w:t xml:space="preserve">ПОРЯДОК</w:t>
      </w:r>
    </w:p>
    <w:p>
      <w:pPr>
        <w:pStyle w:val="2"/>
        <w:jc w:val="center"/>
      </w:pPr>
      <w:r>
        <w:rPr>
          <w:sz w:val="20"/>
        </w:rPr>
        <w:t xml:space="preserve">ПРЕДОСТАВЛЕНИЯ ГРАНТОВ В ФОРМЕ СУБСИДИЙ НА ОКАЗАНИЕ</w:t>
      </w:r>
    </w:p>
    <w:p>
      <w:pPr>
        <w:pStyle w:val="2"/>
        <w:jc w:val="center"/>
      </w:pPr>
      <w:r>
        <w:rPr>
          <w:sz w:val="20"/>
        </w:rPr>
        <w:t xml:space="preserve">ГОСУДАРСТВЕННОЙ ПОДДЕРЖКИ В СФЕРЕ КУЛЬТУРЫ И ИСКУССТВА</w:t>
      </w:r>
    </w:p>
    <w:p>
      <w:pPr>
        <w:pStyle w:val="2"/>
        <w:jc w:val="center"/>
      </w:pPr>
      <w:r>
        <w:rPr>
          <w:sz w:val="20"/>
        </w:rPr>
        <w:t xml:space="preserve">ОРГАНИЗАЦИЯМ КУЛЬТУРЫ И ИСКУССТВА</w:t>
      </w:r>
    </w:p>
    <w:p>
      <w:pPr>
        <w:pStyle w:val="0"/>
        <w:ind w:firstLine="540"/>
        <w:jc w:val="both"/>
      </w:pPr>
      <w:r>
        <w:rPr>
          <w:sz w:val="20"/>
        </w:rPr>
      </w:r>
    </w:p>
    <w:p>
      <w:pPr>
        <w:pStyle w:val="2"/>
        <w:outlineLvl w:val="1"/>
        <w:jc w:val="center"/>
      </w:pPr>
      <w:r>
        <w:rPr>
          <w:sz w:val="20"/>
        </w:rPr>
        <w:t xml:space="preserve">Глава 1. ОБЩИЕ ПОЛОЖЕНИЯ</w:t>
      </w:r>
    </w:p>
    <w:p>
      <w:pPr>
        <w:pStyle w:val="0"/>
        <w:ind w:firstLine="540"/>
        <w:jc w:val="both"/>
      </w:pPr>
      <w:r>
        <w:rPr>
          <w:sz w:val="20"/>
        </w:rPr>
      </w:r>
    </w:p>
    <w:p>
      <w:pPr>
        <w:pStyle w:val="0"/>
        <w:ind w:firstLine="540"/>
        <w:jc w:val="both"/>
      </w:pPr>
      <w:r>
        <w:rPr>
          <w:sz w:val="20"/>
        </w:rPr>
        <w:t xml:space="preserve">1. Настоящий порядок определяет условия и порядок предоставления грантов в форме субсидий на оказание государственной поддержки в сфере культуры и искусства организациям культуры и искусства (далее - гранты), регламентирует порядок проведения конкурсного отбора на предоставление грантов (далее - конкурсный отбор), устанавливает требования к отчетности организаций культуры и искусства (далее - организации) и требования об осуществлении контроля за соблюдением условий и порядка предоставления грантов и ответственность за их нарушение.</w:t>
      </w:r>
    </w:p>
    <w:p>
      <w:pPr>
        <w:pStyle w:val="0"/>
        <w:spacing w:before="200" w:lineRule="auto"/>
        <w:ind w:firstLine="540"/>
        <w:jc w:val="both"/>
      </w:pPr>
      <w:r>
        <w:rPr>
          <w:sz w:val="20"/>
        </w:rPr>
        <w:t xml:space="preserve">2. Настоящий порядок разработан в соответствии с Бюджетным </w:t>
      </w:r>
      <w:hyperlink w:history="0" r:id="rId14" w:tooltip="&quot;Бюджетный кодекс Российской Федерации&quot; от 31.07.1998 N 145-ФЗ (ред. от 28.11.2025) ------------ Недействующая редакция {КонсультантПлюс}">
        <w:r>
          <w:rPr>
            <w:sz w:val="20"/>
            <w:color w:val="0000ff"/>
          </w:rPr>
          <w:t xml:space="preserve">кодексом</w:t>
        </w:r>
      </w:hyperlink>
      <w:r>
        <w:rPr>
          <w:sz w:val="20"/>
        </w:rPr>
        <w:t xml:space="preserve"> Российской Федерации, </w:t>
      </w:r>
      <w:hyperlink w:history="0" r:id="rId15"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в целях обеспечения реализации мероприятий государственной </w:t>
      </w:r>
      <w:hyperlink w:history="0" r:id="rId16" w:tooltip="Постановление Правительства Свердловской области от 21.10.2013 N 1268-ПП (ред. от 24.12.2025) &quot;Об утверждении государственной программы Свердловской области &quot;Развитие культуры в Свердловской области&quot; {КонсультантПлюс}">
        <w:r>
          <w:rPr>
            <w:sz w:val="20"/>
            <w:color w:val="0000ff"/>
          </w:rPr>
          <w:t xml:space="preserve">программы</w:t>
        </w:r>
      </w:hyperlink>
      <w:r>
        <w:rPr>
          <w:sz w:val="20"/>
        </w:rPr>
        <w:t xml:space="preserve"> Свердловской области "Развитие культуры в Свердловской области", утвержденной Постановлением Правительства Свердловской области от 21.10.2013 N 1268-ПП "Об утверждении государственной программы Свердловской области "Развитие культуры в Свердловской области".</w:t>
      </w:r>
    </w:p>
    <w:p>
      <w:pPr>
        <w:pStyle w:val="0"/>
        <w:spacing w:before="200" w:lineRule="auto"/>
        <w:ind w:firstLine="540"/>
        <w:jc w:val="both"/>
      </w:pPr>
      <w:r>
        <w:rPr>
          <w:sz w:val="20"/>
        </w:rPr>
        <w:t xml:space="preserve">3. Предоставление грантов осуществляется за счет средств областного бюджета в соответствии с законом Свердловской области об областном бюджете на соответствующий финансовый год и плановый период в пределах лимитов бюджетных обязательств с целью реализации творческих проектов в сфере культуры в Свердловской области в рамках осуществления видов деятельности, предусмотренных </w:t>
      </w:r>
      <w:hyperlink w:history="0" r:id="rId17" w:tooltip="Федеральный закон от 12.01.1996 N 7-ФЗ (ред. от 28.11.2025) &quot;О некоммерческих организациях&quot; (с изм. и доп., вступ. в силу с 14.12.2025) ------------ Недействующая редакция {КонсультантПлюс}">
        <w:r>
          <w:rPr>
            <w:sz w:val="20"/>
            <w:color w:val="0000ff"/>
          </w:rPr>
          <w:t xml:space="preserve">подпунктом 9 пункта 1 статьи 31.1</w:t>
        </w:r>
      </w:hyperlink>
      <w:r>
        <w:rPr>
          <w:sz w:val="20"/>
        </w:rPr>
        <w:t xml:space="preserve"> Федерального закона от 12 января 1996 года N 7-ФЗ "О некоммерческих организациях", по результатам конкурсного отбора.</w:t>
      </w:r>
    </w:p>
    <w:p>
      <w:pPr>
        <w:pStyle w:val="0"/>
        <w:spacing w:before="200" w:lineRule="auto"/>
        <w:ind w:firstLine="540"/>
        <w:jc w:val="both"/>
      </w:pPr>
      <w:r>
        <w:rPr>
          <w:sz w:val="20"/>
        </w:rPr>
        <w:t xml:space="preserve">Количество грантов и размер гранта на один проект определяются Министерством по каждому из направлений конкурсного отбора, указанных в </w:t>
      </w:r>
      <w:hyperlink w:history="0" w:anchor="P53"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 исходя из доведенных в установленном порядке лимитов бюджетных обязательств на предоставление грантов на соответствующий финансовый год.</w:t>
      </w:r>
    </w:p>
    <w:bookmarkStart w:id="51" w:name="P51"/>
    <w:bookmarkEnd w:id="51"/>
    <w:p>
      <w:pPr>
        <w:pStyle w:val="0"/>
        <w:spacing w:before="200" w:lineRule="auto"/>
        <w:ind w:firstLine="540"/>
        <w:jc w:val="both"/>
      </w:pPr>
      <w:r>
        <w:rPr>
          <w:sz w:val="20"/>
        </w:rPr>
        <w:t xml:space="preserve">4. Предоставление грантов осуществляется с целью финансового обеспечения затрат, связанных с реализацией организациями значимых для социокультурного развития Свердловской области творческих проектов в сфере театрального, музыкального, хореографического искусства, ориентированных на духовно-нравственное развитие личности и реализацию человеческого потенциала в условиях перехода к инновационному типу развития общества и экономики Свердловской области, а также на переход к качественно новому уровню функционирования отрасли культуры, направленному на реализацию в Свердловской области целей и задач </w:t>
      </w:r>
      <w:hyperlink w:history="0" r:id="rId18" w:tooltip="Распоряжение Правительства РФ от 11.09.2024 N 2501-р (ред. от 06.09.2025) &lt;Об утверждении Стратегии государственной культурной политики на период до 2030 года&gt; {КонсультантПлюс}">
        <w:r>
          <w:rPr>
            <w:sz w:val="20"/>
            <w:color w:val="0000ff"/>
          </w:rPr>
          <w:t xml:space="preserve">Стратегии</w:t>
        </w:r>
      </w:hyperlink>
      <w:r>
        <w:rPr>
          <w:sz w:val="20"/>
        </w:rPr>
        <w:t xml:space="preserve"> государственной культурной политики на период до 2030 года, утвержденной Распоряжением Правительства Российской Федерации от 11.09.2024 N 2501-р, разработанной во исполнение </w:t>
      </w:r>
      <w:hyperlink w:history="0" r:id="rId19" w:tooltip="Указ Президента РФ от 24.12.2014 N 808 (ред. от 17.07.2025) &quot;Об утверждении Основ государственной культурной политики&quot; {КонсультантПлюс}">
        <w:r>
          <w:rPr>
            <w:sz w:val="20"/>
            <w:color w:val="0000ff"/>
          </w:rPr>
          <w:t xml:space="preserve">Основ</w:t>
        </w:r>
      </w:hyperlink>
      <w:r>
        <w:rPr>
          <w:sz w:val="20"/>
        </w:rPr>
        <w:t xml:space="preserve"> государственной культурной политики, утвержденных Указом Президента Российской Федерации от 24 декабря 2014 года N 808 "Об утверждении Основ государственной культурной политики" (далее - проекты).</w:t>
      </w:r>
    </w:p>
    <w:p>
      <w:pPr>
        <w:pStyle w:val="0"/>
        <w:spacing w:before="200" w:lineRule="auto"/>
        <w:ind w:firstLine="540"/>
        <w:jc w:val="both"/>
      </w:pPr>
      <w:r>
        <w:rPr>
          <w:sz w:val="20"/>
        </w:rPr>
        <w:t xml:space="preserve">5. Исполнительным органом государственной власти Свердловской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грантов на соответствующий финансовый год и плановый период, является Министерство культуры Свердловской области (далее - Министерство).</w:t>
      </w:r>
    </w:p>
    <w:bookmarkStart w:id="53" w:name="P53"/>
    <w:bookmarkEnd w:id="53"/>
    <w:p>
      <w:pPr>
        <w:pStyle w:val="0"/>
        <w:spacing w:before="200" w:lineRule="auto"/>
        <w:ind w:firstLine="540"/>
        <w:jc w:val="both"/>
      </w:pPr>
      <w:r>
        <w:rPr>
          <w:sz w:val="20"/>
        </w:rPr>
        <w:t xml:space="preserve">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w:t>
      </w:r>
    </w:p>
    <w:p>
      <w:pPr>
        <w:pStyle w:val="0"/>
        <w:spacing w:before="200" w:lineRule="auto"/>
        <w:ind w:firstLine="540"/>
        <w:jc w:val="both"/>
      </w:pPr>
      <w:r>
        <w:rPr>
          <w:sz w:val="20"/>
        </w:rPr>
        <w:t xml:space="preserve">1) создание новых театральных постановок большой формы, организация и проведение межрегиональных, международных гастролей;</w:t>
      </w:r>
    </w:p>
    <w:p>
      <w:pPr>
        <w:pStyle w:val="0"/>
        <w:spacing w:before="200" w:lineRule="auto"/>
        <w:ind w:firstLine="540"/>
        <w:jc w:val="both"/>
      </w:pPr>
      <w:r>
        <w:rPr>
          <w:sz w:val="20"/>
        </w:rPr>
        <w:t xml:space="preserve">2) создание новых театральных постановок малой формы, концертных программ, других публичных представлений;</w:t>
      </w:r>
    </w:p>
    <w:p>
      <w:pPr>
        <w:pStyle w:val="0"/>
        <w:spacing w:before="200" w:lineRule="auto"/>
        <w:ind w:firstLine="540"/>
        <w:jc w:val="both"/>
      </w:pPr>
      <w:r>
        <w:rPr>
          <w:sz w:val="20"/>
        </w:rPr>
        <w:t xml:space="preserve">3) организация и проведение региональных, всероссийских, международных фестивалей, конкурсов в сфере театрального, музыкального, хореографического искусства; реализация инновационных проектов, направленных на укрепление единого культурного пространства в Свердловской области, в том числе создание интернет-центров, обеспечивающих прямые трансляции и многосторонние видеомосты для показа спектаклей, концертов, конкурсов, фестивалей, мастер-классов и других мероприятий.</w:t>
      </w:r>
    </w:p>
    <w:p>
      <w:pPr>
        <w:pStyle w:val="0"/>
        <w:spacing w:before="200" w:lineRule="auto"/>
        <w:ind w:firstLine="540"/>
        <w:jc w:val="both"/>
      </w:pPr>
      <w:r>
        <w:rPr>
          <w:sz w:val="20"/>
        </w:rPr>
        <w:t xml:space="preserve">7. Конкурсный отбор осуществляется на Портале предоставления мер финансовой государственной поддержки (</w:t>
      </w:r>
      <w:hyperlink w:history="0" r:id="rId20">
        <w:r>
          <w:rPr>
            <w:sz w:val="20"/>
            <w:color w:val="0000ff"/>
          </w:rPr>
          <w:t xml:space="preserve">https://promote.budget.gov.ru</w:t>
        </w:r>
      </w:hyperlink>
      <w:r>
        <w:rPr>
          <w:sz w:val="20"/>
        </w:rPr>
        <w:t xml:space="preserve">) в информационно-телекоммуникационной сети "Интернет" (далее - портал).</w:t>
      </w:r>
    </w:p>
    <w:p>
      <w:pPr>
        <w:pStyle w:val="0"/>
        <w:ind w:firstLine="540"/>
        <w:jc w:val="both"/>
      </w:pPr>
      <w:r>
        <w:rPr>
          <w:sz w:val="20"/>
        </w:rPr>
      </w:r>
    </w:p>
    <w:p>
      <w:pPr>
        <w:pStyle w:val="2"/>
        <w:outlineLvl w:val="1"/>
        <w:jc w:val="center"/>
      </w:pPr>
      <w:r>
        <w:rPr>
          <w:sz w:val="20"/>
        </w:rPr>
        <w:t xml:space="preserve">Глава 2. ПОРЯДОК ПРОВЕДЕНИЯ КОНКУРСНОГО ОТБОРА</w:t>
      </w:r>
    </w:p>
    <w:p>
      <w:pPr>
        <w:pStyle w:val="0"/>
        <w:ind w:firstLine="540"/>
        <w:jc w:val="both"/>
      </w:pPr>
      <w:r>
        <w:rPr>
          <w:sz w:val="20"/>
        </w:rPr>
      </w:r>
    </w:p>
    <w:p>
      <w:pPr>
        <w:pStyle w:val="0"/>
        <w:ind w:firstLine="540"/>
        <w:jc w:val="both"/>
      </w:pPr>
      <w:r>
        <w:rPr>
          <w:sz w:val="20"/>
        </w:rPr>
        <w:t xml:space="preserve">8. В целях организации и проведения конкурсного отбора Министерство:</w:t>
      </w:r>
    </w:p>
    <w:p>
      <w:pPr>
        <w:pStyle w:val="0"/>
        <w:spacing w:before="200" w:lineRule="auto"/>
        <w:ind w:firstLine="540"/>
        <w:jc w:val="both"/>
      </w:pPr>
      <w:r>
        <w:rPr>
          <w:sz w:val="20"/>
        </w:rPr>
        <w:t xml:space="preserve">1) издает и размещает на официальном сайте Министерства в информационно-телекоммуникационной сети "Интернет" (далее - сеть Интернет) приказ Министерства о проведении конкурсного отбора;</w:t>
      </w:r>
    </w:p>
    <w:p>
      <w:pPr>
        <w:pStyle w:val="0"/>
        <w:spacing w:before="200" w:lineRule="auto"/>
        <w:ind w:firstLine="540"/>
        <w:jc w:val="both"/>
      </w:pPr>
      <w:r>
        <w:rPr>
          <w:sz w:val="20"/>
        </w:rPr>
        <w:t xml:space="preserve">2) утверждает количество грантов по каждому из направлений конкурсного отбора, указанных в </w:t>
      </w:r>
      <w:hyperlink w:history="0" w:anchor="P53"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w:t>
      </w:r>
    </w:p>
    <w:p>
      <w:pPr>
        <w:pStyle w:val="0"/>
        <w:spacing w:before="200" w:lineRule="auto"/>
        <w:ind w:firstLine="540"/>
        <w:jc w:val="both"/>
      </w:pPr>
      <w:r>
        <w:rPr>
          <w:sz w:val="20"/>
        </w:rPr>
        <w:t xml:space="preserve">3) утверждает размер гранта на один проект по каждому из направлений конкурсного отбора, указанных в </w:t>
      </w:r>
      <w:hyperlink w:history="0" w:anchor="P53"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 исходя из доведенных в установленном порядке лимитов бюджетных обязательств на предоставление грантов на соответствующий финансовый год;</w:t>
      </w:r>
    </w:p>
    <w:p>
      <w:pPr>
        <w:pStyle w:val="0"/>
        <w:spacing w:before="200" w:lineRule="auto"/>
        <w:ind w:firstLine="540"/>
        <w:jc w:val="both"/>
      </w:pPr>
      <w:r>
        <w:rPr>
          <w:sz w:val="20"/>
        </w:rPr>
        <w:t xml:space="preserve">4) утверждает состав комиссии по проведению конкурсного отбора (далее - комиссия), состав экспертного совета по оценке заявок участников конкурсного отбора (далее - экспертный совет) и состав группы технического сопровождения;</w:t>
      </w:r>
    </w:p>
    <w:p>
      <w:pPr>
        <w:pStyle w:val="0"/>
        <w:spacing w:before="200" w:lineRule="auto"/>
        <w:ind w:firstLine="540"/>
        <w:jc w:val="both"/>
      </w:pPr>
      <w:r>
        <w:rPr>
          <w:sz w:val="20"/>
        </w:rPr>
        <w:t xml:space="preserve">5) размещает на портале реестр экспертов, входящих в состав экспертного совета (далее - эксперты), а также организует авторизацию экспертов на портале;</w:t>
      </w:r>
    </w:p>
    <w:p>
      <w:pPr>
        <w:pStyle w:val="0"/>
        <w:spacing w:before="200" w:lineRule="auto"/>
        <w:ind w:firstLine="540"/>
        <w:jc w:val="both"/>
      </w:pPr>
      <w:r>
        <w:rPr>
          <w:sz w:val="20"/>
        </w:rPr>
        <w:t xml:space="preserve">6) размещает не позднее одного рабочего дня до начала срока приема заявок участников конкурсного отбора (далее - заявки) объявление о проведении конкурсного отбора (далее - объявление) на портале, официальном сайте Министерства в сети Интернет и публичных страницах Министерства в социальных сетях;</w:t>
      </w:r>
    </w:p>
    <w:p>
      <w:pPr>
        <w:pStyle w:val="0"/>
        <w:spacing w:before="200" w:lineRule="auto"/>
        <w:ind w:firstLine="540"/>
        <w:jc w:val="both"/>
      </w:pPr>
      <w:r>
        <w:rPr>
          <w:sz w:val="20"/>
        </w:rPr>
        <w:t xml:space="preserve">7) размещает информацию о грантах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pPr>
        <w:pStyle w:val="0"/>
        <w:spacing w:before="200" w:lineRule="auto"/>
        <w:ind w:firstLine="540"/>
        <w:jc w:val="both"/>
      </w:pPr>
      <w:r>
        <w:rPr>
          <w:sz w:val="20"/>
        </w:rPr>
        <w:t xml:space="preserve">8) в течение 3 рабочих дней после даты окончания приема заявок в порядке межведомственного взаимодействия направляет запросы в исполнительные органы Свердловской области, которые являются главными администраторами доходов областного бюджета, для получения сведений о наличии или об отсутствии у участников конкурсного отбора дебиторской задолженности перед областным бюджетом;</w:t>
      </w:r>
    </w:p>
    <w:p>
      <w:pPr>
        <w:pStyle w:val="0"/>
        <w:spacing w:before="200" w:lineRule="auto"/>
        <w:ind w:firstLine="540"/>
        <w:jc w:val="both"/>
      </w:pPr>
      <w:r>
        <w:rPr>
          <w:sz w:val="20"/>
        </w:rPr>
        <w:t xml:space="preserve">9) размещает протоколы, формируемые в процессе проведения конкурсного отбора (протокол вскрытия заявок, протокол рассмотрения заявок, протокол подведения итогов конкурсного отбора), на портале не позднее одного рабочего дня, следующего за днем их подписания;</w:t>
      </w:r>
    </w:p>
    <w:p>
      <w:pPr>
        <w:pStyle w:val="0"/>
        <w:spacing w:before="200" w:lineRule="auto"/>
        <w:ind w:firstLine="540"/>
        <w:jc w:val="both"/>
      </w:pPr>
      <w:r>
        <w:rPr>
          <w:sz w:val="20"/>
        </w:rPr>
        <w:t xml:space="preserve">10) издает и размещает на официальном сайте Министерства в сети Интернет приказ Министерства о результатах конкурсного отбора в течение 5 рабочих дней со дня размещения на портале протокола подведения итогов конкурсного отбора.</w:t>
      </w:r>
    </w:p>
    <w:p>
      <w:pPr>
        <w:pStyle w:val="0"/>
        <w:spacing w:before="200" w:lineRule="auto"/>
        <w:ind w:firstLine="540"/>
        <w:jc w:val="both"/>
      </w:pPr>
      <w:r>
        <w:rPr>
          <w:sz w:val="20"/>
        </w:rPr>
        <w:t xml:space="preserve">9. Конкурсный отбор, в том числе подача заявки, а также иное взаимодействие между Министерством и участниками конкурсного отбора осуществляются в системе "Электронный бюджет".</w:t>
      </w:r>
    </w:p>
    <w:p>
      <w:pPr>
        <w:pStyle w:val="0"/>
        <w:spacing w:before="200" w:lineRule="auto"/>
        <w:ind w:firstLine="540"/>
        <w:jc w:val="both"/>
      </w:pPr>
      <w:r>
        <w:rPr>
          <w:sz w:val="20"/>
        </w:rPr>
        <w:t xml:space="preserve">Министерство обеспечивает участникам конкурсного отбора доступ к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10. Объявление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Министерства (уполномоченного им лица), публикуется на портале и включает в себя следующую информацию:</w:t>
      </w:r>
    </w:p>
    <w:p>
      <w:pPr>
        <w:pStyle w:val="0"/>
        <w:spacing w:before="200" w:lineRule="auto"/>
        <w:ind w:firstLine="540"/>
        <w:jc w:val="both"/>
      </w:pPr>
      <w:r>
        <w:rPr>
          <w:sz w:val="20"/>
        </w:rPr>
        <w:t xml:space="preserve">1) способ проведения конкурсного отбора;</w:t>
      </w:r>
    </w:p>
    <w:p>
      <w:pPr>
        <w:pStyle w:val="0"/>
        <w:spacing w:before="200" w:lineRule="auto"/>
        <w:ind w:firstLine="540"/>
        <w:jc w:val="both"/>
      </w:pPr>
      <w:r>
        <w:rPr>
          <w:sz w:val="20"/>
        </w:rPr>
        <w:t xml:space="preserve">2) количество грантов и размер гранта на реализацию одного проекта по каждому из направлений конкурсного отбора, указанных в </w:t>
      </w:r>
      <w:hyperlink w:history="0" w:anchor="P53"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w:t>
      </w:r>
    </w:p>
    <w:p>
      <w:pPr>
        <w:pStyle w:val="0"/>
        <w:spacing w:before="200" w:lineRule="auto"/>
        <w:ind w:firstLine="540"/>
        <w:jc w:val="both"/>
      </w:pPr>
      <w:r>
        <w:rPr>
          <w:sz w:val="20"/>
        </w:rPr>
        <w:t xml:space="preserve">3) сроки проведения конкурсного отбора;</w:t>
      </w:r>
    </w:p>
    <w:p>
      <w:pPr>
        <w:pStyle w:val="0"/>
        <w:spacing w:before="200" w:lineRule="auto"/>
        <w:ind w:firstLine="540"/>
        <w:jc w:val="both"/>
      </w:pPr>
      <w:r>
        <w:rPr>
          <w:sz w:val="20"/>
        </w:rPr>
        <w:t xml:space="preserve">4) даты начала подачи и окончания приема заявок, при этом дата окончания приема заявок не может быть ранее 30 календарного дня, следующего за днем размещения объявления;</w:t>
      </w:r>
    </w:p>
    <w:p>
      <w:pPr>
        <w:pStyle w:val="0"/>
        <w:spacing w:before="200" w:lineRule="auto"/>
        <w:ind w:firstLine="540"/>
        <w:jc w:val="both"/>
      </w:pPr>
      <w:r>
        <w:rPr>
          <w:sz w:val="20"/>
        </w:rPr>
        <w:t xml:space="preserve">5) наименование, место нахождения, почтовый адрес, адрес электронной почты, контактный телефон Министерства;</w:t>
      </w:r>
    </w:p>
    <w:p>
      <w:pPr>
        <w:pStyle w:val="0"/>
        <w:spacing w:before="200" w:lineRule="auto"/>
        <w:ind w:firstLine="540"/>
        <w:jc w:val="both"/>
      </w:pPr>
      <w:r>
        <w:rPr>
          <w:sz w:val="20"/>
        </w:rPr>
        <w:t xml:space="preserve">6) результат предоставления гранта;</w:t>
      </w:r>
    </w:p>
    <w:p>
      <w:pPr>
        <w:pStyle w:val="0"/>
        <w:spacing w:before="200" w:lineRule="auto"/>
        <w:ind w:firstLine="540"/>
        <w:jc w:val="both"/>
      </w:pPr>
      <w:r>
        <w:rPr>
          <w:sz w:val="20"/>
        </w:rPr>
        <w:t xml:space="preserve">7) доменное имя и (или) указатели страниц официального сайта Министерства в сети Интернет, публичных страниц Министерства в социальных сетях;</w:t>
      </w:r>
    </w:p>
    <w:p>
      <w:pPr>
        <w:pStyle w:val="0"/>
        <w:spacing w:before="200" w:lineRule="auto"/>
        <w:ind w:firstLine="540"/>
        <w:jc w:val="both"/>
      </w:pPr>
      <w:r>
        <w:rPr>
          <w:sz w:val="20"/>
        </w:rPr>
        <w:t xml:space="preserve">8) требования к участникам конкурсного отбора, указанные в </w:t>
      </w:r>
      <w:hyperlink w:history="0" w:anchor="P106"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9) порядок подачи участниками конкурсного отбора заявок и требования, предъявляемые к форме и содержанию заявок;</w:t>
      </w:r>
    </w:p>
    <w:p>
      <w:pPr>
        <w:pStyle w:val="0"/>
        <w:spacing w:before="200" w:lineRule="auto"/>
        <w:ind w:firstLine="540"/>
        <w:jc w:val="both"/>
      </w:pPr>
      <w:r>
        <w:rPr>
          <w:sz w:val="20"/>
        </w:rPr>
        <w:t xml:space="preserve">10) порядок отзыва заявок, включающий возможность или отсутствие возможности отзыва заявок, а также условия отзыва заявок;</w:t>
      </w:r>
    </w:p>
    <w:p>
      <w:pPr>
        <w:pStyle w:val="0"/>
        <w:spacing w:before="200" w:lineRule="auto"/>
        <w:ind w:firstLine="540"/>
        <w:jc w:val="both"/>
      </w:pPr>
      <w:r>
        <w:rPr>
          <w:sz w:val="20"/>
        </w:rPr>
        <w:t xml:space="preserve">11) порядок внесения изменений в заявки, включающий возможность или отсутствие возможности внесения изменений в заявки, а также условия внесения изменений в заявки;</w:t>
      </w:r>
    </w:p>
    <w:p>
      <w:pPr>
        <w:pStyle w:val="0"/>
        <w:spacing w:before="200" w:lineRule="auto"/>
        <w:ind w:firstLine="540"/>
        <w:jc w:val="both"/>
      </w:pPr>
      <w:r>
        <w:rPr>
          <w:sz w:val="20"/>
        </w:rPr>
        <w:t xml:space="preserve">12) порядок возврата участниками конкурсного отбора заявок, включающий возможность или отсутствие возможности возврата заявок;</w:t>
      </w:r>
    </w:p>
    <w:p>
      <w:pPr>
        <w:pStyle w:val="0"/>
        <w:spacing w:before="200" w:lineRule="auto"/>
        <w:ind w:firstLine="540"/>
        <w:jc w:val="both"/>
      </w:pPr>
      <w:r>
        <w:rPr>
          <w:sz w:val="20"/>
        </w:rPr>
        <w:t xml:space="preserve">13) порядок отклонения заявок, а также информацию об основании их отклонения, указанном в </w:t>
      </w:r>
      <w:hyperlink w:history="0" w:anchor="P176" w:tooltip="31. На стадии рассмотрения заявка отклоняется в случае несоответствия участника конкурсного отбора требованиям, указанным в пункте 14 настоящего порядка.">
        <w:r>
          <w:rPr>
            <w:sz w:val="20"/>
            <w:color w:val="0000ff"/>
          </w:rPr>
          <w:t xml:space="preserve">пункте 31</w:t>
        </w:r>
      </w:hyperlink>
      <w:r>
        <w:rPr>
          <w:sz w:val="20"/>
        </w:rPr>
        <w:t xml:space="preserve"> настоящего порядка;</w:t>
      </w:r>
    </w:p>
    <w:p>
      <w:pPr>
        <w:pStyle w:val="0"/>
        <w:spacing w:before="200" w:lineRule="auto"/>
        <w:ind w:firstLine="540"/>
        <w:jc w:val="both"/>
      </w:pPr>
      <w:r>
        <w:rPr>
          <w:sz w:val="20"/>
        </w:rPr>
        <w:t xml:space="preserve">14) порядок оценки заявок;</w:t>
      </w:r>
    </w:p>
    <w:p>
      <w:pPr>
        <w:pStyle w:val="0"/>
        <w:spacing w:before="200" w:lineRule="auto"/>
        <w:ind w:firstLine="540"/>
        <w:jc w:val="both"/>
      </w:pPr>
      <w:r>
        <w:rPr>
          <w:sz w:val="20"/>
        </w:rPr>
        <w:t xml:space="preserve">15) срок, в течение которого победители конкурсного отбора должны подписать соглашение о предоставлении из областного бюджета гранта (далее - соглашение);</w:t>
      </w:r>
    </w:p>
    <w:p>
      <w:pPr>
        <w:pStyle w:val="0"/>
        <w:spacing w:before="200" w:lineRule="auto"/>
        <w:ind w:firstLine="540"/>
        <w:jc w:val="both"/>
      </w:pPr>
      <w:r>
        <w:rPr>
          <w:sz w:val="20"/>
        </w:rPr>
        <w:t xml:space="preserve">16) условия признания победителей конкурсного отбора уклонившимися от заключения соглашения;</w:t>
      </w:r>
    </w:p>
    <w:p>
      <w:pPr>
        <w:pStyle w:val="0"/>
        <w:spacing w:before="200" w:lineRule="auto"/>
        <w:ind w:firstLine="540"/>
        <w:jc w:val="both"/>
      </w:pPr>
      <w:r>
        <w:rPr>
          <w:sz w:val="20"/>
        </w:rPr>
        <w:t xml:space="preserve">17) иную информацию, определенную Министерством (при необходимости).</w:t>
      </w:r>
    </w:p>
    <w:p>
      <w:pPr>
        <w:pStyle w:val="0"/>
        <w:spacing w:before="200" w:lineRule="auto"/>
        <w:ind w:firstLine="540"/>
        <w:jc w:val="both"/>
      </w:pPr>
      <w:r>
        <w:rPr>
          <w:sz w:val="20"/>
        </w:rPr>
        <w:t xml:space="preserve">11. Информация о проведении конкурсного отбора и организации приема заявок дополнительно размещается на официальном сайте Министерства в сети Интернет и официальных страницах Министерства в социальных сетях.</w:t>
      </w:r>
    </w:p>
    <w:p>
      <w:pPr>
        <w:pStyle w:val="0"/>
        <w:spacing w:before="200" w:lineRule="auto"/>
        <w:ind w:firstLine="540"/>
        <w:jc w:val="both"/>
      </w:pPr>
      <w:r>
        <w:rPr>
          <w:sz w:val="20"/>
        </w:rPr>
        <w:t xml:space="preserve">12. Комиссия осуществляет следующие функции:</w:t>
      </w:r>
    </w:p>
    <w:p>
      <w:pPr>
        <w:pStyle w:val="0"/>
        <w:spacing w:before="200" w:lineRule="auto"/>
        <w:ind w:firstLine="540"/>
        <w:jc w:val="both"/>
      </w:pPr>
      <w:r>
        <w:rPr>
          <w:sz w:val="20"/>
        </w:rPr>
        <w:t xml:space="preserve">1) утверждение в системе "Электронный бюджет" протокола вскрытия заявок, протокола рассмотрения заявок, протокола подведения итогов конкурсного отбора;</w:t>
      </w:r>
    </w:p>
    <w:p>
      <w:pPr>
        <w:pStyle w:val="0"/>
        <w:spacing w:before="200" w:lineRule="auto"/>
        <w:ind w:firstLine="540"/>
        <w:jc w:val="both"/>
      </w:pPr>
      <w:r>
        <w:rPr>
          <w:sz w:val="20"/>
        </w:rPr>
        <w:t xml:space="preserve">2) принятие решения о признании конкурсного отбора несостоявшимся, в случае если Министерством не было представлено в комиссию ни одной заявки или комиссией принято решение об отклонении всех заявок;</w:t>
      </w:r>
    </w:p>
    <w:p>
      <w:pPr>
        <w:pStyle w:val="0"/>
        <w:spacing w:before="200" w:lineRule="auto"/>
        <w:ind w:firstLine="540"/>
        <w:jc w:val="both"/>
      </w:pPr>
      <w:r>
        <w:rPr>
          <w:sz w:val="20"/>
        </w:rPr>
        <w:t xml:space="preserve">3) принятие решения об утверждении итогов проведения конкурсного отбора, определяющего перечень организаций - победителей конкурсного отбора, а также организаций, не прошедших конкурсный отбор.</w:t>
      </w:r>
    </w:p>
    <w:p>
      <w:pPr>
        <w:pStyle w:val="0"/>
        <w:spacing w:before="200" w:lineRule="auto"/>
        <w:ind w:firstLine="540"/>
        <w:jc w:val="both"/>
      </w:pPr>
      <w:r>
        <w:rPr>
          <w:sz w:val="20"/>
        </w:rPr>
        <w:t xml:space="preserve">13. Группа технического сопровождения осуществляет следующие функции:</w:t>
      </w:r>
    </w:p>
    <w:p>
      <w:pPr>
        <w:pStyle w:val="0"/>
        <w:spacing w:before="200" w:lineRule="auto"/>
        <w:ind w:firstLine="540"/>
        <w:jc w:val="both"/>
      </w:pPr>
      <w:r>
        <w:rPr>
          <w:sz w:val="20"/>
        </w:rPr>
        <w:t xml:space="preserve">1) вскрытие заявок, размещенных на портале участниками конкурсного отбора, автоматическое формирование протокола вскрытия заявок и направление его на утверждение в Министерство в системе "Электронный бюджет";</w:t>
      </w:r>
    </w:p>
    <w:p>
      <w:pPr>
        <w:pStyle w:val="0"/>
        <w:spacing w:before="200" w:lineRule="auto"/>
        <w:ind w:firstLine="540"/>
        <w:jc w:val="both"/>
      </w:pPr>
      <w:r>
        <w:rPr>
          <w:sz w:val="20"/>
        </w:rPr>
        <w:t xml:space="preserve">2) рассмотрение заявок на соответствие участников конкурсного отбора требованиям, указанным в </w:t>
      </w:r>
      <w:hyperlink w:history="0" w:anchor="P106"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3) рассмотрение заявок и прилагаемых к ним документов на предмет их соответствия требованиям, предусмотренным в </w:t>
      </w:r>
      <w:hyperlink w:history="0" w:anchor="P140" w:tooltip="25. Заявка содержит:">
        <w:r>
          <w:rPr>
            <w:sz w:val="20"/>
            <w:color w:val="0000ff"/>
          </w:rPr>
          <w:t xml:space="preserve">пункте 25</w:t>
        </w:r>
      </w:hyperlink>
      <w:r>
        <w:rPr>
          <w:sz w:val="20"/>
        </w:rPr>
        <w:t xml:space="preserve"> и </w:t>
      </w:r>
      <w:hyperlink w:history="0" w:anchor="P161" w:tooltip="26. К заявке прилагаются следующие документы:">
        <w:r>
          <w:rPr>
            <w:sz w:val="20"/>
            <w:color w:val="0000ff"/>
          </w:rPr>
          <w:t xml:space="preserve">частях первой</w:t>
        </w:r>
      </w:hyperlink>
      <w:r>
        <w:rPr>
          <w:sz w:val="20"/>
        </w:rPr>
        <w:t xml:space="preserve"> и </w:t>
      </w:r>
      <w:hyperlink w:history="0" w:anchor="P169" w:tooltip="Каждый из документов, указанных в подпунктах 1 - 7 части первой настоящего пункта, представляется в виде одного файла в формате pdf.">
        <w:r>
          <w:rPr>
            <w:sz w:val="20"/>
            <w:color w:val="0000ff"/>
          </w:rPr>
          <w:t xml:space="preserve">второй пункта 26</w:t>
        </w:r>
      </w:hyperlink>
      <w:r>
        <w:rPr>
          <w:sz w:val="20"/>
        </w:rPr>
        <w:t xml:space="preserve"> настоящего порядка;</w:t>
      </w:r>
    </w:p>
    <w:p>
      <w:pPr>
        <w:pStyle w:val="0"/>
        <w:spacing w:before="200" w:lineRule="auto"/>
        <w:ind w:firstLine="540"/>
        <w:jc w:val="both"/>
      </w:pPr>
      <w:r>
        <w:rPr>
          <w:sz w:val="20"/>
        </w:rPr>
        <w:t xml:space="preserve">4) автоматическое формирование проекта протокола рассмотрения заявок, включающего информацию о количестве поступивших и рассмотренных заявок, а также информацию по каждому участнику конкурсного отбора о признании его заявки допущенной к отбору или об отклонении его заявки с указанием оснований для отклонения;</w:t>
      </w:r>
    </w:p>
    <w:p>
      <w:pPr>
        <w:pStyle w:val="0"/>
        <w:spacing w:before="200" w:lineRule="auto"/>
        <w:ind w:firstLine="540"/>
        <w:jc w:val="both"/>
      </w:pPr>
      <w:r>
        <w:rPr>
          <w:sz w:val="20"/>
        </w:rPr>
        <w:t xml:space="preserve">5) выбор из реестра экспертов, размещенного на портале, и закрепление не менее 3 экспертов для оценки каждой заявки, обеспечение доступа экспертов к оценке заявок;</w:t>
      </w:r>
    </w:p>
    <w:p>
      <w:pPr>
        <w:pStyle w:val="0"/>
        <w:spacing w:before="200" w:lineRule="auto"/>
        <w:ind w:firstLine="540"/>
        <w:jc w:val="both"/>
      </w:pPr>
      <w:r>
        <w:rPr>
          <w:sz w:val="20"/>
        </w:rPr>
        <w:t xml:space="preserve">6) формирование сводного оценочного листа по каждой заявке;</w:t>
      </w:r>
    </w:p>
    <w:p>
      <w:pPr>
        <w:pStyle w:val="0"/>
        <w:spacing w:before="200" w:lineRule="auto"/>
        <w:ind w:firstLine="540"/>
        <w:jc w:val="both"/>
      </w:pPr>
      <w:r>
        <w:rPr>
          <w:sz w:val="20"/>
        </w:rPr>
        <w:t xml:space="preserve">7) ранжирование заявок по мере уменьшения полученных баллов по итогам оценки заявок и очередности их поступления в случае равенства количества полученных баллов;</w:t>
      </w:r>
    </w:p>
    <w:p>
      <w:pPr>
        <w:pStyle w:val="0"/>
        <w:spacing w:before="200" w:lineRule="auto"/>
        <w:ind w:firstLine="540"/>
        <w:jc w:val="both"/>
      </w:pPr>
      <w:r>
        <w:rPr>
          <w:sz w:val="20"/>
        </w:rPr>
        <w:t xml:space="preserve">8) автоматическое формирование проекта протокола подведения итогов конкурсного отбора и направление его на утверждение в Министерство в системе "Электронный бюджет".</w:t>
      </w:r>
    </w:p>
    <w:bookmarkStart w:id="106" w:name="P106"/>
    <w:bookmarkEnd w:id="106"/>
    <w:p>
      <w:pPr>
        <w:pStyle w:val="0"/>
        <w:spacing w:before="200" w:lineRule="auto"/>
        <w:ind w:firstLine="540"/>
        <w:jc w:val="both"/>
      </w:pPr>
      <w:r>
        <w:rPr>
          <w:sz w:val="20"/>
        </w:rPr>
        <w:t xml:space="preserve">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w:t>
      </w:r>
    </w:p>
    <w:p>
      <w:pPr>
        <w:pStyle w:val="0"/>
        <w:spacing w:before="200" w:lineRule="auto"/>
        <w:ind w:firstLine="540"/>
        <w:jc w:val="both"/>
      </w:pPr>
      <w:r>
        <w:rPr>
          <w:sz w:val="20"/>
        </w:rPr>
        <w:t xml:space="preserve">1) организация является юридическим лицом, зарегистрированным на территории Свердловской области и осуществляющим в соответствии с учредительными документами в качестве основной деятельности один из видов деятельности:</w:t>
      </w:r>
    </w:p>
    <w:p>
      <w:pPr>
        <w:pStyle w:val="0"/>
        <w:spacing w:before="200" w:lineRule="auto"/>
        <w:ind w:firstLine="540"/>
        <w:jc w:val="both"/>
      </w:pPr>
      <w:r>
        <w:rPr>
          <w:sz w:val="20"/>
        </w:rPr>
        <w:t xml:space="preserve">подготовка (создание, постановка) и показ (публичное исполнение, эксплуатация) спектаклей, других публичных театральных представлений;</w:t>
      </w:r>
    </w:p>
    <w:p>
      <w:pPr>
        <w:pStyle w:val="0"/>
        <w:spacing w:before="200" w:lineRule="auto"/>
        <w:ind w:firstLine="540"/>
        <w:jc w:val="both"/>
      </w:pPr>
      <w:r>
        <w:rPr>
          <w:sz w:val="20"/>
        </w:rPr>
        <w:t xml:space="preserve">подготовка и показ концертно-филармонических и концертно-просветительских программ, других публичных представлений;</w:t>
      </w:r>
    </w:p>
    <w:p>
      <w:pPr>
        <w:pStyle w:val="0"/>
        <w:spacing w:before="200" w:lineRule="auto"/>
        <w:ind w:firstLine="540"/>
        <w:jc w:val="both"/>
      </w:pPr>
      <w:r>
        <w:rPr>
          <w:sz w:val="20"/>
        </w:rPr>
        <w:t xml:space="preserve">2) организация не является казенным учреждением;</w:t>
      </w:r>
    </w:p>
    <w:p>
      <w:pPr>
        <w:pStyle w:val="0"/>
        <w:spacing w:before="200" w:lineRule="auto"/>
        <w:ind w:firstLine="540"/>
        <w:jc w:val="both"/>
      </w:pPr>
      <w:r>
        <w:rPr>
          <w:sz w:val="20"/>
        </w:rPr>
        <w:t xml:space="preserve">3) организация является государственным учреждением Свердловской области, в отношении которого Министерство осуществляет функции и полномочия учредителя, муниципальным учреждением культуры и искусства или организацией, не являющейся государственным и муниципальным учреждением, в сфере театрального, музыкального, хореографического искусства;</w:t>
      </w:r>
    </w:p>
    <w:p>
      <w:pPr>
        <w:pStyle w:val="0"/>
        <w:spacing w:before="200" w:lineRule="auto"/>
        <w:ind w:firstLine="540"/>
        <w:jc w:val="both"/>
      </w:pPr>
      <w:r>
        <w:rPr>
          <w:sz w:val="20"/>
        </w:rPr>
        <w:t xml:space="preserve">4) организация не осуществляет в качестве основного вида деятельности деятельность в сфере литературы, изобразительного и декоративно-прикладного искусства, кинематографии и фотоискусства, музейного и библиотечного дела, самодеятельного (любительского) художественного творчества, образования и традиционной народной культуры;</w:t>
      </w:r>
    </w:p>
    <w:p>
      <w:pPr>
        <w:pStyle w:val="0"/>
        <w:spacing w:before="200" w:lineRule="auto"/>
        <w:ind w:firstLine="540"/>
        <w:jc w:val="both"/>
      </w:pPr>
      <w:r>
        <w:rPr>
          <w:sz w:val="20"/>
        </w:rPr>
        <w:t xml:space="preserve">5) организация не находится в процессе реорганизации,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6) 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организации;</w:t>
      </w:r>
    </w:p>
    <w:p>
      <w:pPr>
        <w:pStyle w:val="0"/>
        <w:spacing w:before="200" w:lineRule="auto"/>
        <w:ind w:firstLine="540"/>
        <w:jc w:val="both"/>
      </w:pPr>
      <w:r>
        <w:rPr>
          <w:sz w:val="20"/>
        </w:rPr>
        <w:t xml:space="preserve">7) организация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w:t>
      </w:r>
    </w:p>
    <w:p>
      <w:pPr>
        <w:pStyle w:val="0"/>
        <w:spacing w:before="200" w:lineRule="auto"/>
        <w:ind w:firstLine="540"/>
        <w:jc w:val="both"/>
      </w:pPr>
      <w:r>
        <w:rPr>
          <w:sz w:val="20"/>
        </w:rPr>
        <w:t xml:space="preserve">8)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9) организация не находится в составляемых в рамках реализации полномочий, предусмотренных </w:t>
      </w:r>
      <w:hyperlink w:history="0" r:id="rId21"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10) организация не получает средства из областного бюджета в соответствии с иными нормативными правовыми актами Свердловской области на цель, указанную в </w:t>
      </w:r>
      <w:hyperlink w:history="0" w:anchor="P51" w:tooltip="4. Предоставление грантов осуществляется с целью финансового обеспечения затрат, связанных с реализацией организациями значимых для социокультурного развития Свердловской области творческих проектов в сфере театрального, музыкального, хореографического искусства, ориентированных на духовно-нравственное развитие личности и реализацию человеческого потенциала в условиях перехода к инновационному типу развития общества и экономики Свердловской области, а также на переход к качественно новому уровню функцион...">
        <w:r>
          <w:rPr>
            <w:sz w:val="20"/>
            <w:color w:val="0000ff"/>
          </w:rPr>
          <w:t xml:space="preserve">пункте 4</w:t>
        </w:r>
      </w:hyperlink>
      <w:r>
        <w:rPr>
          <w:sz w:val="20"/>
        </w:rPr>
        <w:t xml:space="preserve"> настоящего порядка;</w:t>
      </w:r>
    </w:p>
    <w:p>
      <w:pPr>
        <w:pStyle w:val="0"/>
        <w:spacing w:before="200" w:lineRule="auto"/>
        <w:ind w:firstLine="540"/>
        <w:jc w:val="both"/>
      </w:pPr>
      <w:r>
        <w:rPr>
          <w:sz w:val="20"/>
        </w:rPr>
        <w:t xml:space="preserve">11) организация не является иностранным агентом в соответствии с Федеральным </w:t>
      </w:r>
      <w:hyperlink w:history="0" r:id="rId22"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 июля 2022 года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12) у организации на едином налоговом счете отсутствует или не превышает размера, определенного </w:t>
      </w:r>
      <w:hyperlink w:history="0" r:id="rId23"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13) у организации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Свердловской областью;</w:t>
      </w:r>
    </w:p>
    <w:p>
      <w:pPr>
        <w:pStyle w:val="0"/>
        <w:spacing w:before="200" w:lineRule="auto"/>
        <w:ind w:firstLine="540"/>
        <w:jc w:val="both"/>
      </w:pPr>
      <w:r>
        <w:rPr>
          <w:sz w:val="20"/>
        </w:rPr>
        <w:t xml:space="preserve">14) организация не находится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pPr>
        <w:pStyle w:val="0"/>
        <w:spacing w:before="200" w:lineRule="auto"/>
        <w:ind w:firstLine="540"/>
        <w:jc w:val="both"/>
      </w:pPr>
      <w:r>
        <w:rPr>
          <w:sz w:val="20"/>
        </w:rPr>
        <w:t xml:space="preserve">15) организация имеет расчетный счет, открытый в российской кредитной организации;</w:t>
      </w:r>
    </w:p>
    <w:p>
      <w:pPr>
        <w:pStyle w:val="0"/>
        <w:spacing w:before="200" w:lineRule="auto"/>
        <w:ind w:firstLine="540"/>
        <w:jc w:val="both"/>
      </w:pPr>
      <w:r>
        <w:rPr>
          <w:sz w:val="20"/>
        </w:rPr>
        <w:t xml:space="preserve">16) организация создана не позднее чем за один год до объявления конкурсного отбора;</w:t>
      </w:r>
    </w:p>
    <w:p>
      <w:pPr>
        <w:pStyle w:val="0"/>
        <w:spacing w:before="200" w:lineRule="auto"/>
        <w:ind w:firstLine="540"/>
        <w:jc w:val="both"/>
      </w:pPr>
      <w:r>
        <w:rPr>
          <w:sz w:val="20"/>
        </w:rPr>
        <w:t xml:space="preserve">17) организация имеет опыт, кадровый состав и материально-техническую базу, необходимые для достижения результата предоставления гранта;</w:t>
      </w:r>
    </w:p>
    <w:p>
      <w:pPr>
        <w:pStyle w:val="0"/>
        <w:spacing w:before="200" w:lineRule="auto"/>
        <w:ind w:firstLine="540"/>
        <w:jc w:val="both"/>
      </w:pPr>
      <w:r>
        <w:rPr>
          <w:sz w:val="20"/>
        </w:rPr>
        <w:t xml:space="preserve">18) фактический уровень заработной платы работников организации соответствует утвержденному уровню средней заработной платы в Свердловской области;</w:t>
      </w:r>
    </w:p>
    <w:p>
      <w:pPr>
        <w:pStyle w:val="0"/>
        <w:spacing w:before="200" w:lineRule="auto"/>
        <w:ind w:firstLine="540"/>
        <w:jc w:val="both"/>
      </w:pPr>
      <w:r>
        <w:rPr>
          <w:sz w:val="20"/>
        </w:rPr>
        <w:t xml:space="preserve">19) организация дает согласие на осуществление Министерством и органами государственного финансового контроля Свердловской области проверок соблюдения условий и порядка предоставления гранта;</w:t>
      </w:r>
    </w:p>
    <w:p>
      <w:pPr>
        <w:pStyle w:val="0"/>
        <w:spacing w:before="200" w:lineRule="auto"/>
        <w:ind w:firstLine="540"/>
        <w:jc w:val="both"/>
      </w:pPr>
      <w:r>
        <w:rPr>
          <w:sz w:val="20"/>
        </w:rPr>
        <w:t xml:space="preserve">20) в отношении организации отсутствует информация от уполномоченных государственных органов о деструктивном содержании или негативном влиянии проекта и (или) деятельности организации (руководителя организации);</w:t>
      </w:r>
    </w:p>
    <w:p>
      <w:pPr>
        <w:pStyle w:val="0"/>
        <w:spacing w:before="200" w:lineRule="auto"/>
        <w:ind w:firstLine="540"/>
        <w:jc w:val="both"/>
      </w:pPr>
      <w:r>
        <w:rPr>
          <w:sz w:val="20"/>
        </w:rPr>
        <w:t xml:space="preserve">21) в предыдущие периоды по ранее предоставленным Министерством субсидиям (грантам в форме субсидий) на реализацию творческих проектов у организации отсутствовали нарушения обязательств, установленных в соглашении, в том числе непредставление (несвоевременное представление) организацией отчетных документов об использовании указанных субсидий (грантов в форме субсидий), а также их нецелевое расходование.</w:t>
      </w:r>
    </w:p>
    <w:p>
      <w:pPr>
        <w:pStyle w:val="0"/>
        <w:spacing w:before="200" w:lineRule="auto"/>
        <w:ind w:firstLine="540"/>
        <w:jc w:val="both"/>
      </w:pPr>
      <w:r>
        <w:rPr>
          <w:sz w:val="20"/>
        </w:rPr>
        <w:t xml:space="preserve">15. Решение об отмене проведения конкурсного отбора принимается Министерством в случае уменьшения Министерству ранее доведенных лимитов бюджетных обязательств на предоставление грантов.</w:t>
      </w:r>
    </w:p>
    <w:p>
      <w:pPr>
        <w:pStyle w:val="0"/>
        <w:spacing w:before="200" w:lineRule="auto"/>
        <w:ind w:firstLine="540"/>
        <w:jc w:val="both"/>
      </w:pPr>
      <w:r>
        <w:rPr>
          <w:sz w:val="20"/>
        </w:rPr>
        <w:t xml:space="preserve">16. Размещение Министерством объявления об отмене проведения конкурсного отбора на портале допускается не позднее чем за один рабочий день до даты окончания срока подачи заявок.</w:t>
      </w:r>
    </w:p>
    <w:p>
      <w:pPr>
        <w:pStyle w:val="0"/>
        <w:spacing w:before="200" w:lineRule="auto"/>
        <w:ind w:firstLine="540"/>
        <w:jc w:val="both"/>
      </w:pPr>
      <w:r>
        <w:rPr>
          <w:sz w:val="20"/>
        </w:rPr>
        <w:t xml:space="preserve">17. Объявление об отмене проведения конкурсного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Министерства (уполномоченного им лица), размещается на портале и содержит информацию о причинах отмены проведения конкурсного отбора.</w:t>
      </w:r>
    </w:p>
    <w:p>
      <w:pPr>
        <w:pStyle w:val="0"/>
        <w:spacing w:before="200" w:lineRule="auto"/>
        <w:ind w:firstLine="540"/>
        <w:jc w:val="both"/>
      </w:pPr>
      <w:r>
        <w:rPr>
          <w:sz w:val="20"/>
        </w:rPr>
        <w:t xml:space="preserve">18. Участники конкурсного отбора информируются об отмене проведения конкурсного отбора на портале.</w:t>
      </w:r>
    </w:p>
    <w:p>
      <w:pPr>
        <w:pStyle w:val="0"/>
        <w:spacing w:before="200" w:lineRule="auto"/>
        <w:ind w:firstLine="540"/>
        <w:jc w:val="both"/>
      </w:pPr>
      <w:r>
        <w:rPr>
          <w:sz w:val="20"/>
        </w:rPr>
        <w:t xml:space="preserve">19. Конкурсный отбор считается отмененным со дня размещения на портале объявления об отмене проведения конкурсного отбора.</w:t>
      </w:r>
    </w:p>
    <w:p>
      <w:pPr>
        <w:pStyle w:val="0"/>
        <w:spacing w:before="200" w:lineRule="auto"/>
        <w:ind w:firstLine="540"/>
        <w:jc w:val="both"/>
      </w:pPr>
      <w:r>
        <w:rPr>
          <w:sz w:val="20"/>
        </w:rPr>
        <w:t xml:space="preserve">20. Конкурсный отбор считается несостоявшимся по одному из направлений, указанных в </w:t>
      </w:r>
      <w:hyperlink w:history="0" w:anchor="P53"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 в случае отсутствия заявок по данному направлению.</w:t>
      </w:r>
    </w:p>
    <w:p>
      <w:pPr>
        <w:pStyle w:val="0"/>
        <w:spacing w:before="200" w:lineRule="auto"/>
        <w:ind w:firstLine="540"/>
        <w:jc w:val="both"/>
      </w:pPr>
      <w:r>
        <w:rPr>
          <w:sz w:val="20"/>
        </w:rPr>
        <w:t xml:space="preserve">21. Заявки формируются участниками конкурсного отбора посредством заполнения соответствующих экранных форм веб-интерфейса на портале.</w:t>
      </w:r>
    </w:p>
    <w:p>
      <w:pPr>
        <w:pStyle w:val="0"/>
        <w:spacing w:before="200" w:lineRule="auto"/>
        <w:ind w:firstLine="540"/>
        <w:jc w:val="both"/>
      </w:pPr>
      <w:r>
        <w:rPr>
          <w:sz w:val="20"/>
        </w:rPr>
        <w:t xml:space="preserve">22. Заявка подписывается усиленной квалифицированной электронной подписью руководителя участника конкурсного отбора или уполномоченного им лица.</w:t>
      </w:r>
    </w:p>
    <w:p>
      <w:pPr>
        <w:pStyle w:val="0"/>
        <w:spacing w:before="200" w:lineRule="auto"/>
        <w:ind w:firstLine="540"/>
        <w:jc w:val="both"/>
      </w:pPr>
      <w:r>
        <w:rPr>
          <w:sz w:val="20"/>
        </w:rPr>
        <w:t xml:space="preserve">23. Ответственность за полноту и достоверность информации, содержащейся в заявке и прилагаемых к ней документах, а также за своевременность их представления несет участник конкурсного отбора в соответствии с законодательством Российской Федерации.</w:t>
      </w:r>
    </w:p>
    <w:p>
      <w:pPr>
        <w:pStyle w:val="0"/>
        <w:spacing w:before="200" w:lineRule="auto"/>
        <w:ind w:firstLine="540"/>
        <w:jc w:val="both"/>
      </w:pPr>
      <w:r>
        <w:rPr>
          <w:sz w:val="20"/>
        </w:rPr>
        <w:t xml:space="preserve">24. Датой и временем представления участником конкурсного отбора заявки считаются дата и время подписания участником конкурсного отбора заявки с присвоением ей регистрационного номера на портале.</w:t>
      </w:r>
    </w:p>
    <w:bookmarkStart w:id="140" w:name="P140"/>
    <w:bookmarkEnd w:id="140"/>
    <w:p>
      <w:pPr>
        <w:pStyle w:val="0"/>
        <w:spacing w:before="200" w:lineRule="auto"/>
        <w:ind w:firstLine="540"/>
        <w:jc w:val="both"/>
      </w:pPr>
      <w:r>
        <w:rPr>
          <w:sz w:val="20"/>
        </w:rPr>
        <w:t xml:space="preserve">25. Заявка содержит:</w:t>
      </w:r>
    </w:p>
    <w:p>
      <w:pPr>
        <w:pStyle w:val="0"/>
        <w:spacing w:before="200" w:lineRule="auto"/>
        <w:ind w:firstLine="540"/>
        <w:jc w:val="both"/>
      </w:pPr>
      <w:r>
        <w:rPr>
          <w:sz w:val="20"/>
        </w:rPr>
        <w:t xml:space="preserve">1) наименование направления конкурсного отбора;</w:t>
      </w:r>
    </w:p>
    <w:p>
      <w:pPr>
        <w:pStyle w:val="0"/>
        <w:spacing w:before="200" w:lineRule="auto"/>
        <w:ind w:firstLine="540"/>
        <w:jc w:val="both"/>
      </w:pPr>
      <w:r>
        <w:rPr>
          <w:sz w:val="20"/>
        </w:rPr>
        <w:t xml:space="preserve">2) наименование проекта, на реализацию которого запрашивается грант;</w:t>
      </w:r>
    </w:p>
    <w:p>
      <w:pPr>
        <w:pStyle w:val="0"/>
        <w:spacing w:before="200" w:lineRule="auto"/>
        <w:ind w:firstLine="540"/>
        <w:jc w:val="both"/>
      </w:pPr>
      <w:r>
        <w:rPr>
          <w:sz w:val="20"/>
        </w:rPr>
        <w:t xml:space="preserve">3) краткое описание проекта;</w:t>
      </w:r>
    </w:p>
    <w:p>
      <w:pPr>
        <w:pStyle w:val="0"/>
        <w:spacing w:before="200" w:lineRule="auto"/>
        <w:ind w:firstLine="540"/>
        <w:jc w:val="both"/>
      </w:pPr>
      <w:r>
        <w:rPr>
          <w:sz w:val="20"/>
        </w:rPr>
        <w:t xml:space="preserve">4) географию проекта (территориальный охват проекта);</w:t>
      </w:r>
    </w:p>
    <w:p>
      <w:pPr>
        <w:pStyle w:val="0"/>
        <w:spacing w:before="200" w:lineRule="auto"/>
        <w:ind w:firstLine="540"/>
        <w:jc w:val="both"/>
      </w:pPr>
      <w:r>
        <w:rPr>
          <w:sz w:val="20"/>
        </w:rPr>
        <w:t xml:space="preserve">5) срок реализации проекта;</w:t>
      </w:r>
    </w:p>
    <w:p>
      <w:pPr>
        <w:pStyle w:val="0"/>
        <w:spacing w:before="200" w:lineRule="auto"/>
        <w:ind w:firstLine="540"/>
        <w:jc w:val="both"/>
      </w:pPr>
      <w:r>
        <w:rPr>
          <w:sz w:val="20"/>
        </w:rPr>
        <w:t xml:space="preserve">6) обоснование социальной значимости проекта;</w:t>
      </w:r>
    </w:p>
    <w:p>
      <w:pPr>
        <w:pStyle w:val="0"/>
        <w:spacing w:before="200" w:lineRule="auto"/>
        <w:ind w:firstLine="540"/>
        <w:jc w:val="both"/>
      </w:pPr>
      <w:r>
        <w:rPr>
          <w:sz w:val="20"/>
        </w:rPr>
        <w:t xml:space="preserve">7) описание целевых групп проекта;</w:t>
      </w:r>
    </w:p>
    <w:p>
      <w:pPr>
        <w:pStyle w:val="0"/>
        <w:spacing w:before="200" w:lineRule="auto"/>
        <w:ind w:firstLine="540"/>
        <w:jc w:val="both"/>
      </w:pPr>
      <w:r>
        <w:rPr>
          <w:sz w:val="20"/>
        </w:rPr>
        <w:t xml:space="preserve">8) цель (цели) и задачи проекта;</w:t>
      </w:r>
    </w:p>
    <w:p>
      <w:pPr>
        <w:pStyle w:val="0"/>
        <w:spacing w:before="200" w:lineRule="auto"/>
        <w:ind w:firstLine="540"/>
        <w:jc w:val="both"/>
      </w:pPr>
      <w:r>
        <w:rPr>
          <w:sz w:val="20"/>
        </w:rPr>
        <w:t xml:space="preserve">9) ожидаемые количественные и качественные результаты проекта;</w:t>
      </w:r>
    </w:p>
    <w:p>
      <w:pPr>
        <w:pStyle w:val="0"/>
        <w:spacing w:before="200" w:lineRule="auto"/>
        <w:ind w:firstLine="540"/>
        <w:jc w:val="both"/>
      </w:pPr>
      <w:r>
        <w:rPr>
          <w:sz w:val="20"/>
        </w:rPr>
        <w:t xml:space="preserve">10) календарный план мероприятий проекта;</w:t>
      </w:r>
    </w:p>
    <w:p>
      <w:pPr>
        <w:pStyle w:val="0"/>
        <w:spacing w:before="200" w:lineRule="auto"/>
        <w:ind w:firstLine="540"/>
        <w:jc w:val="both"/>
      </w:pPr>
      <w:r>
        <w:rPr>
          <w:sz w:val="20"/>
        </w:rPr>
        <w:t xml:space="preserve">11) бюджет проекта;</w:t>
      </w:r>
    </w:p>
    <w:p>
      <w:pPr>
        <w:pStyle w:val="0"/>
        <w:spacing w:before="200" w:lineRule="auto"/>
        <w:ind w:firstLine="540"/>
        <w:jc w:val="both"/>
      </w:pPr>
      <w:r>
        <w:rPr>
          <w:sz w:val="20"/>
        </w:rPr>
        <w:t xml:space="preserve">12) информацию о руководителе проекта;</w:t>
      </w:r>
    </w:p>
    <w:p>
      <w:pPr>
        <w:pStyle w:val="0"/>
        <w:spacing w:before="200" w:lineRule="auto"/>
        <w:ind w:firstLine="540"/>
        <w:jc w:val="both"/>
      </w:pPr>
      <w:r>
        <w:rPr>
          <w:sz w:val="20"/>
        </w:rPr>
        <w:t xml:space="preserve">13) информацию о команде проекта;</w:t>
      </w:r>
    </w:p>
    <w:p>
      <w:pPr>
        <w:pStyle w:val="0"/>
        <w:spacing w:before="200" w:lineRule="auto"/>
        <w:ind w:firstLine="540"/>
        <w:jc w:val="both"/>
      </w:pPr>
      <w:r>
        <w:rPr>
          <w:sz w:val="20"/>
        </w:rPr>
        <w:t xml:space="preserve">14) информацию об организации, включающую:</w:t>
      </w:r>
    </w:p>
    <w:p>
      <w:pPr>
        <w:pStyle w:val="0"/>
        <w:spacing w:before="200" w:lineRule="auto"/>
        <w:ind w:firstLine="540"/>
        <w:jc w:val="both"/>
      </w:pPr>
      <w:r>
        <w:rPr>
          <w:sz w:val="20"/>
        </w:rPr>
        <w:t xml:space="preserve">полное и сокращенное (при наличии) наименование организации, основной государственный регистрационный номер, идентификационный номер налогоплательщика, место нахождения организации;</w:t>
      </w:r>
    </w:p>
    <w:p>
      <w:pPr>
        <w:pStyle w:val="0"/>
        <w:spacing w:before="200" w:lineRule="auto"/>
        <w:ind w:firstLine="540"/>
        <w:jc w:val="both"/>
      </w:pPr>
      <w:r>
        <w:rPr>
          <w:sz w:val="20"/>
        </w:rPr>
        <w:t xml:space="preserve">основные виды деятельности организации;</w:t>
      </w:r>
    </w:p>
    <w:p>
      <w:pPr>
        <w:pStyle w:val="0"/>
        <w:spacing w:before="200" w:lineRule="auto"/>
        <w:ind w:firstLine="540"/>
        <w:jc w:val="both"/>
      </w:pPr>
      <w:r>
        <w:rPr>
          <w:sz w:val="20"/>
        </w:rPr>
        <w:t xml:space="preserve">опыт организации по успешной реализации проектов;</w:t>
      </w:r>
    </w:p>
    <w:p>
      <w:pPr>
        <w:pStyle w:val="0"/>
        <w:spacing w:before="200" w:lineRule="auto"/>
        <w:ind w:firstLine="540"/>
        <w:jc w:val="both"/>
      </w:pPr>
      <w:r>
        <w:rPr>
          <w:sz w:val="20"/>
        </w:rPr>
        <w:t xml:space="preserve">сведения о сайтах организации в сети Интернет и страницах (группах) в социальных сетях;</w:t>
      </w:r>
    </w:p>
    <w:p>
      <w:pPr>
        <w:pStyle w:val="0"/>
        <w:spacing w:before="200" w:lineRule="auto"/>
        <w:ind w:firstLine="540"/>
        <w:jc w:val="both"/>
      </w:pPr>
      <w:r>
        <w:rPr>
          <w:sz w:val="20"/>
        </w:rPr>
        <w:t xml:space="preserve">контактный телефон организации;</w:t>
      </w:r>
    </w:p>
    <w:p>
      <w:pPr>
        <w:pStyle w:val="0"/>
        <w:spacing w:before="200" w:lineRule="auto"/>
        <w:ind w:firstLine="540"/>
        <w:jc w:val="both"/>
      </w:pPr>
      <w:r>
        <w:rPr>
          <w:sz w:val="20"/>
        </w:rPr>
        <w:t xml:space="preserve">адрес электронной почты для направления организации юридически значимых сообщений.</w:t>
      </w:r>
    </w:p>
    <w:bookmarkStart w:id="161" w:name="P161"/>
    <w:bookmarkEnd w:id="161"/>
    <w:p>
      <w:pPr>
        <w:pStyle w:val="0"/>
        <w:spacing w:before="200" w:lineRule="auto"/>
        <w:ind w:firstLine="540"/>
        <w:jc w:val="both"/>
      </w:pPr>
      <w:r>
        <w:rPr>
          <w:sz w:val="20"/>
        </w:rPr>
        <w:t xml:space="preserve">26. К заявке прилагаются следующие документы:</w:t>
      </w:r>
    </w:p>
    <w:bookmarkStart w:id="162" w:name="P162"/>
    <w:bookmarkEnd w:id="162"/>
    <w:p>
      <w:pPr>
        <w:pStyle w:val="0"/>
        <w:spacing w:before="200" w:lineRule="auto"/>
        <w:ind w:firstLine="540"/>
        <w:jc w:val="both"/>
      </w:pPr>
      <w:r>
        <w:rPr>
          <w:sz w:val="20"/>
        </w:rPr>
        <w:t xml:space="preserve">1) электронная (сканированная) копия устава организации, заверенная подписью руководителя организации и печатью организации (при наличии);</w:t>
      </w:r>
    </w:p>
    <w:p>
      <w:pPr>
        <w:pStyle w:val="0"/>
        <w:spacing w:before="200" w:lineRule="auto"/>
        <w:ind w:firstLine="540"/>
        <w:jc w:val="both"/>
      </w:pPr>
      <w:r>
        <w:rPr>
          <w:sz w:val="20"/>
        </w:rPr>
        <w:t xml:space="preserve">2) выписка из Единого государственного реестра юридических лиц;</w:t>
      </w:r>
    </w:p>
    <w:p>
      <w:pPr>
        <w:pStyle w:val="0"/>
        <w:spacing w:before="200" w:lineRule="auto"/>
        <w:ind w:firstLine="540"/>
        <w:jc w:val="both"/>
      </w:pPr>
      <w:r>
        <w:rPr>
          <w:sz w:val="20"/>
        </w:rPr>
        <w:t xml:space="preserve">3) электронная (сканированная) копия документа, подтверждающего полномочия лица на подачу заявки от имени организации (в случае если заявку подает лицо, сведения о котором как о лице, имеющем право без доверенности действовать от имени организации, не содержатся в Едином государственном реестре юридических лиц);</w:t>
      </w:r>
    </w:p>
    <w:p>
      <w:pPr>
        <w:pStyle w:val="0"/>
        <w:spacing w:before="200" w:lineRule="auto"/>
        <w:ind w:firstLine="540"/>
        <w:jc w:val="both"/>
      </w:pPr>
      <w:r>
        <w:rPr>
          <w:sz w:val="20"/>
        </w:rPr>
        <w:t xml:space="preserve">4) согласие на обработку персональных данных и согласие на публикацию (размещение) в сети Интернет информации об участнике конкурсного отбора, заявке, подаваемой участником конкурсного отбора, и иной информации об участнике конкурсного отбора, являющейся неотъемлемой частью заявки;</w:t>
      </w:r>
    </w:p>
    <w:p>
      <w:pPr>
        <w:pStyle w:val="0"/>
        <w:spacing w:before="200" w:lineRule="auto"/>
        <w:ind w:firstLine="540"/>
        <w:jc w:val="both"/>
      </w:pPr>
      <w:r>
        <w:rPr>
          <w:sz w:val="20"/>
        </w:rPr>
        <w:t xml:space="preserve">5) справка о состоянии расчетов по налогам, сборам, пеням, штрафам, процентам, выданная территориальным налоговым органом Федеральной налоговой службы;</w:t>
      </w:r>
    </w:p>
    <w:p>
      <w:pPr>
        <w:pStyle w:val="0"/>
        <w:spacing w:before="200" w:lineRule="auto"/>
        <w:ind w:firstLine="540"/>
        <w:jc w:val="both"/>
      </w:pPr>
      <w:r>
        <w:rPr>
          <w:sz w:val="20"/>
        </w:rPr>
        <w:t xml:space="preserve">6) справка на бланке организации о соответствии организации требованиям, указанным в </w:t>
      </w:r>
      <w:hyperlink w:history="0" w:anchor="P106"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 подписанная руководителем организации или лицом, его замещающим;</w:t>
      </w:r>
    </w:p>
    <w:bookmarkStart w:id="168" w:name="P168"/>
    <w:bookmarkEnd w:id="168"/>
    <w:p>
      <w:pPr>
        <w:pStyle w:val="0"/>
        <w:spacing w:before="200" w:lineRule="auto"/>
        <w:ind w:firstLine="540"/>
        <w:jc w:val="both"/>
      </w:pPr>
      <w:r>
        <w:rPr>
          <w:sz w:val="20"/>
        </w:rPr>
        <w:t xml:space="preserve">7) согласие органа, осуществляющего функции и полномочия учредителя в отношении организации, на участие организации в конкурсном отборе, оформленное на бланке указанного органа (для государственных и муниципальных организаций).</w:t>
      </w:r>
    </w:p>
    <w:bookmarkStart w:id="169" w:name="P169"/>
    <w:bookmarkEnd w:id="169"/>
    <w:p>
      <w:pPr>
        <w:pStyle w:val="0"/>
        <w:spacing w:before="200" w:lineRule="auto"/>
        <w:ind w:firstLine="540"/>
        <w:jc w:val="both"/>
      </w:pPr>
      <w:r>
        <w:rPr>
          <w:sz w:val="20"/>
        </w:rPr>
        <w:t xml:space="preserve">Каждый из документов, указанных в </w:t>
      </w:r>
      <w:hyperlink w:history="0" w:anchor="P162" w:tooltip="1) электронная (сканированная) копия устава организации, заверенная подписью руководителя организации и печатью организации (при наличии);">
        <w:r>
          <w:rPr>
            <w:sz w:val="20"/>
            <w:color w:val="0000ff"/>
          </w:rPr>
          <w:t xml:space="preserve">подпунктах 1</w:t>
        </w:r>
      </w:hyperlink>
      <w:r>
        <w:rPr>
          <w:sz w:val="20"/>
        </w:rPr>
        <w:t xml:space="preserve"> - </w:t>
      </w:r>
      <w:hyperlink w:history="0" w:anchor="P168" w:tooltip="7) согласие органа, осуществляющего функции и полномочия учредителя в отношении организации, на участие организации в конкурсном отборе, оформленное на бланке указанного органа (для государственных и муниципальных организаций).">
        <w:r>
          <w:rPr>
            <w:sz w:val="20"/>
            <w:color w:val="0000ff"/>
          </w:rPr>
          <w:t xml:space="preserve">7 части первой</w:t>
        </w:r>
      </w:hyperlink>
      <w:r>
        <w:rPr>
          <w:sz w:val="20"/>
        </w:rPr>
        <w:t xml:space="preserve"> настоящего пункта, представляется в виде одного файла в формате pdf.</w:t>
      </w:r>
    </w:p>
    <w:p>
      <w:pPr>
        <w:pStyle w:val="0"/>
        <w:spacing w:before="200" w:lineRule="auto"/>
        <w:ind w:firstLine="540"/>
        <w:jc w:val="both"/>
      </w:pPr>
      <w:r>
        <w:rPr>
          <w:sz w:val="20"/>
        </w:rPr>
        <w:t xml:space="preserve">Организация вправе приложить к заявке иные документы и дополнительные материалы, которые считает необходимым приложить к заявке. К таким документам в том числе относятся отзывы лиц, известных в сфере театрального, музыкального, хореографического искусства, о деятельности организации за последние 3 года, информация о наградах организации за последние 3 года, копии дипломов и иные документы.</w:t>
      </w:r>
    </w:p>
    <w:p>
      <w:pPr>
        <w:pStyle w:val="0"/>
        <w:spacing w:before="200" w:lineRule="auto"/>
        <w:ind w:firstLine="540"/>
        <w:jc w:val="both"/>
      </w:pPr>
      <w:r>
        <w:rPr>
          <w:sz w:val="20"/>
        </w:rPr>
        <w:t xml:space="preserve">27. Участник конкурсного отбора вправе представить на конкурсный отбор не более одного проекта по каждому из направлений конкурсного отбора, указанных в </w:t>
      </w:r>
      <w:hyperlink w:history="0" w:anchor="P53"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 Каждый проект оформляется отдельной заявкой.</w:t>
      </w:r>
    </w:p>
    <w:p>
      <w:pPr>
        <w:pStyle w:val="0"/>
        <w:spacing w:before="200" w:lineRule="auto"/>
        <w:ind w:firstLine="540"/>
        <w:jc w:val="both"/>
      </w:pPr>
      <w:r>
        <w:rPr>
          <w:sz w:val="20"/>
        </w:rPr>
        <w:t xml:space="preserve">28. Участник конкурсного отбора имеет право внести изменения в заявку, зарегистрированную на портале, а также приложить документы к заявке в течение срока приема заявок, указанного в объявлении, на этапе рассмотрения заявок Министерством.</w:t>
      </w:r>
    </w:p>
    <w:p>
      <w:pPr>
        <w:pStyle w:val="0"/>
        <w:spacing w:before="200" w:lineRule="auto"/>
        <w:ind w:firstLine="540"/>
        <w:jc w:val="both"/>
      </w:pPr>
      <w:r>
        <w:rPr>
          <w:sz w:val="20"/>
        </w:rPr>
        <w:t xml:space="preserve">Внесение изменений в заявку осуществляется после формирования участником конкурсного отбора в электронной форме уведомления об отзыве заявки и последующего формирования новой заявки не позднее 3 рабочих дней до окончания срока приема заявок.</w:t>
      </w:r>
    </w:p>
    <w:p>
      <w:pPr>
        <w:pStyle w:val="0"/>
        <w:spacing w:before="200" w:lineRule="auto"/>
        <w:ind w:firstLine="540"/>
        <w:jc w:val="both"/>
      </w:pPr>
      <w:r>
        <w:rPr>
          <w:sz w:val="20"/>
        </w:rPr>
        <w:t xml:space="preserve">29. Основанием для возврата заявки на доработку на этапе рассмотрения заявки Министерством является несоответствие заявки требованиям, указанным в </w:t>
      </w:r>
      <w:hyperlink w:history="0" w:anchor="P140" w:tooltip="25. Заявка содержит:">
        <w:r>
          <w:rPr>
            <w:sz w:val="20"/>
            <w:color w:val="0000ff"/>
          </w:rPr>
          <w:t xml:space="preserve">пункте 25</w:t>
        </w:r>
      </w:hyperlink>
      <w:r>
        <w:rPr>
          <w:sz w:val="20"/>
        </w:rPr>
        <w:t xml:space="preserve"> и </w:t>
      </w:r>
      <w:hyperlink w:history="0" w:anchor="P161" w:tooltip="26. К заявке прилагаются следующие документы:">
        <w:r>
          <w:rPr>
            <w:sz w:val="20"/>
            <w:color w:val="0000ff"/>
          </w:rPr>
          <w:t xml:space="preserve">частях первой</w:t>
        </w:r>
      </w:hyperlink>
      <w:r>
        <w:rPr>
          <w:sz w:val="20"/>
        </w:rPr>
        <w:t xml:space="preserve"> и </w:t>
      </w:r>
      <w:hyperlink w:history="0" w:anchor="P169" w:tooltip="Каждый из документов, указанных в подпунктах 1 - 7 части первой настоящего пункта, представляется в виде одного файла в формате pdf.">
        <w:r>
          <w:rPr>
            <w:sz w:val="20"/>
            <w:color w:val="0000ff"/>
          </w:rPr>
          <w:t xml:space="preserve">второй пункта 26</w:t>
        </w:r>
      </w:hyperlink>
      <w:r>
        <w:rPr>
          <w:sz w:val="20"/>
        </w:rPr>
        <w:t xml:space="preserve"> настоящего порядка.</w:t>
      </w:r>
    </w:p>
    <w:p>
      <w:pPr>
        <w:pStyle w:val="0"/>
        <w:spacing w:before="200" w:lineRule="auto"/>
        <w:ind w:firstLine="540"/>
        <w:jc w:val="both"/>
      </w:pPr>
      <w:r>
        <w:rPr>
          <w:sz w:val="20"/>
        </w:rPr>
        <w:t xml:space="preserve">30. Решение Министерства о возврате участникам конкурсного отбора заявок на доработку с указанием оснований для возврата, а также положений заявок, нуждающихся в доработке, принимается в отношении всех участников конкурсного отбора, при рассмотрении заявок которых выявлены основания для возврата заявок на доработку.</w:t>
      </w:r>
    </w:p>
    <w:bookmarkStart w:id="176" w:name="P176"/>
    <w:bookmarkEnd w:id="176"/>
    <w:p>
      <w:pPr>
        <w:pStyle w:val="0"/>
        <w:spacing w:before="200" w:lineRule="auto"/>
        <w:ind w:firstLine="540"/>
        <w:jc w:val="both"/>
      </w:pPr>
      <w:r>
        <w:rPr>
          <w:sz w:val="20"/>
        </w:rPr>
        <w:t xml:space="preserve">31. На стадии рассмотрения заявка отклоняется в случае несоответствия участника конкурсного отбора требованиям, указанным в </w:t>
      </w:r>
      <w:hyperlink w:history="0" w:anchor="P106"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32. Решение об отсутствии (наличии) оснований для отклонения заявки принимается комиссией на дату получения от группы технического сопровождения результатов проверки представленных участником конкурсного отбора информации и документов, поданных в составе заявки.</w:t>
      </w:r>
    </w:p>
    <w:p>
      <w:pPr>
        <w:pStyle w:val="0"/>
        <w:spacing w:before="200" w:lineRule="auto"/>
        <w:ind w:firstLine="540"/>
        <w:jc w:val="both"/>
      </w:pPr>
      <w:r>
        <w:rPr>
          <w:sz w:val="20"/>
        </w:rPr>
        <w:t xml:space="preserve">33. Министерство не позднее одного рабочего дня, следующего за днем вскрытия заявок, подписывает протокол вскрытия заявок, содержащий следующую информацию о поступивших для участия в конкурсном отборе заявках:</w:t>
      </w:r>
    </w:p>
    <w:p>
      <w:pPr>
        <w:pStyle w:val="0"/>
        <w:spacing w:before="200" w:lineRule="auto"/>
        <w:ind w:firstLine="540"/>
        <w:jc w:val="both"/>
      </w:pPr>
      <w:r>
        <w:rPr>
          <w:sz w:val="20"/>
        </w:rPr>
        <w:t xml:space="preserve">1) регистрационный номер заявки;</w:t>
      </w:r>
    </w:p>
    <w:p>
      <w:pPr>
        <w:pStyle w:val="0"/>
        <w:spacing w:before="200" w:lineRule="auto"/>
        <w:ind w:firstLine="540"/>
        <w:jc w:val="both"/>
      </w:pPr>
      <w:r>
        <w:rPr>
          <w:sz w:val="20"/>
        </w:rPr>
        <w:t xml:space="preserve">2) дата и время поступления заявки;</w:t>
      </w:r>
    </w:p>
    <w:p>
      <w:pPr>
        <w:pStyle w:val="0"/>
        <w:spacing w:before="200" w:lineRule="auto"/>
        <w:ind w:firstLine="540"/>
        <w:jc w:val="both"/>
      </w:pPr>
      <w:r>
        <w:rPr>
          <w:sz w:val="20"/>
        </w:rPr>
        <w:t xml:space="preserve">3) полное наименование участника конкурсного отбора;</w:t>
      </w:r>
    </w:p>
    <w:p>
      <w:pPr>
        <w:pStyle w:val="0"/>
        <w:spacing w:before="200" w:lineRule="auto"/>
        <w:ind w:firstLine="540"/>
        <w:jc w:val="both"/>
      </w:pPr>
      <w:r>
        <w:rPr>
          <w:sz w:val="20"/>
        </w:rPr>
        <w:t xml:space="preserve">4) адрес юридического лица участника конкурсного отбора;</w:t>
      </w:r>
    </w:p>
    <w:p>
      <w:pPr>
        <w:pStyle w:val="0"/>
        <w:spacing w:before="200" w:lineRule="auto"/>
        <w:ind w:firstLine="540"/>
        <w:jc w:val="both"/>
      </w:pPr>
      <w:r>
        <w:rPr>
          <w:sz w:val="20"/>
        </w:rPr>
        <w:t xml:space="preserve">5) запрашиваемый участником конкурсного отбора размер гранта.</w:t>
      </w:r>
    </w:p>
    <w:p>
      <w:pPr>
        <w:pStyle w:val="0"/>
        <w:spacing w:before="200" w:lineRule="auto"/>
        <w:ind w:firstLine="540"/>
        <w:jc w:val="both"/>
      </w:pPr>
      <w:r>
        <w:rPr>
          <w:sz w:val="20"/>
        </w:rPr>
        <w:t xml:space="preserve">34. Протокол вскрытия заявок формируется на портале автоматически и подписывается усиленной квалифицированной электронной подписью председателя комиссии в системе "Электронный бюджет", а также размещается на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35. По результатам рассмотрения заявок не позднее одного рабочего дня со дня окончания срока рассмотрения заявок группой технического сопровождения формируется проект протокола рассмотрения заявок, включающий информацию о количестве поступивших и рассмотренных заявок, а также информацию по каждому участнику конкурсного отбора о признании его заявки допущенной к конкурсному отбору или об отклонении его заявки с указанием оснований для отклонения.</w:t>
      </w:r>
    </w:p>
    <w:p>
      <w:pPr>
        <w:pStyle w:val="0"/>
        <w:spacing w:before="200" w:lineRule="auto"/>
        <w:ind w:firstLine="540"/>
        <w:jc w:val="both"/>
      </w:pPr>
      <w:r>
        <w:rPr>
          <w:sz w:val="20"/>
        </w:rPr>
        <w:t xml:space="preserve">36. Протокол рассмотрения заявок формируется на портале автоматически на основании результатов рассмотрения заявок и подписывается усиленной квалифицированной электронной подписью председателя комиссии в системе "Электронный бюджет", а также размещается на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37. Допуск экспертов к заявкам для проведения оценки заявок осуществляется после утверждения протокола рассмотрения заявок членами комиссии.</w:t>
      </w:r>
    </w:p>
    <w:p>
      <w:pPr>
        <w:pStyle w:val="0"/>
        <w:spacing w:before="200" w:lineRule="auto"/>
        <w:ind w:firstLine="540"/>
        <w:jc w:val="both"/>
      </w:pPr>
      <w:r>
        <w:rPr>
          <w:sz w:val="20"/>
        </w:rPr>
        <w:t xml:space="preserve">38. Каждая заявка оценивается не менее чем тремя экспертами.</w:t>
      </w:r>
    </w:p>
    <w:p>
      <w:pPr>
        <w:pStyle w:val="0"/>
        <w:spacing w:before="200" w:lineRule="auto"/>
        <w:ind w:firstLine="540"/>
        <w:jc w:val="both"/>
      </w:pPr>
      <w:r>
        <w:rPr>
          <w:sz w:val="20"/>
        </w:rPr>
        <w:t xml:space="preserve">39. Каждый член комиссии в оценочных </w:t>
      </w:r>
      <w:hyperlink w:history="0" w:anchor="P268" w:tooltip="ОЦЕНОЧНЫЙ ТАБЕЛЬ">
        <w:r>
          <w:rPr>
            <w:sz w:val="20"/>
            <w:color w:val="0000ff"/>
          </w:rPr>
          <w:t xml:space="preserve">табелях</w:t>
        </w:r>
      </w:hyperlink>
      <w:r>
        <w:rPr>
          <w:sz w:val="20"/>
        </w:rPr>
        <w:t xml:space="preserve"> по форме согласно приложению к настоящему порядку, выдаваемых по числу представленных проектов:</w:t>
      </w:r>
    </w:p>
    <w:p>
      <w:pPr>
        <w:pStyle w:val="0"/>
        <w:spacing w:before="200" w:lineRule="auto"/>
        <w:ind w:firstLine="540"/>
        <w:jc w:val="both"/>
      </w:pPr>
      <w:r>
        <w:rPr>
          <w:sz w:val="20"/>
        </w:rPr>
        <w:t xml:space="preserve">1) оценивает в баллах все представленные на конкурсный отбор проекты на соответствие каждому критерию;</w:t>
      </w:r>
    </w:p>
    <w:p>
      <w:pPr>
        <w:pStyle w:val="0"/>
        <w:spacing w:before="200" w:lineRule="auto"/>
        <w:ind w:firstLine="540"/>
        <w:jc w:val="both"/>
      </w:pPr>
      <w:r>
        <w:rPr>
          <w:sz w:val="20"/>
        </w:rPr>
        <w:t xml:space="preserve">2) определяет сумму баллов (от 0 до 115,1 балла) по каждому представленному на конкурсный отбор проекту;</w:t>
      </w:r>
    </w:p>
    <w:p>
      <w:pPr>
        <w:pStyle w:val="0"/>
        <w:spacing w:before="200" w:lineRule="auto"/>
        <w:ind w:firstLine="540"/>
        <w:jc w:val="both"/>
      </w:pPr>
      <w:r>
        <w:rPr>
          <w:sz w:val="20"/>
        </w:rPr>
        <w:t xml:space="preserve">3) формирует рейтинг представленных к рассмотрению проектов с указанием размера гранта для каждого победителя конкурсного отбора.</w:t>
      </w:r>
    </w:p>
    <w:p>
      <w:pPr>
        <w:pStyle w:val="0"/>
        <w:spacing w:before="200" w:lineRule="auto"/>
        <w:ind w:firstLine="540"/>
        <w:jc w:val="both"/>
      </w:pPr>
      <w:r>
        <w:rPr>
          <w:sz w:val="20"/>
        </w:rPr>
        <w:t xml:space="preserve">40. В целях завершения конкурсного отбора и определения победителей конкурсного отбора формируется протокол подведения итогов конкурсного отбора, включающий информацию о количестве набранных каждым участником конкурсного отбора баллов по каждому критерию оценки заявок, об общем количестве набранных каждым участником конкурсного отбора баллов по результатам оценки заявок, о победителях конкурсного отбора с указанием размеров грантов, об отклонении заявок с указанием оснований для их отклонения.</w:t>
      </w:r>
    </w:p>
    <w:p>
      <w:pPr>
        <w:pStyle w:val="0"/>
        <w:spacing w:before="200" w:lineRule="auto"/>
        <w:ind w:firstLine="540"/>
        <w:jc w:val="both"/>
      </w:pPr>
      <w:r>
        <w:rPr>
          <w:sz w:val="20"/>
        </w:rPr>
        <w:t xml:space="preserve">41. Протокол подведения итогов конкурсного отбора формируется на портале автоматически на основании результатов определения победителей конкурсного отбора и подписывается усиленной квалифицированной электронной подписью председателя комиссии в системе "Электронный бюджет", а также размещается на портале не позднее рабочего дня, следующего за днем его подписания.</w:t>
      </w:r>
    </w:p>
    <w:p>
      <w:pPr>
        <w:pStyle w:val="0"/>
        <w:ind w:firstLine="540"/>
        <w:jc w:val="both"/>
      </w:pPr>
      <w:r>
        <w:rPr>
          <w:sz w:val="20"/>
        </w:rPr>
      </w:r>
    </w:p>
    <w:p>
      <w:pPr>
        <w:pStyle w:val="2"/>
        <w:outlineLvl w:val="1"/>
        <w:jc w:val="center"/>
      </w:pPr>
      <w:r>
        <w:rPr>
          <w:sz w:val="20"/>
        </w:rPr>
        <w:t xml:space="preserve">Глава 3. УСЛОВИЯ И ПОРЯДОК ПРЕДОСТАВЛЕНИЯ ГРАНТОВ</w:t>
      </w:r>
    </w:p>
    <w:p>
      <w:pPr>
        <w:pStyle w:val="0"/>
        <w:ind w:firstLine="540"/>
        <w:jc w:val="both"/>
      </w:pPr>
      <w:r>
        <w:rPr>
          <w:sz w:val="20"/>
        </w:rPr>
      </w:r>
    </w:p>
    <w:p>
      <w:pPr>
        <w:pStyle w:val="0"/>
        <w:ind w:firstLine="540"/>
        <w:jc w:val="both"/>
      </w:pPr>
      <w:r>
        <w:rPr>
          <w:sz w:val="20"/>
        </w:rPr>
        <w:t xml:space="preserve">42. Грант предоставляется в соответствии с бюджетным законодательством Российской Федерации и настоящим порядком.</w:t>
      </w:r>
    </w:p>
    <w:p>
      <w:pPr>
        <w:pStyle w:val="0"/>
        <w:spacing w:before="200" w:lineRule="auto"/>
        <w:ind w:firstLine="540"/>
        <w:jc w:val="both"/>
      </w:pPr>
      <w:r>
        <w:rPr>
          <w:sz w:val="20"/>
        </w:rPr>
        <w:t xml:space="preserve">43. Грант предоставляется при условии соответствия победителя конкурсного отбора на первое число месяца, предшествующего месяцу, в котором планируется заключение соглашения, требованиям, указанным в </w:t>
      </w:r>
      <w:hyperlink w:history="0" w:anchor="P106"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44. Грант может быть использован только на осуществление целевых расходов, связанных с реализацией проекта, в том числе расходов на оплату труда (не более 5% от объема гранта), расходов на приобретение имущественных прав, в том числе прав на результаты интеллектуальной деятельности, расходов на командировки и прочих расходов, непосредственно связанных с реализацией проекта.</w:t>
      </w:r>
    </w:p>
    <w:p>
      <w:pPr>
        <w:pStyle w:val="0"/>
        <w:spacing w:before="200" w:lineRule="auto"/>
        <w:ind w:firstLine="540"/>
        <w:jc w:val="both"/>
      </w:pPr>
      <w:r>
        <w:rPr>
          <w:sz w:val="20"/>
        </w:rPr>
        <w:t xml:space="preserve">45. За счет гранта запрещается осуществлять следующие расходы:</w:t>
      </w:r>
    </w:p>
    <w:p>
      <w:pPr>
        <w:pStyle w:val="0"/>
        <w:spacing w:before="200" w:lineRule="auto"/>
        <w:ind w:firstLine="540"/>
        <w:jc w:val="both"/>
      </w:pPr>
      <w:r>
        <w:rPr>
          <w:sz w:val="20"/>
        </w:rPr>
        <w:t xml:space="preserve">1) расходы на содержание организации (аренда помещения организации, коммунальные услуги, услуги связи, юридические и бухгалтерские услуги, содержание хозяйственных служб и иные аналогичные расходы);</w:t>
      </w:r>
    </w:p>
    <w:p>
      <w:pPr>
        <w:pStyle w:val="0"/>
        <w:spacing w:before="200" w:lineRule="auto"/>
        <w:ind w:firstLine="540"/>
        <w:jc w:val="both"/>
      </w:pPr>
      <w:r>
        <w:rPr>
          <w:sz w:val="20"/>
        </w:rPr>
        <w:t xml:space="preserve">2) расходы на содержание руководства организации, включая руководителя, заместителей и помощников руководителя, работников бухгалтерии, юридических служб и иных административных служб;</w:t>
      </w:r>
    </w:p>
    <w:p>
      <w:pPr>
        <w:pStyle w:val="0"/>
        <w:spacing w:before="200" w:lineRule="auto"/>
        <w:ind w:firstLine="540"/>
        <w:jc w:val="both"/>
      </w:pPr>
      <w:r>
        <w:rPr>
          <w:sz w:val="20"/>
        </w:rPr>
        <w:t xml:space="preserve">3) расходы на оплату труда с учетом страховых взносов координатора, руководителя, менеджера, администратора проекта, их помощников или заместителей (при наличии) или иных специалистов, выполняющих аналогичный функционал, или расходы по оплате договоров с физическими лицами, индивидуальными предпринимателями или юридическими лицами на выполнение такого функционала свыше 5% от объема гранта;</w:t>
      </w:r>
    </w:p>
    <w:p>
      <w:pPr>
        <w:pStyle w:val="0"/>
        <w:spacing w:before="200" w:lineRule="auto"/>
        <w:ind w:firstLine="540"/>
        <w:jc w:val="both"/>
      </w:pPr>
      <w:r>
        <w:rPr>
          <w:sz w:val="20"/>
        </w:rPr>
        <w:t xml:space="preserve">4) расходы, связанные с осуществлением предпринимательской деятельности;</w:t>
      </w:r>
    </w:p>
    <w:p>
      <w:pPr>
        <w:pStyle w:val="0"/>
        <w:spacing w:before="200" w:lineRule="auto"/>
        <w:ind w:firstLine="540"/>
        <w:jc w:val="both"/>
      </w:pPr>
      <w:r>
        <w:rPr>
          <w:sz w:val="20"/>
        </w:rPr>
        <w:t xml:space="preserve">5) расходы на осуществление деятельности, напрямую не связанной с реализацией проектов;</w:t>
      </w:r>
    </w:p>
    <w:p>
      <w:pPr>
        <w:pStyle w:val="0"/>
        <w:spacing w:before="200" w:lineRule="auto"/>
        <w:ind w:firstLine="540"/>
        <w:jc w:val="both"/>
      </w:pPr>
      <w:r>
        <w:rPr>
          <w:sz w:val="20"/>
        </w:rPr>
        <w:t xml:space="preserve">6) расходы на поддержку политических партий и политических кампаний;</w:t>
      </w:r>
    </w:p>
    <w:p>
      <w:pPr>
        <w:pStyle w:val="0"/>
        <w:spacing w:before="200" w:lineRule="auto"/>
        <w:ind w:firstLine="540"/>
        <w:jc w:val="both"/>
      </w:pPr>
      <w:r>
        <w:rPr>
          <w:sz w:val="20"/>
        </w:rPr>
        <w:t xml:space="preserve">7) расходы на проведение митингов, демонстраций, пикетирований;</w:t>
      </w:r>
    </w:p>
    <w:p>
      <w:pPr>
        <w:pStyle w:val="0"/>
        <w:spacing w:before="200" w:lineRule="auto"/>
        <w:ind w:firstLine="540"/>
        <w:jc w:val="both"/>
      </w:pPr>
      <w:r>
        <w:rPr>
          <w:sz w:val="20"/>
        </w:rPr>
        <w:t xml:space="preserve">8) расходы на приобретение алкогольных напитков и табачной продукции;</w:t>
      </w:r>
    </w:p>
    <w:p>
      <w:pPr>
        <w:pStyle w:val="0"/>
        <w:spacing w:before="200" w:lineRule="auto"/>
        <w:ind w:firstLine="540"/>
        <w:jc w:val="both"/>
      </w:pPr>
      <w:r>
        <w:rPr>
          <w:sz w:val="20"/>
        </w:rPr>
        <w:t xml:space="preserve">9) расходы на оплату работ по капитальному строительству и реконструкции зданий и сооружений;</w:t>
      </w:r>
    </w:p>
    <w:p>
      <w:pPr>
        <w:pStyle w:val="0"/>
        <w:spacing w:before="200" w:lineRule="auto"/>
        <w:ind w:firstLine="540"/>
        <w:jc w:val="both"/>
      </w:pPr>
      <w:r>
        <w:rPr>
          <w:sz w:val="20"/>
        </w:rPr>
        <w:t xml:space="preserve">10) расходы на приобретение недвижимости;</w:t>
      </w:r>
    </w:p>
    <w:p>
      <w:pPr>
        <w:pStyle w:val="0"/>
        <w:spacing w:before="200" w:lineRule="auto"/>
        <w:ind w:firstLine="540"/>
        <w:jc w:val="both"/>
      </w:pPr>
      <w:r>
        <w:rPr>
          <w:sz w:val="20"/>
        </w:rPr>
        <w:t xml:space="preserve">11) расходы на погашение кредиторской задолженности;</w:t>
      </w:r>
    </w:p>
    <w:p>
      <w:pPr>
        <w:pStyle w:val="0"/>
        <w:spacing w:before="200" w:lineRule="auto"/>
        <w:ind w:firstLine="540"/>
        <w:jc w:val="both"/>
      </w:pPr>
      <w:r>
        <w:rPr>
          <w:sz w:val="20"/>
        </w:rPr>
        <w:t xml:space="preserve">12) расходы на уплату пеней и штрафов.</w:t>
      </w:r>
    </w:p>
    <w:p>
      <w:pPr>
        <w:pStyle w:val="0"/>
        <w:spacing w:before="200" w:lineRule="auto"/>
        <w:ind w:firstLine="540"/>
        <w:jc w:val="both"/>
      </w:pPr>
      <w:r>
        <w:rPr>
          <w:sz w:val="20"/>
        </w:rPr>
        <w:t xml:space="preserve">46. Соглашение заключается с победителем конкурсного отбора в соответствии с типовой формой, утверждаемой приказом Министерства финансов Свердловской области.</w:t>
      </w:r>
    </w:p>
    <w:p>
      <w:pPr>
        <w:pStyle w:val="0"/>
        <w:spacing w:before="200" w:lineRule="auto"/>
        <w:ind w:firstLine="540"/>
        <w:jc w:val="both"/>
      </w:pPr>
      <w:r>
        <w:rPr>
          <w:sz w:val="20"/>
        </w:rPr>
        <w:t xml:space="preserve">47. Соглашение заключается в срок не позднее 30 марта года, следующего за годом проведения конкурсного отбора. В случае проведения дополнительного конкурсного отбора в соответствии с </w:t>
      </w:r>
      <w:hyperlink w:history="0" w:anchor="P225" w:tooltip="53. В случае наличия по результатам проведения конкурсного отбора остатка лимитов бюджетных обязательств на предоставление гранта на соответствующий финансовый год, не распределенного между победителями конкурсного отбора, увеличения лимитов бюджетных обязательств, отказа победителя конкурсного отбора от заключения соглашения, расторжения соглашения с получателем гранта Министерство может принять решение о проведении дополнительного конкурсного отбора в соответствии с настоящим порядком.">
        <w:r>
          <w:rPr>
            <w:sz w:val="20"/>
            <w:color w:val="0000ff"/>
          </w:rPr>
          <w:t xml:space="preserve">пунктом 53</w:t>
        </w:r>
      </w:hyperlink>
      <w:r>
        <w:rPr>
          <w:sz w:val="20"/>
        </w:rPr>
        <w:t xml:space="preserve"> настоящего порядка соглашение заключается в срок не позднее 30 календарных дней со дня принятия приказа Министерства об утверждении перечня победителей конкурсного отбора.</w:t>
      </w:r>
    </w:p>
    <w:p>
      <w:pPr>
        <w:pStyle w:val="0"/>
        <w:spacing w:before="200" w:lineRule="auto"/>
        <w:ind w:firstLine="540"/>
        <w:jc w:val="both"/>
      </w:pPr>
      <w:r>
        <w:rPr>
          <w:sz w:val="20"/>
        </w:rPr>
        <w:t xml:space="preserve">48. Получатель гранта признается уклонившимся от заключения соглашения в случае отказа от заключения соглашения в течение 30 календарных дней со дня принятия приказа Министерства о результатах конкурсного отбора.</w:t>
      </w:r>
    </w:p>
    <w:p>
      <w:pPr>
        <w:pStyle w:val="0"/>
        <w:spacing w:before="200" w:lineRule="auto"/>
        <w:ind w:firstLine="540"/>
        <w:jc w:val="both"/>
      </w:pPr>
      <w:r>
        <w:rPr>
          <w:sz w:val="20"/>
        </w:rPr>
        <w:t xml:space="preserve">49. 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гранта в размере, установленном в соглашении.</w:t>
      </w:r>
    </w:p>
    <w:p>
      <w:pPr>
        <w:pStyle w:val="0"/>
        <w:spacing w:before="200" w:lineRule="auto"/>
        <w:ind w:firstLine="540"/>
        <w:jc w:val="both"/>
      </w:pPr>
      <w:r>
        <w:rPr>
          <w:sz w:val="20"/>
        </w:rPr>
        <w:t xml:space="preserve">50. Внесение изменений в соглашение оформляется путем заключения дополнительного соглашения к соглашению в соответствии с типовой формой, утверждаемой приказом Министерства финансов Свердловской области.</w:t>
      </w:r>
    </w:p>
    <w:p>
      <w:pPr>
        <w:pStyle w:val="0"/>
        <w:spacing w:before="200" w:lineRule="auto"/>
        <w:ind w:firstLine="540"/>
        <w:jc w:val="both"/>
      </w:pPr>
      <w:r>
        <w:rPr>
          <w:sz w:val="20"/>
        </w:rPr>
        <w:t xml:space="preserve">51. Перечисление гранта производится на расчетный счет, открытый победителем конкурсного отбора в российской кредитной организации, в течение 10 рабочих дней со дня заключения соглашения.</w:t>
      </w:r>
    </w:p>
    <w:p>
      <w:pPr>
        <w:pStyle w:val="0"/>
        <w:spacing w:before="200" w:lineRule="auto"/>
        <w:ind w:firstLine="540"/>
        <w:jc w:val="both"/>
      </w:pPr>
      <w:r>
        <w:rPr>
          <w:sz w:val="20"/>
        </w:rPr>
        <w:t xml:space="preserve">52. Основаниями для отказа победителю конкурсного отбора в предоставлении гранта являются:</w:t>
      </w:r>
    </w:p>
    <w:p>
      <w:pPr>
        <w:pStyle w:val="0"/>
        <w:spacing w:before="200" w:lineRule="auto"/>
        <w:ind w:firstLine="540"/>
        <w:jc w:val="both"/>
      </w:pPr>
      <w:r>
        <w:rPr>
          <w:sz w:val="20"/>
        </w:rPr>
        <w:t xml:space="preserve">1) несоответствие получателя гранта требованиям, указанным в </w:t>
      </w:r>
      <w:hyperlink w:history="0" w:anchor="P106"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2) несоответствие представленных получателем гранта документов требованиям, указанным в </w:t>
      </w:r>
      <w:hyperlink w:history="0" w:anchor="P140" w:tooltip="25. Заявка содержит:">
        <w:r>
          <w:rPr>
            <w:sz w:val="20"/>
            <w:color w:val="0000ff"/>
          </w:rPr>
          <w:t xml:space="preserve">пункте 25</w:t>
        </w:r>
      </w:hyperlink>
      <w:r>
        <w:rPr>
          <w:sz w:val="20"/>
        </w:rPr>
        <w:t xml:space="preserve"> и </w:t>
      </w:r>
      <w:hyperlink w:history="0" w:anchor="P161" w:tooltip="26. К заявке прилагаются следующие документы:">
        <w:r>
          <w:rPr>
            <w:sz w:val="20"/>
            <w:color w:val="0000ff"/>
          </w:rPr>
          <w:t xml:space="preserve">частях первой</w:t>
        </w:r>
      </w:hyperlink>
      <w:r>
        <w:rPr>
          <w:sz w:val="20"/>
        </w:rPr>
        <w:t xml:space="preserve"> и </w:t>
      </w:r>
      <w:hyperlink w:history="0" w:anchor="P169" w:tooltip="Каждый из документов, указанных в подпунктах 1 - 7 части первой настоящего пункта, представляется в виде одного файла в формате pdf.">
        <w:r>
          <w:rPr>
            <w:sz w:val="20"/>
            <w:color w:val="0000ff"/>
          </w:rPr>
          <w:t xml:space="preserve">второй пункта 26</w:t>
        </w:r>
      </w:hyperlink>
      <w:r>
        <w:rPr>
          <w:sz w:val="20"/>
        </w:rPr>
        <w:t xml:space="preserve"> настоящего порядка,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3) установление факта недостоверности (или неполноты) предоставленной получателем гранта информации;</w:t>
      </w:r>
    </w:p>
    <w:p>
      <w:pPr>
        <w:pStyle w:val="0"/>
        <w:spacing w:before="200" w:lineRule="auto"/>
        <w:ind w:firstLine="540"/>
        <w:jc w:val="both"/>
      </w:pPr>
      <w:r>
        <w:rPr>
          <w:sz w:val="20"/>
        </w:rPr>
        <w:t xml:space="preserve">4) поступление в Министерство от победителя конкурсного отбора заявления об отказе от заключения соглашения, о несогласии с условиями соглашения.</w:t>
      </w:r>
    </w:p>
    <w:bookmarkStart w:id="225" w:name="P225"/>
    <w:bookmarkEnd w:id="225"/>
    <w:p>
      <w:pPr>
        <w:pStyle w:val="0"/>
        <w:spacing w:before="200" w:lineRule="auto"/>
        <w:ind w:firstLine="540"/>
        <w:jc w:val="both"/>
      </w:pPr>
      <w:r>
        <w:rPr>
          <w:sz w:val="20"/>
        </w:rPr>
        <w:t xml:space="preserve">53. В случае наличия по результатам проведения конкурсного отбора остатка лимитов бюджетных обязательств на предоставление гранта на соответствующий финансовый год, не распределенного между победителями конкурсного отбора, увеличения лимитов бюджетных обязательств, отказа победителя конкурсного отбора от заключения соглашения, расторжения соглашения с получателем гранта Министерство может принять решение о проведении дополнительного конкурсного отбора в соответствии с настоящим порядком.</w:t>
      </w:r>
    </w:p>
    <w:p>
      <w:pPr>
        <w:pStyle w:val="0"/>
        <w:spacing w:before="200" w:lineRule="auto"/>
        <w:ind w:firstLine="540"/>
        <w:jc w:val="both"/>
      </w:pPr>
      <w:r>
        <w:rPr>
          <w:sz w:val="20"/>
        </w:rPr>
        <w:t xml:space="preserve">54. При реорганизации получателя гранта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55. При реорганизации получателя гранта в форме разделения, выделения, а также при ликвидации получателя гранта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областной бюджет.</w:t>
      </w:r>
    </w:p>
    <w:p>
      <w:pPr>
        <w:pStyle w:val="0"/>
        <w:ind w:firstLine="540"/>
        <w:jc w:val="both"/>
      </w:pPr>
      <w:r>
        <w:rPr>
          <w:sz w:val="20"/>
        </w:rPr>
      </w:r>
    </w:p>
    <w:p>
      <w:pPr>
        <w:pStyle w:val="2"/>
        <w:outlineLvl w:val="1"/>
        <w:jc w:val="center"/>
      </w:pPr>
      <w:r>
        <w:rPr>
          <w:sz w:val="20"/>
        </w:rPr>
        <w:t xml:space="preserve">Глава 4. ТРЕБОВАНИЯ К ОТЧЕТНОСТИ</w:t>
      </w:r>
    </w:p>
    <w:p>
      <w:pPr>
        <w:pStyle w:val="0"/>
        <w:ind w:firstLine="540"/>
        <w:jc w:val="both"/>
      </w:pPr>
      <w:r>
        <w:rPr>
          <w:sz w:val="20"/>
        </w:rPr>
      </w:r>
    </w:p>
    <w:p>
      <w:pPr>
        <w:pStyle w:val="0"/>
        <w:ind w:firstLine="540"/>
        <w:jc w:val="both"/>
      </w:pPr>
      <w:r>
        <w:rPr>
          <w:sz w:val="20"/>
        </w:rPr>
        <w:t xml:space="preserve">56. Получатели гранта представляют в Министерство не позднее 10 рабочего дня, следующего за отчетным кварталом:</w:t>
      </w:r>
    </w:p>
    <w:bookmarkStart w:id="232" w:name="P232"/>
    <w:bookmarkEnd w:id="232"/>
    <w:p>
      <w:pPr>
        <w:pStyle w:val="0"/>
        <w:spacing w:before="200" w:lineRule="auto"/>
        <w:ind w:firstLine="540"/>
        <w:jc w:val="both"/>
      </w:pPr>
      <w:r>
        <w:rPr>
          <w:sz w:val="20"/>
        </w:rPr>
        <w:t xml:space="preserve">1) отчет о достижении значения результата предоставления гранта;</w:t>
      </w:r>
    </w:p>
    <w:bookmarkStart w:id="233" w:name="P233"/>
    <w:bookmarkEnd w:id="233"/>
    <w:p>
      <w:pPr>
        <w:pStyle w:val="0"/>
        <w:spacing w:before="200" w:lineRule="auto"/>
        <w:ind w:firstLine="540"/>
        <w:jc w:val="both"/>
      </w:pPr>
      <w:r>
        <w:rPr>
          <w:sz w:val="20"/>
        </w:rPr>
        <w:t xml:space="preserve">2) отчет о реализации плана мероприятий по достижению результата предоставления гранта;</w:t>
      </w:r>
    </w:p>
    <w:bookmarkStart w:id="234" w:name="P234"/>
    <w:bookmarkEnd w:id="234"/>
    <w:p>
      <w:pPr>
        <w:pStyle w:val="0"/>
        <w:spacing w:before="200" w:lineRule="auto"/>
        <w:ind w:firstLine="540"/>
        <w:jc w:val="both"/>
      </w:pPr>
      <w:r>
        <w:rPr>
          <w:sz w:val="20"/>
        </w:rPr>
        <w:t xml:space="preserve">3) отчет о расходах, источником финансового обеспечения которых является грант.</w:t>
      </w:r>
    </w:p>
    <w:p>
      <w:pPr>
        <w:pStyle w:val="0"/>
        <w:spacing w:before="200" w:lineRule="auto"/>
        <w:ind w:firstLine="540"/>
        <w:jc w:val="both"/>
      </w:pPr>
      <w:r>
        <w:rPr>
          <w:sz w:val="20"/>
        </w:rPr>
        <w:t xml:space="preserve">Получатель гранта в течение 5 рабочих дней после реализации проекта направляет в Министерство официальное письмо, содержащее ссылку на информационные материалы (включая фото- и (или) видеоматериалы) о реализации проекта, размещенные на официальном сайте получателя гранта и (или) других ресурсах в сети Интернет.</w:t>
      </w:r>
    </w:p>
    <w:p>
      <w:pPr>
        <w:pStyle w:val="0"/>
        <w:spacing w:before="200" w:lineRule="auto"/>
        <w:ind w:firstLine="540"/>
        <w:jc w:val="both"/>
      </w:pPr>
      <w:r>
        <w:rPr>
          <w:sz w:val="20"/>
        </w:rPr>
        <w:t xml:space="preserve">Отчеты, указанные в </w:t>
      </w:r>
      <w:hyperlink w:history="0" w:anchor="P232" w:tooltip="1) отчет о достижении значения результата предоставления гранта;">
        <w:r>
          <w:rPr>
            <w:sz w:val="20"/>
            <w:color w:val="0000ff"/>
          </w:rPr>
          <w:t xml:space="preserve">подпунктах 1</w:t>
        </w:r>
      </w:hyperlink>
      <w:r>
        <w:rPr>
          <w:sz w:val="20"/>
        </w:rPr>
        <w:t xml:space="preserve"> и </w:t>
      </w:r>
      <w:hyperlink w:history="0" w:anchor="P234" w:tooltip="3) отчет о расходах, источником финансового обеспечения которых является грант.">
        <w:r>
          <w:rPr>
            <w:sz w:val="20"/>
            <w:color w:val="0000ff"/>
          </w:rPr>
          <w:t xml:space="preserve">3 части первой</w:t>
        </w:r>
      </w:hyperlink>
      <w:r>
        <w:rPr>
          <w:sz w:val="20"/>
        </w:rPr>
        <w:t xml:space="preserve"> настоящего пункта, представляются в соответствии с типовыми формами, установленными Министерством финансов Свердловской области.</w:t>
      </w:r>
    </w:p>
    <w:p>
      <w:pPr>
        <w:pStyle w:val="0"/>
        <w:spacing w:before="200" w:lineRule="auto"/>
        <w:ind w:firstLine="540"/>
        <w:jc w:val="both"/>
      </w:pPr>
      <w:r>
        <w:rPr>
          <w:sz w:val="20"/>
        </w:rPr>
        <w:t xml:space="preserve">Отчет, указанный в </w:t>
      </w:r>
      <w:hyperlink w:history="0" w:anchor="P233" w:tooltip="2) отчет о реализации плана мероприятий по достижению результата предоставления гранта;">
        <w:r>
          <w:rPr>
            <w:sz w:val="20"/>
            <w:color w:val="0000ff"/>
          </w:rPr>
          <w:t xml:space="preserve">подпункте 2 части первой</w:t>
        </w:r>
      </w:hyperlink>
      <w:r>
        <w:rPr>
          <w:sz w:val="20"/>
        </w:rPr>
        <w:t xml:space="preserve"> настоящего пункта, представляется в соответствии с типовой формой, установленной Министерством финансов Российской Федерации.</w:t>
      </w:r>
    </w:p>
    <w:p>
      <w:pPr>
        <w:pStyle w:val="0"/>
        <w:spacing w:before="200" w:lineRule="auto"/>
        <w:ind w:firstLine="540"/>
        <w:jc w:val="both"/>
      </w:pPr>
      <w:r>
        <w:rPr>
          <w:sz w:val="20"/>
        </w:rPr>
        <w:t xml:space="preserve">57. Министерство вправе устанавливать в соглашении сроки и формы представления получателем гранта дополнительной отчетности.</w:t>
      </w:r>
    </w:p>
    <w:p>
      <w:pPr>
        <w:pStyle w:val="0"/>
        <w:spacing w:before="200" w:lineRule="auto"/>
        <w:ind w:firstLine="540"/>
        <w:jc w:val="both"/>
      </w:pPr>
      <w:r>
        <w:rPr>
          <w:sz w:val="20"/>
        </w:rPr>
        <w:t xml:space="preserve">Порядок и сроки проверки и принятия Министерством отчетности, представленной получателем гранта, устанавливаются в соглашении.</w:t>
      </w:r>
    </w:p>
    <w:p>
      <w:pPr>
        <w:pStyle w:val="0"/>
        <w:spacing w:before="200" w:lineRule="auto"/>
        <w:ind w:firstLine="540"/>
        <w:jc w:val="both"/>
      </w:pPr>
      <w:r>
        <w:rPr>
          <w:sz w:val="20"/>
        </w:rPr>
        <w:t xml:space="preserve">58. Результат предоставления гранта - "Оказана государственная поддержка в сфере культуры и искусства организациям культуры и искусства в целях реализации творческого проекта".</w:t>
      </w:r>
    </w:p>
    <w:p>
      <w:pPr>
        <w:pStyle w:val="0"/>
        <w:ind w:firstLine="540"/>
        <w:jc w:val="both"/>
      </w:pPr>
      <w:r>
        <w:rPr>
          <w:sz w:val="20"/>
        </w:rPr>
      </w:r>
    </w:p>
    <w:p>
      <w:pPr>
        <w:pStyle w:val="2"/>
        <w:outlineLvl w:val="1"/>
        <w:jc w:val="center"/>
      </w:pPr>
      <w:r>
        <w:rPr>
          <w:sz w:val="20"/>
        </w:rPr>
        <w:t xml:space="preserve">Глава 5. ТРЕБОВАНИЯ ОБ ОСУЩЕСТВЛЕНИИ КОНТРОЛЯ ЗА СОБЛЮДЕНИЕМ</w:t>
      </w:r>
    </w:p>
    <w:p>
      <w:pPr>
        <w:pStyle w:val="2"/>
        <w:jc w:val="center"/>
      </w:pPr>
      <w:r>
        <w:rPr>
          <w:sz w:val="20"/>
        </w:rPr>
        <w:t xml:space="preserve">УСЛОВИЙ И ПОРЯДКА ПРЕДОСТАВЛЕНИЯ ГРАНТОВ</w:t>
      </w:r>
    </w:p>
    <w:p>
      <w:pPr>
        <w:pStyle w:val="2"/>
        <w:jc w:val="center"/>
      </w:pPr>
      <w:r>
        <w:rPr>
          <w:sz w:val="20"/>
        </w:rPr>
        <w:t xml:space="preserve">И ОТВЕТСТВЕННОСТЬ ЗА ИХ НАРУШЕНИЕ</w:t>
      </w:r>
    </w:p>
    <w:p>
      <w:pPr>
        <w:pStyle w:val="0"/>
        <w:ind w:firstLine="540"/>
        <w:jc w:val="both"/>
      </w:pPr>
      <w:r>
        <w:rPr>
          <w:sz w:val="20"/>
        </w:rPr>
      </w:r>
    </w:p>
    <w:p>
      <w:pPr>
        <w:pStyle w:val="0"/>
        <w:ind w:firstLine="540"/>
        <w:jc w:val="both"/>
      </w:pPr>
      <w:r>
        <w:rPr>
          <w:sz w:val="20"/>
        </w:rPr>
        <w:t xml:space="preserve">59. В отношении получателя гранта и лиц, являющихся поставщиками (подрядчиками, исполнителями) по договорам (соглашениям), заключенным в целях исполнения обязательств по соглашению, Министерством осуществляются проверки соблюдения ими условий и порядка предоставления гранта, в том числе в части достижения результата предоставления гранта.</w:t>
      </w:r>
    </w:p>
    <w:p>
      <w:pPr>
        <w:pStyle w:val="0"/>
        <w:spacing w:before="200" w:lineRule="auto"/>
        <w:ind w:firstLine="540"/>
        <w:jc w:val="both"/>
      </w:pPr>
      <w:r>
        <w:rPr>
          <w:sz w:val="20"/>
        </w:rPr>
        <w:t xml:space="preserve">60. Министерством проводится мониторинг достижения результата предоставления гранта и событий, отражающих факт завершения соответствующего мероприятия по получению результата предоставления гранта (контрольная точка), в соответствии с </w:t>
      </w:r>
      <w:hyperlink w:history="0" r:id="rId24"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pPr>
        <w:pStyle w:val="0"/>
        <w:spacing w:before="200" w:lineRule="auto"/>
        <w:ind w:firstLine="540"/>
        <w:jc w:val="both"/>
      </w:pPr>
      <w:r>
        <w:rPr>
          <w:sz w:val="20"/>
        </w:rPr>
        <w:t xml:space="preserve">61. В случае нарушения получателем гранта условий, установленных при предоставлении грантов, выявленного в том числе по фактам проверок, проведенных Министерством, требование о возврате гранта направляется Министерством получателю гранта в течение 10 рабочих дней со дня выявления такого нарушения.</w:t>
      </w:r>
    </w:p>
    <w:p>
      <w:pPr>
        <w:pStyle w:val="0"/>
        <w:spacing w:before="200" w:lineRule="auto"/>
        <w:ind w:firstLine="540"/>
        <w:jc w:val="both"/>
      </w:pPr>
      <w:r>
        <w:rPr>
          <w:sz w:val="20"/>
        </w:rPr>
        <w:t xml:space="preserve">Грант (часть гранта) возвращается в областной бюджет в размере и сроки, установленные в полученном от Министерства требовании, либо на основании представления и (или) предписания Министерства финансов Свердловской области в сроки, установленные бюджетным законодательством Российской Федерации.</w:t>
      </w:r>
    </w:p>
    <w:bookmarkStart w:id="250" w:name="P250"/>
    <w:bookmarkEnd w:id="250"/>
    <w:p>
      <w:pPr>
        <w:pStyle w:val="0"/>
        <w:spacing w:before="200" w:lineRule="auto"/>
        <w:ind w:firstLine="540"/>
        <w:jc w:val="both"/>
      </w:pPr>
      <w:r>
        <w:rPr>
          <w:sz w:val="20"/>
        </w:rPr>
        <w:t xml:space="preserve">62. Грант подлежит возврату в областной бюджет в течение 10 рабочих дней со дня получения получателем гранта соответствующего требования Министерства о возврате гранта (части гранта).</w:t>
      </w:r>
    </w:p>
    <w:p>
      <w:pPr>
        <w:pStyle w:val="0"/>
        <w:spacing w:before="200" w:lineRule="auto"/>
        <w:ind w:firstLine="540"/>
        <w:jc w:val="both"/>
      </w:pPr>
      <w:r>
        <w:rPr>
          <w:sz w:val="20"/>
        </w:rPr>
        <w:t xml:space="preserve">Также грант (часть гранта) подлежит возврату в случае приобретения за счет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При невозврате гранта (части гранта) в срок, указанный в </w:t>
      </w:r>
      <w:hyperlink w:history="0" w:anchor="P250" w:tooltip="62. Грант подлежит возврату в областной бюджет в течение 10 рабочих дней со дня получения получателем гранта соответствующего требования Министерства о возврате гранта (части гранта).">
        <w:r>
          <w:rPr>
            <w:sz w:val="20"/>
            <w:color w:val="0000ff"/>
          </w:rPr>
          <w:t xml:space="preserve">части первой</w:t>
        </w:r>
      </w:hyperlink>
      <w:r>
        <w:rPr>
          <w:sz w:val="20"/>
        </w:rPr>
        <w:t xml:space="preserve"> настоящего пункта, Министерство принимает меры по взысканию подлежащего (подлежащей) возврату в областной бюджет гранта (части гранта) в судебном порядке.</w:t>
      </w:r>
    </w:p>
    <w:p>
      <w:pPr>
        <w:pStyle w:val="0"/>
        <w:spacing w:before="200" w:lineRule="auto"/>
        <w:ind w:firstLine="540"/>
        <w:jc w:val="both"/>
      </w:pPr>
      <w:r>
        <w:rPr>
          <w:sz w:val="20"/>
        </w:rPr>
        <w:t xml:space="preserve">63. В отношении получателя гранта и лиц, являющихся поставщиками (подрядчиками, исполнителями) по договорам (соглашениям), заключенным в целях исполнения обязательств по соглашению, также осуществляются проверки уполномоченными органами государственного финансового контроля Свердловской области в соответствии со </w:t>
      </w:r>
      <w:hyperlink w:history="0" r:id="rId25"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6"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предоставления грантов</w:t>
      </w:r>
    </w:p>
    <w:p>
      <w:pPr>
        <w:pStyle w:val="0"/>
        <w:jc w:val="right"/>
      </w:pPr>
      <w:r>
        <w:rPr>
          <w:sz w:val="20"/>
        </w:rPr>
        <w:t xml:space="preserve">в форме субсидий на оказание</w:t>
      </w:r>
    </w:p>
    <w:p>
      <w:pPr>
        <w:pStyle w:val="0"/>
        <w:jc w:val="right"/>
      </w:pPr>
      <w:r>
        <w:rPr>
          <w:sz w:val="20"/>
        </w:rPr>
        <w:t xml:space="preserve">государственной поддержки в сфере</w:t>
      </w:r>
    </w:p>
    <w:p>
      <w:pPr>
        <w:pStyle w:val="0"/>
        <w:jc w:val="right"/>
      </w:pPr>
      <w:r>
        <w:rPr>
          <w:sz w:val="20"/>
        </w:rPr>
        <w:t xml:space="preserve">культуры и искусства организациям</w:t>
      </w:r>
    </w:p>
    <w:p>
      <w:pPr>
        <w:pStyle w:val="0"/>
        <w:jc w:val="right"/>
      </w:pPr>
      <w:r>
        <w:rPr>
          <w:sz w:val="20"/>
        </w:rPr>
        <w:t xml:space="preserve">культуры и искусства</w:t>
      </w:r>
    </w:p>
    <w:p>
      <w:pPr>
        <w:pStyle w:val="0"/>
        <w:ind w:firstLine="540"/>
        <w:jc w:val="both"/>
      </w:pPr>
      <w:r>
        <w:rPr>
          <w:sz w:val="20"/>
        </w:rPr>
      </w:r>
    </w:p>
    <w:p>
      <w:pPr>
        <w:pStyle w:val="0"/>
        <w:jc w:val="both"/>
      </w:pPr>
      <w:r>
        <w:rPr>
          <w:sz w:val="20"/>
        </w:rPr>
        <w:t xml:space="preserve">Форма</w:t>
      </w:r>
    </w:p>
    <w:p>
      <w:pPr>
        <w:pStyle w:val="0"/>
        <w:ind w:firstLine="540"/>
        <w:jc w:val="both"/>
      </w:pPr>
      <w:r>
        <w:rPr>
          <w:sz w:val="20"/>
        </w:rPr>
      </w:r>
    </w:p>
    <w:bookmarkStart w:id="268" w:name="P268"/>
    <w:bookmarkEnd w:id="268"/>
    <w:p>
      <w:pPr>
        <w:pStyle w:val="0"/>
        <w:jc w:val="center"/>
      </w:pPr>
      <w:r>
        <w:rPr>
          <w:sz w:val="20"/>
        </w:rPr>
        <w:t xml:space="preserve">ОЦЕНОЧНЫЙ ТАБЕЛЬ</w:t>
      </w:r>
    </w:p>
    <w:p>
      <w:pPr>
        <w:pStyle w:val="0"/>
        <w:ind w:firstLine="540"/>
        <w:jc w:val="both"/>
      </w:pPr>
      <w:r>
        <w:rPr>
          <w:sz w:val="20"/>
        </w:rPr>
      </w:r>
    </w:p>
    <w:p>
      <w:pPr>
        <w:pStyle w:val="0"/>
        <w:jc w:val="center"/>
      </w:pPr>
      <w:r>
        <w:rPr>
          <w:sz w:val="20"/>
        </w:rPr>
        <w:t xml:space="preserve">__________________________________________________</w:t>
      </w:r>
    </w:p>
    <w:p>
      <w:pPr>
        <w:pStyle w:val="0"/>
        <w:jc w:val="center"/>
      </w:pPr>
      <w:r>
        <w:rPr>
          <w:sz w:val="20"/>
        </w:rPr>
        <w:t xml:space="preserve">(наименование проекта)</w:t>
      </w:r>
    </w:p>
    <w:p>
      <w:pPr>
        <w:pStyle w:val="0"/>
        <w:ind w:firstLine="540"/>
        <w:jc w:val="both"/>
      </w:pPr>
      <w:r>
        <w:rPr>
          <w:sz w:val="20"/>
        </w:rPr>
      </w:r>
    </w:p>
    <w:p>
      <w:pPr>
        <w:pStyle w:val="0"/>
        <w:jc w:val="center"/>
      </w:pPr>
      <w:r>
        <w:rPr>
          <w:sz w:val="20"/>
        </w:rPr>
        <w:t xml:space="preserve">__________________________________________________</w:t>
      </w:r>
    </w:p>
    <w:p>
      <w:pPr>
        <w:pStyle w:val="0"/>
        <w:jc w:val="center"/>
      </w:pPr>
      <w:r>
        <w:rPr>
          <w:sz w:val="20"/>
        </w:rPr>
        <w:t xml:space="preserve">(наименование организации)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6236"/>
        <w:gridCol w:w="1928"/>
      </w:tblGrid>
      <w:tr>
        <w:tc>
          <w:tcPr>
            <w:tcW w:w="907" w:type="dxa"/>
          </w:tcPr>
          <w:p>
            <w:pPr>
              <w:pStyle w:val="0"/>
              <w:jc w:val="center"/>
            </w:pPr>
            <w:r>
              <w:rPr>
                <w:sz w:val="20"/>
              </w:rPr>
              <w:t xml:space="preserve">Номер строки</w:t>
            </w:r>
          </w:p>
        </w:tc>
        <w:tc>
          <w:tcPr>
            <w:tcW w:w="6236" w:type="dxa"/>
          </w:tcPr>
          <w:p>
            <w:pPr>
              <w:pStyle w:val="0"/>
              <w:jc w:val="center"/>
            </w:pPr>
            <w:r>
              <w:rPr>
                <w:sz w:val="20"/>
              </w:rPr>
              <w:t xml:space="preserve">Критерий оценки</w:t>
            </w:r>
          </w:p>
        </w:tc>
        <w:tc>
          <w:tcPr>
            <w:tcW w:w="1928" w:type="dxa"/>
          </w:tcPr>
          <w:p>
            <w:pPr>
              <w:pStyle w:val="0"/>
              <w:jc w:val="center"/>
            </w:pPr>
            <w:r>
              <w:rPr>
                <w:sz w:val="20"/>
              </w:rPr>
              <w:t xml:space="preserve">Шкала оценки критерия (варианты оценки в баллах)</w:t>
            </w:r>
          </w:p>
        </w:tc>
      </w:tr>
      <w:tr>
        <w:tc>
          <w:tcPr>
            <w:tcW w:w="907" w:type="dxa"/>
          </w:tcPr>
          <w:p>
            <w:pPr>
              <w:pStyle w:val="0"/>
              <w:jc w:val="center"/>
            </w:pPr>
            <w:r>
              <w:rPr>
                <w:sz w:val="20"/>
              </w:rPr>
              <w:t xml:space="preserve">1</w:t>
            </w:r>
          </w:p>
        </w:tc>
        <w:tc>
          <w:tcPr>
            <w:tcW w:w="6236" w:type="dxa"/>
          </w:tcPr>
          <w:p>
            <w:pPr>
              <w:pStyle w:val="0"/>
              <w:jc w:val="center"/>
            </w:pPr>
            <w:r>
              <w:rPr>
                <w:sz w:val="20"/>
              </w:rPr>
              <w:t xml:space="preserve">2</w:t>
            </w:r>
          </w:p>
        </w:tc>
        <w:tc>
          <w:tcPr>
            <w:tcW w:w="1928" w:type="dxa"/>
          </w:tcPr>
          <w:p>
            <w:pPr>
              <w:pStyle w:val="0"/>
              <w:jc w:val="center"/>
            </w:pPr>
            <w:r>
              <w:rPr>
                <w:sz w:val="20"/>
              </w:rPr>
              <w:t xml:space="preserve">3</w:t>
            </w:r>
          </w:p>
        </w:tc>
      </w:tr>
      <w:tr>
        <w:tc>
          <w:tcPr>
            <w:tcW w:w="907" w:type="dxa"/>
          </w:tcPr>
          <w:p>
            <w:pPr>
              <w:pStyle w:val="0"/>
              <w:jc w:val="center"/>
            </w:pPr>
            <w:r>
              <w:rPr>
                <w:sz w:val="20"/>
              </w:rPr>
              <w:t xml:space="preserve">1.</w:t>
            </w:r>
          </w:p>
        </w:tc>
        <w:tc>
          <w:tcPr>
            <w:gridSpan w:val="2"/>
            <w:tcW w:w="8164" w:type="dxa"/>
          </w:tcPr>
          <w:p>
            <w:pPr>
              <w:pStyle w:val="0"/>
              <w:outlineLvl w:val="2"/>
            </w:pPr>
            <w:r>
              <w:rPr>
                <w:sz w:val="20"/>
              </w:rPr>
              <w:t xml:space="preserve">Оценка социально-экономической значимости и художественной ценности проекта</w:t>
            </w:r>
          </w:p>
        </w:tc>
      </w:tr>
      <w:tr>
        <w:tc>
          <w:tcPr>
            <w:tcW w:w="907" w:type="dxa"/>
          </w:tcPr>
          <w:p>
            <w:pPr>
              <w:pStyle w:val="0"/>
              <w:jc w:val="center"/>
            </w:pPr>
            <w:r>
              <w:rPr>
                <w:sz w:val="20"/>
              </w:rPr>
              <w:t xml:space="preserve">2.</w:t>
            </w:r>
          </w:p>
        </w:tc>
        <w:tc>
          <w:tcPr>
            <w:tcW w:w="6236" w:type="dxa"/>
          </w:tcPr>
          <w:p>
            <w:pPr>
              <w:pStyle w:val="0"/>
            </w:pPr>
            <w:r>
              <w:rPr>
                <w:sz w:val="20"/>
              </w:rPr>
              <w:t xml:space="preserve">Инновационный характер проекта, связанный с поиском новых форм выразительности, развитием современного театрального, музыкального, хореографического искусства, новаторских направлений искусства</w:t>
            </w:r>
          </w:p>
        </w:tc>
        <w:tc>
          <w:tcPr>
            <w:tcW w:w="1928" w:type="dxa"/>
          </w:tcPr>
          <w:p>
            <w:pPr>
              <w:pStyle w:val="0"/>
              <w:jc w:val="center"/>
            </w:pPr>
            <w:r>
              <w:rPr>
                <w:sz w:val="20"/>
              </w:rPr>
              <w:t xml:space="preserve">0 - 2 - 4 - 6</w:t>
            </w:r>
          </w:p>
        </w:tc>
      </w:tr>
      <w:tr>
        <w:tc>
          <w:tcPr>
            <w:tcW w:w="907" w:type="dxa"/>
          </w:tcPr>
          <w:p>
            <w:pPr>
              <w:pStyle w:val="0"/>
              <w:jc w:val="center"/>
            </w:pPr>
            <w:r>
              <w:rPr>
                <w:sz w:val="20"/>
              </w:rPr>
              <w:t xml:space="preserve">3.</w:t>
            </w:r>
          </w:p>
        </w:tc>
        <w:tc>
          <w:tcPr>
            <w:tcW w:w="6236" w:type="dxa"/>
          </w:tcPr>
          <w:p>
            <w:pPr>
              <w:pStyle w:val="0"/>
            </w:pPr>
            <w:r>
              <w:rPr>
                <w:sz w:val="20"/>
              </w:rPr>
              <w:t xml:space="preserve">Направленность проекта на патриотическое воспитание детей и молодежи, духовно-нравственное развитие населения Свердловской области</w:t>
            </w:r>
          </w:p>
        </w:tc>
        <w:tc>
          <w:tcPr>
            <w:tcW w:w="1928" w:type="dxa"/>
          </w:tcPr>
          <w:p>
            <w:pPr>
              <w:pStyle w:val="0"/>
              <w:jc w:val="center"/>
            </w:pPr>
            <w:r>
              <w:rPr>
                <w:sz w:val="20"/>
              </w:rPr>
              <w:t xml:space="preserve">0 - 2 - 4 - 6</w:t>
            </w:r>
          </w:p>
        </w:tc>
      </w:tr>
      <w:tr>
        <w:tc>
          <w:tcPr>
            <w:tcW w:w="907" w:type="dxa"/>
          </w:tcPr>
          <w:p>
            <w:pPr>
              <w:pStyle w:val="0"/>
              <w:jc w:val="center"/>
            </w:pPr>
            <w:r>
              <w:rPr>
                <w:sz w:val="20"/>
              </w:rPr>
              <w:t xml:space="preserve">4.</w:t>
            </w:r>
          </w:p>
        </w:tc>
        <w:tc>
          <w:tcPr>
            <w:tcW w:w="6236" w:type="dxa"/>
          </w:tcPr>
          <w:p>
            <w:pPr>
              <w:pStyle w:val="0"/>
            </w:pPr>
            <w:r>
              <w:rPr>
                <w:sz w:val="20"/>
              </w:rPr>
              <w:t xml:space="preserve">Направленность проекта на формирование привлекательного имиджа Свердловской области средствами культуры и искусства</w:t>
            </w:r>
          </w:p>
        </w:tc>
        <w:tc>
          <w:tcPr>
            <w:tcW w:w="1928" w:type="dxa"/>
          </w:tcPr>
          <w:p>
            <w:pPr>
              <w:pStyle w:val="0"/>
              <w:jc w:val="center"/>
            </w:pPr>
            <w:r>
              <w:rPr>
                <w:sz w:val="20"/>
              </w:rPr>
              <w:t xml:space="preserve">0 - 2 - 4 - 6</w:t>
            </w:r>
          </w:p>
        </w:tc>
      </w:tr>
      <w:tr>
        <w:tc>
          <w:tcPr>
            <w:tcW w:w="907" w:type="dxa"/>
          </w:tcPr>
          <w:p>
            <w:pPr>
              <w:pStyle w:val="0"/>
              <w:jc w:val="center"/>
            </w:pPr>
            <w:r>
              <w:rPr>
                <w:sz w:val="20"/>
              </w:rPr>
              <w:t xml:space="preserve">5.</w:t>
            </w:r>
          </w:p>
        </w:tc>
        <w:tc>
          <w:tcPr>
            <w:tcW w:w="6236" w:type="dxa"/>
          </w:tcPr>
          <w:p>
            <w:pPr>
              <w:pStyle w:val="0"/>
            </w:pPr>
            <w:r>
              <w:rPr>
                <w:sz w:val="20"/>
              </w:rPr>
              <w:t xml:space="preserve">Направленность проекта на сохранение художественных традиций воплощения сценических произведений, концертных программ, преемственности артистической школы</w:t>
            </w:r>
          </w:p>
        </w:tc>
        <w:tc>
          <w:tcPr>
            <w:tcW w:w="1928" w:type="dxa"/>
          </w:tcPr>
          <w:p>
            <w:pPr>
              <w:pStyle w:val="0"/>
              <w:jc w:val="center"/>
            </w:pPr>
            <w:r>
              <w:rPr>
                <w:sz w:val="20"/>
              </w:rPr>
              <w:t xml:space="preserve">0 - 1 - 2 - 3</w:t>
            </w:r>
          </w:p>
        </w:tc>
      </w:tr>
      <w:tr>
        <w:tc>
          <w:tcPr>
            <w:tcW w:w="907" w:type="dxa"/>
          </w:tcPr>
          <w:p>
            <w:pPr>
              <w:pStyle w:val="0"/>
              <w:jc w:val="center"/>
            </w:pPr>
            <w:r>
              <w:rPr>
                <w:sz w:val="20"/>
              </w:rPr>
              <w:t xml:space="preserve">6.</w:t>
            </w:r>
          </w:p>
        </w:tc>
        <w:tc>
          <w:tcPr>
            <w:tcW w:w="6236" w:type="dxa"/>
          </w:tcPr>
          <w:p>
            <w:pPr>
              <w:pStyle w:val="0"/>
            </w:pPr>
            <w:r>
              <w:rPr>
                <w:sz w:val="20"/>
              </w:rPr>
              <w:t xml:space="preserve">Направленность проекта на повышение доступности и качества услуг, оказываемых населению Свердловской области в сфере культуры</w:t>
            </w:r>
          </w:p>
        </w:tc>
        <w:tc>
          <w:tcPr>
            <w:tcW w:w="1928" w:type="dxa"/>
          </w:tcPr>
          <w:p>
            <w:pPr>
              <w:pStyle w:val="0"/>
              <w:jc w:val="center"/>
            </w:pPr>
            <w:r>
              <w:rPr>
                <w:sz w:val="20"/>
              </w:rPr>
              <w:t xml:space="preserve">0 - 2 - 4 - 6</w:t>
            </w:r>
          </w:p>
        </w:tc>
      </w:tr>
      <w:tr>
        <w:tc>
          <w:tcPr>
            <w:tcW w:w="907" w:type="dxa"/>
          </w:tcPr>
          <w:p>
            <w:pPr>
              <w:pStyle w:val="0"/>
              <w:jc w:val="center"/>
            </w:pPr>
            <w:r>
              <w:rPr>
                <w:sz w:val="20"/>
              </w:rPr>
              <w:t xml:space="preserve">7.</w:t>
            </w:r>
          </w:p>
        </w:tc>
        <w:tc>
          <w:tcPr>
            <w:tcW w:w="6236" w:type="dxa"/>
          </w:tcPr>
          <w:p>
            <w:pPr>
              <w:pStyle w:val="0"/>
            </w:pPr>
            <w:r>
              <w:rPr>
                <w:sz w:val="20"/>
              </w:rPr>
              <w:t xml:space="preserve">Направленность проекта на сохранение, популяризацию и развитие культурного и исторического наследия народов России, региональной специфики культурной сферы</w:t>
            </w:r>
          </w:p>
        </w:tc>
        <w:tc>
          <w:tcPr>
            <w:tcW w:w="1928" w:type="dxa"/>
          </w:tcPr>
          <w:p>
            <w:pPr>
              <w:pStyle w:val="0"/>
              <w:jc w:val="center"/>
            </w:pPr>
            <w:r>
              <w:rPr>
                <w:sz w:val="20"/>
              </w:rPr>
              <w:t xml:space="preserve">0 - 1 - 2 - 3</w:t>
            </w:r>
          </w:p>
        </w:tc>
      </w:tr>
      <w:tr>
        <w:tc>
          <w:tcPr>
            <w:tcW w:w="907" w:type="dxa"/>
          </w:tcPr>
          <w:p>
            <w:pPr>
              <w:pStyle w:val="0"/>
              <w:jc w:val="center"/>
            </w:pPr>
            <w:r>
              <w:rPr>
                <w:sz w:val="20"/>
              </w:rPr>
              <w:t xml:space="preserve">8.</w:t>
            </w:r>
          </w:p>
        </w:tc>
        <w:tc>
          <w:tcPr>
            <w:gridSpan w:val="2"/>
            <w:tcW w:w="8164" w:type="dxa"/>
          </w:tcPr>
          <w:p>
            <w:pPr>
              <w:pStyle w:val="0"/>
              <w:outlineLvl w:val="2"/>
            </w:pPr>
            <w:r>
              <w:rPr>
                <w:sz w:val="20"/>
              </w:rPr>
              <w:t xml:space="preserve">Оценка ресурсного обеспечения реализации проекта</w:t>
            </w:r>
          </w:p>
        </w:tc>
      </w:tr>
      <w:tr>
        <w:tc>
          <w:tcPr>
            <w:tcW w:w="907" w:type="dxa"/>
          </w:tcPr>
          <w:p>
            <w:pPr>
              <w:pStyle w:val="0"/>
              <w:jc w:val="center"/>
            </w:pPr>
            <w:r>
              <w:rPr>
                <w:sz w:val="20"/>
              </w:rPr>
              <w:t xml:space="preserve">9.</w:t>
            </w:r>
          </w:p>
        </w:tc>
        <w:tc>
          <w:tcPr>
            <w:tcW w:w="6236" w:type="dxa"/>
          </w:tcPr>
          <w:p>
            <w:pPr>
              <w:pStyle w:val="0"/>
            </w:pPr>
            <w:r>
              <w:rPr>
                <w:sz w:val="20"/>
              </w:rPr>
              <w:t xml:space="preserve">Наличие в организации высокого уровня исполнительского мастерства (наличие у артистического персонала почетных званий и наград)</w:t>
            </w:r>
          </w:p>
        </w:tc>
        <w:tc>
          <w:tcPr>
            <w:tcW w:w="1928" w:type="dxa"/>
          </w:tcPr>
          <w:p>
            <w:pPr>
              <w:pStyle w:val="0"/>
              <w:jc w:val="center"/>
            </w:pPr>
            <w:r>
              <w:rPr>
                <w:sz w:val="20"/>
              </w:rPr>
              <w:t xml:space="preserve">0 - 2 - 4 - 6 - 8 - 10</w:t>
            </w:r>
          </w:p>
        </w:tc>
      </w:tr>
      <w:tr>
        <w:tc>
          <w:tcPr>
            <w:tcW w:w="907" w:type="dxa"/>
          </w:tcPr>
          <w:p>
            <w:pPr>
              <w:pStyle w:val="0"/>
              <w:jc w:val="center"/>
            </w:pPr>
            <w:r>
              <w:rPr>
                <w:sz w:val="20"/>
              </w:rPr>
              <w:t xml:space="preserve">10.</w:t>
            </w:r>
          </w:p>
        </w:tc>
        <w:tc>
          <w:tcPr>
            <w:tcW w:w="6236" w:type="dxa"/>
          </w:tcPr>
          <w:p>
            <w:pPr>
              <w:pStyle w:val="0"/>
            </w:pPr>
            <w:r>
              <w:rPr>
                <w:sz w:val="20"/>
              </w:rPr>
              <w:t xml:space="preserve">Признание профессиональным сообществом заслуг организации (наличие упоминаний об организации или ее творческих деятелях в российских средствах массовой информации, наличие материалов, посвященных деятельности организации, в ведущих профессиональных изданиях, на специализированных сайтах в информационно-телекоммуникационной сети "Интернет")</w:t>
            </w:r>
          </w:p>
        </w:tc>
        <w:tc>
          <w:tcPr>
            <w:tcW w:w="1928" w:type="dxa"/>
          </w:tcPr>
          <w:p>
            <w:pPr>
              <w:pStyle w:val="0"/>
              <w:jc w:val="center"/>
            </w:pPr>
            <w:r>
              <w:rPr>
                <w:sz w:val="20"/>
              </w:rPr>
              <w:t xml:space="preserve">0 - 10 - 20</w:t>
            </w:r>
          </w:p>
        </w:tc>
      </w:tr>
      <w:tr>
        <w:tc>
          <w:tcPr>
            <w:tcW w:w="907" w:type="dxa"/>
          </w:tcPr>
          <w:p>
            <w:pPr>
              <w:pStyle w:val="0"/>
              <w:jc w:val="center"/>
            </w:pPr>
            <w:r>
              <w:rPr>
                <w:sz w:val="20"/>
              </w:rPr>
              <w:t xml:space="preserve">11.</w:t>
            </w:r>
          </w:p>
        </w:tc>
        <w:tc>
          <w:tcPr>
            <w:tcW w:w="6236" w:type="dxa"/>
          </w:tcPr>
          <w:p>
            <w:pPr>
              <w:pStyle w:val="0"/>
            </w:pPr>
            <w:r>
              <w:rPr>
                <w:sz w:val="20"/>
              </w:rPr>
              <w:t xml:space="preserve">Ведение организацией гастрольной деятельности</w:t>
            </w:r>
          </w:p>
        </w:tc>
        <w:tc>
          <w:tcPr>
            <w:tcW w:w="1928" w:type="dxa"/>
          </w:tcPr>
          <w:p>
            <w:pPr>
              <w:pStyle w:val="0"/>
              <w:jc w:val="center"/>
            </w:pPr>
            <w:r>
              <w:rPr>
                <w:sz w:val="20"/>
              </w:rPr>
              <w:t xml:space="preserve">0 - 1 - 2 - 3</w:t>
            </w:r>
          </w:p>
        </w:tc>
      </w:tr>
      <w:tr>
        <w:tc>
          <w:tcPr>
            <w:tcW w:w="907" w:type="dxa"/>
          </w:tcPr>
          <w:p>
            <w:pPr>
              <w:pStyle w:val="0"/>
              <w:jc w:val="center"/>
            </w:pPr>
            <w:r>
              <w:rPr>
                <w:sz w:val="20"/>
              </w:rPr>
              <w:t xml:space="preserve">12.</w:t>
            </w:r>
          </w:p>
        </w:tc>
        <w:tc>
          <w:tcPr>
            <w:tcW w:w="6236" w:type="dxa"/>
          </w:tcPr>
          <w:p>
            <w:pPr>
              <w:pStyle w:val="0"/>
            </w:pPr>
            <w:r>
              <w:rPr>
                <w:sz w:val="20"/>
              </w:rPr>
              <w:t xml:space="preserve">Участие организации в региональных, российских и международных профессиональных фестивалях</w:t>
            </w:r>
          </w:p>
        </w:tc>
        <w:tc>
          <w:tcPr>
            <w:tcW w:w="1928" w:type="dxa"/>
          </w:tcPr>
          <w:p>
            <w:pPr>
              <w:pStyle w:val="0"/>
              <w:jc w:val="center"/>
            </w:pPr>
            <w:r>
              <w:rPr>
                <w:sz w:val="20"/>
              </w:rPr>
              <w:t xml:space="preserve">0 - 2 - 4 - 6 - 8</w:t>
            </w:r>
          </w:p>
        </w:tc>
      </w:tr>
      <w:tr>
        <w:tc>
          <w:tcPr>
            <w:tcW w:w="907" w:type="dxa"/>
          </w:tcPr>
          <w:p>
            <w:pPr>
              <w:pStyle w:val="0"/>
              <w:jc w:val="center"/>
            </w:pPr>
            <w:r>
              <w:rPr>
                <w:sz w:val="20"/>
              </w:rPr>
              <w:t xml:space="preserve">13.</w:t>
            </w:r>
          </w:p>
        </w:tc>
        <w:tc>
          <w:tcPr>
            <w:tcW w:w="6236" w:type="dxa"/>
          </w:tcPr>
          <w:p>
            <w:pPr>
              <w:pStyle w:val="0"/>
            </w:pPr>
            <w:r>
              <w:rPr>
                <w:sz w:val="20"/>
              </w:rPr>
              <w:t xml:space="preserve">Процент заполняемости зрительного (концертного) зала</w:t>
            </w:r>
          </w:p>
        </w:tc>
        <w:tc>
          <w:tcPr>
            <w:tcW w:w="1928" w:type="dxa"/>
          </w:tcPr>
          <w:p>
            <w:pPr>
              <w:pStyle w:val="0"/>
              <w:jc w:val="center"/>
            </w:pPr>
            <w:r>
              <w:rPr>
                <w:sz w:val="20"/>
              </w:rPr>
              <w:t xml:space="preserve">0 - 1 - 2 - 3 - 4 - 5</w:t>
            </w:r>
          </w:p>
        </w:tc>
      </w:tr>
      <w:tr>
        <w:tc>
          <w:tcPr>
            <w:tcW w:w="907" w:type="dxa"/>
          </w:tcPr>
          <w:p>
            <w:pPr>
              <w:pStyle w:val="0"/>
              <w:jc w:val="center"/>
            </w:pPr>
            <w:r>
              <w:rPr>
                <w:sz w:val="20"/>
              </w:rPr>
              <w:t xml:space="preserve">14.</w:t>
            </w:r>
          </w:p>
        </w:tc>
        <w:tc>
          <w:tcPr>
            <w:tcW w:w="6236" w:type="dxa"/>
          </w:tcPr>
          <w:p>
            <w:pPr>
              <w:pStyle w:val="0"/>
            </w:pPr>
            <w:r>
              <w:rPr>
                <w:sz w:val="20"/>
              </w:rPr>
              <w:t xml:space="preserve">Качество и разнообразие репертуара</w:t>
            </w:r>
          </w:p>
        </w:tc>
        <w:tc>
          <w:tcPr>
            <w:tcW w:w="1928" w:type="dxa"/>
          </w:tcPr>
          <w:p>
            <w:pPr>
              <w:pStyle w:val="0"/>
              <w:jc w:val="center"/>
            </w:pPr>
            <w:r>
              <w:rPr>
                <w:sz w:val="20"/>
              </w:rPr>
              <w:t xml:space="preserve">0 - 1 - 2 - 3 - 4 - 5</w:t>
            </w:r>
          </w:p>
        </w:tc>
      </w:tr>
      <w:tr>
        <w:tc>
          <w:tcPr>
            <w:tcW w:w="907" w:type="dxa"/>
          </w:tcPr>
          <w:p>
            <w:pPr>
              <w:pStyle w:val="0"/>
              <w:jc w:val="center"/>
            </w:pPr>
            <w:r>
              <w:rPr>
                <w:sz w:val="20"/>
              </w:rPr>
              <w:t xml:space="preserve">15.</w:t>
            </w:r>
          </w:p>
        </w:tc>
        <w:tc>
          <w:tcPr>
            <w:tcW w:w="6236" w:type="dxa"/>
          </w:tcPr>
          <w:p>
            <w:pPr>
              <w:pStyle w:val="0"/>
            </w:pPr>
            <w:r>
              <w:rPr>
                <w:sz w:val="20"/>
              </w:rPr>
              <w:t xml:space="preserve">Осуществление организацией сотрудничества с ведущими российскими и зарубежными драматургами, композиторами, режиссерами, балетмейстерами, хореографами, солистами, концертными исполнителями и дирижерами</w:t>
            </w:r>
          </w:p>
        </w:tc>
        <w:tc>
          <w:tcPr>
            <w:tcW w:w="1928" w:type="dxa"/>
          </w:tcPr>
          <w:p>
            <w:pPr>
              <w:pStyle w:val="0"/>
              <w:jc w:val="center"/>
            </w:pPr>
            <w:r>
              <w:rPr>
                <w:sz w:val="20"/>
              </w:rPr>
              <w:t xml:space="preserve">0 - 1 - 2 - 3</w:t>
            </w:r>
          </w:p>
        </w:tc>
      </w:tr>
      <w:tr>
        <w:tc>
          <w:tcPr>
            <w:tcW w:w="907" w:type="dxa"/>
          </w:tcPr>
          <w:p>
            <w:pPr>
              <w:pStyle w:val="0"/>
              <w:jc w:val="center"/>
            </w:pPr>
            <w:r>
              <w:rPr>
                <w:sz w:val="20"/>
              </w:rPr>
              <w:t xml:space="preserve">16.</w:t>
            </w:r>
          </w:p>
        </w:tc>
        <w:tc>
          <w:tcPr>
            <w:tcW w:w="6236" w:type="dxa"/>
          </w:tcPr>
          <w:p>
            <w:pPr>
              <w:pStyle w:val="0"/>
            </w:pPr>
            <w:r>
              <w:rPr>
                <w:sz w:val="20"/>
              </w:rPr>
              <w:t xml:space="preserve">Наличие в организации творческих коллективов различной жанровой направленности, действующих в составе творческой труппы или осуществляющих самостоятельные творческие проекты</w:t>
            </w:r>
          </w:p>
        </w:tc>
        <w:tc>
          <w:tcPr>
            <w:tcW w:w="1928" w:type="dxa"/>
          </w:tcPr>
          <w:p>
            <w:pPr>
              <w:pStyle w:val="0"/>
              <w:jc w:val="center"/>
            </w:pPr>
            <w:r>
              <w:rPr>
                <w:sz w:val="20"/>
              </w:rPr>
              <w:t xml:space="preserve">0 - 1 - 2 - 3 - 4 - 5</w:t>
            </w:r>
          </w:p>
        </w:tc>
      </w:tr>
      <w:tr>
        <w:tc>
          <w:tcPr>
            <w:tcW w:w="907" w:type="dxa"/>
          </w:tcPr>
          <w:p>
            <w:pPr>
              <w:pStyle w:val="0"/>
              <w:jc w:val="center"/>
            </w:pPr>
            <w:r>
              <w:rPr>
                <w:sz w:val="20"/>
              </w:rPr>
              <w:t xml:space="preserve">17.</w:t>
            </w:r>
          </w:p>
        </w:tc>
        <w:tc>
          <w:tcPr>
            <w:tcW w:w="6236" w:type="dxa"/>
          </w:tcPr>
          <w:p>
            <w:pPr>
              <w:pStyle w:val="0"/>
            </w:pPr>
            <w:r>
              <w:rPr>
                <w:sz w:val="20"/>
              </w:rPr>
              <w:t xml:space="preserve">Предоставление организацией не менее 40% услуг (от общего объема услуг) для детской аудитории</w:t>
            </w:r>
          </w:p>
        </w:tc>
        <w:tc>
          <w:tcPr>
            <w:tcW w:w="1928" w:type="dxa"/>
          </w:tcPr>
          <w:p>
            <w:pPr>
              <w:pStyle w:val="0"/>
              <w:jc w:val="center"/>
            </w:pPr>
            <w:r>
              <w:rPr>
                <w:sz w:val="20"/>
              </w:rPr>
              <w:t xml:space="preserve">0 - 1 - 2</w:t>
            </w:r>
          </w:p>
        </w:tc>
      </w:tr>
      <w:tr>
        <w:tc>
          <w:tcPr>
            <w:tcW w:w="907" w:type="dxa"/>
          </w:tcPr>
          <w:p>
            <w:pPr>
              <w:pStyle w:val="0"/>
              <w:jc w:val="center"/>
            </w:pPr>
            <w:r>
              <w:rPr>
                <w:sz w:val="20"/>
              </w:rPr>
              <w:t xml:space="preserve">18.</w:t>
            </w:r>
          </w:p>
        </w:tc>
        <w:tc>
          <w:tcPr>
            <w:tcW w:w="6236" w:type="dxa"/>
          </w:tcPr>
          <w:p>
            <w:pPr>
              <w:pStyle w:val="0"/>
            </w:pPr>
            <w:r>
              <w:rPr>
                <w:sz w:val="20"/>
              </w:rPr>
              <w:t xml:space="preserve">Наличие собственных и привлеченных средств в общей сумме расходов на проект</w:t>
            </w:r>
          </w:p>
        </w:tc>
        <w:tc>
          <w:tcPr>
            <w:tcW w:w="1928" w:type="dxa"/>
          </w:tcPr>
          <w:p>
            <w:pPr>
              <w:pStyle w:val="0"/>
              <w:jc w:val="center"/>
            </w:pPr>
            <w:r>
              <w:rPr>
                <w:sz w:val="20"/>
              </w:rPr>
              <w:t xml:space="preserve">0 - 2 - 4 - 6</w:t>
            </w:r>
          </w:p>
        </w:tc>
      </w:tr>
      <w:tr>
        <w:tc>
          <w:tcPr>
            <w:tcW w:w="907" w:type="dxa"/>
          </w:tcPr>
          <w:p>
            <w:pPr>
              <w:pStyle w:val="0"/>
              <w:jc w:val="center"/>
            </w:pPr>
            <w:r>
              <w:rPr>
                <w:sz w:val="20"/>
              </w:rPr>
              <w:t xml:space="preserve">19.</w:t>
            </w:r>
          </w:p>
        </w:tc>
        <w:tc>
          <w:tcPr>
            <w:tcW w:w="6236" w:type="dxa"/>
          </w:tcPr>
          <w:p>
            <w:pPr>
              <w:pStyle w:val="0"/>
            </w:pPr>
            <w:r>
              <w:rPr>
                <w:sz w:val="20"/>
              </w:rPr>
              <w:t xml:space="preserve">Обоснованность расходования средств гранта</w:t>
            </w:r>
          </w:p>
        </w:tc>
        <w:tc>
          <w:tcPr>
            <w:tcW w:w="1928" w:type="dxa"/>
          </w:tcPr>
          <w:p>
            <w:pPr>
              <w:pStyle w:val="0"/>
              <w:jc w:val="center"/>
            </w:pPr>
            <w:r>
              <w:rPr>
                <w:sz w:val="20"/>
              </w:rPr>
              <w:t xml:space="preserve">0 - 4 - 8 - 12 - 16 - 18</w:t>
            </w:r>
          </w:p>
        </w:tc>
      </w:tr>
      <w:tr>
        <w:tc>
          <w:tcPr>
            <w:tcW w:w="907" w:type="dxa"/>
          </w:tcPr>
          <w:p>
            <w:pPr>
              <w:pStyle w:val="0"/>
              <w:jc w:val="center"/>
            </w:pPr>
            <w:r>
              <w:rPr>
                <w:sz w:val="20"/>
              </w:rPr>
              <w:t xml:space="preserve">20.</w:t>
            </w:r>
          </w:p>
        </w:tc>
        <w:tc>
          <w:tcPr>
            <w:tcW w:w="6236" w:type="dxa"/>
          </w:tcPr>
          <w:p>
            <w:pPr>
              <w:pStyle w:val="0"/>
            </w:pPr>
            <w:r>
              <w:rPr>
                <w:sz w:val="20"/>
              </w:rPr>
              <w:t xml:space="preserve">Обеспечение в предыдущем календарном году размера среднемесячной заработной платы работников организации не ниже средней заработной платы по экономике Свердловской области</w:t>
            </w:r>
          </w:p>
        </w:tc>
        <w:tc>
          <w:tcPr>
            <w:tcW w:w="1928" w:type="dxa"/>
          </w:tcPr>
          <w:p>
            <w:pPr>
              <w:pStyle w:val="0"/>
              <w:jc w:val="center"/>
            </w:pPr>
            <w:r>
              <w:rPr>
                <w:sz w:val="20"/>
              </w:rPr>
              <w:t xml:space="preserve">0 - 0,1</w:t>
            </w:r>
          </w:p>
        </w:tc>
      </w:tr>
      <w:tr>
        <w:tc>
          <w:tcPr>
            <w:tcW w:w="907" w:type="dxa"/>
          </w:tcPr>
          <w:p>
            <w:pPr>
              <w:pStyle w:val="0"/>
              <w:jc w:val="center"/>
            </w:pPr>
            <w:r>
              <w:rPr>
                <w:sz w:val="20"/>
              </w:rPr>
              <w:t xml:space="preserve">21.</w:t>
            </w:r>
          </w:p>
        </w:tc>
        <w:tc>
          <w:tcPr>
            <w:tcW w:w="6236" w:type="dxa"/>
          </w:tcPr>
          <w:p>
            <w:pPr>
              <w:pStyle w:val="0"/>
            </w:pPr>
            <w:r>
              <w:rPr>
                <w:sz w:val="20"/>
              </w:rPr>
              <w:t xml:space="preserve">Итого баллов</w:t>
            </w:r>
          </w:p>
        </w:tc>
        <w:tc>
          <w:tcPr>
            <w:tcW w:w="1928" w:type="dxa"/>
          </w:tcPr>
          <w:p>
            <w:pPr>
              <w:pStyle w:val="0"/>
            </w:pPr>
            <w:r>
              <w:rPr>
                <w:sz w:val="20"/>
              </w:rPr>
            </w:r>
          </w:p>
        </w:tc>
      </w:tr>
    </w:tbl>
    <w:p>
      <w:pPr>
        <w:pStyle w:val="0"/>
        <w:ind w:firstLine="540"/>
        <w:jc w:val="both"/>
      </w:pPr>
      <w:r>
        <w:rPr>
          <w:sz w:val="20"/>
        </w:rPr>
      </w:r>
    </w:p>
    <w:p>
      <w:pPr>
        <w:pStyle w:val="0"/>
        <w:jc w:val="both"/>
      </w:pPr>
      <w:r>
        <w:rPr>
          <w:sz w:val="20"/>
        </w:rPr>
        <w:t xml:space="preserve">"__" ____________________ 20__ года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Свердловской области</w:t>
      </w:r>
    </w:p>
    <w:p>
      <w:pPr>
        <w:pStyle w:val="0"/>
        <w:jc w:val="right"/>
      </w:pPr>
      <w:r>
        <w:rPr>
          <w:sz w:val="20"/>
        </w:rPr>
        <w:t xml:space="preserve">от 21 августа 2025 г. N 472-ПП</w:t>
      </w:r>
    </w:p>
    <w:p>
      <w:pPr>
        <w:pStyle w:val="0"/>
        <w:jc w:val="right"/>
      </w:pPr>
      <w:r>
        <w:rPr>
          <w:sz w:val="20"/>
        </w:rPr>
        <w:t xml:space="preserve">"Об утверждении порядков</w:t>
      </w:r>
    </w:p>
    <w:p>
      <w:pPr>
        <w:pStyle w:val="0"/>
        <w:jc w:val="right"/>
      </w:pPr>
      <w:r>
        <w:rPr>
          <w:sz w:val="20"/>
        </w:rPr>
        <w:t xml:space="preserve">предоставления грантов в форме</w:t>
      </w:r>
    </w:p>
    <w:p>
      <w:pPr>
        <w:pStyle w:val="0"/>
        <w:jc w:val="right"/>
      </w:pPr>
      <w:r>
        <w:rPr>
          <w:sz w:val="20"/>
        </w:rPr>
        <w:t xml:space="preserve">субсидий некоммерческим организациям,</w:t>
      </w:r>
    </w:p>
    <w:p>
      <w:pPr>
        <w:pStyle w:val="0"/>
        <w:jc w:val="right"/>
      </w:pPr>
      <w:r>
        <w:rPr>
          <w:sz w:val="20"/>
        </w:rPr>
        <w:t xml:space="preserve">осуществляющим деятельность</w:t>
      </w:r>
    </w:p>
    <w:p>
      <w:pPr>
        <w:pStyle w:val="0"/>
        <w:jc w:val="right"/>
      </w:pPr>
      <w:r>
        <w:rPr>
          <w:sz w:val="20"/>
        </w:rPr>
        <w:t xml:space="preserve">в сфере культуры и искусства,</w:t>
      </w:r>
    </w:p>
    <w:p>
      <w:pPr>
        <w:pStyle w:val="0"/>
        <w:jc w:val="right"/>
      </w:pPr>
      <w:r>
        <w:rPr>
          <w:sz w:val="20"/>
        </w:rPr>
        <w:t xml:space="preserve">в целях реализации творческих проектов"</w:t>
      </w:r>
    </w:p>
    <w:p>
      <w:pPr>
        <w:pStyle w:val="0"/>
        <w:ind w:firstLine="540"/>
        <w:jc w:val="both"/>
      </w:pPr>
      <w:r>
        <w:rPr>
          <w:sz w:val="20"/>
        </w:rPr>
      </w:r>
    </w:p>
    <w:bookmarkStart w:id="361" w:name="P361"/>
    <w:bookmarkEnd w:id="361"/>
    <w:p>
      <w:pPr>
        <w:pStyle w:val="2"/>
        <w:jc w:val="center"/>
      </w:pPr>
      <w:r>
        <w:rPr>
          <w:sz w:val="20"/>
        </w:rPr>
        <w:t xml:space="preserve">ПОРЯДОК</w:t>
      </w:r>
    </w:p>
    <w:p>
      <w:pPr>
        <w:pStyle w:val="2"/>
        <w:jc w:val="center"/>
      </w:pPr>
      <w:r>
        <w:rPr>
          <w:sz w:val="20"/>
        </w:rPr>
        <w:t xml:space="preserve">ПРЕДОСТАВЛЕНИЯ ГРАНТОВ В ФОРМЕ СУБСИДИЙ НА РЕАЛИЗАЦИЮ</w:t>
      </w:r>
    </w:p>
    <w:p>
      <w:pPr>
        <w:pStyle w:val="2"/>
        <w:jc w:val="center"/>
      </w:pPr>
      <w:r>
        <w:rPr>
          <w:sz w:val="20"/>
        </w:rPr>
        <w:t xml:space="preserve">ВСЕРОССИЙСКИХ И МЕЖДУНАРОДНЫХ ТВОРЧЕСКИХ ПРОЕКТОВ</w:t>
      </w:r>
    </w:p>
    <w:p>
      <w:pPr>
        <w:pStyle w:val="2"/>
        <w:jc w:val="center"/>
      </w:pPr>
      <w:r>
        <w:rPr>
          <w:sz w:val="20"/>
        </w:rPr>
        <w:t xml:space="preserve">В ОБЛАСТИ МУЗЫКАЛЬНОГО И ТЕАТРАЛЬНОГО ИСКУССТВА</w:t>
      </w:r>
    </w:p>
    <w:p>
      <w:pPr>
        <w:pStyle w:val="0"/>
        <w:ind w:firstLine="540"/>
        <w:jc w:val="both"/>
      </w:pPr>
      <w:r>
        <w:rPr>
          <w:sz w:val="20"/>
        </w:rPr>
      </w:r>
    </w:p>
    <w:p>
      <w:pPr>
        <w:pStyle w:val="2"/>
        <w:outlineLvl w:val="1"/>
        <w:jc w:val="center"/>
      </w:pPr>
      <w:r>
        <w:rPr>
          <w:sz w:val="20"/>
        </w:rPr>
        <w:t xml:space="preserve">Глава 1. ОБЩИЕ ПОЛОЖЕНИЯ</w:t>
      </w:r>
    </w:p>
    <w:p>
      <w:pPr>
        <w:pStyle w:val="0"/>
        <w:ind w:firstLine="540"/>
        <w:jc w:val="both"/>
      </w:pPr>
      <w:r>
        <w:rPr>
          <w:sz w:val="20"/>
        </w:rPr>
      </w:r>
    </w:p>
    <w:p>
      <w:pPr>
        <w:pStyle w:val="0"/>
        <w:ind w:firstLine="540"/>
        <w:jc w:val="both"/>
      </w:pPr>
      <w:r>
        <w:rPr>
          <w:sz w:val="20"/>
        </w:rPr>
        <w:t xml:space="preserve">1. Настоящий порядок определяет условия и порядок предоставления грантов в форме субсидий на реализацию всероссийских и международных творческих проектов в области музыкального и театрального искусства (далее - гранты) организациям культуры и искусства (далее - организации), регламентирует порядок проведения конкурсного отбора на предоставление грантов (далее - конкурсный отбор), устанавливает требования к отчетности организаций и требования об осуществлении контроля за соблюдением условий и порядка предоставления грантов и ответственность за их нарушение.</w:t>
      </w:r>
    </w:p>
    <w:p>
      <w:pPr>
        <w:pStyle w:val="0"/>
        <w:spacing w:before="200" w:lineRule="auto"/>
        <w:ind w:firstLine="540"/>
        <w:jc w:val="both"/>
      </w:pPr>
      <w:r>
        <w:rPr>
          <w:sz w:val="20"/>
        </w:rPr>
        <w:t xml:space="preserve">2. Настоящий порядок разработан в соответствии с Бюджетным </w:t>
      </w:r>
      <w:hyperlink w:history="0" r:id="rId27" w:tooltip="&quot;Бюджетный кодекс Российской Федерации&quot; от 31.07.1998 N 145-ФЗ (ред. от 28.11.2025) ------------ Недействующая редакция {КонсультантПлюс}">
        <w:r>
          <w:rPr>
            <w:sz w:val="20"/>
            <w:color w:val="0000ff"/>
          </w:rPr>
          <w:t xml:space="preserve">кодексом</w:t>
        </w:r>
      </w:hyperlink>
      <w:r>
        <w:rPr>
          <w:sz w:val="20"/>
        </w:rPr>
        <w:t xml:space="preserve"> Российской Федерации, </w:t>
      </w:r>
      <w:hyperlink w:history="0" r:id="rId28"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в целях обеспечения реализации мероприятий государственной </w:t>
      </w:r>
      <w:hyperlink w:history="0" r:id="rId29" w:tooltip="Постановление Правительства Свердловской области от 21.10.2013 N 1268-ПП (ред. от 24.12.2025) &quot;Об утверждении государственной программы Свердловской области &quot;Развитие культуры в Свердловской области&quot; {КонсультантПлюс}">
        <w:r>
          <w:rPr>
            <w:sz w:val="20"/>
            <w:color w:val="0000ff"/>
          </w:rPr>
          <w:t xml:space="preserve">программы</w:t>
        </w:r>
      </w:hyperlink>
      <w:r>
        <w:rPr>
          <w:sz w:val="20"/>
        </w:rPr>
        <w:t xml:space="preserve"> Свердловской области "Развитие культуры в Свердловской области", утвержденной Постановлением Правительства Свердловской области от 21.10.2013 N 1268-ПП "Об утверждении государственной программы Свердловской области "Развитие культуры в Свердловской области".</w:t>
      </w:r>
    </w:p>
    <w:p>
      <w:pPr>
        <w:pStyle w:val="0"/>
        <w:spacing w:before="200" w:lineRule="auto"/>
        <w:ind w:firstLine="540"/>
        <w:jc w:val="both"/>
      </w:pPr>
      <w:r>
        <w:rPr>
          <w:sz w:val="20"/>
        </w:rPr>
        <w:t xml:space="preserve">3. Предоставление грантов осуществляется за счет средств областного бюджета в соответствии с законом Свердловской области об областном бюджете на соответствующий финансовый год и плановый период в пределах лимитов бюджетных обязательств с целью реализации творческих проектов в сфере культуры в Свердловской области в рамках осуществления видов деятельности, предусмотренных </w:t>
      </w:r>
      <w:hyperlink w:history="0" r:id="rId30" w:tooltip="Федеральный закон от 12.01.1996 N 7-ФЗ (ред. от 28.11.2025) &quot;О некоммерческих организациях&quot; (с изм. и доп., вступ. в силу с 14.12.2025) ------------ Недействующая редакция {КонсультантПлюс}">
        <w:r>
          <w:rPr>
            <w:sz w:val="20"/>
            <w:color w:val="0000ff"/>
          </w:rPr>
          <w:t xml:space="preserve">подпунктом 9 пункта 1 статьи 31.1</w:t>
        </w:r>
      </w:hyperlink>
      <w:r>
        <w:rPr>
          <w:sz w:val="20"/>
        </w:rPr>
        <w:t xml:space="preserve"> Федерального закона от 12 января 1996 года N 7-ФЗ "О некоммерческих организациях", по результатам конкурсного отбора.</w:t>
      </w:r>
    </w:p>
    <w:p>
      <w:pPr>
        <w:pStyle w:val="0"/>
        <w:spacing w:before="200" w:lineRule="auto"/>
        <w:ind w:firstLine="540"/>
        <w:jc w:val="both"/>
      </w:pPr>
      <w:r>
        <w:rPr>
          <w:sz w:val="20"/>
        </w:rPr>
        <w:t xml:space="preserve">Количество грантов и размер гранта на один проект определяются Министерством по направлению конкурсного отбора, указанному в </w:t>
      </w:r>
      <w:hyperlink w:history="0" w:anchor="P374" w:tooltip="6. Гранты предоставляются организациям на финансовое обеспечение затрат в целях реализации творческих проектов по направлению конкурсного отбора &quot;реализация всероссийских и международных творческих проектов в области музыкального и театрального искусства&quot;.">
        <w:r>
          <w:rPr>
            <w:sz w:val="20"/>
            <w:color w:val="0000ff"/>
          </w:rPr>
          <w:t xml:space="preserve">пункте 6</w:t>
        </w:r>
      </w:hyperlink>
      <w:r>
        <w:rPr>
          <w:sz w:val="20"/>
        </w:rPr>
        <w:t xml:space="preserve"> настоящего порядка, исходя из доведенных в установленном порядке лимитов бюджетных обязательств на предоставление грантов на соответствующий финансовый год.</w:t>
      </w:r>
    </w:p>
    <w:bookmarkStart w:id="372" w:name="P372"/>
    <w:bookmarkEnd w:id="372"/>
    <w:p>
      <w:pPr>
        <w:pStyle w:val="0"/>
        <w:spacing w:before="200" w:lineRule="auto"/>
        <w:ind w:firstLine="540"/>
        <w:jc w:val="both"/>
      </w:pPr>
      <w:r>
        <w:rPr>
          <w:sz w:val="20"/>
        </w:rPr>
        <w:t xml:space="preserve">4. Предоставление грантов осуществляется с целью финансового обеспечения затрат, связанных с реализацией организациями всероссийских и международных творческих проектов в области музыкального и театрального искусства, направленных на увеличение количества граждан, вовлеченных в культурную деятельность, путем поддержки и реализации творческих инициатив для увеличения количества всероссийских и международных творческих проектов в области музыкального и театрального искусства (далее - проекты).</w:t>
      </w:r>
    </w:p>
    <w:p>
      <w:pPr>
        <w:pStyle w:val="0"/>
        <w:spacing w:before="200" w:lineRule="auto"/>
        <w:ind w:firstLine="540"/>
        <w:jc w:val="both"/>
      </w:pPr>
      <w:r>
        <w:rPr>
          <w:sz w:val="20"/>
        </w:rPr>
        <w:t xml:space="preserve">5. Исполнительным органом государственной власти Свердловской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грантов на соответствующий финансовый год и плановый период, является Министерство культуры Свердловской области (далее - Министерство).</w:t>
      </w:r>
    </w:p>
    <w:bookmarkStart w:id="374" w:name="P374"/>
    <w:bookmarkEnd w:id="374"/>
    <w:p>
      <w:pPr>
        <w:pStyle w:val="0"/>
        <w:spacing w:before="200" w:lineRule="auto"/>
        <w:ind w:firstLine="540"/>
        <w:jc w:val="both"/>
      </w:pPr>
      <w:r>
        <w:rPr>
          <w:sz w:val="20"/>
        </w:rPr>
        <w:t xml:space="preserve">6. Гранты предоставляются организациям на финансовое обеспечение затрат в целях реализации творческих проектов по направлению конкурсного отбора "реализация всероссийских и международных творческих проектов в области музыкального и театрального искусства".</w:t>
      </w:r>
    </w:p>
    <w:p>
      <w:pPr>
        <w:pStyle w:val="0"/>
        <w:spacing w:before="200" w:lineRule="auto"/>
        <w:ind w:firstLine="540"/>
        <w:jc w:val="both"/>
      </w:pPr>
      <w:r>
        <w:rPr>
          <w:sz w:val="20"/>
        </w:rPr>
        <w:t xml:space="preserve">7. Конкурсный отбор осуществляется на Портале предоставления мер финансовой государственной поддержки (</w:t>
      </w:r>
      <w:hyperlink w:history="0" r:id="rId31">
        <w:r>
          <w:rPr>
            <w:sz w:val="20"/>
            <w:color w:val="0000ff"/>
          </w:rPr>
          <w:t xml:space="preserve">https://promote.budget.gov.ru</w:t>
        </w:r>
      </w:hyperlink>
      <w:r>
        <w:rPr>
          <w:sz w:val="20"/>
        </w:rPr>
        <w:t xml:space="preserve">) в информационно-телекоммуникационной сети "Интернет" (далее - портал).</w:t>
      </w:r>
    </w:p>
    <w:p>
      <w:pPr>
        <w:pStyle w:val="0"/>
        <w:ind w:firstLine="540"/>
        <w:jc w:val="both"/>
      </w:pPr>
      <w:r>
        <w:rPr>
          <w:sz w:val="20"/>
        </w:rPr>
      </w:r>
    </w:p>
    <w:p>
      <w:pPr>
        <w:pStyle w:val="2"/>
        <w:outlineLvl w:val="1"/>
        <w:jc w:val="center"/>
      </w:pPr>
      <w:r>
        <w:rPr>
          <w:sz w:val="20"/>
        </w:rPr>
        <w:t xml:space="preserve">Глава 2. ПОРЯДОК ПРОВЕДЕНИЯ КОНКУРСНОГО ОТБОРА</w:t>
      </w:r>
    </w:p>
    <w:p>
      <w:pPr>
        <w:pStyle w:val="0"/>
        <w:ind w:firstLine="540"/>
        <w:jc w:val="both"/>
      </w:pPr>
      <w:r>
        <w:rPr>
          <w:sz w:val="20"/>
        </w:rPr>
      </w:r>
    </w:p>
    <w:p>
      <w:pPr>
        <w:pStyle w:val="0"/>
        <w:ind w:firstLine="540"/>
        <w:jc w:val="both"/>
      </w:pPr>
      <w:r>
        <w:rPr>
          <w:sz w:val="20"/>
        </w:rPr>
        <w:t xml:space="preserve">8. В целях организации и проведения конкурсного отбора Министерство:</w:t>
      </w:r>
    </w:p>
    <w:p>
      <w:pPr>
        <w:pStyle w:val="0"/>
        <w:spacing w:before="200" w:lineRule="auto"/>
        <w:ind w:firstLine="540"/>
        <w:jc w:val="both"/>
      </w:pPr>
      <w:r>
        <w:rPr>
          <w:sz w:val="20"/>
        </w:rPr>
        <w:t xml:space="preserve">1) издает и размещает на официальном сайте Министерства в информационно-телекоммуникационной сети "Интернет" (далее - сеть Интернет) приказ Министерства о проведении конкурсного отбора;</w:t>
      </w:r>
    </w:p>
    <w:p>
      <w:pPr>
        <w:pStyle w:val="0"/>
        <w:spacing w:before="200" w:lineRule="auto"/>
        <w:ind w:firstLine="540"/>
        <w:jc w:val="both"/>
      </w:pPr>
      <w:r>
        <w:rPr>
          <w:sz w:val="20"/>
        </w:rPr>
        <w:t xml:space="preserve">2) утверждает количество грантов по направлению конкурсного отбора, указанному в </w:t>
      </w:r>
      <w:hyperlink w:history="0" w:anchor="P374" w:tooltip="6. Гранты предоставляются организациям на финансовое обеспечение затрат в целях реализации творческих проектов по направлению конкурсного отбора &quot;реализация всероссийских и международных творческих проектов в области музыкального и театрального искусства&quot;.">
        <w:r>
          <w:rPr>
            <w:sz w:val="20"/>
            <w:color w:val="0000ff"/>
          </w:rPr>
          <w:t xml:space="preserve">пункте 6</w:t>
        </w:r>
      </w:hyperlink>
      <w:r>
        <w:rPr>
          <w:sz w:val="20"/>
        </w:rPr>
        <w:t xml:space="preserve"> настоящего порядка;</w:t>
      </w:r>
    </w:p>
    <w:p>
      <w:pPr>
        <w:pStyle w:val="0"/>
        <w:spacing w:before="200" w:lineRule="auto"/>
        <w:ind w:firstLine="540"/>
        <w:jc w:val="both"/>
      </w:pPr>
      <w:r>
        <w:rPr>
          <w:sz w:val="20"/>
        </w:rPr>
        <w:t xml:space="preserve">3) утверждает размер гранта на один проект по направлению конкурсного отбора, указанному в </w:t>
      </w:r>
      <w:hyperlink w:history="0" w:anchor="P374" w:tooltip="6. Гранты предоставляются организациям на финансовое обеспечение затрат в целях реализации творческих проектов по направлению конкурсного отбора &quot;реализация всероссийских и международных творческих проектов в области музыкального и театрального искусства&quot;.">
        <w:r>
          <w:rPr>
            <w:sz w:val="20"/>
            <w:color w:val="0000ff"/>
          </w:rPr>
          <w:t xml:space="preserve">пункте 6</w:t>
        </w:r>
      </w:hyperlink>
      <w:r>
        <w:rPr>
          <w:sz w:val="20"/>
        </w:rPr>
        <w:t xml:space="preserve"> настоящего порядка, исходя из доведенных в установленном порядке лимитов бюджетных обязательств на предоставление грантов на соответствующий финансовый год;</w:t>
      </w:r>
    </w:p>
    <w:p>
      <w:pPr>
        <w:pStyle w:val="0"/>
        <w:spacing w:before="200" w:lineRule="auto"/>
        <w:ind w:firstLine="540"/>
        <w:jc w:val="both"/>
      </w:pPr>
      <w:r>
        <w:rPr>
          <w:sz w:val="20"/>
        </w:rPr>
        <w:t xml:space="preserve">4) утверждает состав комиссии по проведению конкурсного отбора (далее - комиссия), состав экспертного совета по оценке заявок участников конкурсного отбора (далее - экспертный совет) и состав группы технического сопровождения;</w:t>
      </w:r>
    </w:p>
    <w:p>
      <w:pPr>
        <w:pStyle w:val="0"/>
        <w:spacing w:before="200" w:lineRule="auto"/>
        <w:ind w:firstLine="540"/>
        <w:jc w:val="both"/>
      </w:pPr>
      <w:r>
        <w:rPr>
          <w:sz w:val="20"/>
        </w:rPr>
        <w:t xml:space="preserve">5) размещает на портале реестр экспертов, входящих в состав экспертного совета (далее - эксперты), а также организует авторизацию экспертов на портале;</w:t>
      </w:r>
    </w:p>
    <w:p>
      <w:pPr>
        <w:pStyle w:val="0"/>
        <w:spacing w:before="200" w:lineRule="auto"/>
        <w:ind w:firstLine="540"/>
        <w:jc w:val="both"/>
      </w:pPr>
      <w:r>
        <w:rPr>
          <w:sz w:val="20"/>
        </w:rPr>
        <w:t xml:space="preserve">6) размещает не позднее одного рабочего дня до начала срока приема заявок участников конкурсного отбора (далее - заявки) объявление о проведении конкурсного отбора (далее - объявление) на портале, официальном сайте Министерства в сети Интернет и публичных страницах Министерства в социальных сетях;</w:t>
      </w:r>
    </w:p>
    <w:p>
      <w:pPr>
        <w:pStyle w:val="0"/>
        <w:spacing w:before="200" w:lineRule="auto"/>
        <w:ind w:firstLine="540"/>
        <w:jc w:val="both"/>
      </w:pPr>
      <w:r>
        <w:rPr>
          <w:sz w:val="20"/>
        </w:rPr>
        <w:t xml:space="preserve">7) размещает информацию о грантах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pPr>
        <w:pStyle w:val="0"/>
        <w:spacing w:before="200" w:lineRule="auto"/>
        <w:ind w:firstLine="540"/>
        <w:jc w:val="both"/>
      </w:pPr>
      <w:r>
        <w:rPr>
          <w:sz w:val="20"/>
        </w:rPr>
        <w:t xml:space="preserve">8) в течение 3 рабочих дней после даты окончания приема заявок в порядке межведомственного взаимодействия направляет запросы в исполнительные органы Свердловской области, которые являются главными администраторами доходов областного бюджета, для получения сведений о наличии или об отсутствии у участников конкурсного отбора дебиторской задолженности перед областным бюджетом;</w:t>
      </w:r>
    </w:p>
    <w:p>
      <w:pPr>
        <w:pStyle w:val="0"/>
        <w:spacing w:before="200" w:lineRule="auto"/>
        <w:ind w:firstLine="540"/>
        <w:jc w:val="both"/>
      </w:pPr>
      <w:r>
        <w:rPr>
          <w:sz w:val="20"/>
        </w:rPr>
        <w:t xml:space="preserve">9) размещает протоколы, формируемые в процессе проведения конкурсного отбора (протокол вскрытия заявок, протокол рассмотрения заявок, протокол подведения итогов конкурсного отбора), на портале не позднее одного рабочего дня, следующего за днем их подписания;</w:t>
      </w:r>
    </w:p>
    <w:p>
      <w:pPr>
        <w:pStyle w:val="0"/>
        <w:spacing w:before="200" w:lineRule="auto"/>
        <w:ind w:firstLine="540"/>
        <w:jc w:val="both"/>
      </w:pPr>
      <w:r>
        <w:rPr>
          <w:sz w:val="20"/>
        </w:rPr>
        <w:t xml:space="preserve">10) издает и размещает на официальном сайте Министерства в сети Интернет приказ Министерства о результатах конкурсного отбора в течение 5 рабочих дней со дня размещения на портале протокола подведения итогов конкурсного отбора.</w:t>
      </w:r>
    </w:p>
    <w:p>
      <w:pPr>
        <w:pStyle w:val="0"/>
        <w:spacing w:before="200" w:lineRule="auto"/>
        <w:ind w:firstLine="540"/>
        <w:jc w:val="both"/>
      </w:pPr>
      <w:r>
        <w:rPr>
          <w:sz w:val="20"/>
        </w:rPr>
        <w:t xml:space="preserve">9. Конкурсный отбор, в том числе подача заявки, а также иное взаимодействие между Министерством и участниками конкурсного отбора осуществляются в системе "Электронный бюджет".</w:t>
      </w:r>
    </w:p>
    <w:p>
      <w:pPr>
        <w:pStyle w:val="0"/>
        <w:spacing w:before="200" w:lineRule="auto"/>
        <w:ind w:firstLine="540"/>
        <w:jc w:val="both"/>
      </w:pPr>
      <w:r>
        <w:rPr>
          <w:sz w:val="20"/>
        </w:rPr>
        <w:t xml:space="preserve">Министерство обеспечивает участникам конкурсного отбора доступ к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10. Объявление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Министерства (уполномоченного им лица), публикуется на портале и включает в себя следующую информацию:</w:t>
      </w:r>
    </w:p>
    <w:p>
      <w:pPr>
        <w:pStyle w:val="0"/>
        <w:spacing w:before="200" w:lineRule="auto"/>
        <w:ind w:firstLine="540"/>
        <w:jc w:val="both"/>
      </w:pPr>
      <w:r>
        <w:rPr>
          <w:sz w:val="20"/>
        </w:rPr>
        <w:t xml:space="preserve">1) способ проведения конкурсного отбора;</w:t>
      </w:r>
    </w:p>
    <w:p>
      <w:pPr>
        <w:pStyle w:val="0"/>
        <w:spacing w:before="200" w:lineRule="auto"/>
        <w:ind w:firstLine="540"/>
        <w:jc w:val="both"/>
      </w:pPr>
      <w:r>
        <w:rPr>
          <w:sz w:val="20"/>
        </w:rPr>
        <w:t xml:space="preserve">2) количество грантов и размер гранта на реализацию одного проекта по направлению конкурсного отбора, указанному в </w:t>
      </w:r>
      <w:hyperlink w:history="0" w:anchor="P374" w:tooltip="6. Гранты предоставляются организациям на финансовое обеспечение затрат в целях реализации творческих проектов по направлению конкурсного отбора &quot;реализация всероссийских и международных творческих проектов в области музыкального и театрального искусства&quot;.">
        <w:r>
          <w:rPr>
            <w:sz w:val="20"/>
            <w:color w:val="0000ff"/>
          </w:rPr>
          <w:t xml:space="preserve">пункте 6</w:t>
        </w:r>
      </w:hyperlink>
      <w:r>
        <w:rPr>
          <w:sz w:val="20"/>
        </w:rPr>
        <w:t xml:space="preserve"> настоящего порядка;</w:t>
      </w:r>
    </w:p>
    <w:p>
      <w:pPr>
        <w:pStyle w:val="0"/>
        <w:spacing w:before="200" w:lineRule="auto"/>
        <w:ind w:firstLine="540"/>
        <w:jc w:val="both"/>
      </w:pPr>
      <w:r>
        <w:rPr>
          <w:sz w:val="20"/>
        </w:rPr>
        <w:t xml:space="preserve">3) сроки проведения конкурсного отбора;</w:t>
      </w:r>
    </w:p>
    <w:p>
      <w:pPr>
        <w:pStyle w:val="0"/>
        <w:spacing w:before="200" w:lineRule="auto"/>
        <w:ind w:firstLine="540"/>
        <w:jc w:val="both"/>
      </w:pPr>
      <w:r>
        <w:rPr>
          <w:sz w:val="20"/>
        </w:rPr>
        <w:t xml:space="preserve">4) даты начала подачи и окончания приема заявок, при этом дата окончания приема заявок не может быть ранее 30 календарного дня, следующего за днем размещения объявления;</w:t>
      </w:r>
    </w:p>
    <w:p>
      <w:pPr>
        <w:pStyle w:val="0"/>
        <w:spacing w:before="200" w:lineRule="auto"/>
        <w:ind w:firstLine="540"/>
        <w:jc w:val="both"/>
      </w:pPr>
      <w:r>
        <w:rPr>
          <w:sz w:val="20"/>
        </w:rPr>
        <w:t xml:space="preserve">5) наименование, место нахождения, почтовый адрес, адрес электронной почты, контактный телефон Министерства;</w:t>
      </w:r>
    </w:p>
    <w:p>
      <w:pPr>
        <w:pStyle w:val="0"/>
        <w:spacing w:before="200" w:lineRule="auto"/>
        <w:ind w:firstLine="540"/>
        <w:jc w:val="both"/>
      </w:pPr>
      <w:r>
        <w:rPr>
          <w:sz w:val="20"/>
        </w:rPr>
        <w:t xml:space="preserve">6) результат предоставления гранта;</w:t>
      </w:r>
    </w:p>
    <w:p>
      <w:pPr>
        <w:pStyle w:val="0"/>
        <w:spacing w:before="200" w:lineRule="auto"/>
        <w:ind w:firstLine="540"/>
        <w:jc w:val="both"/>
      </w:pPr>
      <w:r>
        <w:rPr>
          <w:sz w:val="20"/>
        </w:rPr>
        <w:t xml:space="preserve">7) доменное имя и (или) указатели страниц официального сайта Министерства в сети Интернет, публичных страниц Министерства в социальных сетях;</w:t>
      </w:r>
    </w:p>
    <w:p>
      <w:pPr>
        <w:pStyle w:val="0"/>
        <w:spacing w:before="200" w:lineRule="auto"/>
        <w:ind w:firstLine="540"/>
        <w:jc w:val="both"/>
      </w:pPr>
      <w:r>
        <w:rPr>
          <w:sz w:val="20"/>
        </w:rPr>
        <w:t xml:space="preserve">8) требования к участникам конкурсного отбора, указанные в </w:t>
      </w:r>
      <w:hyperlink w:history="0" w:anchor="P424"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9) порядок подачи участниками конкурсного отбора заявок и требования, предъявляемые к форме и содержанию заявок;</w:t>
      </w:r>
    </w:p>
    <w:p>
      <w:pPr>
        <w:pStyle w:val="0"/>
        <w:spacing w:before="200" w:lineRule="auto"/>
        <w:ind w:firstLine="540"/>
        <w:jc w:val="both"/>
      </w:pPr>
      <w:r>
        <w:rPr>
          <w:sz w:val="20"/>
        </w:rPr>
        <w:t xml:space="preserve">10) порядок отзыва заявок, включающий возможность или отсутствие возможности отзыва заявок, а также условия отзыва заявок;</w:t>
      </w:r>
    </w:p>
    <w:p>
      <w:pPr>
        <w:pStyle w:val="0"/>
        <w:spacing w:before="200" w:lineRule="auto"/>
        <w:ind w:firstLine="540"/>
        <w:jc w:val="both"/>
      </w:pPr>
      <w:r>
        <w:rPr>
          <w:sz w:val="20"/>
        </w:rPr>
        <w:t xml:space="preserve">11) порядок внесения изменений в заявки, включающий возможность или отсутствие возможности внесения изменений в заявки, а также условия внесения изменений в заявки;</w:t>
      </w:r>
    </w:p>
    <w:p>
      <w:pPr>
        <w:pStyle w:val="0"/>
        <w:spacing w:before="200" w:lineRule="auto"/>
        <w:ind w:firstLine="540"/>
        <w:jc w:val="both"/>
      </w:pPr>
      <w:r>
        <w:rPr>
          <w:sz w:val="20"/>
        </w:rPr>
        <w:t xml:space="preserve">12) порядок возврата участниками конкурсного отбора заявок, включающий возможность или отсутствие возможности возврата заявок;</w:t>
      </w:r>
    </w:p>
    <w:p>
      <w:pPr>
        <w:pStyle w:val="0"/>
        <w:spacing w:before="200" w:lineRule="auto"/>
        <w:ind w:firstLine="540"/>
        <w:jc w:val="both"/>
      </w:pPr>
      <w:r>
        <w:rPr>
          <w:sz w:val="20"/>
        </w:rPr>
        <w:t xml:space="preserve">13) порядок отклонения заявок, а также информацию об основании их отклонения, указанном в </w:t>
      </w:r>
      <w:hyperlink w:history="0" w:anchor="P492" w:tooltip="31. На стадии рассмотрения заявка отклоняется в случае несоответствия участника конкурсного отбора требованиям, указанным в пункте 14 настоящего порядка.">
        <w:r>
          <w:rPr>
            <w:sz w:val="20"/>
            <w:color w:val="0000ff"/>
          </w:rPr>
          <w:t xml:space="preserve">пункте 31</w:t>
        </w:r>
      </w:hyperlink>
      <w:r>
        <w:rPr>
          <w:sz w:val="20"/>
        </w:rPr>
        <w:t xml:space="preserve"> настоящего порядка;</w:t>
      </w:r>
    </w:p>
    <w:p>
      <w:pPr>
        <w:pStyle w:val="0"/>
        <w:spacing w:before="200" w:lineRule="auto"/>
        <w:ind w:firstLine="540"/>
        <w:jc w:val="both"/>
      </w:pPr>
      <w:r>
        <w:rPr>
          <w:sz w:val="20"/>
        </w:rPr>
        <w:t xml:space="preserve">14) порядок оценки заявок;</w:t>
      </w:r>
    </w:p>
    <w:p>
      <w:pPr>
        <w:pStyle w:val="0"/>
        <w:spacing w:before="200" w:lineRule="auto"/>
        <w:ind w:firstLine="540"/>
        <w:jc w:val="both"/>
      </w:pPr>
      <w:r>
        <w:rPr>
          <w:sz w:val="20"/>
        </w:rPr>
        <w:t xml:space="preserve">15) срок, в течение которого победители конкурсного отбора должны подписать соглашение о предоставлении из областного бюджета гранта (далее - соглашение);</w:t>
      </w:r>
    </w:p>
    <w:p>
      <w:pPr>
        <w:pStyle w:val="0"/>
        <w:spacing w:before="200" w:lineRule="auto"/>
        <w:ind w:firstLine="540"/>
        <w:jc w:val="both"/>
      </w:pPr>
      <w:r>
        <w:rPr>
          <w:sz w:val="20"/>
        </w:rPr>
        <w:t xml:space="preserve">16) условия признания победителей конкурсного отбора уклонившимися от заключения соглашения;</w:t>
      </w:r>
    </w:p>
    <w:p>
      <w:pPr>
        <w:pStyle w:val="0"/>
        <w:spacing w:before="200" w:lineRule="auto"/>
        <w:ind w:firstLine="540"/>
        <w:jc w:val="both"/>
      </w:pPr>
      <w:r>
        <w:rPr>
          <w:sz w:val="20"/>
        </w:rPr>
        <w:t xml:space="preserve">17) иную информацию, определенную Министерством (при необходимости).</w:t>
      </w:r>
    </w:p>
    <w:p>
      <w:pPr>
        <w:pStyle w:val="0"/>
        <w:spacing w:before="200" w:lineRule="auto"/>
        <w:ind w:firstLine="540"/>
        <w:jc w:val="both"/>
      </w:pPr>
      <w:r>
        <w:rPr>
          <w:sz w:val="20"/>
        </w:rPr>
        <w:t xml:space="preserve">11. Информация о проведении конкурсного отбора и организации приема заявок дополнительно размещается на официальном сайте Министерства в сети Интернет и официальных страницах Министерства в социальных сетях.</w:t>
      </w:r>
    </w:p>
    <w:p>
      <w:pPr>
        <w:pStyle w:val="0"/>
        <w:spacing w:before="200" w:lineRule="auto"/>
        <w:ind w:firstLine="540"/>
        <w:jc w:val="both"/>
      </w:pPr>
      <w:r>
        <w:rPr>
          <w:sz w:val="20"/>
        </w:rPr>
        <w:t xml:space="preserve">12. Комиссия осуществляет следующие функции:</w:t>
      </w:r>
    </w:p>
    <w:p>
      <w:pPr>
        <w:pStyle w:val="0"/>
        <w:spacing w:before="200" w:lineRule="auto"/>
        <w:ind w:firstLine="540"/>
        <w:jc w:val="both"/>
      </w:pPr>
      <w:r>
        <w:rPr>
          <w:sz w:val="20"/>
        </w:rPr>
        <w:t xml:space="preserve">1) утверждение в системе "Электронный бюджет" протокола вскрытия заявок, протокола рассмотрения заявок, протокола подведения итогов конкурсного отбора;</w:t>
      </w:r>
    </w:p>
    <w:p>
      <w:pPr>
        <w:pStyle w:val="0"/>
        <w:spacing w:before="200" w:lineRule="auto"/>
        <w:ind w:firstLine="540"/>
        <w:jc w:val="both"/>
      </w:pPr>
      <w:r>
        <w:rPr>
          <w:sz w:val="20"/>
        </w:rPr>
        <w:t xml:space="preserve">2) принятие решения о признании конкурсного отбора несостоявшимся, в случае если Министерством не было представлено в комиссию ни одной заявки или комиссией принято решение об отклонении всех заявок;</w:t>
      </w:r>
    </w:p>
    <w:p>
      <w:pPr>
        <w:pStyle w:val="0"/>
        <w:spacing w:before="200" w:lineRule="auto"/>
        <w:ind w:firstLine="540"/>
        <w:jc w:val="both"/>
      </w:pPr>
      <w:r>
        <w:rPr>
          <w:sz w:val="20"/>
        </w:rPr>
        <w:t xml:space="preserve">3) принятие решения об утверждении итогов проведения конкурсного отбора, определяющего перечень организаций - победителей конкурсного отбора, а также организаций, не прошедших конкурсный отбор.</w:t>
      </w:r>
    </w:p>
    <w:p>
      <w:pPr>
        <w:pStyle w:val="0"/>
        <w:spacing w:before="200" w:lineRule="auto"/>
        <w:ind w:firstLine="540"/>
        <w:jc w:val="both"/>
      </w:pPr>
      <w:r>
        <w:rPr>
          <w:sz w:val="20"/>
        </w:rPr>
        <w:t xml:space="preserve">13. Группа технического сопровождения осуществляет следующие функции:</w:t>
      </w:r>
    </w:p>
    <w:p>
      <w:pPr>
        <w:pStyle w:val="0"/>
        <w:spacing w:before="200" w:lineRule="auto"/>
        <w:ind w:firstLine="540"/>
        <w:jc w:val="both"/>
      </w:pPr>
      <w:r>
        <w:rPr>
          <w:sz w:val="20"/>
        </w:rPr>
        <w:t xml:space="preserve">1) вскрытие заявок, размещенных на портале участниками конкурсного отбора, автоматическое формирование протокола вскрытия заявок и направление его на утверждение в Министерство в системе "Электронный бюджет";</w:t>
      </w:r>
    </w:p>
    <w:p>
      <w:pPr>
        <w:pStyle w:val="0"/>
        <w:spacing w:before="200" w:lineRule="auto"/>
        <w:ind w:firstLine="540"/>
        <w:jc w:val="both"/>
      </w:pPr>
      <w:r>
        <w:rPr>
          <w:sz w:val="20"/>
        </w:rPr>
        <w:t xml:space="preserve">2) рассмотрение заявок на соответствие участников конкурсного отбора требованиям, указанным в </w:t>
      </w:r>
      <w:hyperlink w:history="0" w:anchor="P424"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3) рассмотрение заявок и прилагаемых к ним документов на предмет их соответствия требованиям, предусмотренным в </w:t>
      </w:r>
      <w:hyperlink w:history="0" w:anchor="P457" w:tooltip="25. Заявка содержит:">
        <w:r>
          <w:rPr>
            <w:sz w:val="20"/>
            <w:color w:val="0000ff"/>
          </w:rPr>
          <w:t xml:space="preserve">пункте 25</w:t>
        </w:r>
      </w:hyperlink>
      <w:r>
        <w:rPr>
          <w:sz w:val="20"/>
        </w:rPr>
        <w:t xml:space="preserve"> и </w:t>
      </w:r>
      <w:hyperlink w:history="0" w:anchor="P478" w:tooltip="26. К заявке прилагаются следующие документы:">
        <w:r>
          <w:rPr>
            <w:sz w:val="20"/>
            <w:color w:val="0000ff"/>
          </w:rPr>
          <w:t xml:space="preserve">частях первой</w:t>
        </w:r>
      </w:hyperlink>
      <w:r>
        <w:rPr>
          <w:sz w:val="20"/>
        </w:rPr>
        <w:t xml:space="preserve"> и </w:t>
      </w:r>
      <w:hyperlink w:history="0" w:anchor="P485" w:tooltip="Каждый из документов, указанных в подпунктах 1 - 6 части первой настоящего пункта, представляется в виде одного файла в формате pdf.">
        <w:r>
          <w:rPr>
            <w:sz w:val="20"/>
            <w:color w:val="0000ff"/>
          </w:rPr>
          <w:t xml:space="preserve">второй пункта 26</w:t>
        </w:r>
      </w:hyperlink>
      <w:r>
        <w:rPr>
          <w:sz w:val="20"/>
        </w:rPr>
        <w:t xml:space="preserve"> настоящего порядка;</w:t>
      </w:r>
    </w:p>
    <w:p>
      <w:pPr>
        <w:pStyle w:val="0"/>
        <w:spacing w:before="200" w:lineRule="auto"/>
        <w:ind w:firstLine="540"/>
        <w:jc w:val="both"/>
      </w:pPr>
      <w:r>
        <w:rPr>
          <w:sz w:val="20"/>
        </w:rPr>
        <w:t xml:space="preserve">4) автоматическое формирование проекта протокола рассмотрения заявок, включающего информацию о количестве поступивших и рассмотренных заявок, а также информацию по каждому участнику конкурсного отбора о признании его заявки допущенной к отбору или об отклонении его заявки с указанием оснований для отклонения;</w:t>
      </w:r>
    </w:p>
    <w:p>
      <w:pPr>
        <w:pStyle w:val="0"/>
        <w:spacing w:before="200" w:lineRule="auto"/>
        <w:ind w:firstLine="540"/>
        <w:jc w:val="both"/>
      </w:pPr>
      <w:r>
        <w:rPr>
          <w:sz w:val="20"/>
        </w:rPr>
        <w:t xml:space="preserve">5) выбор из реестра экспертов, размещенного на портале, и закрепление не менее 3 экспертов для оценки каждой заявки, обеспечение доступа экспертов к оценке заявок;</w:t>
      </w:r>
    </w:p>
    <w:p>
      <w:pPr>
        <w:pStyle w:val="0"/>
        <w:spacing w:before="200" w:lineRule="auto"/>
        <w:ind w:firstLine="540"/>
        <w:jc w:val="both"/>
      </w:pPr>
      <w:r>
        <w:rPr>
          <w:sz w:val="20"/>
        </w:rPr>
        <w:t xml:space="preserve">6) формирование сводного оценочного листа по каждой заявке;</w:t>
      </w:r>
    </w:p>
    <w:p>
      <w:pPr>
        <w:pStyle w:val="0"/>
        <w:spacing w:before="200" w:lineRule="auto"/>
        <w:ind w:firstLine="540"/>
        <w:jc w:val="both"/>
      </w:pPr>
      <w:r>
        <w:rPr>
          <w:sz w:val="20"/>
        </w:rPr>
        <w:t xml:space="preserve">7) ранжирование заявок по мере уменьшения полученных баллов по итогам оценки заявок и очередности их поступления в случае равенства количества полученных баллов;</w:t>
      </w:r>
    </w:p>
    <w:p>
      <w:pPr>
        <w:pStyle w:val="0"/>
        <w:spacing w:before="200" w:lineRule="auto"/>
        <w:ind w:firstLine="540"/>
        <w:jc w:val="both"/>
      </w:pPr>
      <w:r>
        <w:rPr>
          <w:sz w:val="20"/>
        </w:rPr>
        <w:t xml:space="preserve">8) автоматическое формирование проекта протокола подведения итогов конкурсного отбора и направление его на утверждение в Министерство в системе "Электронный бюджет".</w:t>
      </w:r>
    </w:p>
    <w:bookmarkStart w:id="424" w:name="P424"/>
    <w:bookmarkEnd w:id="424"/>
    <w:p>
      <w:pPr>
        <w:pStyle w:val="0"/>
        <w:spacing w:before="200" w:lineRule="auto"/>
        <w:ind w:firstLine="540"/>
        <w:jc w:val="both"/>
      </w:pPr>
      <w:r>
        <w:rPr>
          <w:sz w:val="20"/>
        </w:rPr>
        <w:t xml:space="preserve">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w:t>
      </w:r>
    </w:p>
    <w:p>
      <w:pPr>
        <w:pStyle w:val="0"/>
        <w:spacing w:before="200" w:lineRule="auto"/>
        <w:ind w:firstLine="540"/>
        <w:jc w:val="both"/>
      </w:pPr>
      <w:r>
        <w:rPr>
          <w:sz w:val="20"/>
        </w:rPr>
        <w:t xml:space="preserve">1) организация является юридическим лицом, зарегистрированным на территории Свердловской области и осуществляющим в соответствии с учредительными документами в качестве основной деятельности один из видов деятельности:</w:t>
      </w:r>
    </w:p>
    <w:p>
      <w:pPr>
        <w:pStyle w:val="0"/>
        <w:spacing w:before="200" w:lineRule="auto"/>
        <w:ind w:firstLine="540"/>
        <w:jc w:val="both"/>
      </w:pPr>
      <w:r>
        <w:rPr>
          <w:sz w:val="20"/>
        </w:rPr>
        <w:t xml:space="preserve">подготовка (создание, постановка) и показ (публичное исполнение, эксплуатация) спектаклей, других публичных театральных представлений;</w:t>
      </w:r>
    </w:p>
    <w:p>
      <w:pPr>
        <w:pStyle w:val="0"/>
        <w:spacing w:before="200" w:lineRule="auto"/>
        <w:ind w:firstLine="540"/>
        <w:jc w:val="both"/>
      </w:pPr>
      <w:r>
        <w:rPr>
          <w:sz w:val="20"/>
        </w:rPr>
        <w:t xml:space="preserve">подготовка и показ концертно-филармонических и концертно-просветительских программ, других публичных представлений;</w:t>
      </w:r>
    </w:p>
    <w:p>
      <w:pPr>
        <w:pStyle w:val="0"/>
        <w:spacing w:before="200" w:lineRule="auto"/>
        <w:ind w:firstLine="540"/>
        <w:jc w:val="both"/>
      </w:pPr>
      <w:r>
        <w:rPr>
          <w:sz w:val="20"/>
        </w:rPr>
        <w:t xml:space="preserve">2) организация является некоммерческой организацией, не являющейся государственным и муниципальным учреждением, в сфере театрального, музыкального, хореографического искусства;</w:t>
      </w:r>
    </w:p>
    <w:p>
      <w:pPr>
        <w:pStyle w:val="0"/>
        <w:spacing w:before="200" w:lineRule="auto"/>
        <w:ind w:firstLine="540"/>
        <w:jc w:val="both"/>
      </w:pPr>
      <w:r>
        <w:rPr>
          <w:sz w:val="20"/>
        </w:rPr>
        <w:t xml:space="preserve">3) организация не осуществляет в качестве основного вида деятельности деятельность в сфере литературы, изобразительного и декоративно-прикладного искусства, кинематографии и фотоискусства, музейного и библиотечного дела, самодеятельного (любительского) художественного творчества, образования и традиционной народной культуры;</w:t>
      </w:r>
    </w:p>
    <w:p>
      <w:pPr>
        <w:pStyle w:val="0"/>
        <w:spacing w:before="200" w:lineRule="auto"/>
        <w:ind w:firstLine="540"/>
        <w:jc w:val="both"/>
      </w:pPr>
      <w:r>
        <w:rPr>
          <w:sz w:val="20"/>
        </w:rPr>
        <w:t xml:space="preserve">4) организация не находится в процессе реорганизации,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5) 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организации;</w:t>
      </w:r>
    </w:p>
    <w:p>
      <w:pPr>
        <w:pStyle w:val="0"/>
        <w:spacing w:before="200" w:lineRule="auto"/>
        <w:ind w:firstLine="540"/>
        <w:jc w:val="both"/>
      </w:pPr>
      <w:r>
        <w:rPr>
          <w:sz w:val="20"/>
        </w:rPr>
        <w:t xml:space="preserve">6) организация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w:t>
      </w:r>
    </w:p>
    <w:p>
      <w:pPr>
        <w:pStyle w:val="0"/>
        <w:spacing w:before="200" w:lineRule="auto"/>
        <w:ind w:firstLine="540"/>
        <w:jc w:val="both"/>
      </w:pPr>
      <w:r>
        <w:rPr>
          <w:sz w:val="20"/>
        </w:rPr>
        <w:t xml:space="preserve">7)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8) организация не находится в составляемых в рамках реализации полномочий, предусмотренных </w:t>
      </w:r>
      <w:hyperlink w:history="0" r:id="rId32"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9) организация не получает средства из областного бюджета в соответствии с иными нормативными правовыми актами Свердловской области на цель, указанную в </w:t>
      </w:r>
      <w:hyperlink w:history="0" w:anchor="P372" w:tooltip="4. Предоставление грантов осуществляется с целью финансового обеспечения затрат, связанных с реализацией организациями всероссийских и международных творческих проектов в области музыкального и театрального искусства, направленных на увеличение количества граждан, вовлеченных в культурную деятельность, путем поддержки и реализации творческих инициатив для увеличения количества всероссийских и международных творческих проектов в области музыкального и театрального искусства (далее - проекты).">
        <w:r>
          <w:rPr>
            <w:sz w:val="20"/>
            <w:color w:val="0000ff"/>
          </w:rPr>
          <w:t xml:space="preserve">пункте 4</w:t>
        </w:r>
      </w:hyperlink>
      <w:r>
        <w:rPr>
          <w:sz w:val="20"/>
        </w:rPr>
        <w:t xml:space="preserve"> настоящего порядка;</w:t>
      </w:r>
    </w:p>
    <w:p>
      <w:pPr>
        <w:pStyle w:val="0"/>
        <w:spacing w:before="200" w:lineRule="auto"/>
        <w:ind w:firstLine="540"/>
        <w:jc w:val="both"/>
      </w:pPr>
      <w:r>
        <w:rPr>
          <w:sz w:val="20"/>
        </w:rPr>
        <w:t xml:space="preserve">10) организация не является иностранным агентом в соответствии с Федеральным </w:t>
      </w:r>
      <w:hyperlink w:history="0" r:id="rId33"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 июля 2022 года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11) у организации на едином налоговом счете отсутствует или не превышает размера, определенного </w:t>
      </w:r>
      <w:hyperlink w:history="0" r:id="rId34"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12) у организации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Свердловской областью;</w:t>
      </w:r>
    </w:p>
    <w:p>
      <w:pPr>
        <w:pStyle w:val="0"/>
        <w:spacing w:before="200" w:lineRule="auto"/>
        <w:ind w:firstLine="540"/>
        <w:jc w:val="both"/>
      </w:pPr>
      <w:r>
        <w:rPr>
          <w:sz w:val="20"/>
        </w:rPr>
        <w:t xml:space="preserve">13) организация не находится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pPr>
        <w:pStyle w:val="0"/>
        <w:spacing w:before="200" w:lineRule="auto"/>
        <w:ind w:firstLine="540"/>
        <w:jc w:val="both"/>
      </w:pPr>
      <w:r>
        <w:rPr>
          <w:sz w:val="20"/>
        </w:rPr>
        <w:t xml:space="preserve">14) организация имеет расчетный счет, открытый в российской кредитной организации;</w:t>
      </w:r>
    </w:p>
    <w:p>
      <w:pPr>
        <w:pStyle w:val="0"/>
        <w:spacing w:before="200" w:lineRule="auto"/>
        <w:ind w:firstLine="540"/>
        <w:jc w:val="both"/>
      </w:pPr>
      <w:r>
        <w:rPr>
          <w:sz w:val="20"/>
        </w:rPr>
        <w:t xml:space="preserve">15) организация создана не позднее чем за один год до объявления конкурсного отбора;</w:t>
      </w:r>
    </w:p>
    <w:p>
      <w:pPr>
        <w:pStyle w:val="0"/>
        <w:spacing w:before="200" w:lineRule="auto"/>
        <w:ind w:firstLine="540"/>
        <w:jc w:val="both"/>
      </w:pPr>
      <w:r>
        <w:rPr>
          <w:sz w:val="20"/>
        </w:rPr>
        <w:t xml:space="preserve">16) организация имеет опыт, кадровый состав и материально-техническую базу, необходимые для достижения результата предоставления гранта;</w:t>
      </w:r>
    </w:p>
    <w:p>
      <w:pPr>
        <w:pStyle w:val="0"/>
        <w:spacing w:before="200" w:lineRule="auto"/>
        <w:ind w:firstLine="540"/>
        <w:jc w:val="both"/>
      </w:pPr>
      <w:r>
        <w:rPr>
          <w:sz w:val="20"/>
        </w:rPr>
        <w:t xml:space="preserve">17) фактический уровень заработной платы работников организации соответствует утвержденному уровню средней заработной платы в Свердловской области;</w:t>
      </w:r>
    </w:p>
    <w:p>
      <w:pPr>
        <w:pStyle w:val="0"/>
        <w:spacing w:before="200" w:lineRule="auto"/>
        <w:ind w:firstLine="540"/>
        <w:jc w:val="both"/>
      </w:pPr>
      <w:r>
        <w:rPr>
          <w:sz w:val="20"/>
        </w:rPr>
        <w:t xml:space="preserve">18) организация дает согласие на осуществление Министерством и органами государственного финансового контроля Свердловской области проверок соблюдения условий и порядка предоставления гранта;</w:t>
      </w:r>
    </w:p>
    <w:p>
      <w:pPr>
        <w:pStyle w:val="0"/>
        <w:spacing w:before="200" w:lineRule="auto"/>
        <w:ind w:firstLine="540"/>
        <w:jc w:val="both"/>
      </w:pPr>
      <w:r>
        <w:rPr>
          <w:sz w:val="20"/>
        </w:rPr>
        <w:t xml:space="preserve">19) в отношении организации отсутствует информация от уполномоченных государственных органов о деструктивном содержании или негативном влиянии проекта и (или) деятельности организации (руководителя организации);</w:t>
      </w:r>
    </w:p>
    <w:p>
      <w:pPr>
        <w:pStyle w:val="0"/>
        <w:spacing w:before="200" w:lineRule="auto"/>
        <w:ind w:firstLine="540"/>
        <w:jc w:val="both"/>
      </w:pPr>
      <w:r>
        <w:rPr>
          <w:sz w:val="20"/>
        </w:rPr>
        <w:t xml:space="preserve">20) в предыдущие периоды по ранее предоставленным Министерством субсидиям (грантам в форме субсидий) на реализацию творческих проектов у организации отсутствовали нарушения обязательств, установленных в соглашении, в том числе непредставление (несвоевременное представление) организацией отчетных документов об использовании указанных субсидий (грантов в форме субсидий), а также их нецелевое расходование.</w:t>
      </w:r>
    </w:p>
    <w:p>
      <w:pPr>
        <w:pStyle w:val="0"/>
        <w:spacing w:before="200" w:lineRule="auto"/>
        <w:ind w:firstLine="540"/>
        <w:jc w:val="both"/>
      </w:pPr>
      <w:r>
        <w:rPr>
          <w:sz w:val="20"/>
        </w:rPr>
        <w:t xml:space="preserve">15. Решение об отмене проведения конкурсного отбора принимается Министерством в случае уменьшения Министерству ранее доведенных лимитов бюджетных обязательств на предоставление грантов.</w:t>
      </w:r>
    </w:p>
    <w:p>
      <w:pPr>
        <w:pStyle w:val="0"/>
        <w:spacing w:before="200" w:lineRule="auto"/>
        <w:ind w:firstLine="540"/>
        <w:jc w:val="both"/>
      </w:pPr>
      <w:r>
        <w:rPr>
          <w:sz w:val="20"/>
        </w:rPr>
        <w:t xml:space="preserve">16. Размещение Министерством объявления об отмене проведения конкурсного отбора на портале допускается не позднее чем за один рабочий день до даты окончания срока подачи заявок.</w:t>
      </w:r>
    </w:p>
    <w:p>
      <w:pPr>
        <w:pStyle w:val="0"/>
        <w:spacing w:before="200" w:lineRule="auto"/>
        <w:ind w:firstLine="540"/>
        <w:jc w:val="both"/>
      </w:pPr>
      <w:r>
        <w:rPr>
          <w:sz w:val="20"/>
        </w:rPr>
        <w:t xml:space="preserve">17. Объявление об отмене проведения конкурсного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Министерства (уполномоченного им лица), размещается на портале и содержит информацию о причинах отмены проведения конкурсного отбора.</w:t>
      </w:r>
    </w:p>
    <w:p>
      <w:pPr>
        <w:pStyle w:val="0"/>
        <w:spacing w:before="200" w:lineRule="auto"/>
        <w:ind w:firstLine="540"/>
        <w:jc w:val="both"/>
      </w:pPr>
      <w:r>
        <w:rPr>
          <w:sz w:val="20"/>
        </w:rPr>
        <w:t xml:space="preserve">18. Участники конкурсного отбора информируются об отмене проведения конкурсного отбора на портале.</w:t>
      </w:r>
    </w:p>
    <w:p>
      <w:pPr>
        <w:pStyle w:val="0"/>
        <w:spacing w:before="200" w:lineRule="auto"/>
        <w:ind w:firstLine="540"/>
        <w:jc w:val="both"/>
      </w:pPr>
      <w:r>
        <w:rPr>
          <w:sz w:val="20"/>
        </w:rPr>
        <w:t xml:space="preserve">19. Конкурсный отбор считается отмененным со дня размещения на портале объявления об отмене проведения конкурсного отбора.</w:t>
      </w:r>
    </w:p>
    <w:p>
      <w:pPr>
        <w:pStyle w:val="0"/>
        <w:spacing w:before="200" w:lineRule="auto"/>
        <w:ind w:firstLine="540"/>
        <w:jc w:val="both"/>
      </w:pPr>
      <w:r>
        <w:rPr>
          <w:sz w:val="20"/>
        </w:rPr>
        <w:t xml:space="preserve">20. Конкурсный отбор считается несостоявшимся в случае отсутствия заявок.</w:t>
      </w:r>
    </w:p>
    <w:p>
      <w:pPr>
        <w:pStyle w:val="0"/>
        <w:spacing w:before="200" w:lineRule="auto"/>
        <w:ind w:firstLine="540"/>
        <w:jc w:val="both"/>
      </w:pPr>
      <w:r>
        <w:rPr>
          <w:sz w:val="20"/>
        </w:rPr>
        <w:t xml:space="preserve">21. Заявки формируются участниками конкурсного отбора посредством заполнения соответствующих экранных форм веб-интерфейса на портале.</w:t>
      </w:r>
    </w:p>
    <w:p>
      <w:pPr>
        <w:pStyle w:val="0"/>
        <w:spacing w:before="200" w:lineRule="auto"/>
        <w:ind w:firstLine="540"/>
        <w:jc w:val="both"/>
      </w:pPr>
      <w:r>
        <w:rPr>
          <w:sz w:val="20"/>
        </w:rPr>
        <w:t xml:space="preserve">22. Заявка подписывается усиленной квалифицированной электронной подписью руководителя участника конкурсного отбора или уполномоченного им лица.</w:t>
      </w:r>
    </w:p>
    <w:p>
      <w:pPr>
        <w:pStyle w:val="0"/>
        <w:spacing w:before="200" w:lineRule="auto"/>
        <w:ind w:firstLine="540"/>
        <w:jc w:val="both"/>
      </w:pPr>
      <w:r>
        <w:rPr>
          <w:sz w:val="20"/>
        </w:rPr>
        <w:t xml:space="preserve">23. Ответственность за полноту и достоверность информации, содержащейся в заявке и прилагаемых к ней документах, а также за своевременность их представления несет участник конкурсного отбора в соответствии с законодательством Российской Федерации.</w:t>
      </w:r>
    </w:p>
    <w:p>
      <w:pPr>
        <w:pStyle w:val="0"/>
        <w:spacing w:before="200" w:lineRule="auto"/>
        <w:ind w:firstLine="540"/>
        <w:jc w:val="both"/>
      </w:pPr>
      <w:r>
        <w:rPr>
          <w:sz w:val="20"/>
        </w:rPr>
        <w:t xml:space="preserve">24. Датой и временем представления участником конкурсного отбора заявки считаются дата и время подписания участником конкурсного отбора заявки с присвоением ей регистрационного номера на портале.</w:t>
      </w:r>
    </w:p>
    <w:bookmarkStart w:id="457" w:name="P457"/>
    <w:bookmarkEnd w:id="457"/>
    <w:p>
      <w:pPr>
        <w:pStyle w:val="0"/>
        <w:spacing w:before="200" w:lineRule="auto"/>
        <w:ind w:firstLine="540"/>
        <w:jc w:val="both"/>
      </w:pPr>
      <w:r>
        <w:rPr>
          <w:sz w:val="20"/>
        </w:rPr>
        <w:t xml:space="preserve">25. Заявка содержит:</w:t>
      </w:r>
    </w:p>
    <w:p>
      <w:pPr>
        <w:pStyle w:val="0"/>
        <w:spacing w:before="200" w:lineRule="auto"/>
        <w:ind w:firstLine="540"/>
        <w:jc w:val="both"/>
      </w:pPr>
      <w:r>
        <w:rPr>
          <w:sz w:val="20"/>
        </w:rPr>
        <w:t xml:space="preserve">1) наименование направления конкурсного отбора;</w:t>
      </w:r>
    </w:p>
    <w:p>
      <w:pPr>
        <w:pStyle w:val="0"/>
        <w:spacing w:before="200" w:lineRule="auto"/>
        <w:ind w:firstLine="540"/>
        <w:jc w:val="both"/>
      </w:pPr>
      <w:r>
        <w:rPr>
          <w:sz w:val="20"/>
        </w:rPr>
        <w:t xml:space="preserve">2) наименование проекта, на реализацию которого запрашивается грант;</w:t>
      </w:r>
    </w:p>
    <w:p>
      <w:pPr>
        <w:pStyle w:val="0"/>
        <w:spacing w:before="200" w:lineRule="auto"/>
        <w:ind w:firstLine="540"/>
        <w:jc w:val="both"/>
      </w:pPr>
      <w:r>
        <w:rPr>
          <w:sz w:val="20"/>
        </w:rPr>
        <w:t xml:space="preserve">3) краткое описание проекта;</w:t>
      </w:r>
    </w:p>
    <w:p>
      <w:pPr>
        <w:pStyle w:val="0"/>
        <w:spacing w:before="200" w:lineRule="auto"/>
        <w:ind w:firstLine="540"/>
        <w:jc w:val="both"/>
      </w:pPr>
      <w:r>
        <w:rPr>
          <w:sz w:val="20"/>
        </w:rPr>
        <w:t xml:space="preserve">4) географию проекта (территориальный охват проекта);</w:t>
      </w:r>
    </w:p>
    <w:p>
      <w:pPr>
        <w:pStyle w:val="0"/>
        <w:spacing w:before="200" w:lineRule="auto"/>
        <w:ind w:firstLine="540"/>
        <w:jc w:val="both"/>
      </w:pPr>
      <w:r>
        <w:rPr>
          <w:sz w:val="20"/>
        </w:rPr>
        <w:t xml:space="preserve">5) срок реализации проекта;</w:t>
      </w:r>
    </w:p>
    <w:p>
      <w:pPr>
        <w:pStyle w:val="0"/>
        <w:spacing w:before="200" w:lineRule="auto"/>
        <w:ind w:firstLine="540"/>
        <w:jc w:val="both"/>
      </w:pPr>
      <w:r>
        <w:rPr>
          <w:sz w:val="20"/>
        </w:rPr>
        <w:t xml:space="preserve">6) обоснование социальной значимости проекта;</w:t>
      </w:r>
    </w:p>
    <w:p>
      <w:pPr>
        <w:pStyle w:val="0"/>
        <w:spacing w:before="200" w:lineRule="auto"/>
        <w:ind w:firstLine="540"/>
        <w:jc w:val="both"/>
      </w:pPr>
      <w:r>
        <w:rPr>
          <w:sz w:val="20"/>
        </w:rPr>
        <w:t xml:space="preserve">7) описание целевых групп проекта;</w:t>
      </w:r>
    </w:p>
    <w:p>
      <w:pPr>
        <w:pStyle w:val="0"/>
        <w:spacing w:before="200" w:lineRule="auto"/>
        <w:ind w:firstLine="540"/>
        <w:jc w:val="both"/>
      </w:pPr>
      <w:r>
        <w:rPr>
          <w:sz w:val="20"/>
        </w:rPr>
        <w:t xml:space="preserve">8) цель (цели) и задачи проекта;</w:t>
      </w:r>
    </w:p>
    <w:p>
      <w:pPr>
        <w:pStyle w:val="0"/>
        <w:spacing w:before="200" w:lineRule="auto"/>
        <w:ind w:firstLine="540"/>
        <w:jc w:val="both"/>
      </w:pPr>
      <w:r>
        <w:rPr>
          <w:sz w:val="20"/>
        </w:rPr>
        <w:t xml:space="preserve">9) ожидаемые количественные и качественные результаты проекта;</w:t>
      </w:r>
    </w:p>
    <w:p>
      <w:pPr>
        <w:pStyle w:val="0"/>
        <w:spacing w:before="200" w:lineRule="auto"/>
        <w:ind w:firstLine="540"/>
        <w:jc w:val="both"/>
      </w:pPr>
      <w:r>
        <w:rPr>
          <w:sz w:val="20"/>
        </w:rPr>
        <w:t xml:space="preserve">10) календарный план мероприятий проекта;</w:t>
      </w:r>
    </w:p>
    <w:p>
      <w:pPr>
        <w:pStyle w:val="0"/>
        <w:spacing w:before="200" w:lineRule="auto"/>
        <w:ind w:firstLine="540"/>
        <w:jc w:val="both"/>
      </w:pPr>
      <w:r>
        <w:rPr>
          <w:sz w:val="20"/>
        </w:rPr>
        <w:t xml:space="preserve">11) бюджет проекта;</w:t>
      </w:r>
    </w:p>
    <w:p>
      <w:pPr>
        <w:pStyle w:val="0"/>
        <w:spacing w:before="200" w:lineRule="auto"/>
        <w:ind w:firstLine="540"/>
        <w:jc w:val="both"/>
      </w:pPr>
      <w:r>
        <w:rPr>
          <w:sz w:val="20"/>
        </w:rPr>
        <w:t xml:space="preserve">12) информацию о руководителе проекта;</w:t>
      </w:r>
    </w:p>
    <w:p>
      <w:pPr>
        <w:pStyle w:val="0"/>
        <w:spacing w:before="200" w:lineRule="auto"/>
        <w:ind w:firstLine="540"/>
        <w:jc w:val="both"/>
      </w:pPr>
      <w:r>
        <w:rPr>
          <w:sz w:val="20"/>
        </w:rPr>
        <w:t xml:space="preserve">13) информацию о команде проекта;</w:t>
      </w:r>
    </w:p>
    <w:p>
      <w:pPr>
        <w:pStyle w:val="0"/>
        <w:spacing w:before="200" w:lineRule="auto"/>
        <w:ind w:firstLine="540"/>
        <w:jc w:val="both"/>
      </w:pPr>
      <w:r>
        <w:rPr>
          <w:sz w:val="20"/>
        </w:rPr>
        <w:t xml:space="preserve">14) информацию об организации, включающую:</w:t>
      </w:r>
    </w:p>
    <w:p>
      <w:pPr>
        <w:pStyle w:val="0"/>
        <w:spacing w:before="200" w:lineRule="auto"/>
        <w:ind w:firstLine="540"/>
        <w:jc w:val="both"/>
      </w:pPr>
      <w:r>
        <w:rPr>
          <w:sz w:val="20"/>
        </w:rPr>
        <w:t xml:space="preserve">полное и сокращенное (при наличии) наименование организации, основной государственный регистрационный номер, идентификационный номер налогоплательщика, место нахождения организации;</w:t>
      </w:r>
    </w:p>
    <w:p>
      <w:pPr>
        <w:pStyle w:val="0"/>
        <w:spacing w:before="200" w:lineRule="auto"/>
        <w:ind w:firstLine="540"/>
        <w:jc w:val="both"/>
      </w:pPr>
      <w:r>
        <w:rPr>
          <w:sz w:val="20"/>
        </w:rPr>
        <w:t xml:space="preserve">основные виды деятельности организации;</w:t>
      </w:r>
    </w:p>
    <w:p>
      <w:pPr>
        <w:pStyle w:val="0"/>
        <w:spacing w:before="200" w:lineRule="auto"/>
        <w:ind w:firstLine="540"/>
        <w:jc w:val="both"/>
      </w:pPr>
      <w:r>
        <w:rPr>
          <w:sz w:val="20"/>
        </w:rPr>
        <w:t xml:space="preserve">опыт организации по успешной реализации проектов;</w:t>
      </w:r>
    </w:p>
    <w:p>
      <w:pPr>
        <w:pStyle w:val="0"/>
        <w:spacing w:before="200" w:lineRule="auto"/>
        <w:ind w:firstLine="540"/>
        <w:jc w:val="both"/>
      </w:pPr>
      <w:r>
        <w:rPr>
          <w:sz w:val="20"/>
        </w:rPr>
        <w:t xml:space="preserve">сведения о сайтах организации в сети Интернет и страницах (группах) в социальных сетях;</w:t>
      </w:r>
    </w:p>
    <w:p>
      <w:pPr>
        <w:pStyle w:val="0"/>
        <w:spacing w:before="200" w:lineRule="auto"/>
        <w:ind w:firstLine="540"/>
        <w:jc w:val="both"/>
      </w:pPr>
      <w:r>
        <w:rPr>
          <w:sz w:val="20"/>
        </w:rPr>
        <w:t xml:space="preserve">контактный телефон организации;</w:t>
      </w:r>
    </w:p>
    <w:p>
      <w:pPr>
        <w:pStyle w:val="0"/>
        <w:spacing w:before="200" w:lineRule="auto"/>
        <w:ind w:firstLine="540"/>
        <w:jc w:val="both"/>
      </w:pPr>
      <w:r>
        <w:rPr>
          <w:sz w:val="20"/>
        </w:rPr>
        <w:t xml:space="preserve">адрес электронной почты для направления организации юридически значимых сообщений.</w:t>
      </w:r>
    </w:p>
    <w:bookmarkStart w:id="478" w:name="P478"/>
    <w:bookmarkEnd w:id="478"/>
    <w:p>
      <w:pPr>
        <w:pStyle w:val="0"/>
        <w:spacing w:before="200" w:lineRule="auto"/>
        <w:ind w:firstLine="540"/>
        <w:jc w:val="both"/>
      </w:pPr>
      <w:r>
        <w:rPr>
          <w:sz w:val="20"/>
        </w:rPr>
        <w:t xml:space="preserve">26. К заявке прилагаются следующие документы:</w:t>
      </w:r>
    </w:p>
    <w:bookmarkStart w:id="479" w:name="P479"/>
    <w:bookmarkEnd w:id="479"/>
    <w:p>
      <w:pPr>
        <w:pStyle w:val="0"/>
        <w:spacing w:before="200" w:lineRule="auto"/>
        <w:ind w:firstLine="540"/>
        <w:jc w:val="both"/>
      </w:pPr>
      <w:r>
        <w:rPr>
          <w:sz w:val="20"/>
        </w:rPr>
        <w:t xml:space="preserve">1) электронная (сканированная) копия устава организации, заверенная подписью руководителя организации и печатью организации (при наличии);</w:t>
      </w:r>
    </w:p>
    <w:p>
      <w:pPr>
        <w:pStyle w:val="0"/>
        <w:spacing w:before="200" w:lineRule="auto"/>
        <w:ind w:firstLine="540"/>
        <w:jc w:val="both"/>
      </w:pPr>
      <w:r>
        <w:rPr>
          <w:sz w:val="20"/>
        </w:rPr>
        <w:t xml:space="preserve">2) выписка из Единого государственного реестра юридических лиц;</w:t>
      </w:r>
    </w:p>
    <w:p>
      <w:pPr>
        <w:pStyle w:val="0"/>
        <w:spacing w:before="200" w:lineRule="auto"/>
        <w:ind w:firstLine="540"/>
        <w:jc w:val="both"/>
      </w:pPr>
      <w:r>
        <w:rPr>
          <w:sz w:val="20"/>
        </w:rPr>
        <w:t xml:space="preserve">3) электронная (сканированная) копия документа, подтверждающего полномочия лица на подачу заявки от имени организации (в случае если заявку подает лицо, сведения о котором как о лице, имеющем право без доверенности действовать от имени организации, не содержатся в Едином государственном реестре юридических лиц);</w:t>
      </w:r>
    </w:p>
    <w:p>
      <w:pPr>
        <w:pStyle w:val="0"/>
        <w:spacing w:before="200" w:lineRule="auto"/>
        <w:ind w:firstLine="540"/>
        <w:jc w:val="both"/>
      </w:pPr>
      <w:r>
        <w:rPr>
          <w:sz w:val="20"/>
        </w:rPr>
        <w:t xml:space="preserve">4) согласие на обработку персональных данных и согласие на публикацию (размещение) в сети Интернет информации об участнике конкурсного отбора, заявке, подаваемой участником конкурсного отбора, и иной информации об участнике конкурсного отбора, являющейся неотъемлемой частью заявки;</w:t>
      </w:r>
    </w:p>
    <w:p>
      <w:pPr>
        <w:pStyle w:val="0"/>
        <w:spacing w:before="200" w:lineRule="auto"/>
        <w:ind w:firstLine="540"/>
        <w:jc w:val="both"/>
      </w:pPr>
      <w:r>
        <w:rPr>
          <w:sz w:val="20"/>
        </w:rPr>
        <w:t xml:space="preserve">5) справка о состоянии расчетов по налогам, сборам, пеням, штрафам, процентам, выданная территориальным налоговым органом Федеральной налоговой службы;</w:t>
      </w:r>
    </w:p>
    <w:bookmarkStart w:id="484" w:name="P484"/>
    <w:bookmarkEnd w:id="484"/>
    <w:p>
      <w:pPr>
        <w:pStyle w:val="0"/>
        <w:spacing w:before="200" w:lineRule="auto"/>
        <w:ind w:firstLine="540"/>
        <w:jc w:val="both"/>
      </w:pPr>
      <w:r>
        <w:rPr>
          <w:sz w:val="20"/>
        </w:rPr>
        <w:t xml:space="preserve">6) справка на бланке организации о соответствии организации требованиям, указанным в </w:t>
      </w:r>
      <w:hyperlink w:history="0" w:anchor="P424"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 подписанная руководителем организации или лицом, его замещающим.</w:t>
      </w:r>
    </w:p>
    <w:bookmarkStart w:id="485" w:name="P485"/>
    <w:bookmarkEnd w:id="485"/>
    <w:p>
      <w:pPr>
        <w:pStyle w:val="0"/>
        <w:spacing w:before="200" w:lineRule="auto"/>
        <w:ind w:firstLine="540"/>
        <w:jc w:val="both"/>
      </w:pPr>
      <w:r>
        <w:rPr>
          <w:sz w:val="20"/>
        </w:rPr>
        <w:t xml:space="preserve">Каждый из документов, указанных в </w:t>
      </w:r>
      <w:hyperlink w:history="0" w:anchor="P479" w:tooltip="1) электронная (сканированная) копия устава организации, заверенная подписью руководителя организации и печатью организации (при наличии);">
        <w:r>
          <w:rPr>
            <w:sz w:val="20"/>
            <w:color w:val="0000ff"/>
          </w:rPr>
          <w:t xml:space="preserve">подпунктах 1</w:t>
        </w:r>
      </w:hyperlink>
      <w:r>
        <w:rPr>
          <w:sz w:val="20"/>
        </w:rPr>
        <w:t xml:space="preserve"> - </w:t>
      </w:r>
      <w:hyperlink w:history="0" w:anchor="P484" w:tooltip="6) справка на бланке организации о соответствии организации требованиям, указанным в пункте 14 настоящего порядка, подписанная руководителем организации или лицом, его замещающим.">
        <w:r>
          <w:rPr>
            <w:sz w:val="20"/>
            <w:color w:val="0000ff"/>
          </w:rPr>
          <w:t xml:space="preserve">6 части первой</w:t>
        </w:r>
      </w:hyperlink>
      <w:r>
        <w:rPr>
          <w:sz w:val="20"/>
        </w:rPr>
        <w:t xml:space="preserve"> настоящего пункта, представляется в виде одного файла в формате pdf.</w:t>
      </w:r>
    </w:p>
    <w:p>
      <w:pPr>
        <w:pStyle w:val="0"/>
        <w:spacing w:before="200" w:lineRule="auto"/>
        <w:ind w:firstLine="540"/>
        <w:jc w:val="both"/>
      </w:pPr>
      <w:r>
        <w:rPr>
          <w:sz w:val="20"/>
        </w:rPr>
        <w:t xml:space="preserve">Организация вправе приложить к заявке иные документы и дополнительные материалы, которые считает необходимым приложить к заявке. К таким документам в том числе относятся отзывы лиц, известных в сфере театрального, музыкального, хореографического искусства, о деятельности организации за последние 3 года, информация о наградах организации за последние 3 года, копии дипломов и иные документы.</w:t>
      </w:r>
    </w:p>
    <w:p>
      <w:pPr>
        <w:pStyle w:val="0"/>
        <w:spacing w:before="200" w:lineRule="auto"/>
        <w:ind w:firstLine="540"/>
        <w:jc w:val="both"/>
      </w:pPr>
      <w:r>
        <w:rPr>
          <w:sz w:val="20"/>
        </w:rPr>
        <w:t xml:space="preserve">27. Участник конкурсного отбора вправе представить на конкурсный отбор не более одного проекта по направлению конкурсного отбора, указанному в </w:t>
      </w:r>
      <w:hyperlink w:history="0" w:anchor="P374" w:tooltip="6. Гранты предоставляются организациям на финансовое обеспечение затрат в целях реализации творческих проектов по направлению конкурсного отбора &quot;реализация всероссийских и международных творческих проектов в области музыкального и театрального искусства&quot;.">
        <w:r>
          <w:rPr>
            <w:sz w:val="20"/>
            <w:color w:val="0000ff"/>
          </w:rPr>
          <w:t xml:space="preserve">пункте 6</w:t>
        </w:r>
      </w:hyperlink>
      <w:r>
        <w:rPr>
          <w:sz w:val="20"/>
        </w:rPr>
        <w:t xml:space="preserve"> настоящего порядка.</w:t>
      </w:r>
    </w:p>
    <w:p>
      <w:pPr>
        <w:pStyle w:val="0"/>
        <w:spacing w:before="200" w:lineRule="auto"/>
        <w:ind w:firstLine="540"/>
        <w:jc w:val="both"/>
      </w:pPr>
      <w:r>
        <w:rPr>
          <w:sz w:val="20"/>
        </w:rPr>
        <w:t xml:space="preserve">28. Участник конкурсного отбора имеет право внести изменения в заявку, зарегистрированную на портале, а также приложить документы к заявке в течение срока приема заявок, указанного в объявлении, на этапе рассмотрения заявок Министерством.</w:t>
      </w:r>
    </w:p>
    <w:p>
      <w:pPr>
        <w:pStyle w:val="0"/>
        <w:spacing w:before="200" w:lineRule="auto"/>
        <w:ind w:firstLine="540"/>
        <w:jc w:val="both"/>
      </w:pPr>
      <w:r>
        <w:rPr>
          <w:sz w:val="20"/>
        </w:rPr>
        <w:t xml:space="preserve">Внесение изменений в заявку осуществляется после формирования участником конкурсного отбора в электронной форме уведомления об отзыве заявки и последующего формирования новой заявки не позднее 3 рабочих дней до окончания срока приема заявок.</w:t>
      </w:r>
    </w:p>
    <w:p>
      <w:pPr>
        <w:pStyle w:val="0"/>
        <w:spacing w:before="200" w:lineRule="auto"/>
        <w:ind w:firstLine="540"/>
        <w:jc w:val="both"/>
      </w:pPr>
      <w:r>
        <w:rPr>
          <w:sz w:val="20"/>
        </w:rPr>
        <w:t xml:space="preserve">29. Основанием для возврата заявки на доработку на этапе рассмотрения заявки Министерством является несоответствие заявки требованиям, указанным в </w:t>
      </w:r>
      <w:hyperlink w:history="0" w:anchor="P457" w:tooltip="25. Заявка содержит:">
        <w:r>
          <w:rPr>
            <w:sz w:val="20"/>
            <w:color w:val="0000ff"/>
          </w:rPr>
          <w:t xml:space="preserve">пункте 25</w:t>
        </w:r>
      </w:hyperlink>
      <w:r>
        <w:rPr>
          <w:sz w:val="20"/>
        </w:rPr>
        <w:t xml:space="preserve"> и </w:t>
      </w:r>
      <w:hyperlink w:history="0" w:anchor="P478" w:tooltip="26. К заявке прилагаются следующие документы:">
        <w:r>
          <w:rPr>
            <w:sz w:val="20"/>
            <w:color w:val="0000ff"/>
          </w:rPr>
          <w:t xml:space="preserve">частях первой</w:t>
        </w:r>
      </w:hyperlink>
      <w:r>
        <w:rPr>
          <w:sz w:val="20"/>
        </w:rPr>
        <w:t xml:space="preserve"> и </w:t>
      </w:r>
      <w:hyperlink w:history="0" w:anchor="P485" w:tooltip="Каждый из документов, указанных в подпунктах 1 - 6 части первой настоящего пункта, представляется в виде одного файла в формате pdf.">
        <w:r>
          <w:rPr>
            <w:sz w:val="20"/>
            <w:color w:val="0000ff"/>
          </w:rPr>
          <w:t xml:space="preserve">второй пункта 26</w:t>
        </w:r>
      </w:hyperlink>
      <w:r>
        <w:rPr>
          <w:sz w:val="20"/>
        </w:rPr>
        <w:t xml:space="preserve"> настоящего порядка.</w:t>
      </w:r>
    </w:p>
    <w:p>
      <w:pPr>
        <w:pStyle w:val="0"/>
        <w:spacing w:before="200" w:lineRule="auto"/>
        <w:ind w:firstLine="540"/>
        <w:jc w:val="both"/>
      </w:pPr>
      <w:r>
        <w:rPr>
          <w:sz w:val="20"/>
        </w:rPr>
        <w:t xml:space="preserve">30. Решение Министерства о возврате участникам конкурсного отбора заявок на доработку с указанием оснований для возврата, а также положений заявок, нуждающихся в доработке, принимается в отношении всех участников конкурсного отбора, при рассмотрении заявок которых выявлены основания для возврата заявок на доработку.</w:t>
      </w:r>
    </w:p>
    <w:bookmarkStart w:id="492" w:name="P492"/>
    <w:bookmarkEnd w:id="492"/>
    <w:p>
      <w:pPr>
        <w:pStyle w:val="0"/>
        <w:spacing w:before="200" w:lineRule="auto"/>
        <w:ind w:firstLine="540"/>
        <w:jc w:val="both"/>
      </w:pPr>
      <w:r>
        <w:rPr>
          <w:sz w:val="20"/>
        </w:rPr>
        <w:t xml:space="preserve">31. На стадии рассмотрения заявка отклоняется в случае несоответствия участника конкурсного отбора требованиям, указанным в </w:t>
      </w:r>
      <w:hyperlink w:history="0" w:anchor="P424"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32. Решение об отсутствии (наличии) оснований для отклонения заявки принимается комиссией на дату получения от группы технического сопровождения результатов проверки представленных участником конкурсного отбора информации и документов, поданных в составе заявки.</w:t>
      </w:r>
    </w:p>
    <w:p>
      <w:pPr>
        <w:pStyle w:val="0"/>
        <w:spacing w:before="200" w:lineRule="auto"/>
        <w:ind w:firstLine="540"/>
        <w:jc w:val="both"/>
      </w:pPr>
      <w:r>
        <w:rPr>
          <w:sz w:val="20"/>
        </w:rPr>
        <w:t xml:space="preserve">33. Министерство не позднее одного рабочего дня, следующего за днем вскрытия заявок, подписывает протокол вскрытия заявок, содержащий следующую информацию о поступивших для участия в конкурсном отборе заявках:</w:t>
      </w:r>
    </w:p>
    <w:p>
      <w:pPr>
        <w:pStyle w:val="0"/>
        <w:spacing w:before="200" w:lineRule="auto"/>
        <w:ind w:firstLine="540"/>
        <w:jc w:val="both"/>
      </w:pPr>
      <w:r>
        <w:rPr>
          <w:sz w:val="20"/>
        </w:rPr>
        <w:t xml:space="preserve">1) регистрационный номер заявки;</w:t>
      </w:r>
    </w:p>
    <w:p>
      <w:pPr>
        <w:pStyle w:val="0"/>
        <w:spacing w:before="200" w:lineRule="auto"/>
        <w:ind w:firstLine="540"/>
        <w:jc w:val="both"/>
      </w:pPr>
      <w:r>
        <w:rPr>
          <w:sz w:val="20"/>
        </w:rPr>
        <w:t xml:space="preserve">2) дата и время поступления заявки;</w:t>
      </w:r>
    </w:p>
    <w:p>
      <w:pPr>
        <w:pStyle w:val="0"/>
        <w:spacing w:before="200" w:lineRule="auto"/>
        <w:ind w:firstLine="540"/>
        <w:jc w:val="both"/>
      </w:pPr>
      <w:r>
        <w:rPr>
          <w:sz w:val="20"/>
        </w:rPr>
        <w:t xml:space="preserve">3) полное наименование участника конкурсного отбора;</w:t>
      </w:r>
    </w:p>
    <w:p>
      <w:pPr>
        <w:pStyle w:val="0"/>
        <w:spacing w:before="200" w:lineRule="auto"/>
        <w:ind w:firstLine="540"/>
        <w:jc w:val="both"/>
      </w:pPr>
      <w:r>
        <w:rPr>
          <w:sz w:val="20"/>
        </w:rPr>
        <w:t xml:space="preserve">4) адрес юридического лица участника конкурсного отбора;</w:t>
      </w:r>
    </w:p>
    <w:p>
      <w:pPr>
        <w:pStyle w:val="0"/>
        <w:spacing w:before="200" w:lineRule="auto"/>
        <w:ind w:firstLine="540"/>
        <w:jc w:val="both"/>
      </w:pPr>
      <w:r>
        <w:rPr>
          <w:sz w:val="20"/>
        </w:rPr>
        <w:t xml:space="preserve">5) запрашиваемый участником конкурсного отбора размер гранта.</w:t>
      </w:r>
    </w:p>
    <w:p>
      <w:pPr>
        <w:pStyle w:val="0"/>
        <w:spacing w:before="200" w:lineRule="auto"/>
        <w:ind w:firstLine="540"/>
        <w:jc w:val="both"/>
      </w:pPr>
      <w:r>
        <w:rPr>
          <w:sz w:val="20"/>
        </w:rPr>
        <w:t xml:space="preserve">34. Протокол вскрытия заявок формируется на портале автоматически и подписывается усиленной квалифицированной электронной подписью председателя комиссии в системе "Электронный бюджет", а также размещается на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35. По результатам рассмотрения заявок не позднее одного рабочего дня со дня окончания срока рассмотрения заявок группой технического сопровождения формируется проект протокола рассмотрения заявок, включающий информацию о количестве поступивших и рассмотренных заявок, а также информацию по каждому участнику конкурсного отбора о признании его заявки допущенной к конкурсному отбору или об отклонении его заявки с указанием оснований для отклонения.</w:t>
      </w:r>
    </w:p>
    <w:p>
      <w:pPr>
        <w:pStyle w:val="0"/>
        <w:spacing w:before="200" w:lineRule="auto"/>
        <w:ind w:firstLine="540"/>
        <w:jc w:val="both"/>
      </w:pPr>
      <w:r>
        <w:rPr>
          <w:sz w:val="20"/>
        </w:rPr>
        <w:t xml:space="preserve">36. Протокол рассмотрения заявок формируется на портале автоматически на основании результатов рассмотрения заявок и подписывается усиленной квалифицированной электронной подписью председателя комиссии в системе "Электронный бюджет", а также размещается на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37. Допуск экспертов к заявкам для проведения оценки заявок осуществляется после утверждения протокола рассмотрения заявок членами комиссии.</w:t>
      </w:r>
    </w:p>
    <w:p>
      <w:pPr>
        <w:pStyle w:val="0"/>
        <w:spacing w:before="200" w:lineRule="auto"/>
        <w:ind w:firstLine="540"/>
        <w:jc w:val="both"/>
      </w:pPr>
      <w:r>
        <w:rPr>
          <w:sz w:val="20"/>
        </w:rPr>
        <w:t xml:space="preserve">38. Каждая заявка оценивается не менее чем тремя экспертами.</w:t>
      </w:r>
    </w:p>
    <w:p>
      <w:pPr>
        <w:pStyle w:val="0"/>
        <w:spacing w:before="200" w:lineRule="auto"/>
        <w:ind w:firstLine="540"/>
        <w:jc w:val="both"/>
      </w:pPr>
      <w:r>
        <w:rPr>
          <w:sz w:val="20"/>
        </w:rPr>
        <w:t xml:space="preserve">39. Каждый член комиссии в оценочных </w:t>
      </w:r>
      <w:hyperlink w:history="0" w:anchor="P584" w:tooltip="ОЦЕНОЧНЫЙ ТАБЕЛЬ">
        <w:r>
          <w:rPr>
            <w:sz w:val="20"/>
            <w:color w:val="0000ff"/>
          </w:rPr>
          <w:t xml:space="preserve">табелях</w:t>
        </w:r>
      </w:hyperlink>
      <w:r>
        <w:rPr>
          <w:sz w:val="20"/>
        </w:rPr>
        <w:t xml:space="preserve"> по форме согласно приложению к настоящему порядку, выдаваемых по числу представленных проектов:</w:t>
      </w:r>
    </w:p>
    <w:p>
      <w:pPr>
        <w:pStyle w:val="0"/>
        <w:spacing w:before="200" w:lineRule="auto"/>
        <w:ind w:firstLine="540"/>
        <w:jc w:val="both"/>
      </w:pPr>
      <w:r>
        <w:rPr>
          <w:sz w:val="20"/>
        </w:rPr>
        <w:t xml:space="preserve">1) оценивает в баллах все представленные на конкурсный отбор проекты на соответствие каждому критерию;</w:t>
      </w:r>
    </w:p>
    <w:p>
      <w:pPr>
        <w:pStyle w:val="0"/>
        <w:spacing w:before="200" w:lineRule="auto"/>
        <w:ind w:firstLine="540"/>
        <w:jc w:val="both"/>
      </w:pPr>
      <w:r>
        <w:rPr>
          <w:sz w:val="20"/>
        </w:rPr>
        <w:t xml:space="preserve">2) определяет сумму баллов (от 0 до 115,1 балла) по каждому представленному на конкурсный отбор проекту;</w:t>
      </w:r>
    </w:p>
    <w:p>
      <w:pPr>
        <w:pStyle w:val="0"/>
        <w:spacing w:before="200" w:lineRule="auto"/>
        <w:ind w:firstLine="540"/>
        <w:jc w:val="both"/>
      </w:pPr>
      <w:r>
        <w:rPr>
          <w:sz w:val="20"/>
        </w:rPr>
        <w:t xml:space="preserve">3) формирует рейтинг представленных к рассмотрению проектов с указанием размера гранта для каждого победителя конкурсного отбора.</w:t>
      </w:r>
    </w:p>
    <w:p>
      <w:pPr>
        <w:pStyle w:val="0"/>
        <w:spacing w:before="200" w:lineRule="auto"/>
        <w:ind w:firstLine="540"/>
        <w:jc w:val="both"/>
      </w:pPr>
      <w:r>
        <w:rPr>
          <w:sz w:val="20"/>
        </w:rPr>
        <w:t xml:space="preserve">40. В целях завершения конкурсного отбора и определения победителей конкурсного отбора формируется протокол подведения итогов конкурсного отбора, включающий информацию о количестве набранных каждым участником конкурсного отбора баллов по каждому критерию оценки заявок, об общем количестве набранных каждым участником конкурсного отбора баллов по результатам оценки заявок, о победителях конкурсного отбора с указанием размеров грантов, об отклонении заявок с указанием оснований для их отклонения.</w:t>
      </w:r>
    </w:p>
    <w:p>
      <w:pPr>
        <w:pStyle w:val="0"/>
        <w:spacing w:before="200" w:lineRule="auto"/>
        <w:ind w:firstLine="540"/>
        <w:jc w:val="both"/>
      </w:pPr>
      <w:r>
        <w:rPr>
          <w:sz w:val="20"/>
        </w:rPr>
        <w:t xml:space="preserve">41. Протокол подведения итогов конкурсного отбора формируется на портале автоматически на основании результатов определения победителей конкурсного отбора и подписывается усиленной квалифицированной электронной подписью председателя комиссии в системе "Электронный бюджет", а также размещается на портале не позднее рабочего дня, следующего за днем его подписания.</w:t>
      </w:r>
    </w:p>
    <w:p>
      <w:pPr>
        <w:pStyle w:val="0"/>
        <w:ind w:firstLine="540"/>
        <w:jc w:val="both"/>
      </w:pPr>
      <w:r>
        <w:rPr>
          <w:sz w:val="20"/>
        </w:rPr>
      </w:r>
    </w:p>
    <w:p>
      <w:pPr>
        <w:pStyle w:val="2"/>
        <w:outlineLvl w:val="1"/>
        <w:jc w:val="center"/>
      </w:pPr>
      <w:r>
        <w:rPr>
          <w:sz w:val="20"/>
        </w:rPr>
        <w:t xml:space="preserve">Глава 3. УСЛОВИЯ И ПОРЯДОК ПРЕДОСТАВЛЕНИЯ ГРАНТОВ</w:t>
      </w:r>
    </w:p>
    <w:p>
      <w:pPr>
        <w:pStyle w:val="0"/>
        <w:ind w:firstLine="540"/>
        <w:jc w:val="both"/>
      </w:pPr>
      <w:r>
        <w:rPr>
          <w:sz w:val="20"/>
        </w:rPr>
      </w:r>
    </w:p>
    <w:p>
      <w:pPr>
        <w:pStyle w:val="0"/>
        <w:ind w:firstLine="540"/>
        <w:jc w:val="both"/>
      </w:pPr>
      <w:r>
        <w:rPr>
          <w:sz w:val="20"/>
        </w:rPr>
        <w:t xml:space="preserve">42. Грант предоставляется в соответствии с бюджетным законодательством Российской Федерации и настоящим порядком.</w:t>
      </w:r>
    </w:p>
    <w:p>
      <w:pPr>
        <w:pStyle w:val="0"/>
        <w:spacing w:before="200" w:lineRule="auto"/>
        <w:ind w:firstLine="540"/>
        <w:jc w:val="both"/>
      </w:pPr>
      <w:r>
        <w:rPr>
          <w:sz w:val="20"/>
        </w:rPr>
        <w:t xml:space="preserve">43. Грант предоставляется при условии соответствия победителя конкурсного отбора на первое число месяца, предшествующего месяцу, в котором планируется заключение соглашения, требованиям, указанным в </w:t>
      </w:r>
      <w:hyperlink w:history="0" w:anchor="P424"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44. Грант может быть использован только на осуществление целевых расходов, связанных с реализацией проекта, в том числе расходов на оплату труда (не более 5% от объема гранта), расходов на приобретение имущественных прав, в том числе прав на результаты интеллектуальной деятельности, расходов на командировки и прочих расходов, непосредственно связанных с реализацией проекта.</w:t>
      </w:r>
    </w:p>
    <w:p>
      <w:pPr>
        <w:pStyle w:val="0"/>
        <w:spacing w:before="200" w:lineRule="auto"/>
        <w:ind w:firstLine="540"/>
        <w:jc w:val="both"/>
      </w:pPr>
      <w:r>
        <w:rPr>
          <w:sz w:val="20"/>
        </w:rPr>
        <w:t xml:space="preserve">45. За счет гранта запрещается осуществлять следующие расходы:</w:t>
      </w:r>
    </w:p>
    <w:p>
      <w:pPr>
        <w:pStyle w:val="0"/>
        <w:spacing w:before="200" w:lineRule="auto"/>
        <w:ind w:firstLine="540"/>
        <w:jc w:val="both"/>
      </w:pPr>
      <w:r>
        <w:rPr>
          <w:sz w:val="20"/>
        </w:rPr>
        <w:t xml:space="preserve">1) расходы на содержание организации (аренда помещения организации, коммунальные услуги, услуги связи, юридические и бухгалтерские услуги, содержание хозяйственных служб и иные аналогичные расходы);</w:t>
      </w:r>
    </w:p>
    <w:p>
      <w:pPr>
        <w:pStyle w:val="0"/>
        <w:spacing w:before="200" w:lineRule="auto"/>
        <w:ind w:firstLine="540"/>
        <w:jc w:val="both"/>
      </w:pPr>
      <w:r>
        <w:rPr>
          <w:sz w:val="20"/>
        </w:rPr>
        <w:t xml:space="preserve">2) расходы на содержание руководства организации, включая руководителя, заместителей и помощников руководителя, работников бухгалтерии, юридических служб и иных административных служб;</w:t>
      </w:r>
    </w:p>
    <w:p>
      <w:pPr>
        <w:pStyle w:val="0"/>
        <w:spacing w:before="200" w:lineRule="auto"/>
        <w:ind w:firstLine="540"/>
        <w:jc w:val="both"/>
      </w:pPr>
      <w:r>
        <w:rPr>
          <w:sz w:val="20"/>
        </w:rPr>
        <w:t xml:space="preserve">3) расходы на оплату труда с учетом страховых взносов координатора, руководителя, менеджера, администратора проекта, их помощников или заместителей (при наличии) или иных специалистов, выполняющих аналогичный функционал, или расходы по оплате договоров с физическими лицами, индивидуальными предпринимателями или юридическими лицами на выполнение такого функционала свыше 5% от объема гранта;</w:t>
      </w:r>
    </w:p>
    <w:p>
      <w:pPr>
        <w:pStyle w:val="0"/>
        <w:spacing w:before="200" w:lineRule="auto"/>
        <w:ind w:firstLine="540"/>
        <w:jc w:val="both"/>
      </w:pPr>
      <w:r>
        <w:rPr>
          <w:sz w:val="20"/>
        </w:rPr>
        <w:t xml:space="preserve">4) расходы, связанные с осуществлением предпринимательской деятельности;</w:t>
      </w:r>
    </w:p>
    <w:p>
      <w:pPr>
        <w:pStyle w:val="0"/>
        <w:spacing w:before="200" w:lineRule="auto"/>
        <w:ind w:firstLine="540"/>
        <w:jc w:val="both"/>
      </w:pPr>
      <w:r>
        <w:rPr>
          <w:sz w:val="20"/>
        </w:rPr>
        <w:t xml:space="preserve">5) расходы на осуществление деятельности, напрямую не связанной с реализацией проектов;</w:t>
      </w:r>
    </w:p>
    <w:p>
      <w:pPr>
        <w:pStyle w:val="0"/>
        <w:spacing w:before="200" w:lineRule="auto"/>
        <w:ind w:firstLine="540"/>
        <w:jc w:val="both"/>
      </w:pPr>
      <w:r>
        <w:rPr>
          <w:sz w:val="20"/>
        </w:rPr>
        <w:t xml:space="preserve">6) расходы на поддержку политических партий и политических кампаний;</w:t>
      </w:r>
    </w:p>
    <w:p>
      <w:pPr>
        <w:pStyle w:val="0"/>
        <w:spacing w:before="200" w:lineRule="auto"/>
        <w:ind w:firstLine="540"/>
        <w:jc w:val="both"/>
      </w:pPr>
      <w:r>
        <w:rPr>
          <w:sz w:val="20"/>
        </w:rPr>
        <w:t xml:space="preserve">7) расходы на проведение митингов, демонстраций, пикетирований;</w:t>
      </w:r>
    </w:p>
    <w:p>
      <w:pPr>
        <w:pStyle w:val="0"/>
        <w:spacing w:before="200" w:lineRule="auto"/>
        <w:ind w:firstLine="540"/>
        <w:jc w:val="both"/>
      </w:pPr>
      <w:r>
        <w:rPr>
          <w:sz w:val="20"/>
        </w:rPr>
        <w:t xml:space="preserve">8) расходы на приобретение алкогольных напитков и табачной продукции;</w:t>
      </w:r>
    </w:p>
    <w:p>
      <w:pPr>
        <w:pStyle w:val="0"/>
        <w:spacing w:before="200" w:lineRule="auto"/>
        <w:ind w:firstLine="540"/>
        <w:jc w:val="both"/>
      </w:pPr>
      <w:r>
        <w:rPr>
          <w:sz w:val="20"/>
        </w:rPr>
        <w:t xml:space="preserve">9) расходы на оплату работ по капитальному строительству и реконструкции зданий и сооружений;</w:t>
      </w:r>
    </w:p>
    <w:p>
      <w:pPr>
        <w:pStyle w:val="0"/>
        <w:spacing w:before="200" w:lineRule="auto"/>
        <w:ind w:firstLine="540"/>
        <w:jc w:val="both"/>
      </w:pPr>
      <w:r>
        <w:rPr>
          <w:sz w:val="20"/>
        </w:rPr>
        <w:t xml:space="preserve">10) расходы на приобретение недвижимости;</w:t>
      </w:r>
    </w:p>
    <w:p>
      <w:pPr>
        <w:pStyle w:val="0"/>
        <w:spacing w:before="200" w:lineRule="auto"/>
        <w:ind w:firstLine="540"/>
        <w:jc w:val="both"/>
      </w:pPr>
      <w:r>
        <w:rPr>
          <w:sz w:val="20"/>
        </w:rPr>
        <w:t xml:space="preserve">11) расходы на погашение кредиторской задолженности;</w:t>
      </w:r>
    </w:p>
    <w:p>
      <w:pPr>
        <w:pStyle w:val="0"/>
        <w:spacing w:before="200" w:lineRule="auto"/>
        <w:ind w:firstLine="540"/>
        <w:jc w:val="both"/>
      </w:pPr>
      <w:r>
        <w:rPr>
          <w:sz w:val="20"/>
        </w:rPr>
        <w:t xml:space="preserve">12) расходы на уплату пеней и штрафов.</w:t>
      </w:r>
    </w:p>
    <w:p>
      <w:pPr>
        <w:pStyle w:val="0"/>
        <w:spacing w:before="200" w:lineRule="auto"/>
        <w:ind w:firstLine="540"/>
        <w:jc w:val="both"/>
      </w:pPr>
      <w:r>
        <w:rPr>
          <w:sz w:val="20"/>
        </w:rPr>
        <w:t xml:space="preserve">46. Соглашение заключается с победителем конкурсного отбора в соответствии с типовой формой, утверждаемой приказом Министерства финансов Свердловской области.</w:t>
      </w:r>
    </w:p>
    <w:p>
      <w:pPr>
        <w:pStyle w:val="0"/>
        <w:spacing w:before="200" w:lineRule="auto"/>
        <w:ind w:firstLine="540"/>
        <w:jc w:val="both"/>
      </w:pPr>
      <w:r>
        <w:rPr>
          <w:sz w:val="20"/>
        </w:rPr>
        <w:t xml:space="preserve">47. Соглашение заключается в срок не позднее 30 марта года, следующего за годом проведения конкурсного отбора. В случае проведения дополнительного конкурсного отбора в соответствии с </w:t>
      </w:r>
      <w:hyperlink w:history="0" w:anchor="P541" w:tooltip="53. В случае наличия по результатам проведения конкурсного отбора остатка лимитов бюджетных обязательств на предоставление гранта на соответствующий финансовый год, не распределенного между победителями конкурсного отбора, увеличения лимитов бюджетных обязательств, отказа победителя конкурсного отбора от заключения соглашения, расторжения соглашения с получателем гранта Министерство может принять решение о проведении дополнительного конкурсного отбора в соответствии с настоящим порядком.">
        <w:r>
          <w:rPr>
            <w:sz w:val="20"/>
            <w:color w:val="0000ff"/>
          </w:rPr>
          <w:t xml:space="preserve">пунктом 53</w:t>
        </w:r>
      </w:hyperlink>
      <w:r>
        <w:rPr>
          <w:sz w:val="20"/>
        </w:rPr>
        <w:t xml:space="preserve"> настоящего порядка соглашение заключается в срок не позднее 30 календарных дней со дня принятия приказа Министерства об утверждении перечня победителей конкурсного отбора.</w:t>
      </w:r>
    </w:p>
    <w:p>
      <w:pPr>
        <w:pStyle w:val="0"/>
        <w:spacing w:before="200" w:lineRule="auto"/>
        <w:ind w:firstLine="540"/>
        <w:jc w:val="both"/>
      </w:pPr>
      <w:r>
        <w:rPr>
          <w:sz w:val="20"/>
        </w:rPr>
        <w:t xml:space="preserve">48. Получатель гранта признается уклонившимся от заключения соглашения в случае отказа от заключения соглашения в течение 30 календарных дней со дня принятия приказа Министерства о результатах конкурсного отбора.</w:t>
      </w:r>
    </w:p>
    <w:p>
      <w:pPr>
        <w:pStyle w:val="0"/>
        <w:spacing w:before="200" w:lineRule="auto"/>
        <w:ind w:firstLine="540"/>
        <w:jc w:val="both"/>
      </w:pPr>
      <w:r>
        <w:rPr>
          <w:sz w:val="20"/>
        </w:rPr>
        <w:t xml:space="preserve">49. 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гранта в размере, установленном в соглашении.</w:t>
      </w:r>
    </w:p>
    <w:p>
      <w:pPr>
        <w:pStyle w:val="0"/>
        <w:spacing w:before="200" w:lineRule="auto"/>
        <w:ind w:firstLine="540"/>
        <w:jc w:val="both"/>
      </w:pPr>
      <w:r>
        <w:rPr>
          <w:sz w:val="20"/>
        </w:rPr>
        <w:t xml:space="preserve">50. Внесение изменений в соглашение оформляется путем заключения дополнительного соглашения к соглашению в соответствии с типовой формой, утверждаемой приказом Министерства финансов Свердловской области.</w:t>
      </w:r>
    </w:p>
    <w:p>
      <w:pPr>
        <w:pStyle w:val="0"/>
        <w:spacing w:before="200" w:lineRule="auto"/>
        <w:ind w:firstLine="540"/>
        <w:jc w:val="both"/>
      </w:pPr>
      <w:r>
        <w:rPr>
          <w:sz w:val="20"/>
        </w:rPr>
        <w:t xml:space="preserve">51. Перечисление гранта производится на расчетный счет, открытый победителем конкурсного отбора в российской кредитной организации, в течение 10 рабочих дней со дня заключения соглашения.</w:t>
      </w:r>
    </w:p>
    <w:p>
      <w:pPr>
        <w:pStyle w:val="0"/>
        <w:spacing w:before="200" w:lineRule="auto"/>
        <w:ind w:firstLine="540"/>
        <w:jc w:val="both"/>
      </w:pPr>
      <w:r>
        <w:rPr>
          <w:sz w:val="20"/>
        </w:rPr>
        <w:t xml:space="preserve">52. Основаниями для отказа победителю конкурсного отбора в предоставлении гранта являются:</w:t>
      </w:r>
    </w:p>
    <w:p>
      <w:pPr>
        <w:pStyle w:val="0"/>
        <w:spacing w:before="200" w:lineRule="auto"/>
        <w:ind w:firstLine="540"/>
        <w:jc w:val="both"/>
      </w:pPr>
      <w:r>
        <w:rPr>
          <w:sz w:val="20"/>
        </w:rPr>
        <w:t xml:space="preserve">1) несоответствие получателя гранта требованиям, указанным в </w:t>
      </w:r>
      <w:hyperlink w:history="0" w:anchor="P424"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2) несоответствие представленных получателем гранта документов требованиям, указанным в </w:t>
      </w:r>
      <w:hyperlink w:history="0" w:anchor="P457" w:tooltip="25. Заявка содержит:">
        <w:r>
          <w:rPr>
            <w:sz w:val="20"/>
            <w:color w:val="0000ff"/>
          </w:rPr>
          <w:t xml:space="preserve">пункте 25</w:t>
        </w:r>
      </w:hyperlink>
      <w:r>
        <w:rPr>
          <w:sz w:val="20"/>
        </w:rPr>
        <w:t xml:space="preserve"> и </w:t>
      </w:r>
      <w:hyperlink w:history="0" w:anchor="P478" w:tooltip="26. К заявке прилагаются следующие документы:">
        <w:r>
          <w:rPr>
            <w:sz w:val="20"/>
            <w:color w:val="0000ff"/>
          </w:rPr>
          <w:t xml:space="preserve">частях первой</w:t>
        </w:r>
      </w:hyperlink>
      <w:r>
        <w:rPr>
          <w:sz w:val="20"/>
        </w:rPr>
        <w:t xml:space="preserve"> и </w:t>
      </w:r>
      <w:hyperlink w:history="0" w:anchor="P485" w:tooltip="Каждый из документов, указанных в подпунктах 1 - 6 части первой настоящего пункта, представляется в виде одного файла в формате pdf.">
        <w:r>
          <w:rPr>
            <w:sz w:val="20"/>
            <w:color w:val="0000ff"/>
          </w:rPr>
          <w:t xml:space="preserve">второй пункта 26</w:t>
        </w:r>
      </w:hyperlink>
      <w:r>
        <w:rPr>
          <w:sz w:val="20"/>
        </w:rPr>
        <w:t xml:space="preserve"> настоящего порядка,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3) установление факта недостоверности (или неполноты) предоставленной получателем гранта информации;</w:t>
      </w:r>
    </w:p>
    <w:p>
      <w:pPr>
        <w:pStyle w:val="0"/>
        <w:spacing w:before="200" w:lineRule="auto"/>
        <w:ind w:firstLine="540"/>
        <w:jc w:val="both"/>
      </w:pPr>
      <w:r>
        <w:rPr>
          <w:sz w:val="20"/>
        </w:rPr>
        <w:t xml:space="preserve">4) поступление в Министерство от победителя конкурсного отбора заявления об отказе от заключения соглашения, о несогласии с условиями соглашения.</w:t>
      </w:r>
    </w:p>
    <w:bookmarkStart w:id="541" w:name="P541"/>
    <w:bookmarkEnd w:id="541"/>
    <w:p>
      <w:pPr>
        <w:pStyle w:val="0"/>
        <w:spacing w:before="200" w:lineRule="auto"/>
        <w:ind w:firstLine="540"/>
        <w:jc w:val="both"/>
      </w:pPr>
      <w:r>
        <w:rPr>
          <w:sz w:val="20"/>
        </w:rPr>
        <w:t xml:space="preserve">53. В случае наличия по результатам проведения конкурсного отбора остатка лимитов бюджетных обязательств на предоставление гранта на соответствующий финансовый год, не распределенного между победителями конкурсного отбора, увеличения лимитов бюджетных обязательств, отказа победителя конкурсного отбора от заключения соглашения, расторжения соглашения с получателем гранта Министерство может принять решение о проведении дополнительного конкурсного отбора в соответствии с настоящим порядком.</w:t>
      </w:r>
    </w:p>
    <w:p>
      <w:pPr>
        <w:pStyle w:val="0"/>
        <w:spacing w:before="200" w:lineRule="auto"/>
        <w:ind w:firstLine="540"/>
        <w:jc w:val="both"/>
      </w:pPr>
      <w:r>
        <w:rPr>
          <w:sz w:val="20"/>
        </w:rPr>
        <w:t xml:space="preserve">54. При реорганизации получателя гранта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55. При реорганизации получателя гранта в форме разделения, выделения, а также при ликвидации получателя гранта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областной бюджет.</w:t>
      </w:r>
    </w:p>
    <w:p>
      <w:pPr>
        <w:pStyle w:val="0"/>
        <w:ind w:firstLine="540"/>
        <w:jc w:val="both"/>
      </w:pPr>
      <w:r>
        <w:rPr>
          <w:sz w:val="20"/>
        </w:rPr>
      </w:r>
    </w:p>
    <w:p>
      <w:pPr>
        <w:pStyle w:val="2"/>
        <w:outlineLvl w:val="1"/>
        <w:jc w:val="center"/>
      </w:pPr>
      <w:r>
        <w:rPr>
          <w:sz w:val="20"/>
        </w:rPr>
        <w:t xml:space="preserve">Глава 4. ТРЕБОВАНИЯ К ОТЧЕТНОСТИ</w:t>
      </w:r>
    </w:p>
    <w:p>
      <w:pPr>
        <w:pStyle w:val="0"/>
        <w:ind w:firstLine="540"/>
        <w:jc w:val="both"/>
      </w:pPr>
      <w:r>
        <w:rPr>
          <w:sz w:val="20"/>
        </w:rPr>
      </w:r>
    </w:p>
    <w:p>
      <w:pPr>
        <w:pStyle w:val="0"/>
        <w:ind w:firstLine="540"/>
        <w:jc w:val="both"/>
      </w:pPr>
      <w:r>
        <w:rPr>
          <w:sz w:val="20"/>
        </w:rPr>
        <w:t xml:space="preserve">56. Получатели гранта представляют в Министерство не позднее 10 рабочего дня, следующего за отчетным кварталом:</w:t>
      </w:r>
    </w:p>
    <w:bookmarkStart w:id="548" w:name="P548"/>
    <w:bookmarkEnd w:id="548"/>
    <w:p>
      <w:pPr>
        <w:pStyle w:val="0"/>
        <w:spacing w:before="200" w:lineRule="auto"/>
        <w:ind w:firstLine="540"/>
        <w:jc w:val="both"/>
      </w:pPr>
      <w:r>
        <w:rPr>
          <w:sz w:val="20"/>
        </w:rPr>
        <w:t xml:space="preserve">1) отчет о достижении значения результата предоставления гранта;</w:t>
      </w:r>
    </w:p>
    <w:bookmarkStart w:id="549" w:name="P549"/>
    <w:bookmarkEnd w:id="549"/>
    <w:p>
      <w:pPr>
        <w:pStyle w:val="0"/>
        <w:spacing w:before="200" w:lineRule="auto"/>
        <w:ind w:firstLine="540"/>
        <w:jc w:val="both"/>
      </w:pPr>
      <w:r>
        <w:rPr>
          <w:sz w:val="20"/>
        </w:rPr>
        <w:t xml:space="preserve">2) отчет о реализации плана мероприятий по достижению результата предоставления гранта;</w:t>
      </w:r>
    </w:p>
    <w:bookmarkStart w:id="550" w:name="P550"/>
    <w:bookmarkEnd w:id="550"/>
    <w:p>
      <w:pPr>
        <w:pStyle w:val="0"/>
        <w:spacing w:before="200" w:lineRule="auto"/>
        <w:ind w:firstLine="540"/>
        <w:jc w:val="both"/>
      </w:pPr>
      <w:r>
        <w:rPr>
          <w:sz w:val="20"/>
        </w:rPr>
        <w:t xml:space="preserve">3) отчет о расходах, источником финансового обеспечения которых является грант.</w:t>
      </w:r>
    </w:p>
    <w:p>
      <w:pPr>
        <w:pStyle w:val="0"/>
        <w:spacing w:before="200" w:lineRule="auto"/>
        <w:ind w:firstLine="540"/>
        <w:jc w:val="both"/>
      </w:pPr>
      <w:r>
        <w:rPr>
          <w:sz w:val="20"/>
        </w:rPr>
        <w:t xml:space="preserve">Получатель гранта в течение 5 рабочих дней после реализации проекта направляет в Министерство официальное письмо, содержащее ссылку на информационные материалы (включая фото- и (или) видеоматериалы) о реализации проекта, размещенные на официальном сайте получателя гранта и (или) других ресурсах в сети Интернет.</w:t>
      </w:r>
    </w:p>
    <w:p>
      <w:pPr>
        <w:pStyle w:val="0"/>
        <w:spacing w:before="200" w:lineRule="auto"/>
        <w:ind w:firstLine="540"/>
        <w:jc w:val="both"/>
      </w:pPr>
      <w:r>
        <w:rPr>
          <w:sz w:val="20"/>
        </w:rPr>
        <w:t xml:space="preserve">Отчеты, указанные в </w:t>
      </w:r>
      <w:hyperlink w:history="0" w:anchor="P548" w:tooltip="1) отчет о достижении значения результата предоставления гранта;">
        <w:r>
          <w:rPr>
            <w:sz w:val="20"/>
            <w:color w:val="0000ff"/>
          </w:rPr>
          <w:t xml:space="preserve">подпунктах 1</w:t>
        </w:r>
      </w:hyperlink>
      <w:r>
        <w:rPr>
          <w:sz w:val="20"/>
        </w:rPr>
        <w:t xml:space="preserve"> и </w:t>
      </w:r>
      <w:hyperlink w:history="0" w:anchor="P550" w:tooltip="3) отчет о расходах, источником финансового обеспечения которых является грант.">
        <w:r>
          <w:rPr>
            <w:sz w:val="20"/>
            <w:color w:val="0000ff"/>
          </w:rPr>
          <w:t xml:space="preserve">3 части первой</w:t>
        </w:r>
      </w:hyperlink>
      <w:r>
        <w:rPr>
          <w:sz w:val="20"/>
        </w:rPr>
        <w:t xml:space="preserve"> настоящего пункта, представляются в соответствии с типовыми формами, установленными Министерством финансов Свердловской области.</w:t>
      </w:r>
    </w:p>
    <w:p>
      <w:pPr>
        <w:pStyle w:val="0"/>
        <w:spacing w:before="200" w:lineRule="auto"/>
        <w:ind w:firstLine="540"/>
        <w:jc w:val="both"/>
      </w:pPr>
      <w:r>
        <w:rPr>
          <w:sz w:val="20"/>
        </w:rPr>
        <w:t xml:space="preserve">Отчет, указанный в </w:t>
      </w:r>
      <w:hyperlink w:history="0" w:anchor="P549" w:tooltip="2) отчет о реализации плана мероприятий по достижению результата предоставления гранта;">
        <w:r>
          <w:rPr>
            <w:sz w:val="20"/>
            <w:color w:val="0000ff"/>
          </w:rPr>
          <w:t xml:space="preserve">подпункте 2 части первой</w:t>
        </w:r>
      </w:hyperlink>
      <w:r>
        <w:rPr>
          <w:sz w:val="20"/>
        </w:rPr>
        <w:t xml:space="preserve"> настоящего пункта, представляется в соответствии с типовой формой, установленной Министерством финансов Российской Федерации.</w:t>
      </w:r>
    </w:p>
    <w:p>
      <w:pPr>
        <w:pStyle w:val="0"/>
        <w:spacing w:before="200" w:lineRule="auto"/>
        <w:ind w:firstLine="540"/>
        <w:jc w:val="both"/>
      </w:pPr>
      <w:r>
        <w:rPr>
          <w:sz w:val="20"/>
        </w:rPr>
        <w:t xml:space="preserve">57. Министерство вправе устанавливать в соглашении сроки и формы представления получателем гранта дополнительной отчетности.</w:t>
      </w:r>
    </w:p>
    <w:p>
      <w:pPr>
        <w:pStyle w:val="0"/>
        <w:spacing w:before="200" w:lineRule="auto"/>
        <w:ind w:firstLine="540"/>
        <w:jc w:val="both"/>
      </w:pPr>
      <w:r>
        <w:rPr>
          <w:sz w:val="20"/>
        </w:rPr>
        <w:t xml:space="preserve">Порядок и сроки проверки и принятия Министерством отчетности, представленной получателем гранта, устанавливаются в соглашении.</w:t>
      </w:r>
    </w:p>
    <w:p>
      <w:pPr>
        <w:pStyle w:val="0"/>
        <w:spacing w:before="200" w:lineRule="auto"/>
        <w:ind w:firstLine="540"/>
        <w:jc w:val="both"/>
      </w:pPr>
      <w:r>
        <w:rPr>
          <w:sz w:val="20"/>
        </w:rPr>
        <w:t xml:space="preserve">58. Результат предоставления гранта - "Организованы мероприятия по реализации всероссийских и международных творческих проектов в области музыкального и театрального искусства".</w:t>
      </w:r>
    </w:p>
    <w:p>
      <w:pPr>
        <w:pStyle w:val="0"/>
        <w:ind w:firstLine="540"/>
        <w:jc w:val="both"/>
      </w:pPr>
      <w:r>
        <w:rPr>
          <w:sz w:val="20"/>
        </w:rPr>
      </w:r>
    </w:p>
    <w:p>
      <w:pPr>
        <w:pStyle w:val="2"/>
        <w:outlineLvl w:val="1"/>
        <w:jc w:val="center"/>
      </w:pPr>
      <w:r>
        <w:rPr>
          <w:sz w:val="20"/>
        </w:rPr>
        <w:t xml:space="preserve">Глава 5. ТРЕБОВАНИЯ ОБ ОСУЩЕСТВЛЕНИИ КОНТРОЛЯ ЗА СОБЛЮДЕНИЕМ</w:t>
      </w:r>
    </w:p>
    <w:p>
      <w:pPr>
        <w:pStyle w:val="2"/>
        <w:jc w:val="center"/>
      </w:pPr>
      <w:r>
        <w:rPr>
          <w:sz w:val="20"/>
        </w:rPr>
        <w:t xml:space="preserve">УСЛОВИЙ И ПОРЯДКА ПРЕДОСТАВЛЕНИЯ ГРАНТОВ</w:t>
      </w:r>
    </w:p>
    <w:p>
      <w:pPr>
        <w:pStyle w:val="2"/>
        <w:jc w:val="center"/>
      </w:pPr>
      <w:r>
        <w:rPr>
          <w:sz w:val="20"/>
        </w:rPr>
        <w:t xml:space="preserve">И ОТВЕТСТВЕННОСТЬ ЗА ИХ НАРУШЕНИЕ</w:t>
      </w:r>
    </w:p>
    <w:p>
      <w:pPr>
        <w:pStyle w:val="0"/>
        <w:ind w:firstLine="540"/>
        <w:jc w:val="both"/>
      </w:pPr>
      <w:r>
        <w:rPr>
          <w:sz w:val="20"/>
        </w:rPr>
      </w:r>
    </w:p>
    <w:p>
      <w:pPr>
        <w:pStyle w:val="0"/>
        <w:ind w:firstLine="540"/>
        <w:jc w:val="both"/>
      </w:pPr>
      <w:r>
        <w:rPr>
          <w:sz w:val="20"/>
        </w:rPr>
        <w:t xml:space="preserve">59. В отношении получателя гранта и лиц, являющихся поставщиками (подрядчиками, исполнителями) по договорам (соглашениям), заключенным в целях исполнения обязательств по соглашению, Министерством осуществляются проверки соблюдения ими условий и порядка предоставления гранта, в том числе в части достижения результата предоставления гранта.</w:t>
      </w:r>
    </w:p>
    <w:p>
      <w:pPr>
        <w:pStyle w:val="0"/>
        <w:spacing w:before="200" w:lineRule="auto"/>
        <w:ind w:firstLine="540"/>
        <w:jc w:val="both"/>
      </w:pPr>
      <w:r>
        <w:rPr>
          <w:sz w:val="20"/>
        </w:rPr>
        <w:t xml:space="preserve">60. Министерством проводится мониторинг достижения результата предоставления гранта и событий, отражающих факт завершения соответствующего мероприятия по получению результата предоставления гранта (контрольная точка), в соответствии с </w:t>
      </w:r>
      <w:hyperlink w:history="0" r:id="rId35"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pPr>
        <w:pStyle w:val="0"/>
        <w:spacing w:before="200" w:lineRule="auto"/>
        <w:ind w:firstLine="540"/>
        <w:jc w:val="both"/>
      </w:pPr>
      <w:r>
        <w:rPr>
          <w:sz w:val="20"/>
        </w:rPr>
        <w:t xml:space="preserve">61. В случае нарушения получателем гранта условий, установленных при предоставлении грантов, выявленного в том числе по фактам проверок, проведенных Министерством, требование о возврате гранта направляется Министерством получателю гранта в течение 10 рабочих дней со дня выявления такого нарушения.</w:t>
      </w:r>
    </w:p>
    <w:p>
      <w:pPr>
        <w:pStyle w:val="0"/>
        <w:spacing w:before="200" w:lineRule="auto"/>
        <w:ind w:firstLine="540"/>
        <w:jc w:val="both"/>
      </w:pPr>
      <w:r>
        <w:rPr>
          <w:sz w:val="20"/>
        </w:rPr>
        <w:t xml:space="preserve">Грант (часть гранта) возвращается в областной бюджет в размере и сроки, установленные в полученном от Министерства требовании, либо на основании представления и (или) предписания Министерства финансов Свердловской области в сроки, установленные бюджетным законодательством Российской Федерации.</w:t>
      </w:r>
    </w:p>
    <w:bookmarkStart w:id="566" w:name="P566"/>
    <w:bookmarkEnd w:id="566"/>
    <w:p>
      <w:pPr>
        <w:pStyle w:val="0"/>
        <w:spacing w:before="200" w:lineRule="auto"/>
        <w:ind w:firstLine="540"/>
        <w:jc w:val="both"/>
      </w:pPr>
      <w:r>
        <w:rPr>
          <w:sz w:val="20"/>
        </w:rPr>
        <w:t xml:space="preserve">62. Грант подлежит возврату в областной бюджет в течение 10 рабочих дней со дня получения получателем гранта соответствующего требования Министерства о возврате гранта (части гранта).</w:t>
      </w:r>
    </w:p>
    <w:p>
      <w:pPr>
        <w:pStyle w:val="0"/>
        <w:spacing w:before="200" w:lineRule="auto"/>
        <w:ind w:firstLine="540"/>
        <w:jc w:val="both"/>
      </w:pPr>
      <w:r>
        <w:rPr>
          <w:sz w:val="20"/>
        </w:rPr>
        <w:t xml:space="preserve">Также грант (часть гранта) подлежит возврату в случае приобретения за счет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При невозврате гранта (части гранта) в срок, указанный в </w:t>
      </w:r>
      <w:hyperlink w:history="0" w:anchor="P566" w:tooltip="62. Грант подлежит возврату в областной бюджет в течение 10 рабочих дней со дня получения получателем гранта соответствующего требования Министерства о возврате гранта (части гранта).">
        <w:r>
          <w:rPr>
            <w:sz w:val="20"/>
            <w:color w:val="0000ff"/>
          </w:rPr>
          <w:t xml:space="preserve">части первой</w:t>
        </w:r>
      </w:hyperlink>
      <w:r>
        <w:rPr>
          <w:sz w:val="20"/>
        </w:rPr>
        <w:t xml:space="preserve"> настоящего пункта, Министерство принимает меры по взысканию подлежащего (подлежащей) возврату в областной бюджет гранта (части гранта) в судебном порядке.</w:t>
      </w:r>
    </w:p>
    <w:p>
      <w:pPr>
        <w:pStyle w:val="0"/>
        <w:spacing w:before="200" w:lineRule="auto"/>
        <w:ind w:firstLine="540"/>
        <w:jc w:val="both"/>
      </w:pPr>
      <w:r>
        <w:rPr>
          <w:sz w:val="20"/>
        </w:rPr>
        <w:t xml:space="preserve">63. В отношении получателя гранта и лиц, являющихся поставщиками (подрядчиками, исполнителями) по договорам (соглашениям), заключенным в целях исполнения обязательств по соглашению, также осуществляются проверки уполномоченными органами государственного финансового контроля Свердловской области в соответствии со </w:t>
      </w:r>
      <w:hyperlink w:history="0" r:id="rId36"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7"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предоставления грантов</w:t>
      </w:r>
    </w:p>
    <w:p>
      <w:pPr>
        <w:pStyle w:val="0"/>
        <w:jc w:val="right"/>
      </w:pPr>
      <w:r>
        <w:rPr>
          <w:sz w:val="20"/>
        </w:rPr>
        <w:t xml:space="preserve">в форме субсидий на реализацию</w:t>
      </w:r>
    </w:p>
    <w:p>
      <w:pPr>
        <w:pStyle w:val="0"/>
        <w:jc w:val="right"/>
      </w:pPr>
      <w:r>
        <w:rPr>
          <w:sz w:val="20"/>
        </w:rPr>
        <w:t xml:space="preserve">всероссийских и международных</w:t>
      </w:r>
    </w:p>
    <w:p>
      <w:pPr>
        <w:pStyle w:val="0"/>
        <w:jc w:val="right"/>
      </w:pPr>
      <w:r>
        <w:rPr>
          <w:sz w:val="20"/>
        </w:rPr>
        <w:t xml:space="preserve">творческих проектов в области</w:t>
      </w:r>
    </w:p>
    <w:p>
      <w:pPr>
        <w:pStyle w:val="0"/>
        <w:jc w:val="right"/>
      </w:pPr>
      <w:r>
        <w:rPr>
          <w:sz w:val="20"/>
        </w:rPr>
        <w:t xml:space="preserve">музыкального и театрального искусства</w:t>
      </w:r>
    </w:p>
    <w:p>
      <w:pPr>
        <w:pStyle w:val="0"/>
        <w:ind w:firstLine="540"/>
        <w:jc w:val="both"/>
      </w:pPr>
      <w:r>
        <w:rPr>
          <w:sz w:val="20"/>
        </w:rPr>
      </w:r>
    </w:p>
    <w:p>
      <w:pPr>
        <w:pStyle w:val="0"/>
        <w:jc w:val="both"/>
      </w:pPr>
      <w:r>
        <w:rPr>
          <w:sz w:val="20"/>
        </w:rPr>
        <w:t xml:space="preserve">Форма</w:t>
      </w:r>
    </w:p>
    <w:p>
      <w:pPr>
        <w:pStyle w:val="0"/>
        <w:ind w:firstLine="540"/>
        <w:jc w:val="both"/>
      </w:pPr>
      <w:r>
        <w:rPr>
          <w:sz w:val="20"/>
        </w:rPr>
      </w:r>
    </w:p>
    <w:bookmarkStart w:id="584" w:name="P584"/>
    <w:bookmarkEnd w:id="584"/>
    <w:p>
      <w:pPr>
        <w:pStyle w:val="0"/>
        <w:jc w:val="center"/>
      </w:pPr>
      <w:r>
        <w:rPr>
          <w:sz w:val="20"/>
        </w:rPr>
        <w:t xml:space="preserve">ОЦЕНОЧНЫЙ ТАБЕЛЬ</w:t>
      </w:r>
    </w:p>
    <w:p>
      <w:pPr>
        <w:pStyle w:val="0"/>
        <w:ind w:firstLine="540"/>
        <w:jc w:val="both"/>
      </w:pPr>
      <w:r>
        <w:rPr>
          <w:sz w:val="20"/>
        </w:rPr>
      </w:r>
    </w:p>
    <w:p>
      <w:pPr>
        <w:pStyle w:val="0"/>
        <w:jc w:val="center"/>
      </w:pPr>
      <w:r>
        <w:rPr>
          <w:sz w:val="20"/>
        </w:rPr>
        <w:t xml:space="preserve">__________________________________________________</w:t>
      </w:r>
    </w:p>
    <w:p>
      <w:pPr>
        <w:pStyle w:val="0"/>
        <w:jc w:val="center"/>
      </w:pPr>
      <w:r>
        <w:rPr>
          <w:sz w:val="20"/>
        </w:rPr>
        <w:t xml:space="preserve">(наименование проекта)</w:t>
      </w:r>
    </w:p>
    <w:p>
      <w:pPr>
        <w:pStyle w:val="0"/>
        <w:ind w:firstLine="540"/>
        <w:jc w:val="both"/>
      </w:pPr>
      <w:r>
        <w:rPr>
          <w:sz w:val="20"/>
        </w:rPr>
      </w:r>
    </w:p>
    <w:p>
      <w:pPr>
        <w:pStyle w:val="0"/>
        <w:jc w:val="center"/>
      </w:pPr>
      <w:r>
        <w:rPr>
          <w:sz w:val="20"/>
        </w:rPr>
        <w:t xml:space="preserve">__________________________________________________</w:t>
      </w:r>
    </w:p>
    <w:p>
      <w:pPr>
        <w:pStyle w:val="0"/>
        <w:jc w:val="center"/>
      </w:pPr>
      <w:r>
        <w:rPr>
          <w:sz w:val="20"/>
        </w:rPr>
        <w:t xml:space="preserve">(наименование организации)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6236"/>
        <w:gridCol w:w="1928"/>
      </w:tblGrid>
      <w:tr>
        <w:tc>
          <w:tcPr>
            <w:tcW w:w="907" w:type="dxa"/>
          </w:tcPr>
          <w:p>
            <w:pPr>
              <w:pStyle w:val="0"/>
              <w:jc w:val="center"/>
            </w:pPr>
            <w:r>
              <w:rPr>
                <w:sz w:val="20"/>
              </w:rPr>
              <w:t xml:space="preserve">Номер строки</w:t>
            </w:r>
          </w:p>
        </w:tc>
        <w:tc>
          <w:tcPr>
            <w:tcW w:w="6236" w:type="dxa"/>
          </w:tcPr>
          <w:p>
            <w:pPr>
              <w:pStyle w:val="0"/>
              <w:jc w:val="center"/>
            </w:pPr>
            <w:r>
              <w:rPr>
                <w:sz w:val="20"/>
              </w:rPr>
              <w:t xml:space="preserve">Критерий оценки</w:t>
            </w:r>
          </w:p>
        </w:tc>
        <w:tc>
          <w:tcPr>
            <w:tcW w:w="1928" w:type="dxa"/>
          </w:tcPr>
          <w:p>
            <w:pPr>
              <w:pStyle w:val="0"/>
              <w:jc w:val="center"/>
            </w:pPr>
            <w:r>
              <w:rPr>
                <w:sz w:val="20"/>
              </w:rPr>
              <w:t xml:space="preserve">Шкала оценки критерия (варианты оценки в баллах)</w:t>
            </w:r>
          </w:p>
        </w:tc>
      </w:tr>
      <w:tr>
        <w:tc>
          <w:tcPr>
            <w:tcW w:w="907" w:type="dxa"/>
          </w:tcPr>
          <w:p>
            <w:pPr>
              <w:pStyle w:val="0"/>
              <w:jc w:val="center"/>
            </w:pPr>
            <w:r>
              <w:rPr>
                <w:sz w:val="20"/>
              </w:rPr>
              <w:t xml:space="preserve">1</w:t>
            </w:r>
          </w:p>
        </w:tc>
        <w:tc>
          <w:tcPr>
            <w:tcW w:w="6236" w:type="dxa"/>
          </w:tcPr>
          <w:p>
            <w:pPr>
              <w:pStyle w:val="0"/>
              <w:jc w:val="center"/>
            </w:pPr>
            <w:r>
              <w:rPr>
                <w:sz w:val="20"/>
              </w:rPr>
              <w:t xml:space="preserve">2</w:t>
            </w:r>
          </w:p>
        </w:tc>
        <w:tc>
          <w:tcPr>
            <w:tcW w:w="1928" w:type="dxa"/>
          </w:tcPr>
          <w:p>
            <w:pPr>
              <w:pStyle w:val="0"/>
              <w:jc w:val="center"/>
            </w:pPr>
            <w:r>
              <w:rPr>
                <w:sz w:val="20"/>
              </w:rPr>
              <w:t xml:space="preserve">3</w:t>
            </w:r>
          </w:p>
        </w:tc>
      </w:tr>
      <w:tr>
        <w:tc>
          <w:tcPr>
            <w:tcW w:w="907" w:type="dxa"/>
          </w:tcPr>
          <w:p>
            <w:pPr>
              <w:pStyle w:val="0"/>
              <w:jc w:val="center"/>
            </w:pPr>
            <w:r>
              <w:rPr>
                <w:sz w:val="20"/>
              </w:rPr>
              <w:t xml:space="preserve">1.</w:t>
            </w:r>
          </w:p>
        </w:tc>
        <w:tc>
          <w:tcPr>
            <w:gridSpan w:val="2"/>
            <w:tcW w:w="8164" w:type="dxa"/>
          </w:tcPr>
          <w:p>
            <w:pPr>
              <w:pStyle w:val="0"/>
              <w:outlineLvl w:val="2"/>
            </w:pPr>
            <w:r>
              <w:rPr>
                <w:sz w:val="20"/>
              </w:rPr>
              <w:t xml:space="preserve">Оценка социально-экономической значимости и художественной ценности проекта</w:t>
            </w:r>
          </w:p>
        </w:tc>
      </w:tr>
      <w:tr>
        <w:tc>
          <w:tcPr>
            <w:tcW w:w="907" w:type="dxa"/>
          </w:tcPr>
          <w:p>
            <w:pPr>
              <w:pStyle w:val="0"/>
              <w:jc w:val="center"/>
            </w:pPr>
            <w:r>
              <w:rPr>
                <w:sz w:val="20"/>
              </w:rPr>
              <w:t xml:space="preserve">2.</w:t>
            </w:r>
          </w:p>
        </w:tc>
        <w:tc>
          <w:tcPr>
            <w:tcW w:w="6236" w:type="dxa"/>
          </w:tcPr>
          <w:p>
            <w:pPr>
              <w:pStyle w:val="0"/>
            </w:pPr>
            <w:r>
              <w:rPr>
                <w:sz w:val="20"/>
              </w:rPr>
              <w:t xml:space="preserve">Инновационный характер проекта, связанный с поиском новых форм выразительности, развитием современного театрального, музыкального, хореографического искусства, новаторских направлений искусства</w:t>
            </w:r>
          </w:p>
        </w:tc>
        <w:tc>
          <w:tcPr>
            <w:tcW w:w="1928" w:type="dxa"/>
          </w:tcPr>
          <w:p>
            <w:pPr>
              <w:pStyle w:val="0"/>
              <w:jc w:val="center"/>
            </w:pPr>
            <w:r>
              <w:rPr>
                <w:sz w:val="20"/>
              </w:rPr>
              <w:t xml:space="preserve">0 - 2 - 4 - 6</w:t>
            </w:r>
          </w:p>
        </w:tc>
      </w:tr>
      <w:tr>
        <w:tc>
          <w:tcPr>
            <w:tcW w:w="907" w:type="dxa"/>
          </w:tcPr>
          <w:p>
            <w:pPr>
              <w:pStyle w:val="0"/>
              <w:jc w:val="center"/>
            </w:pPr>
            <w:r>
              <w:rPr>
                <w:sz w:val="20"/>
              </w:rPr>
              <w:t xml:space="preserve">3.</w:t>
            </w:r>
          </w:p>
        </w:tc>
        <w:tc>
          <w:tcPr>
            <w:tcW w:w="6236" w:type="dxa"/>
          </w:tcPr>
          <w:p>
            <w:pPr>
              <w:pStyle w:val="0"/>
            </w:pPr>
            <w:r>
              <w:rPr>
                <w:sz w:val="20"/>
              </w:rPr>
              <w:t xml:space="preserve">Направленность проекта на патриотическое воспитание детей и молодежи, духовно-нравственное развитие населения Свердловской области</w:t>
            </w:r>
          </w:p>
        </w:tc>
        <w:tc>
          <w:tcPr>
            <w:tcW w:w="1928" w:type="dxa"/>
          </w:tcPr>
          <w:p>
            <w:pPr>
              <w:pStyle w:val="0"/>
              <w:jc w:val="center"/>
            </w:pPr>
            <w:r>
              <w:rPr>
                <w:sz w:val="20"/>
              </w:rPr>
              <w:t xml:space="preserve">0 - 2 - 4 - 6</w:t>
            </w:r>
          </w:p>
        </w:tc>
      </w:tr>
      <w:tr>
        <w:tc>
          <w:tcPr>
            <w:tcW w:w="907" w:type="dxa"/>
          </w:tcPr>
          <w:p>
            <w:pPr>
              <w:pStyle w:val="0"/>
              <w:jc w:val="center"/>
            </w:pPr>
            <w:r>
              <w:rPr>
                <w:sz w:val="20"/>
              </w:rPr>
              <w:t xml:space="preserve">4.</w:t>
            </w:r>
          </w:p>
        </w:tc>
        <w:tc>
          <w:tcPr>
            <w:tcW w:w="6236" w:type="dxa"/>
          </w:tcPr>
          <w:p>
            <w:pPr>
              <w:pStyle w:val="0"/>
            </w:pPr>
            <w:r>
              <w:rPr>
                <w:sz w:val="20"/>
              </w:rPr>
              <w:t xml:space="preserve">Направленность проекта на формирование привлекательного имиджа Свердловской области средствами культуры и искусства</w:t>
            </w:r>
          </w:p>
        </w:tc>
        <w:tc>
          <w:tcPr>
            <w:tcW w:w="1928" w:type="dxa"/>
          </w:tcPr>
          <w:p>
            <w:pPr>
              <w:pStyle w:val="0"/>
              <w:jc w:val="center"/>
            </w:pPr>
            <w:r>
              <w:rPr>
                <w:sz w:val="20"/>
              </w:rPr>
              <w:t xml:space="preserve">0 - 2 - 4 - 6</w:t>
            </w:r>
          </w:p>
        </w:tc>
      </w:tr>
      <w:tr>
        <w:tc>
          <w:tcPr>
            <w:tcW w:w="907" w:type="dxa"/>
          </w:tcPr>
          <w:p>
            <w:pPr>
              <w:pStyle w:val="0"/>
              <w:jc w:val="center"/>
            </w:pPr>
            <w:r>
              <w:rPr>
                <w:sz w:val="20"/>
              </w:rPr>
              <w:t xml:space="preserve">5.</w:t>
            </w:r>
          </w:p>
        </w:tc>
        <w:tc>
          <w:tcPr>
            <w:tcW w:w="6236" w:type="dxa"/>
          </w:tcPr>
          <w:p>
            <w:pPr>
              <w:pStyle w:val="0"/>
            </w:pPr>
            <w:r>
              <w:rPr>
                <w:sz w:val="20"/>
              </w:rPr>
              <w:t xml:space="preserve">Направленность проекта на сохранение художественных традиций воплощения сценических произведений, концертных программ, преемственности артистической школы</w:t>
            </w:r>
          </w:p>
        </w:tc>
        <w:tc>
          <w:tcPr>
            <w:tcW w:w="1928" w:type="dxa"/>
          </w:tcPr>
          <w:p>
            <w:pPr>
              <w:pStyle w:val="0"/>
              <w:jc w:val="center"/>
            </w:pPr>
            <w:r>
              <w:rPr>
                <w:sz w:val="20"/>
              </w:rPr>
              <w:t xml:space="preserve">0 - 1 - 2 - 3</w:t>
            </w:r>
          </w:p>
        </w:tc>
      </w:tr>
      <w:tr>
        <w:tc>
          <w:tcPr>
            <w:tcW w:w="907" w:type="dxa"/>
          </w:tcPr>
          <w:p>
            <w:pPr>
              <w:pStyle w:val="0"/>
              <w:jc w:val="center"/>
            </w:pPr>
            <w:r>
              <w:rPr>
                <w:sz w:val="20"/>
              </w:rPr>
              <w:t xml:space="preserve">6.</w:t>
            </w:r>
          </w:p>
        </w:tc>
        <w:tc>
          <w:tcPr>
            <w:tcW w:w="6236" w:type="dxa"/>
          </w:tcPr>
          <w:p>
            <w:pPr>
              <w:pStyle w:val="0"/>
            </w:pPr>
            <w:r>
              <w:rPr>
                <w:sz w:val="20"/>
              </w:rPr>
              <w:t xml:space="preserve">Направленность проекта на повышение доступности и качества услуг, оказываемых населению Свердловской области в сфере культуры</w:t>
            </w:r>
          </w:p>
        </w:tc>
        <w:tc>
          <w:tcPr>
            <w:tcW w:w="1928" w:type="dxa"/>
          </w:tcPr>
          <w:p>
            <w:pPr>
              <w:pStyle w:val="0"/>
              <w:jc w:val="center"/>
            </w:pPr>
            <w:r>
              <w:rPr>
                <w:sz w:val="20"/>
              </w:rPr>
              <w:t xml:space="preserve">0 - 2 - 4 - 6</w:t>
            </w:r>
          </w:p>
        </w:tc>
      </w:tr>
      <w:tr>
        <w:tc>
          <w:tcPr>
            <w:tcW w:w="907" w:type="dxa"/>
          </w:tcPr>
          <w:p>
            <w:pPr>
              <w:pStyle w:val="0"/>
              <w:jc w:val="center"/>
            </w:pPr>
            <w:r>
              <w:rPr>
                <w:sz w:val="20"/>
              </w:rPr>
              <w:t xml:space="preserve">7.</w:t>
            </w:r>
          </w:p>
        </w:tc>
        <w:tc>
          <w:tcPr>
            <w:tcW w:w="6236" w:type="dxa"/>
          </w:tcPr>
          <w:p>
            <w:pPr>
              <w:pStyle w:val="0"/>
            </w:pPr>
            <w:r>
              <w:rPr>
                <w:sz w:val="20"/>
              </w:rPr>
              <w:t xml:space="preserve">Направленность проекта на сохранение, популяризацию и развитие культурного и исторического наследия народов России, региональной специфики культурной сферы</w:t>
            </w:r>
          </w:p>
        </w:tc>
        <w:tc>
          <w:tcPr>
            <w:tcW w:w="1928" w:type="dxa"/>
          </w:tcPr>
          <w:p>
            <w:pPr>
              <w:pStyle w:val="0"/>
              <w:jc w:val="center"/>
            </w:pPr>
            <w:r>
              <w:rPr>
                <w:sz w:val="20"/>
              </w:rPr>
              <w:t xml:space="preserve">0 - 1 - 2 - 3</w:t>
            </w:r>
          </w:p>
        </w:tc>
      </w:tr>
      <w:tr>
        <w:tc>
          <w:tcPr>
            <w:tcW w:w="907" w:type="dxa"/>
          </w:tcPr>
          <w:p>
            <w:pPr>
              <w:pStyle w:val="0"/>
              <w:jc w:val="center"/>
            </w:pPr>
            <w:r>
              <w:rPr>
                <w:sz w:val="20"/>
              </w:rPr>
              <w:t xml:space="preserve">8.</w:t>
            </w:r>
          </w:p>
        </w:tc>
        <w:tc>
          <w:tcPr>
            <w:gridSpan w:val="2"/>
            <w:tcW w:w="8164" w:type="dxa"/>
          </w:tcPr>
          <w:p>
            <w:pPr>
              <w:pStyle w:val="0"/>
              <w:outlineLvl w:val="2"/>
            </w:pPr>
            <w:r>
              <w:rPr>
                <w:sz w:val="20"/>
              </w:rPr>
              <w:t xml:space="preserve">Оценка ресурсного обеспечения реализации проекта</w:t>
            </w:r>
          </w:p>
        </w:tc>
      </w:tr>
      <w:tr>
        <w:tc>
          <w:tcPr>
            <w:tcW w:w="907" w:type="dxa"/>
          </w:tcPr>
          <w:p>
            <w:pPr>
              <w:pStyle w:val="0"/>
              <w:jc w:val="center"/>
            </w:pPr>
            <w:r>
              <w:rPr>
                <w:sz w:val="20"/>
              </w:rPr>
              <w:t xml:space="preserve">9.</w:t>
            </w:r>
          </w:p>
        </w:tc>
        <w:tc>
          <w:tcPr>
            <w:tcW w:w="6236" w:type="dxa"/>
          </w:tcPr>
          <w:p>
            <w:pPr>
              <w:pStyle w:val="0"/>
            </w:pPr>
            <w:r>
              <w:rPr>
                <w:sz w:val="20"/>
              </w:rPr>
              <w:t xml:space="preserve">Наличие в организации высокого уровня исполнительского мастерства (наличие у артистического персонала почетных званий и наград)</w:t>
            </w:r>
          </w:p>
        </w:tc>
        <w:tc>
          <w:tcPr>
            <w:tcW w:w="1928" w:type="dxa"/>
          </w:tcPr>
          <w:p>
            <w:pPr>
              <w:pStyle w:val="0"/>
              <w:jc w:val="center"/>
            </w:pPr>
            <w:r>
              <w:rPr>
                <w:sz w:val="20"/>
              </w:rPr>
              <w:t xml:space="preserve">0 - 2 - 4 - 6 - 8 - 10</w:t>
            </w:r>
          </w:p>
        </w:tc>
      </w:tr>
      <w:tr>
        <w:tc>
          <w:tcPr>
            <w:tcW w:w="907" w:type="dxa"/>
          </w:tcPr>
          <w:p>
            <w:pPr>
              <w:pStyle w:val="0"/>
              <w:jc w:val="center"/>
            </w:pPr>
            <w:r>
              <w:rPr>
                <w:sz w:val="20"/>
              </w:rPr>
              <w:t xml:space="preserve">10.</w:t>
            </w:r>
          </w:p>
        </w:tc>
        <w:tc>
          <w:tcPr>
            <w:tcW w:w="6236" w:type="dxa"/>
          </w:tcPr>
          <w:p>
            <w:pPr>
              <w:pStyle w:val="0"/>
            </w:pPr>
            <w:r>
              <w:rPr>
                <w:sz w:val="20"/>
              </w:rPr>
              <w:t xml:space="preserve">Признание профессиональным сообществом заслуг организации (наличие упоминаний об организации или ее творческих деятелях в российских средствах массовой информации, наличие материалов, посвященных деятельности организации, в ведущих профессиональных изданиях, на специализированных сайтах в информационно-телекоммуникационной сети "Интернет")</w:t>
            </w:r>
          </w:p>
        </w:tc>
        <w:tc>
          <w:tcPr>
            <w:tcW w:w="1928" w:type="dxa"/>
          </w:tcPr>
          <w:p>
            <w:pPr>
              <w:pStyle w:val="0"/>
              <w:jc w:val="center"/>
            </w:pPr>
            <w:r>
              <w:rPr>
                <w:sz w:val="20"/>
              </w:rPr>
              <w:t xml:space="preserve">0 - 10 - 20</w:t>
            </w:r>
          </w:p>
        </w:tc>
      </w:tr>
      <w:tr>
        <w:tc>
          <w:tcPr>
            <w:tcW w:w="907" w:type="dxa"/>
          </w:tcPr>
          <w:p>
            <w:pPr>
              <w:pStyle w:val="0"/>
              <w:jc w:val="center"/>
            </w:pPr>
            <w:r>
              <w:rPr>
                <w:sz w:val="20"/>
              </w:rPr>
              <w:t xml:space="preserve">11.</w:t>
            </w:r>
          </w:p>
        </w:tc>
        <w:tc>
          <w:tcPr>
            <w:tcW w:w="6236" w:type="dxa"/>
          </w:tcPr>
          <w:p>
            <w:pPr>
              <w:pStyle w:val="0"/>
            </w:pPr>
            <w:r>
              <w:rPr>
                <w:sz w:val="20"/>
              </w:rPr>
              <w:t xml:space="preserve">Ведение организацией гастрольной деятельности</w:t>
            </w:r>
          </w:p>
        </w:tc>
        <w:tc>
          <w:tcPr>
            <w:tcW w:w="1928" w:type="dxa"/>
          </w:tcPr>
          <w:p>
            <w:pPr>
              <w:pStyle w:val="0"/>
              <w:jc w:val="center"/>
            </w:pPr>
            <w:r>
              <w:rPr>
                <w:sz w:val="20"/>
              </w:rPr>
              <w:t xml:space="preserve">0 - 1 - 2 - 3</w:t>
            </w:r>
          </w:p>
        </w:tc>
      </w:tr>
      <w:tr>
        <w:tc>
          <w:tcPr>
            <w:tcW w:w="907" w:type="dxa"/>
          </w:tcPr>
          <w:p>
            <w:pPr>
              <w:pStyle w:val="0"/>
              <w:jc w:val="center"/>
            </w:pPr>
            <w:r>
              <w:rPr>
                <w:sz w:val="20"/>
              </w:rPr>
              <w:t xml:space="preserve">12.</w:t>
            </w:r>
          </w:p>
        </w:tc>
        <w:tc>
          <w:tcPr>
            <w:tcW w:w="6236" w:type="dxa"/>
          </w:tcPr>
          <w:p>
            <w:pPr>
              <w:pStyle w:val="0"/>
            </w:pPr>
            <w:r>
              <w:rPr>
                <w:sz w:val="20"/>
              </w:rPr>
              <w:t xml:space="preserve">Участие организации в региональных, российских и международных профессиональных фестивалях</w:t>
            </w:r>
          </w:p>
        </w:tc>
        <w:tc>
          <w:tcPr>
            <w:tcW w:w="1928" w:type="dxa"/>
          </w:tcPr>
          <w:p>
            <w:pPr>
              <w:pStyle w:val="0"/>
              <w:jc w:val="center"/>
            </w:pPr>
            <w:r>
              <w:rPr>
                <w:sz w:val="20"/>
              </w:rPr>
              <w:t xml:space="preserve">0 - 2 - 4 - 6 - 8</w:t>
            </w:r>
          </w:p>
        </w:tc>
      </w:tr>
      <w:tr>
        <w:tc>
          <w:tcPr>
            <w:tcW w:w="907" w:type="dxa"/>
          </w:tcPr>
          <w:p>
            <w:pPr>
              <w:pStyle w:val="0"/>
              <w:jc w:val="center"/>
            </w:pPr>
            <w:r>
              <w:rPr>
                <w:sz w:val="20"/>
              </w:rPr>
              <w:t xml:space="preserve">13.</w:t>
            </w:r>
          </w:p>
        </w:tc>
        <w:tc>
          <w:tcPr>
            <w:tcW w:w="6236" w:type="dxa"/>
          </w:tcPr>
          <w:p>
            <w:pPr>
              <w:pStyle w:val="0"/>
            </w:pPr>
            <w:r>
              <w:rPr>
                <w:sz w:val="20"/>
              </w:rPr>
              <w:t xml:space="preserve">Процент заполняемости зрительного (концертного) зала</w:t>
            </w:r>
          </w:p>
        </w:tc>
        <w:tc>
          <w:tcPr>
            <w:tcW w:w="1928" w:type="dxa"/>
          </w:tcPr>
          <w:p>
            <w:pPr>
              <w:pStyle w:val="0"/>
              <w:jc w:val="center"/>
            </w:pPr>
            <w:r>
              <w:rPr>
                <w:sz w:val="20"/>
              </w:rPr>
              <w:t xml:space="preserve">0 - 1 - 2 - 3 - 4 - 5</w:t>
            </w:r>
          </w:p>
        </w:tc>
      </w:tr>
      <w:tr>
        <w:tc>
          <w:tcPr>
            <w:tcW w:w="907" w:type="dxa"/>
          </w:tcPr>
          <w:p>
            <w:pPr>
              <w:pStyle w:val="0"/>
              <w:jc w:val="center"/>
            </w:pPr>
            <w:r>
              <w:rPr>
                <w:sz w:val="20"/>
              </w:rPr>
              <w:t xml:space="preserve">14.</w:t>
            </w:r>
          </w:p>
        </w:tc>
        <w:tc>
          <w:tcPr>
            <w:tcW w:w="6236" w:type="dxa"/>
          </w:tcPr>
          <w:p>
            <w:pPr>
              <w:pStyle w:val="0"/>
            </w:pPr>
            <w:r>
              <w:rPr>
                <w:sz w:val="20"/>
              </w:rPr>
              <w:t xml:space="preserve">Качество и разнообразие репертуара</w:t>
            </w:r>
          </w:p>
        </w:tc>
        <w:tc>
          <w:tcPr>
            <w:tcW w:w="1928" w:type="dxa"/>
          </w:tcPr>
          <w:p>
            <w:pPr>
              <w:pStyle w:val="0"/>
              <w:jc w:val="center"/>
            </w:pPr>
            <w:r>
              <w:rPr>
                <w:sz w:val="20"/>
              </w:rPr>
              <w:t xml:space="preserve">0 - 1 - 2 - 3 - 4 - 5</w:t>
            </w:r>
          </w:p>
        </w:tc>
      </w:tr>
      <w:tr>
        <w:tc>
          <w:tcPr>
            <w:tcW w:w="907" w:type="dxa"/>
          </w:tcPr>
          <w:p>
            <w:pPr>
              <w:pStyle w:val="0"/>
              <w:jc w:val="center"/>
            </w:pPr>
            <w:r>
              <w:rPr>
                <w:sz w:val="20"/>
              </w:rPr>
              <w:t xml:space="preserve">15.</w:t>
            </w:r>
          </w:p>
        </w:tc>
        <w:tc>
          <w:tcPr>
            <w:tcW w:w="6236" w:type="dxa"/>
          </w:tcPr>
          <w:p>
            <w:pPr>
              <w:pStyle w:val="0"/>
            </w:pPr>
            <w:r>
              <w:rPr>
                <w:sz w:val="20"/>
              </w:rPr>
              <w:t xml:space="preserve">Осуществление организацией сотрудничества с ведущими российскими и зарубежными драматургами, композиторами, режиссерами, балетмейстерами, хореографами, солистами, концертными исполнителями и дирижерами</w:t>
            </w:r>
          </w:p>
        </w:tc>
        <w:tc>
          <w:tcPr>
            <w:tcW w:w="1928" w:type="dxa"/>
          </w:tcPr>
          <w:p>
            <w:pPr>
              <w:pStyle w:val="0"/>
              <w:jc w:val="center"/>
            </w:pPr>
            <w:r>
              <w:rPr>
                <w:sz w:val="20"/>
              </w:rPr>
              <w:t xml:space="preserve">0 - 1 - 2 - 3</w:t>
            </w:r>
          </w:p>
        </w:tc>
      </w:tr>
      <w:tr>
        <w:tc>
          <w:tcPr>
            <w:tcW w:w="907" w:type="dxa"/>
          </w:tcPr>
          <w:p>
            <w:pPr>
              <w:pStyle w:val="0"/>
              <w:jc w:val="center"/>
            </w:pPr>
            <w:r>
              <w:rPr>
                <w:sz w:val="20"/>
              </w:rPr>
              <w:t xml:space="preserve">16.</w:t>
            </w:r>
          </w:p>
        </w:tc>
        <w:tc>
          <w:tcPr>
            <w:tcW w:w="6236" w:type="dxa"/>
          </w:tcPr>
          <w:p>
            <w:pPr>
              <w:pStyle w:val="0"/>
            </w:pPr>
            <w:r>
              <w:rPr>
                <w:sz w:val="20"/>
              </w:rPr>
              <w:t xml:space="preserve">Наличие в организации творческих коллективов различной жанровой направленности, действующих в составе творческой труппы или осуществляющих самостоятельные творческие проекты</w:t>
            </w:r>
          </w:p>
        </w:tc>
        <w:tc>
          <w:tcPr>
            <w:tcW w:w="1928" w:type="dxa"/>
          </w:tcPr>
          <w:p>
            <w:pPr>
              <w:pStyle w:val="0"/>
              <w:jc w:val="center"/>
            </w:pPr>
            <w:r>
              <w:rPr>
                <w:sz w:val="20"/>
              </w:rPr>
              <w:t xml:space="preserve">0 - 1 - 2 - 3 - 4 - 5</w:t>
            </w:r>
          </w:p>
        </w:tc>
      </w:tr>
      <w:tr>
        <w:tc>
          <w:tcPr>
            <w:tcW w:w="907" w:type="dxa"/>
          </w:tcPr>
          <w:p>
            <w:pPr>
              <w:pStyle w:val="0"/>
              <w:jc w:val="center"/>
            </w:pPr>
            <w:r>
              <w:rPr>
                <w:sz w:val="20"/>
              </w:rPr>
              <w:t xml:space="preserve">17.</w:t>
            </w:r>
          </w:p>
        </w:tc>
        <w:tc>
          <w:tcPr>
            <w:tcW w:w="6236" w:type="dxa"/>
          </w:tcPr>
          <w:p>
            <w:pPr>
              <w:pStyle w:val="0"/>
            </w:pPr>
            <w:r>
              <w:rPr>
                <w:sz w:val="20"/>
              </w:rPr>
              <w:t xml:space="preserve">Предоставление организацией не менее 40% услуг (от общего объема услуг) для детской аудитории</w:t>
            </w:r>
          </w:p>
        </w:tc>
        <w:tc>
          <w:tcPr>
            <w:tcW w:w="1928" w:type="dxa"/>
          </w:tcPr>
          <w:p>
            <w:pPr>
              <w:pStyle w:val="0"/>
              <w:jc w:val="center"/>
            </w:pPr>
            <w:r>
              <w:rPr>
                <w:sz w:val="20"/>
              </w:rPr>
              <w:t xml:space="preserve">0 - 1 - 2</w:t>
            </w:r>
          </w:p>
        </w:tc>
      </w:tr>
      <w:tr>
        <w:tc>
          <w:tcPr>
            <w:tcW w:w="907" w:type="dxa"/>
          </w:tcPr>
          <w:p>
            <w:pPr>
              <w:pStyle w:val="0"/>
              <w:jc w:val="center"/>
            </w:pPr>
            <w:r>
              <w:rPr>
                <w:sz w:val="20"/>
              </w:rPr>
              <w:t xml:space="preserve">18.</w:t>
            </w:r>
          </w:p>
        </w:tc>
        <w:tc>
          <w:tcPr>
            <w:tcW w:w="6236" w:type="dxa"/>
          </w:tcPr>
          <w:p>
            <w:pPr>
              <w:pStyle w:val="0"/>
            </w:pPr>
            <w:r>
              <w:rPr>
                <w:sz w:val="20"/>
              </w:rPr>
              <w:t xml:space="preserve">Наличие собственных и привлеченных средств в общей сумме расходов на проект</w:t>
            </w:r>
          </w:p>
        </w:tc>
        <w:tc>
          <w:tcPr>
            <w:tcW w:w="1928" w:type="dxa"/>
          </w:tcPr>
          <w:p>
            <w:pPr>
              <w:pStyle w:val="0"/>
              <w:jc w:val="center"/>
            </w:pPr>
            <w:r>
              <w:rPr>
                <w:sz w:val="20"/>
              </w:rPr>
              <w:t xml:space="preserve">0 - 2 - 4 - 6</w:t>
            </w:r>
          </w:p>
        </w:tc>
      </w:tr>
      <w:tr>
        <w:tc>
          <w:tcPr>
            <w:tcW w:w="907" w:type="dxa"/>
          </w:tcPr>
          <w:p>
            <w:pPr>
              <w:pStyle w:val="0"/>
              <w:jc w:val="center"/>
            </w:pPr>
            <w:r>
              <w:rPr>
                <w:sz w:val="20"/>
              </w:rPr>
              <w:t xml:space="preserve">19.</w:t>
            </w:r>
          </w:p>
        </w:tc>
        <w:tc>
          <w:tcPr>
            <w:tcW w:w="6236" w:type="dxa"/>
          </w:tcPr>
          <w:p>
            <w:pPr>
              <w:pStyle w:val="0"/>
            </w:pPr>
            <w:r>
              <w:rPr>
                <w:sz w:val="20"/>
              </w:rPr>
              <w:t xml:space="preserve">Обоснованность расходования средств гранта</w:t>
            </w:r>
          </w:p>
        </w:tc>
        <w:tc>
          <w:tcPr>
            <w:tcW w:w="1928" w:type="dxa"/>
          </w:tcPr>
          <w:p>
            <w:pPr>
              <w:pStyle w:val="0"/>
              <w:jc w:val="center"/>
            </w:pPr>
            <w:r>
              <w:rPr>
                <w:sz w:val="20"/>
              </w:rPr>
              <w:t xml:space="preserve">0 - 4 - 8 - 12 - 16 - 18</w:t>
            </w:r>
          </w:p>
        </w:tc>
      </w:tr>
      <w:tr>
        <w:tc>
          <w:tcPr>
            <w:tcW w:w="907" w:type="dxa"/>
          </w:tcPr>
          <w:p>
            <w:pPr>
              <w:pStyle w:val="0"/>
              <w:jc w:val="center"/>
            </w:pPr>
            <w:r>
              <w:rPr>
                <w:sz w:val="20"/>
              </w:rPr>
              <w:t xml:space="preserve">20.</w:t>
            </w:r>
          </w:p>
        </w:tc>
        <w:tc>
          <w:tcPr>
            <w:tcW w:w="6236" w:type="dxa"/>
          </w:tcPr>
          <w:p>
            <w:pPr>
              <w:pStyle w:val="0"/>
            </w:pPr>
            <w:r>
              <w:rPr>
                <w:sz w:val="20"/>
              </w:rPr>
              <w:t xml:space="preserve">Обеспечение в предыдущем календарном году размера среднемесячной заработной платы работников организации не ниже средней заработной платы по экономике Свердловской области</w:t>
            </w:r>
          </w:p>
        </w:tc>
        <w:tc>
          <w:tcPr>
            <w:tcW w:w="1928" w:type="dxa"/>
          </w:tcPr>
          <w:p>
            <w:pPr>
              <w:pStyle w:val="0"/>
              <w:jc w:val="center"/>
            </w:pPr>
            <w:r>
              <w:rPr>
                <w:sz w:val="20"/>
              </w:rPr>
              <w:t xml:space="preserve">0 - 0,1</w:t>
            </w:r>
          </w:p>
        </w:tc>
      </w:tr>
      <w:tr>
        <w:tc>
          <w:tcPr>
            <w:tcW w:w="907" w:type="dxa"/>
          </w:tcPr>
          <w:p>
            <w:pPr>
              <w:pStyle w:val="0"/>
              <w:jc w:val="center"/>
            </w:pPr>
            <w:r>
              <w:rPr>
                <w:sz w:val="20"/>
              </w:rPr>
              <w:t xml:space="preserve">21.</w:t>
            </w:r>
          </w:p>
        </w:tc>
        <w:tc>
          <w:tcPr>
            <w:tcW w:w="6236" w:type="dxa"/>
          </w:tcPr>
          <w:p>
            <w:pPr>
              <w:pStyle w:val="0"/>
            </w:pPr>
            <w:r>
              <w:rPr>
                <w:sz w:val="20"/>
              </w:rPr>
              <w:t xml:space="preserve">Итого баллов</w:t>
            </w:r>
          </w:p>
        </w:tc>
        <w:tc>
          <w:tcPr>
            <w:tcW w:w="1928" w:type="dxa"/>
          </w:tcPr>
          <w:p>
            <w:pPr>
              <w:pStyle w:val="0"/>
            </w:pPr>
            <w:r>
              <w:rPr>
                <w:sz w:val="20"/>
              </w:rPr>
            </w:r>
          </w:p>
        </w:tc>
      </w:tr>
    </w:tbl>
    <w:p>
      <w:pPr>
        <w:pStyle w:val="0"/>
        <w:ind w:firstLine="540"/>
        <w:jc w:val="both"/>
      </w:pPr>
      <w:r>
        <w:rPr>
          <w:sz w:val="20"/>
        </w:rPr>
      </w:r>
    </w:p>
    <w:p>
      <w:pPr>
        <w:pStyle w:val="0"/>
        <w:jc w:val="both"/>
      </w:pPr>
      <w:r>
        <w:rPr>
          <w:sz w:val="20"/>
        </w:rPr>
        <w:t xml:space="preserve">"__" ____________________ 20__ года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Свердловской области</w:t>
      </w:r>
    </w:p>
    <w:p>
      <w:pPr>
        <w:pStyle w:val="0"/>
        <w:jc w:val="right"/>
      </w:pPr>
      <w:r>
        <w:rPr>
          <w:sz w:val="20"/>
        </w:rPr>
        <w:t xml:space="preserve">от 21 августа 2025 г. N 472-ПП</w:t>
      </w:r>
    </w:p>
    <w:p>
      <w:pPr>
        <w:pStyle w:val="0"/>
        <w:jc w:val="right"/>
      </w:pPr>
      <w:r>
        <w:rPr>
          <w:sz w:val="20"/>
        </w:rPr>
        <w:t xml:space="preserve">"Об утверждении порядков</w:t>
      </w:r>
    </w:p>
    <w:p>
      <w:pPr>
        <w:pStyle w:val="0"/>
        <w:jc w:val="right"/>
      </w:pPr>
      <w:r>
        <w:rPr>
          <w:sz w:val="20"/>
        </w:rPr>
        <w:t xml:space="preserve">предоставления грантов в форме</w:t>
      </w:r>
    </w:p>
    <w:p>
      <w:pPr>
        <w:pStyle w:val="0"/>
        <w:jc w:val="right"/>
      </w:pPr>
      <w:r>
        <w:rPr>
          <w:sz w:val="20"/>
        </w:rPr>
        <w:t xml:space="preserve">субсидий некоммерческим организациям,</w:t>
      </w:r>
    </w:p>
    <w:p>
      <w:pPr>
        <w:pStyle w:val="0"/>
        <w:jc w:val="right"/>
      </w:pPr>
      <w:r>
        <w:rPr>
          <w:sz w:val="20"/>
        </w:rPr>
        <w:t xml:space="preserve">осуществляющим деятельность</w:t>
      </w:r>
    </w:p>
    <w:p>
      <w:pPr>
        <w:pStyle w:val="0"/>
        <w:jc w:val="right"/>
      </w:pPr>
      <w:r>
        <w:rPr>
          <w:sz w:val="20"/>
        </w:rPr>
        <w:t xml:space="preserve">в сфере культуры и искусства,</w:t>
      </w:r>
    </w:p>
    <w:p>
      <w:pPr>
        <w:pStyle w:val="0"/>
        <w:jc w:val="right"/>
      </w:pPr>
      <w:r>
        <w:rPr>
          <w:sz w:val="20"/>
        </w:rPr>
        <w:t xml:space="preserve">в целях реализации творческих проектов"</w:t>
      </w:r>
    </w:p>
    <w:p>
      <w:pPr>
        <w:pStyle w:val="0"/>
        <w:ind w:firstLine="540"/>
        <w:jc w:val="both"/>
      </w:pPr>
      <w:r>
        <w:rPr>
          <w:sz w:val="20"/>
        </w:rPr>
      </w:r>
    </w:p>
    <w:bookmarkStart w:id="677" w:name="P677"/>
    <w:bookmarkEnd w:id="677"/>
    <w:p>
      <w:pPr>
        <w:pStyle w:val="2"/>
        <w:jc w:val="center"/>
      </w:pPr>
      <w:r>
        <w:rPr>
          <w:sz w:val="20"/>
        </w:rPr>
        <w:t xml:space="preserve">ПОРЯДОК</w:t>
      </w:r>
    </w:p>
    <w:p>
      <w:pPr>
        <w:pStyle w:val="2"/>
        <w:jc w:val="center"/>
      </w:pPr>
      <w:r>
        <w:rPr>
          <w:sz w:val="20"/>
        </w:rPr>
        <w:t xml:space="preserve">ПРЕДОСТАВЛЕНИЯ ГРАНТОВ В ФОРМЕ СУБСИДИЙ НЕКОММЕРЧЕСКИМ</w:t>
      </w:r>
    </w:p>
    <w:p>
      <w:pPr>
        <w:pStyle w:val="2"/>
        <w:jc w:val="center"/>
      </w:pPr>
      <w:r>
        <w:rPr>
          <w:sz w:val="20"/>
        </w:rPr>
        <w:t xml:space="preserve">ОРГАНИЗАЦИЯМ, НЕ ЯВЛЯЮЩИМСЯ ГОСУДАРСТВЕННЫМИ</w:t>
      </w:r>
    </w:p>
    <w:p>
      <w:pPr>
        <w:pStyle w:val="2"/>
        <w:jc w:val="center"/>
      </w:pPr>
      <w:r>
        <w:rPr>
          <w:sz w:val="20"/>
        </w:rPr>
        <w:t xml:space="preserve">И МУНИЦИПАЛЬНЫМИ УЧРЕЖДЕНИЯМИ, В СФЕРЕ КУЛЬТУРЫ</w:t>
      </w:r>
    </w:p>
    <w:p>
      <w:pPr>
        <w:pStyle w:val="0"/>
        <w:ind w:firstLine="540"/>
        <w:jc w:val="both"/>
      </w:pPr>
      <w:r>
        <w:rPr>
          <w:sz w:val="20"/>
        </w:rPr>
      </w:r>
    </w:p>
    <w:p>
      <w:pPr>
        <w:pStyle w:val="2"/>
        <w:outlineLvl w:val="1"/>
        <w:jc w:val="center"/>
      </w:pPr>
      <w:r>
        <w:rPr>
          <w:sz w:val="20"/>
        </w:rPr>
        <w:t xml:space="preserve">Глава 1. ОБЩИЕ ПОЛОЖЕНИЯ</w:t>
      </w:r>
    </w:p>
    <w:p>
      <w:pPr>
        <w:pStyle w:val="0"/>
        <w:ind w:firstLine="540"/>
        <w:jc w:val="both"/>
      </w:pPr>
      <w:r>
        <w:rPr>
          <w:sz w:val="20"/>
        </w:rPr>
      </w:r>
    </w:p>
    <w:p>
      <w:pPr>
        <w:pStyle w:val="0"/>
        <w:ind w:firstLine="540"/>
        <w:jc w:val="both"/>
      </w:pPr>
      <w:r>
        <w:rPr>
          <w:sz w:val="20"/>
        </w:rPr>
        <w:t xml:space="preserve">1. Настоящий порядок определяет условия и порядок предоставления грантов в форме субсидий некоммерческим организациям, не являющимся государственными и муниципальными учреждениями, в сфере культуры (далее - гранты), регламентирует порядок проведения конкурсного отбора на предоставление грантов (далее - конкурсный отбор), устанавливает требования к отчетности некоммерческих организаций, не являющихся государственными и муниципальными учреждениями, в сфере культуры (далее - организации) и требования об осуществлении контроля за соблюдением условий и порядка предоставления грантов и ответственность за их нарушение.</w:t>
      </w:r>
    </w:p>
    <w:p>
      <w:pPr>
        <w:pStyle w:val="0"/>
        <w:spacing w:before="200" w:lineRule="auto"/>
        <w:ind w:firstLine="540"/>
        <w:jc w:val="both"/>
      </w:pPr>
      <w:r>
        <w:rPr>
          <w:sz w:val="20"/>
        </w:rPr>
        <w:t xml:space="preserve">2. Настоящий порядок разработан в соответствии с Бюджетным </w:t>
      </w:r>
      <w:hyperlink w:history="0" r:id="rId38" w:tooltip="&quot;Бюджетный кодекс Российской Федерации&quot; от 31.07.1998 N 145-ФЗ (ред. от 28.11.2025) ------------ Недействующая редакция {КонсультантПлюс}">
        <w:r>
          <w:rPr>
            <w:sz w:val="20"/>
            <w:color w:val="0000ff"/>
          </w:rPr>
          <w:t xml:space="preserve">кодексом</w:t>
        </w:r>
      </w:hyperlink>
      <w:r>
        <w:rPr>
          <w:sz w:val="20"/>
        </w:rPr>
        <w:t xml:space="preserve"> Российской Федерации, </w:t>
      </w:r>
      <w:hyperlink w:history="0" r:id="rId3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в целях обеспечения реализации мероприятий государственной </w:t>
      </w:r>
      <w:hyperlink w:history="0" r:id="rId40" w:tooltip="Постановление Правительства Свердловской области от 21.10.2013 N 1268-ПП (ред. от 24.12.2025) &quot;Об утверждении государственной программы Свердловской области &quot;Развитие культуры в Свердловской области&quot; {КонсультантПлюс}">
        <w:r>
          <w:rPr>
            <w:sz w:val="20"/>
            <w:color w:val="0000ff"/>
          </w:rPr>
          <w:t xml:space="preserve">программы</w:t>
        </w:r>
      </w:hyperlink>
      <w:r>
        <w:rPr>
          <w:sz w:val="20"/>
        </w:rPr>
        <w:t xml:space="preserve"> Свердловской области "Развитие культуры в Свердловской области", утвержденной Постановлением Правительства Свердловской области от 21.10.2013 N 1268-ПП "Об утверждении государственной программы Свердловской области "Развитие культуры в Свердловской области".</w:t>
      </w:r>
    </w:p>
    <w:p>
      <w:pPr>
        <w:pStyle w:val="0"/>
        <w:spacing w:before="200" w:lineRule="auto"/>
        <w:ind w:firstLine="540"/>
        <w:jc w:val="both"/>
      </w:pPr>
      <w:r>
        <w:rPr>
          <w:sz w:val="20"/>
        </w:rPr>
        <w:t xml:space="preserve">3. Предоставление грантов осуществляется за счет средств областного бюджета в соответствии с законом Свердловской области об областном бюджете на соответствующий финансовый год и плановый период в пределах лимитов бюджетных обязательств с целью реализации творческих проектов в сфере культуры в Свердловской области в рамках осуществления видов деятельности, предусмотренных </w:t>
      </w:r>
      <w:hyperlink w:history="0" r:id="rId41" w:tooltip="Федеральный закон от 12.01.1996 N 7-ФЗ (ред. от 28.11.2025) &quot;О некоммерческих организациях&quot; (с изм. и доп., вступ. в силу с 14.12.2025) ------------ Недействующая редакция {КонсультантПлюс}">
        <w:r>
          <w:rPr>
            <w:sz w:val="20"/>
            <w:color w:val="0000ff"/>
          </w:rPr>
          <w:t xml:space="preserve">подпунктом 9 пункта 1 статьи 31.1</w:t>
        </w:r>
      </w:hyperlink>
      <w:r>
        <w:rPr>
          <w:sz w:val="20"/>
        </w:rPr>
        <w:t xml:space="preserve"> Федерального закона от 12 января 1996 года N 7-ФЗ "О некоммерческих организациях", по результатам конкурсного отбора.</w:t>
      </w:r>
    </w:p>
    <w:p>
      <w:pPr>
        <w:pStyle w:val="0"/>
        <w:spacing w:before="200" w:lineRule="auto"/>
        <w:ind w:firstLine="540"/>
        <w:jc w:val="both"/>
      </w:pPr>
      <w:r>
        <w:rPr>
          <w:sz w:val="20"/>
        </w:rPr>
        <w:t xml:space="preserve">Количество грантов и размер гранта на один проект определяются Министерством по каждому из направлений конкурсного отбора, указанных в </w:t>
      </w:r>
      <w:hyperlink w:history="0" w:anchor="P690"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 исходя из доведенных в установленном порядке лимитов бюджетных обязательств на предоставление грантов на соответствующий финансовый год.</w:t>
      </w:r>
    </w:p>
    <w:bookmarkStart w:id="688" w:name="P688"/>
    <w:bookmarkEnd w:id="688"/>
    <w:p>
      <w:pPr>
        <w:pStyle w:val="0"/>
        <w:spacing w:before="200" w:lineRule="auto"/>
        <w:ind w:firstLine="540"/>
        <w:jc w:val="both"/>
      </w:pPr>
      <w:r>
        <w:rPr>
          <w:sz w:val="20"/>
        </w:rPr>
        <w:t xml:space="preserve">4. Предоставление грантов осуществляется с целью финансового обеспечения затрат, связанных с реализацией организациями творческих проектов, ориентированных на повышение доступности и качества услуг, оказываемых населению Свердловской области в сфере культуры и искусства, повышение уровня удовлетворенности населения Свердловской области качеством и доступностью предоставляемых государственных услуг в сфере культуры, а также на переход к качественно новому уровню функционирования отрасли культуры, направленному на реализацию в Свердловской области целей и задач </w:t>
      </w:r>
      <w:hyperlink w:history="0" r:id="rId42" w:tooltip="Распоряжение Правительства РФ от 11.09.2024 N 2501-р (ред. от 06.09.2025) &lt;Об утверждении Стратегии государственной культурной политики на период до 2030 года&gt; {КонсультантПлюс}">
        <w:r>
          <w:rPr>
            <w:sz w:val="20"/>
            <w:color w:val="0000ff"/>
          </w:rPr>
          <w:t xml:space="preserve">Стратегии</w:t>
        </w:r>
      </w:hyperlink>
      <w:r>
        <w:rPr>
          <w:sz w:val="20"/>
        </w:rPr>
        <w:t xml:space="preserve"> государственной культурной политики на период до 2030 года, утвержденной Распоряжением Правительства Российской Федерации от 11.09.2024 N 2501-р, разработанной во исполнение </w:t>
      </w:r>
      <w:hyperlink w:history="0" r:id="rId43" w:tooltip="Указ Президента РФ от 24.12.2014 N 808 (ред. от 17.07.2025) &quot;Об утверждении Основ государственной культурной политики&quot; {КонсультантПлюс}">
        <w:r>
          <w:rPr>
            <w:sz w:val="20"/>
            <w:color w:val="0000ff"/>
          </w:rPr>
          <w:t xml:space="preserve">Основ</w:t>
        </w:r>
      </w:hyperlink>
      <w:r>
        <w:rPr>
          <w:sz w:val="20"/>
        </w:rPr>
        <w:t xml:space="preserve"> государственной культурной политики, утвержденных Указом Президента Российской Федерации от 24 декабря 2014 года N 808 "Об утверждении Основ государственной культурной политики" (далее - проекты).</w:t>
      </w:r>
    </w:p>
    <w:p>
      <w:pPr>
        <w:pStyle w:val="0"/>
        <w:spacing w:before="200" w:lineRule="auto"/>
        <w:ind w:firstLine="540"/>
        <w:jc w:val="both"/>
      </w:pPr>
      <w:r>
        <w:rPr>
          <w:sz w:val="20"/>
        </w:rPr>
        <w:t xml:space="preserve">5. Исполнительным органом государственной власти Свердловской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грантов на соответствующий финансовый год и плановый период, является Министерство культуры Свердловской области (далее - Министерство).</w:t>
      </w:r>
    </w:p>
    <w:bookmarkStart w:id="690" w:name="P690"/>
    <w:bookmarkEnd w:id="690"/>
    <w:p>
      <w:pPr>
        <w:pStyle w:val="0"/>
        <w:spacing w:before="200" w:lineRule="auto"/>
        <w:ind w:firstLine="540"/>
        <w:jc w:val="both"/>
      </w:pPr>
      <w:r>
        <w:rPr>
          <w:sz w:val="20"/>
        </w:rPr>
        <w:t xml:space="preserve">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w:t>
      </w:r>
    </w:p>
    <w:p>
      <w:pPr>
        <w:pStyle w:val="0"/>
        <w:spacing w:before="200" w:lineRule="auto"/>
        <w:ind w:firstLine="540"/>
        <w:jc w:val="both"/>
      </w:pPr>
      <w:r>
        <w:rPr>
          <w:sz w:val="20"/>
        </w:rPr>
        <w:t xml:space="preserve">1) развитие межрегионального и международного сотрудничества;</w:t>
      </w:r>
    </w:p>
    <w:p>
      <w:pPr>
        <w:pStyle w:val="0"/>
        <w:spacing w:before="200" w:lineRule="auto"/>
        <w:ind w:firstLine="540"/>
        <w:jc w:val="both"/>
      </w:pPr>
      <w:r>
        <w:rPr>
          <w:sz w:val="20"/>
        </w:rPr>
        <w:t xml:space="preserve">2) повышение культурного уровня населения;</w:t>
      </w:r>
    </w:p>
    <w:p>
      <w:pPr>
        <w:pStyle w:val="0"/>
        <w:spacing w:before="200" w:lineRule="auto"/>
        <w:ind w:firstLine="540"/>
        <w:jc w:val="both"/>
      </w:pPr>
      <w:r>
        <w:rPr>
          <w:sz w:val="20"/>
        </w:rPr>
        <w:t xml:space="preserve">3) повышение квалификации творческих работников организаций;</w:t>
      </w:r>
    </w:p>
    <w:p>
      <w:pPr>
        <w:pStyle w:val="0"/>
        <w:spacing w:before="200" w:lineRule="auto"/>
        <w:ind w:firstLine="540"/>
        <w:jc w:val="both"/>
      </w:pPr>
      <w:r>
        <w:rPr>
          <w:sz w:val="20"/>
        </w:rPr>
        <w:t xml:space="preserve">4) увековечение памяти выдающихся деятелей культуры и искусства Свердловской области.</w:t>
      </w:r>
    </w:p>
    <w:p>
      <w:pPr>
        <w:pStyle w:val="0"/>
        <w:spacing w:before="200" w:lineRule="auto"/>
        <w:ind w:firstLine="540"/>
        <w:jc w:val="both"/>
      </w:pPr>
      <w:r>
        <w:rPr>
          <w:sz w:val="20"/>
        </w:rPr>
        <w:t xml:space="preserve">7. Конкурсный отбор осуществляется на Портале предоставления мер финансовой государственной поддержки (</w:t>
      </w:r>
      <w:hyperlink w:history="0" r:id="rId44">
        <w:r>
          <w:rPr>
            <w:sz w:val="20"/>
            <w:color w:val="0000ff"/>
          </w:rPr>
          <w:t xml:space="preserve">https://promote.budget.gov.ru</w:t>
        </w:r>
      </w:hyperlink>
      <w:r>
        <w:rPr>
          <w:sz w:val="20"/>
        </w:rPr>
        <w:t xml:space="preserve">) в информационно-телекоммуникационной сети "Интернет" (далее - портал).</w:t>
      </w:r>
    </w:p>
    <w:p>
      <w:pPr>
        <w:pStyle w:val="0"/>
        <w:ind w:firstLine="540"/>
        <w:jc w:val="both"/>
      </w:pPr>
      <w:r>
        <w:rPr>
          <w:sz w:val="20"/>
        </w:rPr>
      </w:r>
    </w:p>
    <w:p>
      <w:pPr>
        <w:pStyle w:val="2"/>
        <w:outlineLvl w:val="1"/>
        <w:jc w:val="center"/>
      </w:pPr>
      <w:r>
        <w:rPr>
          <w:sz w:val="20"/>
        </w:rPr>
        <w:t xml:space="preserve">Глава 2. ПОРЯДОК ПРОВЕДЕНИЯ КОНКУРСНОГО ОТБОРА</w:t>
      </w:r>
    </w:p>
    <w:p>
      <w:pPr>
        <w:pStyle w:val="0"/>
        <w:ind w:firstLine="540"/>
        <w:jc w:val="both"/>
      </w:pPr>
      <w:r>
        <w:rPr>
          <w:sz w:val="20"/>
        </w:rPr>
      </w:r>
    </w:p>
    <w:p>
      <w:pPr>
        <w:pStyle w:val="0"/>
        <w:ind w:firstLine="540"/>
        <w:jc w:val="both"/>
      </w:pPr>
      <w:r>
        <w:rPr>
          <w:sz w:val="20"/>
        </w:rPr>
        <w:t xml:space="preserve">8. В целях организации и проведения конкурсного отбора Министерство:</w:t>
      </w:r>
    </w:p>
    <w:p>
      <w:pPr>
        <w:pStyle w:val="0"/>
        <w:spacing w:before="200" w:lineRule="auto"/>
        <w:ind w:firstLine="540"/>
        <w:jc w:val="both"/>
      </w:pPr>
      <w:r>
        <w:rPr>
          <w:sz w:val="20"/>
        </w:rPr>
        <w:t xml:space="preserve">1) издает и размещает на официальном сайте Министерства в информационно-телекоммуникационной сети "Интернет" (далее - сеть Интернет) приказ Министерства о проведении конкурсного отбора;</w:t>
      </w:r>
    </w:p>
    <w:p>
      <w:pPr>
        <w:pStyle w:val="0"/>
        <w:spacing w:before="200" w:lineRule="auto"/>
        <w:ind w:firstLine="540"/>
        <w:jc w:val="both"/>
      </w:pPr>
      <w:r>
        <w:rPr>
          <w:sz w:val="20"/>
        </w:rPr>
        <w:t xml:space="preserve">2) утверждает количество грантов по каждому из направлений конкурсного отбора, указанных в </w:t>
      </w:r>
      <w:hyperlink w:history="0" w:anchor="P690"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w:t>
      </w:r>
    </w:p>
    <w:bookmarkStart w:id="702" w:name="P702"/>
    <w:bookmarkEnd w:id="702"/>
    <w:p>
      <w:pPr>
        <w:pStyle w:val="0"/>
        <w:spacing w:before="200" w:lineRule="auto"/>
        <w:ind w:firstLine="540"/>
        <w:jc w:val="both"/>
      </w:pPr>
      <w:r>
        <w:rPr>
          <w:sz w:val="20"/>
        </w:rPr>
        <w:t xml:space="preserve">3) утверждает размер гранта на один проект по каждому из направлений конкурсного отбора, указанных в </w:t>
      </w:r>
      <w:hyperlink w:history="0" w:anchor="P690"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 исходя из доведенных в установленном порядке лимитов бюджетных обязательств на предоставление грантов на соответствующий финансовый год;</w:t>
      </w:r>
    </w:p>
    <w:p>
      <w:pPr>
        <w:pStyle w:val="0"/>
        <w:spacing w:before="200" w:lineRule="auto"/>
        <w:ind w:firstLine="540"/>
        <w:jc w:val="both"/>
      </w:pPr>
      <w:r>
        <w:rPr>
          <w:sz w:val="20"/>
        </w:rPr>
        <w:t xml:space="preserve">4) утверждает состав комиссии по проведению конкурсного отбора (далее - комиссия), состав экспертного совета по оценке заявок участников конкурсного отбора (далее - экспертный совет) и состав группы технического сопровождения;</w:t>
      </w:r>
    </w:p>
    <w:p>
      <w:pPr>
        <w:pStyle w:val="0"/>
        <w:spacing w:before="200" w:lineRule="auto"/>
        <w:ind w:firstLine="540"/>
        <w:jc w:val="both"/>
      </w:pPr>
      <w:r>
        <w:rPr>
          <w:sz w:val="20"/>
        </w:rPr>
        <w:t xml:space="preserve">5) размещает на портале реестр экспертов, входящих в состав экспертного совета (далее - эксперты), а также организует авторизацию экспертов на портале;</w:t>
      </w:r>
    </w:p>
    <w:p>
      <w:pPr>
        <w:pStyle w:val="0"/>
        <w:spacing w:before="200" w:lineRule="auto"/>
        <w:ind w:firstLine="540"/>
        <w:jc w:val="both"/>
      </w:pPr>
      <w:r>
        <w:rPr>
          <w:sz w:val="20"/>
        </w:rPr>
        <w:t xml:space="preserve">6) размещает не позднее одного рабочего дня до начала срока приема заявок участников конкурсного отбора (далее - заявки) объявление о проведении конкурсного отбора (далее - объявление) на портале, официальном сайте Министерства в сети Интернет и публичных страницах Министерства в социальных сетях;</w:t>
      </w:r>
    </w:p>
    <w:p>
      <w:pPr>
        <w:pStyle w:val="0"/>
        <w:spacing w:before="200" w:lineRule="auto"/>
        <w:ind w:firstLine="540"/>
        <w:jc w:val="both"/>
      </w:pPr>
      <w:r>
        <w:rPr>
          <w:sz w:val="20"/>
        </w:rPr>
        <w:t xml:space="preserve">7) размещает информацию о грантах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pPr>
        <w:pStyle w:val="0"/>
        <w:spacing w:before="200" w:lineRule="auto"/>
        <w:ind w:firstLine="540"/>
        <w:jc w:val="both"/>
      </w:pPr>
      <w:r>
        <w:rPr>
          <w:sz w:val="20"/>
        </w:rPr>
        <w:t xml:space="preserve">8) в течение 3 рабочих дней после даты окончания приема заявок в порядке межведомственного взаимодействия направляет запросы в исполнительные органы Свердловской области, которые являются главными администраторами доходов областного бюджета, для получения сведений о наличии или об отсутствии у участников конкурсного отбора дебиторской задолженности перед областным бюджетом;</w:t>
      </w:r>
    </w:p>
    <w:p>
      <w:pPr>
        <w:pStyle w:val="0"/>
        <w:spacing w:before="200" w:lineRule="auto"/>
        <w:ind w:firstLine="540"/>
        <w:jc w:val="both"/>
      </w:pPr>
      <w:r>
        <w:rPr>
          <w:sz w:val="20"/>
        </w:rPr>
        <w:t xml:space="preserve">9) размещает протоколы, формируемые в процессе проведения конкурсного отбора (протокол вскрытия заявок, протокол рассмотрения заявок, протокол подведения итогов конкурсного отбора), на портале не позднее одного рабочего дня, следующего за днем их подписания;</w:t>
      </w:r>
    </w:p>
    <w:p>
      <w:pPr>
        <w:pStyle w:val="0"/>
        <w:spacing w:before="200" w:lineRule="auto"/>
        <w:ind w:firstLine="540"/>
        <w:jc w:val="both"/>
      </w:pPr>
      <w:r>
        <w:rPr>
          <w:sz w:val="20"/>
        </w:rPr>
        <w:t xml:space="preserve">10) издает и размещает на официальном сайте Министерства в сети Интернет приказ Министерства о результатах конкурсного отбора в течение 5 рабочих дней со дня размещения на портале протокола подведения итогов конкурсного отбора;</w:t>
      </w:r>
    </w:p>
    <w:p>
      <w:pPr>
        <w:pStyle w:val="0"/>
        <w:spacing w:before="200" w:lineRule="auto"/>
        <w:ind w:firstLine="540"/>
        <w:jc w:val="both"/>
      </w:pPr>
      <w:r>
        <w:rPr>
          <w:sz w:val="20"/>
        </w:rPr>
        <w:t xml:space="preserve">11) информирует о проведении конкурсного отбора Общественную палату Свердловской области не позднее одного рабочего дня, следующего за днем размещения объявления.</w:t>
      </w:r>
    </w:p>
    <w:p>
      <w:pPr>
        <w:pStyle w:val="0"/>
        <w:spacing w:before="200" w:lineRule="auto"/>
        <w:ind w:firstLine="540"/>
        <w:jc w:val="both"/>
      </w:pPr>
      <w:r>
        <w:rPr>
          <w:sz w:val="20"/>
        </w:rPr>
        <w:t xml:space="preserve">9. Конкурсный отбор, в том числе подача заявки, а также иное взаимодействие между Министерством и участниками конкурсного отбора осуществляются в системе "Электронный бюджет".</w:t>
      </w:r>
    </w:p>
    <w:p>
      <w:pPr>
        <w:pStyle w:val="0"/>
        <w:spacing w:before="200" w:lineRule="auto"/>
        <w:ind w:firstLine="540"/>
        <w:jc w:val="both"/>
      </w:pPr>
      <w:r>
        <w:rPr>
          <w:sz w:val="20"/>
        </w:rPr>
        <w:t xml:space="preserve">Министерство обеспечивает участникам конкурсного отбора доступ к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10. Объявление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Министерства (уполномоченного им лица), публикуется на портале и включает в себя следующую информацию:</w:t>
      </w:r>
    </w:p>
    <w:p>
      <w:pPr>
        <w:pStyle w:val="0"/>
        <w:spacing w:before="200" w:lineRule="auto"/>
        <w:ind w:firstLine="540"/>
        <w:jc w:val="both"/>
      </w:pPr>
      <w:r>
        <w:rPr>
          <w:sz w:val="20"/>
        </w:rPr>
        <w:t xml:space="preserve">1) способ проведения конкурсного отбора;</w:t>
      </w:r>
    </w:p>
    <w:p>
      <w:pPr>
        <w:pStyle w:val="0"/>
        <w:spacing w:before="200" w:lineRule="auto"/>
        <w:ind w:firstLine="540"/>
        <w:jc w:val="both"/>
      </w:pPr>
      <w:r>
        <w:rPr>
          <w:sz w:val="20"/>
        </w:rPr>
        <w:t xml:space="preserve">2) количество грантов и размер гранта на реализацию одного проекта по каждому из направлений конкурсного отбора, указанных в </w:t>
      </w:r>
      <w:hyperlink w:history="0" w:anchor="P690"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w:t>
      </w:r>
    </w:p>
    <w:p>
      <w:pPr>
        <w:pStyle w:val="0"/>
        <w:spacing w:before="200" w:lineRule="auto"/>
        <w:ind w:firstLine="540"/>
        <w:jc w:val="both"/>
      </w:pPr>
      <w:r>
        <w:rPr>
          <w:sz w:val="20"/>
        </w:rPr>
        <w:t xml:space="preserve">3) сроки проведения конкурсного отбора;</w:t>
      </w:r>
    </w:p>
    <w:p>
      <w:pPr>
        <w:pStyle w:val="0"/>
        <w:spacing w:before="200" w:lineRule="auto"/>
        <w:ind w:firstLine="540"/>
        <w:jc w:val="both"/>
      </w:pPr>
      <w:r>
        <w:rPr>
          <w:sz w:val="20"/>
        </w:rPr>
        <w:t xml:space="preserve">4) даты начала подачи и окончания приема заявок, при этом дата окончания приема заявок не может быть ранее 30 календарного дня, следующего за днем размещения объявления;</w:t>
      </w:r>
    </w:p>
    <w:p>
      <w:pPr>
        <w:pStyle w:val="0"/>
        <w:spacing w:before="200" w:lineRule="auto"/>
        <w:ind w:firstLine="540"/>
        <w:jc w:val="both"/>
      </w:pPr>
      <w:r>
        <w:rPr>
          <w:sz w:val="20"/>
        </w:rPr>
        <w:t xml:space="preserve">5) наименование, место нахождения, почтовый адрес, адрес электронной почты, контактный телефон Министерства;</w:t>
      </w:r>
    </w:p>
    <w:p>
      <w:pPr>
        <w:pStyle w:val="0"/>
        <w:spacing w:before="200" w:lineRule="auto"/>
        <w:ind w:firstLine="540"/>
        <w:jc w:val="both"/>
      </w:pPr>
      <w:r>
        <w:rPr>
          <w:sz w:val="20"/>
        </w:rPr>
        <w:t xml:space="preserve">6) результат предоставления гранта;</w:t>
      </w:r>
    </w:p>
    <w:p>
      <w:pPr>
        <w:pStyle w:val="0"/>
        <w:spacing w:before="200" w:lineRule="auto"/>
        <w:ind w:firstLine="540"/>
        <w:jc w:val="both"/>
      </w:pPr>
      <w:r>
        <w:rPr>
          <w:sz w:val="20"/>
        </w:rPr>
        <w:t xml:space="preserve">7) доменное имя и (или) указатели страниц официального сайта Министерства в сети Интернет, публичных страниц Министерства в социальных сетях;</w:t>
      </w:r>
    </w:p>
    <w:p>
      <w:pPr>
        <w:pStyle w:val="0"/>
        <w:spacing w:before="200" w:lineRule="auto"/>
        <w:ind w:firstLine="540"/>
        <w:jc w:val="both"/>
      </w:pPr>
      <w:r>
        <w:rPr>
          <w:sz w:val="20"/>
        </w:rPr>
        <w:t xml:space="preserve">8) требования к участникам конкурсного отбора, указанные в </w:t>
      </w:r>
      <w:hyperlink w:history="0" w:anchor="P745"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9) порядок подачи участниками конкурсного отбора заявок и требования, предъявляемые к форме и содержанию заявок;</w:t>
      </w:r>
    </w:p>
    <w:p>
      <w:pPr>
        <w:pStyle w:val="0"/>
        <w:spacing w:before="200" w:lineRule="auto"/>
        <w:ind w:firstLine="540"/>
        <w:jc w:val="both"/>
      </w:pPr>
      <w:r>
        <w:rPr>
          <w:sz w:val="20"/>
        </w:rPr>
        <w:t xml:space="preserve">10) порядок отзыва заявок, включающий возможность или отсутствие возможности отзыва заявок, а также условия отзыва заявок;</w:t>
      </w:r>
    </w:p>
    <w:p>
      <w:pPr>
        <w:pStyle w:val="0"/>
        <w:spacing w:before="200" w:lineRule="auto"/>
        <w:ind w:firstLine="540"/>
        <w:jc w:val="both"/>
      </w:pPr>
      <w:r>
        <w:rPr>
          <w:sz w:val="20"/>
        </w:rPr>
        <w:t xml:space="preserve">11) порядок внесения изменений в заявки, включающий возможность или отсутствие возможности внесения изменений в заявки, а также условия внесения изменений в заявки;</w:t>
      </w:r>
    </w:p>
    <w:p>
      <w:pPr>
        <w:pStyle w:val="0"/>
        <w:spacing w:before="200" w:lineRule="auto"/>
        <w:ind w:firstLine="540"/>
        <w:jc w:val="both"/>
      </w:pPr>
      <w:r>
        <w:rPr>
          <w:sz w:val="20"/>
        </w:rPr>
        <w:t xml:space="preserve">12) порядок возврата участниками конкурсного отбора заявок, включающий возможность или отсутствие возможности возврата заявок;</w:t>
      </w:r>
    </w:p>
    <w:p>
      <w:pPr>
        <w:pStyle w:val="0"/>
        <w:spacing w:before="200" w:lineRule="auto"/>
        <w:ind w:firstLine="540"/>
        <w:jc w:val="both"/>
      </w:pPr>
      <w:r>
        <w:rPr>
          <w:sz w:val="20"/>
        </w:rPr>
        <w:t xml:space="preserve">13) порядок отклонения заявок, а также информацию об основании их отклонения, указанном в </w:t>
      </w:r>
      <w:hyperlink w:history="0" w:anchor="P811" w:tooltip="31. На стадии рассмотрения заявка отклоняется в случае несоответствия участника конкурсного отбора требованиям, указанным в пункте 14 настоящего порядка.">
        <w:r>
          <w:rPr>
            <w:sz w:val="20"/>
            <w:color w:val="0000ff"/>
          </w:rPr>
          <w:t xml:space="preserve">пункте 31</w:t>
        </w:r>
      </w:hyperlink>
      <w:r>
        <w:rPr>
          <w:sz w:val="20"/>
        </w:rPr>
        <w:t xml:space="preserve"> настоящего порядка;</w:t>
      </w:r>
    </w:p>
    <w:p>
      <w:pPr>
        <w:pStyle w:val="0"/>
        <w:spacing w:before="200" w:lineRule="auto"/>
        <w:ind w:firstLine="540"/>
        <w:jc w:val="both"/>
      </w:pPr>
      <w:r>
        <w:rPr>
          <w:sz w:val="20"/>
        </w:rPr>
        <w:t xml:space="preserve">14) порядок оценки заявок;</w:t>
      </w:r>
    </w:p>
    <w:p>
      <w:pPr>
        <w:pStyle w:val="0"/>
        <w:spacing w:before="200" w:lineRule="auto"/>
        <w:ind w:firstLine="540"/>
        <w:jc w:val="both"/>
      </w:pPr>
      <w:r>
        <w:rPr>
          <w:sz w:val="20"/>
        </w:rPr>
        <w:t xml:space="preserve">15) срок, в течение которого победители конкурсного отбора должны подписать соглашение о предоставлении из областного бюджета гранта (далее - соглашение);</w:t>
      </w:r>
    </w:p>
    <w:p>
      <w:pPr>
        <w:pStyle w:val="0"/>
        <w:spacing w:before="200" w:lineRule="auto"/>
        <w:ind w:firstLine="540"/>
        <w:jc w:val="both"/>
      </w:pPr>
      <w:r>
        <w:rPr>
          <w:sz w:val="20"/>
        </w:rPr>
        <w:t xml:space="preserve">16) условия признания победителей конкурсного отбора уклонившимися от заключения соглашения;</w:t>
      </w:r>
    </w:p>
    <w:p>
      <w:pPr>
        <w:pStyle w:val="0"/>
        <w:spacing w:before="200" w:lineRule="auto"/>
        <w:ind w:firstLine="540"/>
        <w:jc w:val="both"/>
      </w:pPr>
      <w:r>
        <w:rPr>
          <w:sz w:val="20"/>
        </w:rPr>
        <w:t xml:space="preserve">17) иную информацию, определенную Министерством (при необходимости).</w:t>
      </w:r>
    </w:p>
    <w:p>
      <w:pPr>
        <w:pStyle w:val="0"/>
        <w:spacing w:before="200" w:lineRule="auto"/>
        <w:ind w:firstLine="540"/>
        <w:jc w:val="both"/>
      </w:pPr>
      <w:r>
        <w:rPr>
          <w:sz w:val="20"/>
        </w:rPr>
        <w:t xml:space="preserve">11. Информация о проведении конкурсного отбора и организации приема заявок дополнительно размещается на официальном сайте Министерства в сети Интернет и официальных страницах Министерства в социальных сетях.</w:t>
      </w:r>
    </w:p>
    <w:p>
      <w:pPr>
        <w:pStyle w:val="0"/>
        <w:spacing w:before="200" w:lineRule="auto"/>
        <w:ind w:firstLine="540"/>
        <w:jc w:val="both"/>
      </w:pPr>
      <w:r>
        <w:rPr>
          <w:sz w:val="20"/>
        </w:rPr>
        <w:t xml:space="preserve">12. Комиссия осуществляет следующие функции:</w:t>
      </w:r>
    </w:p>
    <w:p>
      <w:pPr>
        <w:pStyle w:val="0"/>
        <w:spacing w:before="200" w:lineRule="auto"/>
        <w:ind w:firstLine="540"/>
        <w:jc w:val="both"/>
      </w:pPr>
      <w:r>
        <w:rPr>
          <w:sz w:val="20"/>
        </w:rPr>
        <w:t xml:space="preserve">1) утверждение в системе "Электронный бюджет" протокола вскрытия заявок, протокола рассмотрения заявок, протокола подведения итогов конкурсного отбора;</w:t>
      </w:r>
    </w:p>
    <w:p>
      <w:pPr>
        <w:pStyle w:val="0"/>
        <w:spacing w:before="200" w:lineRule="auto"/>
        <w:ind w:firstLine="540"/>
        <w:jc w:val="both"/>
      </w:pPr>
      <w:r>
        <w:rPr>
          <w:sz w:val="20"/>
        </w:rPr>
        <w:t xml:space="preserve">2) принятие решения о признании конкурсного отбора несостоявшимся, в случае если Министерством не было представлено в комиссию ни одной заявки или комиссией принято решение об отклонении всех заявок;</w:t>
      </w:r>
    </w:p>
    <w:p>
      <w:pPr>
        <w:pStyle w:val="0"/>
        <w:spacing w:before="200" w:lineRule="auto"/>
        <w:ind w:firstLine="540"/>
        <w:jc w:val="both"/>
      </w:pPr>
      <w:r>
        <w:rPr>
          <w:sz w:val="20"/>
        </w:rPr>
        <w:t xml:space="preserve">3) принятие решения об утверждении итогов проведения конкурсного отбора, определяющего перечень организаций - победителей конкурсного отбора, а также организаций, не прошедших конкурсный отбор.</w:t>
      </w:r>
    </w:p>
    <w:p>
      <w:pPr>
        <w:pStyle w:val="0"/>
        <w:spacing w:before="200" w:lineRule="auto"/>
        <w:ind w:firstLine="540"/>
        <w:jc w:val="both"/>
      </w:pPr>
      <w:r>
        <w:rPr>
          <w:sz w:val="20"/>
        </w:rPr>
        <w:t xml:space="preserve">13. Группа технического сопровождения осуществляет следующие функции:</w:t>
      </w:r>
    </w:p>
    <w:p>
      <w:pPr>
        <w:pStyle w:val="0"/>
        <w:spacing w:before="200" w:lineRule="auto"/>
        <w:ind w:firstLine="540"/>
        <w:jc w:val="both"/>
      </w:pPr>
      <w:r>
        <w:rPr>
          <w:sz w:val="20"/>
        </w:rPr>
        <w:t xml:space="preserve">1) вскрытие заявок, размещенных на портале участниками конкурсного отбора, автоматическое формирование протокола вскрытия заявок и направление его на утверждение в Министерство в системе "Электронный бюджет";</w:t>
      </w:r>
    </w:p>
    <w:p>
      <w:pPr>
        <w:pStyle w:val="0"/>
        <w:spacing w:before="200" w:lineRule="auto"/>
        <w:ind w:firstLine="540"/>
        <w:jc w:val="both"/>
      </w:pPr>
      <w:r>
        <w:rPr>
          <w:sz w:val="20"/>
        </w:rPr>
        <w:t xml:space="preserve">2) рассмотрение заявок на соответствие участников конкурсного отбора требованиям, указанным в </w:t>
      </w:r>
      <w:hyperlink w:history="0" w:anchor="P745"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3) рассмотрение заявок и прилагаемых к ним документов на предмет их соответствия требованиям, предусмотренным в </w:t>
      </w:r>
      <w:hyperlink w:history="0" w:anchor="P776" w:tooltip="25. Заявка содержит:">
        <w:r>
          <w:rPr>
            <w:sz w:val="20"/>
            <w:color w:val="0000ff"/>
          </w:rPr>
          <w:t xml:space="preserve">пункте 25</w:t>
        </w:r>
      </w:hyperlink>
      <w:r>
        <w:rPr>
          <w:sz w:val="20"/>
        </w:rPr>
        <w:t xml:space="preserve"> и </w:t>
      </w:r>
      <w:hyperlink w:history="0" w:anchor="P797" w:tooltip="26. К заявке прилагаются следующие документы:">
        <w:r>
          <w:rPr>
            <w:sz w:val="20"/>
            <w:color w:val="0000ff"/>
          </w:rPr>
          <w:t xml:space="preserve">частях первой</w:t>
        </w:r>
      </w:hyperlink>
      <w:r>
        <w:rPr>
          <w:sz w:val="20"/>
        </w:rPr>
        <w:t xml:space="preserve"> и </w:t>
      </w:r>
      <w:hyperlink w:history="0" w:anchor="P804" w:tooltip="Каждый из документов, указанных в подпунктах 1 - 6 части первой настоящего пункта, представляется в виде одного файла в формате pdf.">
        <w:r>
          <w:rPr>
            <w:sz w:val="20"/>
            <w:color w:val="0000ff"/>
          </w:rPr>
          <w:t xml:space="preserve">второй пункта 26</w:t>
        </w:r>
      </w:hyperlink>
      <w:r>
        <w:rPr>
          <w:sz w:val="20"/>
        </w:rPr>
        <w:t xml:space="preserve"> настоящего порядка;</w:t>
      </w:r>
    </w:p>
    <w:p>
      <w:pPr>
        <w:pStyle w:val="0"/>
        <w:spacing w:before="200" w:lineRule="auto"/>
        <w:ind w:firstLine="540"/>
        <w:jc w:val="both"/>
      </w:pPr>
      <w:r>
        <w:rPr>
          <w:sz w:val="20"/>
        </w:rPr>
        <w:t xml:space="preserve">4) автоматическое формирование проекта протокола рассмотрения заявок, включающего информацию о количестве поступивших и рассмотренных заявок, а также информацию по каждому участнику конкурсного отбора о признании его заявки допущенной к отбору или об отклонении его заявки с указанием оснований для отклонения;</w:t>
      </w:r>
    </w:p>
    <w:p>
      <w:pPr>
        <w:pStyle w:val="0"/>
        <w:spacing w:before="200" w:lineRule="auto"/>
        <w:ind w:firstLine="540"/>
        <w:jc w:val="both"/>
      </w:pPr>
      <w:r>
        <w:rPr>
          <w:sz w:val="20"/>
        </w:rPr>
        <w:t xml:space="preserve">5) выбор из реестра экспертов, размещенного на портале, и закрепление не менее 3 экспертов для оценки каждой заявки, обеспечение доступа экспертов к оценке заявок;</w:t>
      </w:r>
    </w:p>
    <w:p>
      <w:pPr>
        <w:pStyle w:val="0"/>
        <w:spacing w:before="200" w:lineRule="auto"/>
        <w:ind w:firstLine="540"/>
        <w:jc w:val="both"/>
      </w:pPr>
      <w:r>
        <w:rPr>
          <w:sz w:val="20"/>
        </w:rPr>
        <w:t xml:space="preserve">6) формирование сводного оценочного листа по каждой заявке;</w:t>
      </w:r>
    </w:p>
    <w:p>
      <w:pPr>
        <w:pStyle w:val="0"/>
        <w:spacing w:before="200" w:lineRule="auto"/>
        <w:ind w:firstLine="540"/>
        <w:jc w:val="both"/>
      </w:pPr>
      <w:r>
        <w:rPr>
          <w:sz w:val="20"/>
        </w:rPr>
        <w:t xml:space="preserve">7) ранжирование заявок по мере уменьшения полученных баллов по итогам оценки заявок и очередности их поступления в случае равенства количества полученных баллов;</w:t>
      </w:r>
    </w:p>
    <w:p>
      <w:pPr>
        <w:pStyle w:val="0"/>
        <w:spacing w:before="200" w:lineRule="auto"/>
        <w:ind w:firstLine="540"/>
        <w:jc w:val="both"/>
      </w:pPr>
      <w:r>
        <w:rPr>
          <w:sz w:val="20"/>
        </w:rPr>
        <w:t xml:space="preserve">8) автоматическое формирование проекта протокола подведения итогов конкурсного отбора и направление его на утверждение в Министерство в системе "Электронный бюджет".</w:t>
      </w:r>
    </w:p>
    <w:bookmarkStart w:id="745" w:name="P745"/>
    <w:bookmarkEnd w:id="745"/>
    <w:p>
      <w:pPr>
        <w:pStyle w:val="0"/>
        <w:spacing w:before="200" w:lineRule="auto"/>
        <w:ind w:firstLine="540"/>
        <w:jc w:val="both"/>
      </w:pPr>
      <w:r>
        <w:rPr>
          <w:sz w:val="20"/>
        </w:rPr>
        <w:t xml:space="preserve">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w:t>
      </w:r>
    </w:p>
    <w:p>
      <w:pPr>
        <w:pStyle w:val="0"/>
        <w:spacing w:before="200" w:lineRule="auto"/>
        <w:ind w:firstLine="540"/>
        <w:jc w:val="both"/>
      </w:pPr>
      <w:r>
        <w:rPr>
          <w:sz w:val="20"/>
        </w:rPr>
        <w:t xml:space="preserve">1) организация является юридическим лицом, зарегистрированным на территории Свердловской области и осуществляющим в соответствии с учредительными документами в качестве основного вида деятельности деятельность в сфере культуры и искусства;</w:t>
      </w:r>
    </w:p>
    <w:p>
      <w:pPr>
        <w:pStyle w:val="0"/>
        <w:spacing w:before="200" w:lineRule="auto"/>
        <w:ind w:firstLine="540"/>
        <w:jc w:val="both"/>
      </w:pPr>
      <w:r>
        <w:rPr>
          <w:sz w:val="20"/>
        </w:rPr>
        <w:t xml:space="preserve">2) организация является некоммерческой организацией в форме общественного объединения творческих работников и их союзов, ассоциаций;</w:t>
      </w:r>
    </w:p>
    <w:p>
      <w:pPr>
        <w:pStyle w:val="0"/>
        <w:spacing w:before="200" w:lineRule="auto"/>
        <w:ind w:firstLine="540"/>
        <w:jc w:val="both"/>
      </w:pPr>
      <w:r>
        <w:rPr>
          <w:sz w:val="20"/>
        </w:rPr>
        <w:t xml:space="preserve">3) организация не является религиозной организацией, политической партией, их объединением или союзом;</w:t>
      </w:r>
    </w:p>
    <w:p>
      <w:pPr>
        <w:pStyle w:val="0"/>
        <w:spacing w:before="200" w:lineRule="auto"/>
        <w:ind w:firstLine="540"/>
        <w:jc w:val="both"/>
      </w:pPr>
      <w:r>
        <w:rPr>
          <w:sz w:val="20"/>
        </w:rPr>
        <w:t xml:space="preserve">4) организация не находится в процессе реорганизации,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5) 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организации;</w:t>
      </w:r>
    </w:p>
    <w:p>
      <w:pPr>
        <w:pStyle w:val="0"/>
        <w:spacing w:before="200" w:lineRule="auto"/>
        <w:ind w:firstLine="540"/>
        <w:jc w:val="both"/>
      </w:pPr>
      <w:r>
        <w:rPr>
          <w:sz w:val="20"/>
        </w:rPr>
        <w:t xml:space="preserve">6) организация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w:t>
      </w:r>
    </w:p>
    <w:p>
      <w:pPr>
        <w:pStyle w:val="0"/>
        <w:spacing w:before="200" w:lineRule="auto"/>
        <w:ind w:firstLine="540"/>
        <w:jc w:val="both"/>
      </w:pPr>
      <w:r>
        <w:rPr>
          <w:sz w:val="20"/>
        </w:rPr>
        <w:t xml:space="preserve">7)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8) организация не находится в составляемых в рамках реализации полномочий, предусмотренных </w:t>
      </w:r>
      <w:hyperlink w:history="0" r:id="rId45"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9) организация не получает средства из областного бюджета в соответствии с иными нормативными правовыми актами Свердловской области на цель, указанную в </w:t>
      </w:r>
      <w:hyperlink w:history="0" w:anchor="P688" w:tooltip="4. Предоставление грантов осуществляется с целью финансового обеспечения затрат, связанных с реализацией организациями творческих проектов, ориентированных на повышение доступности и качества услуг, оказываемых населению Свердловской области в сфере культуры и искусства, повышение уровня удовлетворенности населения Свердловской области качеством и доступностью предоставляемых государственных услуг в сфере культуры, а также на переход к качественно новому уровню функционирования отрасли культуры, направле...">
        <w:r>
          <w:rPr>
            <w:sz w:val="20"/>
            <w:color w:val="0000ff"/>
          </w:rPr>
          <w:t xml:space="preserve">пункте 4</w:t>
        </w:r>
      </w:hyperlink>
      <w:r>
        <w:rPr>
          <w:sz w:val="20"/>
        </w:rPr>
        <w:t xml:space="preserve"> настоящего порядка;</w:t>
      </w:r>
    </w:p>
    <w:p>
      <w:pPr>
        <w:pStyle w:val="0"/>
        <w:spacing w:before="200" w:lineRule="auto"/>
        <w:ind w:firstLine="540"/>
        <w:jc w:val="both"/>
      </w:pPr>
      <w:r>
        <w:rPr>
          <w:sz w:val="20"/>
        </w:rPr>
        <w:t xml:space="preserve">10) организация не является иностранным агентом в соответствии с Федеральным </w:t>
      </w:r>
      <w:hyperlink w:history="0" r:id="rId4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 июля 2022 года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11) у организации на едином налоговом счете отсутствует или не превышает размера, определенного </w:t>
      </w:r>
      <w:hyperlink w:history="0" r:id="rId47"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12) у организации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Свердловской областью;</w:t>
      </w:r>
    </w:p>
    <w:p>
      <w:pPr>
        <w:pStyle w:val="0"/>
        <w:spacing w:before="200" w:lineRule="auto"/>
        <w:ind w:firstLine="540"/>
        <w:jc w:val="both"/>
      </w:pPr>
      <w:r>
        <w:rPr>
          <w:sz w:val="20"/>
        </w:rPr>
        <w:t xml:space="preserve">13) организация не находится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pPr>
        <w:pStyle w:val="0"/>
        <w:spacing w:before="200" w:lineRule="auto"/>
        <w:ind w:firstLine="540"/>
        <w:jc w:val="both"/>
      </w:pPr>
      <w:r>
        <w:rPr>
          <w:sz w:val="20"/>
        </w:rPr>
        <w:t xml:space="preserve">14) организация имеет расчетный счет, открытый в российской кредитной организации;</w:t>
      </w:r>
    </w:p>
    <w:p>
      <w:pPr>
        <w:pStyle w:val="0"/>
        <w:spacing w:before="200" w:lineRule="auto"/>
        <w:ind w:firstLine="540"/>
        <w:jc w:val="both"/>
      </w:pPr>
      <w:r>
        <w:rPr>
          <w:sz w:val="20"/>
        </w:rPr>
        <w:t xml:space="preserve">15) организация создана не позднее чем за один год до объявления конкурсного отбора;</w:t>
      </w:r>
    </w:p>
    <w:p>
      <w:pPr>
        <w:pStyle w:val="0"/>
        <w:spacing w:before="200" w:lineRule="auto"/>
        <w:ind w:firstLine="540"/>
        <w:jc w:val="both"/>
      </w:pPr>
      <w:r>
        <w:rPr>
          <w:sz w:val="20"/>
        </w:rPr>
        <w:t xml:space="preserve">16) организация имеет опыт, кадровый состав и материально-техническую базу, необходимые для достижения результата предоставления гранта;</w:t>
      </w:r>
    </w:p>
    <w:p>
      <w:pPr>
        <w:pStyle w:val="0"/>
        <w:spacing w:before="200" w:lineRule="auto"/>
        <w:ind w:firstLine="540"/>
        <w:jc w:val="both"/>
      </w:pPr>
      <w:r>
        <w:rPr>
          <w:sz w:val="20"/>
        </w:rPr>
        <w:t xml:space="preserve">17) фактический уровень заработной платы работников организации соответствует утвержденному уровню средней заработной платы в Свердловской области;</w:t>
      </w:r>
    </w:p>
    <w:p>
      <w:pPr>
        <w:pStyle w:val="0"/>
        <w:spacing w:before="200" w:lineRule="auto"/>
        <w:ind w:firstLine="540"/>
        <w:jc w:val="both"/>
      </w:pPr>
      <w:r>
        <w:rPr>
          <w:sz w:val="20"/>
        </w:rPr>
        <w:t xml:space="preserve">18) организация дает согласие на осуществление Министерством и органами государственного финансового контроля Свердловской области проверок соблюдения условий и порядка предоставления гранта;</w:t>
      </w:r>
    </w:p>
    <w:p>
      <w:pPr>
        <w:pStyle w:val="0"/>
        <w:spacing w:before="200" w:lineRule="auto"/>
        <w:ind w:firstLine="540"/>
        <w:jc w:val="both"/>
      </w:pPr>
      <w:r>
        <w:rPr>
          <w:sz w:val="20"/>
        </w:rPr>
        <w:t xml:space="preserve">19) в отношении организации отсутствует информация от уполномоченных государственных органов о деструктивном содержании или негативном влиянии проекта и (или) деятельности организации (руководителя организации);</w:t>
      </w:r>
    </w:p>
    <w:p>
      <w:pPr>
        <w:pStyle w:val="0"/>
        <w:spacing w:before="200" w:lineRule="auto"/>
        <w:ind w:firstLine="540"/>
        <w:jc w:val="both"/>
      </w:pPr>
      <w:r>
        <w:rPr>
          <w:sz w:val="20"/>
        </w:rPr>
        <w:t xml:space="preserve">20) в предыдущие периоды по ранее предоставленным Министерством субсидиям (грантам в форме субсидий) на реализацию творческих проектов у организации отсутствовали нарушения обязательств, установленных в соглашении, в том числе непредставление (несвоевременное представление) организацией отчетных документов об использовании указанных субсидий (грантов в форме субсидий), а также их нецелевое расходование.</w:t>
      </w:r>
    </w:p>
    <w:p>
      <w:pPr>
        <w:pStyle w:val="0"/>
        <w:spacing w:before="200" w:lineRule="auto"/>
        <w:ind w:firstLine="540"/>
        <w:jc w:val="both"/>
      </w:pPr>
      <w:r>
        <w:rPr>
          <w:sz w:val="20"/>
        </w:rPr>
        <w:t xml:space="preserve">15. Решение об отмене проведения конкурсного отбора принимается Министерством в случае уменьшения Министерству ранее доведенных лимитов бюджетных обязательств на предоставление грантов.</w:t>
      </w:r>
    </w:p>
    <w:p>
      <w:pPr>
        <w:pStyle w:val="0"/>
        <w:spacing w:before="200" w:lineRule="auto"/>
        <w:ind w:firstLine="540"/>
        <w:jc w:val="both"/>
      </w:pPr>
      <w:r>
        <w:rPr>
          <w:sz w:val="20"/>
        </w:rPr>
        <w:t xml:space="preserve">16. Размещение Министерством объявления об отмене проведения конкурсного отбора на портале допускается не позднее чем за один рабочий день до даты окончания срока подачи заявок.</w:t>
      </w:r>
    </w:p>
    <w:p>
      <w:pPr>
        <w:pStyle w:val="0"/>
        <w:spacing w:before="200" w:lineRule="auto"/>
        <w:ind w:firstLine="540"/>
        <w:jc w:val="both"/>
      </w:pPr>
      <w:r>
        <w:rPr>
          <w:sz w:val="20"/>
        </w:rPr>
        <w:t xml:space="preserve">17. Объявление об отмене проведения конкурсного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Министерства (уполномоченного им лица), размещается на портале и содержит информацию о причинах отмены проведения конкурсного отбора.</w:t>
      </w:r>
    </w:p>
    <w:p>
      <w:pPr>
        <w:pStyle w:val="0"/>
        <w:spacing w:before="200" w:lineRule="auto"/>
        <w:ind w:firstLine="540"/>
        <w:jc w:val="both"/>
      </w:pPr>
      <w:r>
        <w:rPr>
          <w:sz w:val="20"/>
        </w:rPr>
        <w:t xml:space="preserve">18. Участники конкурсного отбора информируются об отмене проведения конкурсного отбора на портале.</w:t>
      </w:r>
    </w:p>
    <w:p>
      <w:pPr>
        <w:pStyle w:val="0"/>
        <w:spacing w:before="200" w:lineRule="auto"/>
        <w:ind w:firstLine="540"/>
        <w:jc w:val="both"/>
      </w:pPr>
      <w:r>
        <w:rPr>
          <w:sz w:val="20"/>
        </w:rPr>
        <w:t xml:space="preserve">19. Конкурсный отбор считается отмененным со дня размещения на портале объявления об отмене проведения конкурсного отбора.</w:t>
      </w:r>
    </w:p>
    <w:p>
      <w:pPr>
        <w:pStyle w:val="0"/>
        <w:spacing w:before="200" w:lineRule="auto"/>
        <w:ind w:firstLine="540"/>
        <w:jc w:val="both"/>
      </w:pPr>
      <w:r>
        <w:rPr>
          <w:sz w:val="20"/>
        </w:rPr>
        <w:t xml:space="preserve">20. Конкурсный отбор считается несостоявшимся по одному из направлений, указанных в </w:t>
      </w:r>
      <w:hyperlink w:history="0" w:anchor="P690"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 в случае отсутствия заявок по данному направлению.</w:t>
      </w:r>
    </w:p>
    <w:p>
      <w:pPr>
        <w:pStyle w:val="0"/>
        <w:spacing w:before="200" w:lineRule="auto"/>
        <w:ind w:firstLine="540"/>
        <w:jc w:val="both"/>
      </w:pPr>
      <w:r>
        <w:rPr>
          <w:sz w:val="20"/>
        </w:rPr>
        <w:t xml:space="preserve">21. Заявки формируются участниками конкурсного отбора посредством заполнения соответствующих экранных форм веб-интерфейса на портале.</w:t>
      </w:r>
    </w:p>
    <w:p>
      <w:pPr>
        <w:pStyle w:val="0"/>
        <w:spacing w:before="200" w:lineRule="auto"/>
        <w:ind w:firstLine="540"/>
        <w:jc w:val="both"/>
      </w:pPr>
      <w:r>
        <w:rPr>
          <w:sz w:val="20"/>
        </w:rPr>
        <w:t xml:space="preserve">22. Заявка подписывается усиленной квалифицированной электронной подписью руководителя участника конкурсного отбора или уполномоченного им лица.</w:t>
      </w:r>
    </w:p>
    <w:p>
      <w:pPr>
        <w:pStyle w:val="0"/>
        <w:spacing w:before="200" w:lineRule="auto"/>
        <w:ind w:firstLine="540"/>
        <w:jc w:val="both"/>
      </w:pPr>
      <w:r>
        <w:rPr>
          <w:sz w:val="20"/>
        </w:rPr>
        <w:t xml:space="preserve">23. Ответственность за полноту и достоверность информации, содержащейся в заявке и прилагаемых к ней документах, а также за своевременность их представления несет участник конкурсного отбора в соответствии с законодательством Российской Федерации.</w:t>
      </w:r>
    </w:p>
    <w:p>
      <w:pPr>
        <w:pStyle w:val="0"/>
        <w:spacing w:before="200" w:lineRule="auto"/>
        <w:ind w:firstLine="540"/>
        <w:jc w:val="both"/>
      </w:pPr>
      <w:r>
        <w:rPr>
          <w:sz w:val="20"/>
        </w:rPr>
        <w:t xml:space="preserve">24. Датой и временем представления участником конкурсного отбора заявки считаются дата и время подписания участником конкурсного отбора заявки с присвоением ей регистрационного номера на портале.</w:t>
      </w:r>
    </w:p>
    <w:bookmarkStart w:id="776" w:name="P776"/>
    <w:bookmarkEnd w:id="776"/>
    <w:p>
      <w:pPr>
        <w:pStyle w:val="0"/>
        <w:spacing w:before="200" w:lineRule="auto"/>
        <w:ind w:firstLine="540"/>
        <w:jc w:val="both"/>
      </w:pPr>
      <w:r>
        <w:rPr>
          <w:sz w:val="20"/>
        </w:rPr>
        <w:t xml:space="preserve">25. Заявка содержит:</w:t>
      </w:r>
    </w:p>
    <w:p>
      <w:pPr>
        <w:pStyle w:val="0"/>
        <w:spacing w:before="200" w:lineRule="auto"/>
        <w:ind w:firstLine="540"/>
        <w:jc w:val="both"/>
      </w:pPr>
      <w:r>
        <w:rPr>
          <w:sz w:val="20"/>
        </w:rPr>
        <w:t xml:space="preserve">1) наименование направления конкурсного отбора;</w:t>
      </w:r>
    </w:p>
    <w:p>
      <w:pPr>
        <w:pStyle w:val="0"/>
        <w:spacing w:before="200" w:lineRule="auto"/>
        <w:ind w:firstLine="540"/>
        <w:jc w:val="both"/>
      </w:pPr>
      <w:r>
        <w:rPr>
          <w:sz w:val="20"/>
        </w:rPr>
        <w:t xml:space="preserve">2) наименование проекта, на реализацию которого запрашивается грант;</w:t>
      </w:r>
    </w:p>
    <w:p>
      <w:pPr>
        <w:pStyle w:val="0"/>
        <w:spacing w:before="200" w:lineRule="auto"/>
        <w:ind w:firstLine="540"/>
        <w:jc w:val="both"/>
      </w:pPr>
      <w:r>
        <w:rPr>
          <w:sz w:val="20"/>
        </w:rPr>
        <w:t xml:space="preserve">3) краткое описание проекта;</w:t>
      </w:r>
    </w:p>
    <w:p>
      <w:pPr>
        <w:pStyle w:val="0"/>
        <w:spacing w:before="200" w:lineRule="auto"/>
        <w:ind w:firstLine="540"/>
        <w:jc w:val="both"/>
      </w:pPr>
      <w:r>
        <w:rPr>
          <w:sz w:val="20"/>
        </w:rPr>
        <w:t xml:space="preserve">4) географию проекта (территориальный охват проекта);</w:t>
      </w:r>
    </w:p>
    <w:p>
      <w:pPr>
        <w:pStyle w:val="0"/>
        <w:spacing w:before="200" w:lineRule="auto"/>
        <w:ind w:firstLine="540"/>
        <w:jc w:val="both"/>
      </w:pPr>
      <w:r>
        <w:rPr>
          <w:sz w:val="20"/>
        </w:rPr>
        <w:t xml:space="preserve">5) срок реализации проекта;</w:t>
      </w:r>
    </w:p>
    <w:p>
      <w:pPr>
        <w:pStyle w:val="0"/>
        <w:spacing w:before="200" w:lineRule="auto"/>
        <w:ind w:firstLine="540"/>
        <w:jc w:val="both"/>
      </w:pPr>
      <w:r>
        <w:rPr>
          <w:sz w:val="20"/>
        </w:rPr>
        <w:t xml:space="preserve">6) обоснование социальной значимости проекта;</w:t>
      </w:r>
    </w:p>
    <w:p>
      <w:pPr>
        <w:pStyle w:val="0"/>
        <w:spacing w:before="200" w:lineRule="auto"/>
        <w:ind w:firstLine="540"/>
        <w:jc w:val="both"/>
      </w:pPr>
      <w:r>
        <w:rPr>
          <w:sz w:val="20"/>
        </w:rPr>
        <w:t xml:space="preserve">7) описание целевых групп проекта;</w:t>
      </w:r>
    </w:p>
    <w:p>
      <w:pPr>
        <w:pStyle w:val="0"/>
        <w:spacing w:before="200" w:lineRule="auto"/>
        <w:ind w:firstLine="540"/>
        <w:jc w:val="both"/>
      </w:pPr>
      <w:r>
        <w:rPr>
          <w:sz w:val="20"/>
        </w:rPr>
        <w:t xml:space="preserve">8) цель (цели) и задачи проекта;</w:t>
      </w:r>
    </w:p>
    <w:p>
      <w:pPr>
        <w:pStyle w:val="0"/>
        <w:spacing w:before="200" w:lineRule="auto"/>
        <w:ind w:firstLine="540"/>
        <w:jc w:val="both"/>
      </w:pPr>
      <w:r>
        <w:rPr>
          <w:sz w:val="20"/>
        </w:rPr>
        <w:t xml:space="preserve">9) ожидаемые количественные и качественные результаты проекта;</w:t>
      </w:r>
    </w:p>
    <w:p>
      <w:pPr>
        <w:pStyle w:val="0"/>
        <w:spacing w:before="200" w:lineRule="auto"/>
        <w:ind w:firstLine="540"/>
        <w:jc w:val="both"/>
      </w:pPr>
      <w:r>
        <w:rPr>
          <w:sz w:val="20"/>
        </w:rPr>
        <w:t xml:space="preserve">10) календарный план мероприятий проекта;</w:t>
      </w:r>
    </w:p>
    <w:p>
      <w:pPr>
        <w:pStyle w:val="0"/>
        <w:spacing w:before="200" w:lineRule="auto"/>
        <w:ind w:firstLine="540"/>
        <w:jc w:val="both"/>
      </w:pPr>
      <w:r>
        <w:rPr>
          <w:sz w:val="20"/>
        </w:rPr>
        <w:t xml:space="preserve">11) бюджет проекта;</w:t>
      </w:r>
    </w:p>
    <w:p>
      <w:pPr>
        <w:pStyle w:val="0"/>
        <w:spacing w:before="200" w:lineRule="auto"/>
        <w:ind w:firstLine="540"/>
        <w:jc w:val="both"/>
      </w:pPr>
      <w:r>
        <w:rPr>
          <w:sz w:val="20"/>
        </w:rPr>
        <w:t xml:space="preserve">12) информацию о руководителе проекта;</w:t>
      </w:r>
    </w:p>
    <w:p>
      <w:pPr>
        <w:pStyle w:val="0"/>
        <w:spacing w:before="200" w:lineRule="auto"/>
        <w:ind w:firstLine="540"/>
        <w:jc w:val="both"/>
      </w:pPr>
      <w:r>
        <w:rPr>
          <w:sz w:val="20"/>
        </w:rPr>
        <w:t xml:space="preserve">13) информацию о команде проекта;</w:t>
      </w:r>
    </w:p>
    <w:p>
      <w:pPr>
        <w:pStyle w:val="0"/>
        <w:spacing w:before="200" w:lineRule="auto"/>
        <w:ind w:firstLine="540"/>
        <w:jc w:val="both"/>
      </w:pPr>
      <w:r>
        <w:rPr>
          <w:sz w:val="20"/>
        </w:rPr>
        <w:t xml:space="preserve">14) информацию об организации, включающую:</w:t>
      </w:r>
    </w:p>
    <w:p>
      <w:pPr>
        <w:pStyle w:val="0"/>
        <w:spacing w:before="200" w:lineRule="auto"/>
        <w:ind w:firstLine="540"/>
        <w:jc w:val="both"/>
      </w:pPr>
      <w:r>
        <w:rPr>
          <w:sz w:val="20"/>
        </w:rPr>
        <w:t xml:space="preserve">полное и сокращенное (при наличии) наименование организации, основной государственный регистрационный номер, идентификационный номер налогоплательщика, место нахождения организации;</w:t>
      </w:r>
    </w:p>
    <w:p>
      <w:pPr>
        <w:pStyle w:val="0"/>
        <w:spacing w:before="200" w:lineRule="auto"/>
        <w:ind w:firstLine="540"/>
        <w:jc w:val="both"/>
      </w:pPr>
      <w:r>
        <w:rPr>
          <w:sz w:val="20"/>
        </w:rPr>
        <w:t xml:space="preserve">основные виды деятельности организации;</w:t>
      </w:r>
    </w:p>
    <w:p>
      <w:pPr>
        <w:pStyle w:val="0"/>
        <w:spacing w:before="200" w:lineRule="auto"/>
        <w:ind w:firstLine="540"/>
        <w:jc w:val="both"/>
      </w:pPr>
      <w:r>
        <w:rPr>
          <w:sz w:val="20"/>
        </w:rPr>
        <w:t xml:space="preserve">опыт организации по успешной реализации проектов;</w:t>
      </w:r>
    </w:p>
    <w:p>
      <w:pPr>
        <w:pStyle w:val="0"/>
        <w:spacing w:before="200" w:lineRule="auto"/>
        <w:ind w:firstLine="540"/>
        <w:jc w:val="both"/>
      </w:pPr>
      <w:r>
        <w:rPr>
          <w:sz w:val="20"/>
        </w:rPr>
        <w:t xml:space="preserve">сведения о сайтах организации в сети Интернет и страницах (группах) в социальных сетях;</w:t>
      </w:r>
    </w:p>
    <w:p>
      <w:pPr>
        <w:pStyle w:val="0"/>
        <w:spacing w:before="200" w:lineRule="auto"/>
        <w:ind w:firstLine="540"/>
        <w:jc w:val="both"/>
      </w:pPr>
      <w:r>
        <w:rPr>
          <w:sz w:val="20"/>
        </w:rPr>
        <w:t xml:space="preserve">контактный телефон организации;</w:t>
      </w:r>
    </w:p>
    <w:p>
      <w:pPr>
        <w:pStyle w:val="0"/>
        <w:spacing w:before="200" w:lineRule="auto"/>
        <w:ind w:firstLine="540"/>
        <w:jc w:val="both"/>
      </w:pPr>
      <w:r>
        <w:rPr>
          <w:sz w:val="20"/>
        </w:rPr>
        <w:t xml:space="preserve">адрес электронной почты для направления организации юридически значимых сообщений.</w:t>
      </w:r>
    </w:p>
    <w:bookmarkStart w:id="797" w:name="P797"/>
    <w:bookmarkEnd w:id="797"/>
    <w:p>
      <w:pPr>
        <w:pStyle w:val="0"/>
        <w:spacing w:before="200" w:lineRule="auto"/>
        <w:ind w:firstLine="540"/>
        <w:jc w:val="both"/>
      </w:pPr>
      <w:r>
        <w:rPr>
          <w:sz w:val="20"/>
        </w:rPr>
        <w:t xml:space="preserve">26. К заявке прилагаются следующие документы:</w:t>
      </w:r>
    </w:p>
    <w:bookmarkStart w:id="798" w:name="P798"/>
    <w:bookmarkEnd w:id="798"/>
    <w:p>
      <w:pPr>
        <w:pStyle w:val="0"/>
        <w:spacing w:before="200" w:lineRule="auto"/>
        <w:ind w:firstLine="540"/>
        <w:jc w:val="both"/>
      </w:pPr>
      <w:r>
        <w:rPr>
          <w:sz w:val="20"/>
        </w:rPr>
        <w:t xml:space="preserve">1) электронная (сканированная) копия устава организации, заверенная подписью руководителя организации и печатью организации (при наличии);</w:t>
      </w:r>
    </w:p>
    <w:p>
      <w:pPr>
        <w:pStyle w:val="0"/>
        <w:spacing w:before="200" w:lineRule="auto"/>
        <w:ind w:firstLine="540"/>
        <w:jc w:val="both"/>
      </w:pPr>
      <w:r>
        <w:rPr>
          <w:sz w:val="20"/>
        </w:rPr>
        <w:t xml:space="preserve">2) выписка из Единого государственного реестра юридических лиц;</w:t>
      </w:r>
    </w:p>
    <w:p>
      <w:pPr>
        <w:pStyle w:val="0"/>
        <w:spacing w:before="200" w:lineRule="auto"/>
        <w:ind w:firstLine="540"/>
        <w:jc w:val="both"/>
      </w:pPr>
      <w:r>
        <w:rPr>
          <w:sz w:val="20"/>
        </w:rPr>
        <w:t xml:space="preserve">3) электронная (сканированная) копия документа, подтверждающего полномочия лица на подачу заявки от имени организации (в случае если заявку подает лицо, сведения о котором как о лице, имеющем право без доверенности действовать от имени организации, не содержатся в Едином государственном реестре юридических лиц);</w:t>
      </w:r>
    </w:p>
    <w:p>
      <w:pPr>
        <w:pStyle w:val="0"/>
        <w:spacing w:before="200" w:lineRule="auto"/>
        <w:ind w:firstLine="540"/>
        <w:jc w:val="both"/>
      </w:pPr>
      <w:r>
        <w:rPr>
          <w:sz w:val="20"/>
        </w:rPr>
        <w:t xml:space="preserve">4) согласие на обработку персональных данных и согласие на публикацию (размещение) в сети Интернет информации об участнике конкурсного отбора, заявке, подаваемой участником конкурсного отбора, и иной информации об участнике конкурсного отбора, являющейся неотъемлемой частью заявки;</w:t>
      </w:r>
    </w:p>
    <w:p>
      <w:pPr>
        <w:pStyle w:val="0"/>
        <w:spacing w:before="200" w:lineRule="auto"/>
        <w:ind w:firstLine="540"/>
        <w:jc w:val="both"/>
      </w:pPr>
      <w:r>
        <w:rPr>
          <w:sz w:val="20"/>
        </w:rPr>
        <w:t xml:space="preserve">5) справка о состоянии расчетов по налогам, сборам, пеням, штрафам, процентам, выданная территориальным налоговым органом Федеральной налоговой службы;</w:t>
      </w:r>
    </w:p>
    <w:bookmarkStart w:id="803" w:name="P803"/>
    <w:bookmarkEnd w:id="803"/>
    <w:p>
      <w:pPr>
        <w:pStyle w:val="0"/>
        <w:spacing w:before="200" w:lineRule="auto"/>
        <w:ind w:firstLine="540"/>
        <w:jc w:val="both"/>
      </w:pPr>
      <w:r>
        <w:rPr>
          <w:sz w:val="20"/>
        </w:rPr>
        <w:t xml:space="preserve">6) справка на бланке организации о соответствии организации требованиям, указанным в </w:t>
      </w:r>
      <w:hyperlink w:history="0" w:anchor="P745"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 подписанная руководителем организации или лицом, его замещающим.</w:t>
      </w:r>
    </w:p>
    <w:bookmarkStart w:id="804" w:name="P804"/>
    <w:bookmarkEnd w:id="804"/>
    <w:p>
      <w:pPr>
        <w:pStyle w:val="0"/>
        <w:spacing w:before="200" w:lineRule="auto"/>
        <w:ind w:firstLine="540"/>
        <w:jc w:val="both"/>
      </w:pPr>
      <w:r>
        <w:rPr>
          <w:sz w:val="20"/>
        </w:rPr>
        <w:t xml:space="preserve">Каждый из документов, указанных в </w:t>
      </w:r>
      <w:hyperlink w:history="0" w:anchor="P798" w:tooltip="1) электронная (сканированная) копия устава организации, заверенная подписью руководителя организации и печатью организации (при наличии);">
        <w:r>
          <w:rPr>
            <w:sz w:val="20"/>
            <w:color w:val="0000ff"/>
          </w:rPr>
          <w:t xml:space="preserve">подпунктах 1</w:t>
        </w:r>
      </w:hyperlink>
      <w:r>
        <w:rPr>
          <w:sz w:val="20"/>
        </w:rPr>
        <w:t xml:space="preserve"> - </w:t>
      </w:r>
      <w:hyperlink w:history="0" w:anchor="P803" w:tooltip="6) справка на бланке организации о соответствии организации требованиям, указанным в пункте 14 настоящего порядка, подписанная руководителем организации или лицом, его замещающим.">
        <w:r>
          <w:rPr>
            <w:sz w:val="20"/>
            <w:color w:val="0000ff"/>
          </w:rPr>
          <w:t xml:space="preserve">6 части первой</w:t>
        </w:r>
      </w:hyperlink>
      <w:r>
        <w:rPr>
          <w:sz w:val="20"/>
        </w:rPr>
        <w:t xml:space="preserve"> настоящего пункта, представляется в виде одного файла в формате pdf.</w:t>
      </w:r>
    </w:p>
    <w:p>
      <w:pPr>
        <w:pStyle w:val="0"/>
        <w:spacing w:before="200" w:lineRule="auto"/>
        <w:ind w:firstLine="540"/>
        <w:jc w:val="both"/>
      </w:pPr>
      <w:r>
        <w:rPr>
          <w:sz w:val="20"/>
        </w:rPr>
        <w:t xml:space="preserve">Организация вправе приложить к заявке иные документы и дополнительные материалы, которые считает необходимым приложить к заявке. К таким документам в том числе относятся отзывы лиц, известных в сфере театрального, музыкального, хореографического искусства, о деятельности организации за последние 3 года, информация о наградах организации за последние 3 года, копии дипломов и иные документы.</w:t>
      </w:r>
    </w:p>
    <w:p>
      <w:pPr>
        <w:pStyle w:val="0"/>
        <w:spacing w:before="200" w:lineRule="auto"/>
        <w:ind w:firstLine="540"/>
        <w:jc w:val="both"/>
      </w:pPr>
      <w:r>
        <w:rPr>
          <w:sz w:val="20"/>
        </w:rPr>
        <w:t xml:space="preserve">27. Участник конкурсного отбора вправе представить на конкурсный отбор не более одного проекта по каждому из направлений конкурсного отбора, указанных в </w:t>
      </w:r>
      <w:hyperlink w:history="0" w:anchor="P690"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настоящего порядка. Каждый проект оформляется отдельной заявкой.</w:t>
      </w:r>
    </w:p>
    <w:p>
      <w:pPr>
        <w:pStyle w:val="0"/>
        <w:spacing w:before="200" w:lineRule="auto"/>
        <w:ind w:firstLine="540"/>
        <w:jc w:val="both"/>
      </w:pPr>
      <w:r>
        <w:rPr>
          <w:sz w:val="20"/>
        </w:rPr>
        <w:t xml:space="preserve">28. Участник конкурсного отбора имеет право внести изменения в заявку, зарегистрированную на портале, а также приложить документы к заявке в течение срока приема заявок, указанного в объявлении, на этапе рассмотрения заявок Министерством.</w:t>
      </w:r>
    </w:p>
    <w:p>
      <w:pPr>
        <w:pStyle w:val="0"/>
        <w:spacing w:before="200" w:lineRule="auto"/>
        <w:ind w:firstLine="540"/>
        <w:jc w:val="both"/>
      </w:pPr>
      <w:r>
        <w:rPr>
          <w:sz w:val="20"/>
        </w:rPr>
        <w:t xml:space="preserve">Внесение изменений в заявку осуществляется после формирования участником конкурсного отбора в электронной форме уведомления об отзыве заявки и последующего формирования новой заявки не позднее 3 рабочих дней до окончания срока приема заявок.</w:t>
      </w:r>
    </w:p>
    <w:p>
      <w:pPr>
        <w:pStyle w:val="0"/>
        <w:spacing w:before="200" w:lineRule="auto"/>
        <w:ind w:firstLine="540"/>
        <w:jc w:val="both"/>
      </w:pPr>
      <w:r>
        <w:rPr>
          <w:sz w:val="20"/>
        </w:rPr>
        <w:t xml:space="preserve">29. Основанием для возврата заявки на доработку на этапе рассмотрения заявки Министерством является несоответствие заявки требованиям, указанным в </w:t>
      </w:r>
      <w:hyperlink w:history="0" w:anchor="P776" w:tooltip="25. Заявка содержит:">
        <w:r>
          <w:rPr>
            <w:sz w:val="20"/>
            <w:color w:val="0000ff"/>
          </w:rPr>
          <w:t xml:space="preserve">пункте 25</w:t>
        </w:r>
      </w:hyperlink>
      <w:r>
        <w:rPr>
          <w:sz w:val="20"/>
        </w:rPr>
        <w:t xml:space="preserve"> и </w:t>
      </w:r>
      <w:hyperlink w:history="0" w:anchor="P797" w:tooltip="26. К заявке прилагаются следующие документы:">
        <w:r>
          <w:rPr>
            <w:sz w:val="20"/>
            <w:color w:val="0000ff"/>
          </w:rPr>
          <w:t xml:space="preserve">частях первой</w:t>
        </w:r>
      </w:hyperlink>
      <w:r>
        <w:rPr>
          <w:sz w:val="20"/>
        </w:rPr>
        <w:t xml:space="preserve"> и </w:t>
      </w:r>
      <w:hyperlink w:history="0" w:anchor="P804" w:tooltip="Каждый из документов, указанных в подпунктах 1 - 6 части первой настоящего пункта, представляется в виде одного файла в формате pdf.">
        <w:r>
          <w:rPr>
            <w:sz w:val="20"/>
            <w:color w:val="0000ff"/>
          </w:rPr>
          <w:t xml:space="preserve">второй пункта 26</w:t>
        </w:r>
      </w:hyperlink>
      <w:r>
        <w:rPr>
          <w:sz w:val="20"/>
        </w:rPr>
        <w:t xml:space="preserve"> настоящего порядка.</w:t>
      </w:r>
    </w:p>
    <w:p>
      <w:pPr>
        <w:pStyle w:val="0"/>
        <w:spacing w:before="200" w:lineRule="auto"/>
        <w:ind w:firstLine="540"/>
        <w:jc w:val="both"/>
      </w:pPr>
      <w:r>
        <w:rPr>
          <w:sz w:val="20"/>
        </w:rPr>
        <w:t xml:space="preserve">30. Решение Министерства о возврате участникам конкурсного отбора заявок на доработку с указанием оснований для возврата, а также положений заявок, нуждающихся в доработке, принимается в отношении всех участников конкурсного отбора, при рассмотрении заявок которых выявлены основания для возврата заявок на доработку.</w:t>
      </w:r>
    </w:p>
    <w:bookmarkStart w:id="811" w:name="P811"/>
    <w:bookmarkEnd w:id="811"/>
    <w:p>
      <w:pPr>
        <w:pStyle w:val="0"/>
        <w:spacing w:before="200" w:lineRule="auto"/>
        <w:ind w:firstLine="540"/>
        <w:jc w:val="both"/>
      </w:pPr>
      <w:r>
        <w:rPr>
          <w:sz w:val="20"/>
        </w:rPr>
        <w:t xml:space="preserve">31. На стадии рассмотрения заявка отклоняется в случае несоответствия участника конкурсного отбора требованиям, указанным в </w:t>
      </w:r>
      <w:hyperlink w:history="0" w:anchor="P745"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32. Решение об отсутствии (наличии) оснований для отклонения заявки принимается комиссией на дату получения от группы технического сопровождения результатов проверки представленных участником конкурсного отбора информации и документов, поданных в составе заявки.</w:t>
      </w:r>
    </w:p>
    <w:p>
      <w:pPr>
        <w:pStyle w:val="0"/>
        <w:spacing w:before="200" w:lineRule="auto"/>
        <w:ind w:firstLine="540"/>
        <w:jc w:val="both"/>
      </w:pPr>
      <w:r>
        <w:rPr>
          <w:sz w:val="20"/>
        </w:rPr>
        <w:t xml:space="preserve">33. Министерство не позднее одного рабочего дня, следующего за днем вскрытия заявок, подписывает протокол вскрытия заявок, содержащий следующую информацию о поступивших для участия в конкурсном отборе заявках:</w:t>
      </w:r>
    </w:p>
    <w:p>
      <w:pPr>
        <w:pStyle w:val="0"/>
        <w:spacing w:before="200" w:lineRule="auto"/>
        <w:ind w:firstLine="540"/>
        <w:jc w:val="both"/>
      </w:pPr>
      <w:r>
        <w:rPr>
          <w:sz w:val="20"/>
        </w:rPr>
        <w:t xml:space="preserve">1) регистрационный номер заявки;</w:t>
      </w:r>
    </w:p>
    <w:p>
      <w:pPr>
        <w:pStyle w:val="0"/>
        <w:spacing w:before="200" w:lineRule="auto"/>
        <w:ind w:firstLine="540"/>
        <w:jc w:val="both"/>
      </w:pPr>
      <w:r>
        <w:rPr>
          <w:sz w:val="20"/>
        </w:rPr>
        <w:t xml:space="preserve">2) дата и время поступления заявки;</w:t>
      </w:r>
    </w:p>
    <w:p>
      <w:pPr>
        <w:pStyle w:val="0"/>
        <w:spacing w:before="200" w:lineRule="auto"/>
        <w:ind w:firstLine="540"/>
        <w:jc w:val="both"/>
      </w:pPr>
      <w:r>
        <w:rPr>
          <w:sz w:val="20"/>
        </w:rPr>
        <w:t xml:space="preserve">3) полное наименование участника конкурсного отбора;</w:t>
      </w:r>
    </w:p>
    <w:p>
      <w:pPr>
        <w:pStyle w:val="0"/>
        <w:spacing w:before="200" w:lineRule="auto"/>
        <w:ind w:firstLine="540"/>
        <w:jc w:val="both"/>
      </w:pPr>
      <w:r>
        <w:rPr>
          <w:sz w:val="20"/>
        </w:rPr>
        <w:t xml:space="preserve">4) адрес юридического лица участника конкурсного отбора;</w:t>
      </w:r>
    </w:p>
    <w:p>
      <w:pPr>
        <w:pStyle w:val="0"/>
        <w:spacing w:before="200" w:lineRule="auto"/>
        <w:ind w:firstLine="540"/>
        <w:jc w:val="both"/>
      </w:pPr>
      <w:r>
        <w:rPr>
          <w:sz w:val="20"/>
        </w:rPr>
        <w:t xml:space="preserve">5) запрашиваемый участником конкурсного отбора размер гранта.</w:t>
      </w:r>
    </w:p>
    <w:p>
      <w:pPr>
        <w:pStyle w:val="0"/>
        <w:spacing w:before="200" w:lineRule="auto"/>
        <w:ind w:firstLine="540"/>
        <w:jc w:val="both"/>
      </w:pPr>
      <w:r>
        <w:rPr>
          <w:sz w:val="20"/>
        </w:rPr>
        <w:t xml:space="preserve">34. Протокол вскрытия заявок формируется на портале автоматически и подписывается усиленной квалифицированной электронной подписью председателя комиссии в системе "Электронный бюджет", а также размещается на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35. По результатам рассмотрения заявок не позднее одного рабочего дня со дня окончания срока рассмотрения заявок группой технического сопровождения формируется проект протокола рассмотрения заявок, включающий информацию о количестве поступивших и рассмотренных заявок, а также информацию по каждому участнику конкурсного отбора о признании его заявки допущенной к конкурсному отбору или об отклонении его заявки с указанием оснований для отклонения.</w:t>
      </w:r>
    </w:p>
    <w:p>
      <w:pPr>
        <w:pStyle w:val="0"/>
        <w:spacing w:before="200" w:lineRule="auto"/>
        <w:ind w:firstLine="540"/>
        <w:jc w:val="both"/>
      </w:pPr>
      <w:r>
        <w:rPr>
          <w:sz w:val="20"/>
        </w:rPr>
        <w:t xml:space="preserve">36. Протокол рассмотрения заявок формируется на портале автоматически на основании результатов рассмотрения заявок и подписывается усиленной квалифицированной электронной подписью председателя комиссии в системе "Электронный бюджет", а также размещается на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37. Допуск экспертов к заявкам для проведения оценки заявок осуществляется после утверждения протокола рассмотрения заявок членами комиссии.</w:t>
      </w:r>
    </w:p>
    <w:p>
      <w:pPr>
        <w:pStyle w:val="0"/>
        <w:spacing w:before="200" w:lineRule="auto"/>
        <w:ind w:firstLine="540"/>
        <w:jc w:val="both"/>
      </w:pPr>
      <w:r>
        <w:rPr>
          <w:sz w:val="20"/>
        </w:rPr>
        <w:t xml:space="preserve">38. Каждая заявка оценивается не менее чем тремя экспертами.</w:t>
      </w:r>
    </w:p>
    <w:p>
      <w:pPr>
        <w:pStyle w:val="0"/>
        <w:spacing w:before="200" w:lineRule="auto"/>
        <w:ind w:firstLine="540"/>
        <w:jc w:val="both"/>
      </w:pPr>
      <w:r>
        <w:rPr>
          <w:sz w:val="20"/>
        </w:rPr>
        <w:t xml:space="preserve">39. Рассмотрение и оценка заявок осуществляются каждым членом комиссии в соответствии с </w:t>
      </w:r>
      <w:hyperlink w:history="0" w:anchor="P898" w:tooltip="МЕТОДИКА">
        <w:r>
          <w:rPr>
            <w:sz w:val="20"/>
            <w:color w:val="0000ff"/>
          </w:rPr>
          <w:t xml:space="preserve">Методикой</w:t>
        </w:r>
      </w:hyperlink>
      <w:r>
        <w:rPr>
          <w:sz w:val="20"/>
        </w:rPr>
        <w:t xml:space="preserve"> оценки заявок участников конкурсного отбора на предоставление грантов в форме субсидий некоммерческим организациям, не являющимся государственными и муниципальными учреждениями, в сфере культуры, приведенной в приложении к настоящему порядку.</w:t>
      </w:r>
    </w:p>
    <w:p>
      <w:pPr>
        <w:pStyle w:val="0"/>
        <w:spacing w:before="200" w:lineRule="auto"/>
        <w:ind w:firstLine="540"/>
        <w:jc w:val="both"/>
      </w:pPr>
      <w:r>
        <w:rPr>
          <w:sz w:val="20"/>
        </w:rPr>
        <w:t xml:space="preserve">40. В целях завершения конкурсного отбора и определения победителей конкурсного отбора формируется протокол подведения итогов конкурсного отбора, включающий информацию о количестве набранных каждым участником конкурсного отбора баллов по каждому критерию оценки заявок, об общем количестве набранных каждым участником конкурсного отбора баллов по результатам оценки заявок, о победителях конкурсного отбора с указанием размеров грантов, об отклонении заявок с указанием оснований для их отклонения.</w:t>
      </w:r>
    </w:p>
    <w:p>
      <w:pPr>
        <w:pStyle w:val="0"/>
        <w:spacing w:before="200" w:lineRule="auto"/>
        <w:ind w:firstLine="540"/>
        <w:jc w:val="both"/>
      </w:pPr>
      <w:r>
        <w:rPr>
          <w:sz w:val="20"/>
        </w:rPr>
        <w:t xml:space="preserve">41. Протокол подведения итогов конкурсного отбора формируется на портале автоматически на основании результатов определения победителей конкурсного отбора и подписывается усиленной квалифицированной электронной подписью председателя комиссии в системе "Электронный бюджет", а также размещается на портале не позднее рабочего дня, следующего за днем его подписания.</w:t>
      </w:r>
    </w:p>
    <w:p>
      <w:pPr>
        <w:pStyle w:val="0"/>
        <w:ind w:firstLine="540"/>
        <w:jc w:val="both"/>
      </w:pPr>
      <w:r>
        <w:rPr>
          <w:sz w:val="20"/>
        </w:rPr>
      </w:r>
    </w:p>
    <w:p>
      <w:pPr>
        <w:pStyle w:val="2"/>
        <w:outlineLvl w:val="1"/>
        <w:jc w:val="center"/>
      </w:pPr>
      <w:r>
        <w:rPr>
          <w:sz w:val="20"/>
        </w:rPr>
        <w:t xml:space="preserve">Глава 3. УСЛОВИЯ И ПОРЯДОК ПРЕДОСТАВЛЕНИЯ ГРАНТОВ</w:t>
      </w:r>
    </w:p>
    <w:p>
      <w:pPr>
        <w:pStyle w:val="0"/>
        <w:ind w:firstLine="540"/>
        <w:jc w:val="both"/>
      </w:pPr>
      <w:r>
        <w:rPr>
          <w:sz w:val="20"/>
        </w:rPr>
      </w:r>
    </w:p>
    <w:p>
      <w:pPr>
        <w:pStyle w:val="0"/>
        <w:ind w:firstLine="540"/>
        <w:jc w:val="both"/>
      </w:pPr>
      <w:r>
        <w:rPr>
          <w:sz w:val="20"/>
        </w:rPr>
        <w:t xml:space="preserve">42. Грант предоставляется в соответствии с бюджетным законодательством Российской Федерации и настоящим порядком.</w:t>
      </w:r>
    </w:p>
    <w:p>
      <w:pPr>
        <w:pStyle w:val="0"/>
        <w:spacing w:before="200" w:lineRule="auto"/>
        <w:ind w:firstLine="540"/>
        <w:jc w:val="both"/>
      </w:pPr>
      <w:r>
        <w:rPr>
          <w:sz w:val="20"/>
        </w:rPr>
        <w:t xml:space="preserve">43. Грант предоставляется при условии соответствия победителя конкурсного отбора на первое число месяца, предшествующего месяцу, в котором планируется заключение соглашения, требованиям, указанным в </w:t>
      </w:r>
      <w:hyperlink w:history="0" w:anchor="P745"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44. Грант может быть использован только на осуществление целевых расходов, связанных с реализацией проекта, в том числе расходов на оплату труда (не более 5% от объема гранта), расходов на приобретение имущественных прав, в том числе прав на результаты интеллектуальной деятельности, расходов на командировки и прочих расходов, непосредственно связанных с реализацией проекта.</w:t>
      </w:r>
    </w:p>
    <w:p>
      <w:pPr>
        <w:pStyle w:val="0"/>
        <w:spacing w:before="200" w:lineRule="auto"/>
        <w:ind w:firstLine="540"/>
        <w:jc w:val="both"/>
      </w:pPr>
      <w:r>
        <w:rPr>
          <w:sz w:val="20"/>
        </w:rPr>
        <w:t xml:space="preserve">45. За счет гранта запрещается осуществлять следующие расходы:</w:t>
      </w:r>
    </w:p>
    <w:p>
      <w:pPr>
        <w:pStyle w:val="0"/>
        <w:spacing w:before="200" w:lineRule="auto"/>
        <w:ind w:firstLine="540"/>
        <w:jc w:val="both"/>
      </w:pPr>
      <w:r>
        <w:rPr>
          <w:sz w:val="20"/>
        </w:rPr>
        <w:t xml:space="preserve">1) расходы на содержание организации (аренда помещения организации, коммунальные услуги, услуги связи, юридические и бухгалтерские услуги, содержание хозяйственных служб и иные аналогичные расходы);</w:t>
      </w:r>
    </w:p>
    <w:p>
      <w:pPr>
        <w:pStyle w:val="0"/>
        <w:spacing w:before="200" w:lineRule="auto"/>
        <w:ind w:firstLine="540"/>
        <w:jc w:val="both"/>
      </w:pPr>
      <w:r>
        <w:rPr>
          <w:sz w:val="20"/>
        </w:rPr>
        <w:t xml:space="preserve">2) расходы на содержание руководства организации, включая руководителя, заместителей и помощников руководителя, работников бухгалтерии, юридических служб и иных административных служб;</w:t>
      </w:r>
    </w:p>
    <w:p>
      <w:pPr>
        <w:pStyle w:val="0"/>
        <w:spacing w:before="200" w:lineRule="auto"/>
        <w:ind w:firstLine="540"/>
        <w:jc w:val="both"/>
      </w:pPr>
      <w:r>
        <w:rPr>
          <w:sz w:val="20"/>
        </w:rPr>
        <w:t xml:space="preserve">3) расходы на оплату труда с учетом страховых взносов координатора, руководителя, менеджера, администратора проекта, их помощников или заместителей (при наличии) или иных специалистов, выполняющих аналогичный функционал, или расходы по оплате договоров с физическими лицами, индивидуальными предпринимателями или юридическими лицами на выполнение такого функционала свыше 5% от объема гранта;</w:t>
      </w:r>
    </w:p>
    <w:p>
      <w:pPr>
        <w:pStyle w:val="0"/>
        <w:spacing w:before="200" w:lineRule="auto"/>
        <w:ind w:firstLine="540"/>
        <w:jc w:val="both"/>
      </w:pPr>
      <w:r>
        <w:rPr>
          <w:sz w:val="20"/>
        </w:rPr>
        <w:t xml:space="preserve">4) расходы, связанные с осуществлением предпринимательской деятельности;</w:t>
      </w:r>
    </w:p>
    <w:p>
      <w:pPr>
        <w:pStyle w:val="0"/>
        <w:spacing w:before="200" w:lineRule="auto"/>
        <w:ind w:firstLine="540"/>
        <w:jc w:val="both"/>
      </w:pPr>
      <w:r>
        <w:rPr>
          <w:sz w:val="20"/>
        </w:rPr>
        <w:t xml:space="preserve">5) расходы на осуществление деятельности, напрямую не связанной с реализацией проектов;</w:t>
      </w:r>
    </w:p>
    <w:p>
      <w:pPr>
        <w:pStyle w:val="0"/>
        <w:spacing w:before="200" w:lineRule="auto"/>
        <w:ind w:firstLine="540"/>
        <w:jc w:val="both"/>
      </w:pPr>
      <w:r>
        <w:rPr>
          <w:sz w:val="20"/>
        </w:rPr>
        <w:t xml:space="preserve">6) расходы на поддержку политических партий и политических кампаний;</w:t>
      </w:r>
    </w:p>
    <w:p>
      <w:pPr>
        <w:pStyle w:val="0"/>
        <w:spacing w:before="200" w:lineRule="auto"/>
        <w:ind w:firstLine="540"/>
        <w:jc w:val="both"/>
      </w:pPr>
      <w:r>
        <w:rPr>
          <w:sz w:val="20"/>
        </w:rPr>
        <w:t xml:space="preserve">7) расходы на проведение митингов, демонстраций, пикетирований;</w:t>
      </w:r>
    </w:p>
    <w:p>
      <w:pPr>
        <w:pStyle w:val="0"/>
        <w:spacing w:before="200" w:lineRule="auto"/>
        <w:ind w:firstLine="540"/>
        <w:jc w:val="both"/>
      </w:pPr>
      <w:r>
        <w:rPr>
          <w:sz w:val="20"/>
        </w:rPr>
        <w:t xml:space="preserve">8) расходы на приобретение алкогольных напитков и табачной продукции;</w:t>
      </w:r>
    </w:p>
    <w:p>
      <w:pPr>
        <w:pStyle w:val="0"/>
        <w:spacing w:before="200" w:lineRule="auto"/>
        <w:ind w:firstLine="540"/>
        <w:jc w:val="both"/>
      </w:pPr>
      <w:r>
        <w:rPr>
          <w:sz w:val="20"/>
        </w:rPr>
        <w:t xml:space="preserve">9) расходы на оплату работ по капитальному строительству и реконструкции зданий и сооружений;</w:t>
      </w:r>
    </w:p>
    <w:p>
      <w:pPr>
        <w:pStyle w:val="0"/>
        <w:spacing w:before="200" w:lineRule="auto"/>
        <w:ind w:firstLine="540"/>
        <w:jc w:val="both"/>
      </w:pPr>
      <w:r>
        <w:rPr>
          <w:sz w:val="20"/>
        </w:rPr>
        <w:t xml:space="preserve">10) расходы на приобретение недвижимости;</w:t>
      </w:r>
    </w:p>
    <w:p>
      <w:pPr>
        <w:pStyle w:val="0"/>
        <w:spacing w:before="200" w:lineRule="auto"/>
        <w:ind w:firstLine="540"/>
        <w:jc w:val="both"/>
      </w:pPr>
      <w:r>
        <w:rPr>
          <w:sz w:val="20"/>
        </w:rPr>
        <w:t xml:space="preserve">11) расходы на погашение кредиторской задолженности;</w:t>
      </w:r>
    </w:p>
    <w:p>
      <w:pPr>
        <w:pStyle w:val="0"/>
        <w:spacing w:before="200" w:lineRule="auto"/>
        <w:ind w:firstLine="540"/>
        <w:jc w:val="both"/>
      </w:pPr>
      <w:r>
        <w:rPr>
          <w:sz w:val="20"/>
        </w:rPr>
        <w:t xml:space="preserve">12) расходы на уплату пеней и штрафов.</w:t>
      </w:r>
    </w:p>
    <w:p>
      <w:pPr>
        <w:pStyle w:val="0"/>
        <w:spacing w:before="200" w:lineRule="auto"/>
        <w:ind w:firstLine="540"/>
        <w:jc w:val="both"/>
      </w:pPr>
      <w:r>
        <w:rPr>
          <w:sz w:val="20"/>
        </w:rPr>
        <w:t xml:space="preserve">46. Соглашение заключается с победителем конкурсного отбора в соответствии с типовой формой, утверждаемой приказом Министерства финансов Свердловской области.</w:t>
      </w:r>
    </w:p>
    <w:p>
      <w:pPr>
        <w:pStyle w:val="0"/>
        <w:spacing w:before="200" w:lineRule="auto"/>
        <w:ind w:firstLine="540"/>
        <w:jc w:val="both"/>
      </w:pPr>
      <w:r>
        <w:rPr>
          <w:sz w:val="20"/>
        </w:rPr>
        <w:t xml:space="preserve">47. Соглашение заключается в течение 30 календарных дней после размещения на официальном сайте Министерства в сети Интернет приказа Министерства о результатах конкурсного отбора.</w:t>
      </w:r>
    </w:p>
    <w:p>
      <w:pPr>
        <w:pStyle w:val="0"/>
        <w:spacing w:before="200" w:lineRule="auto"/>
        <w:ind w:firstLine="540"/>
        <w:jc w:val="both"/>
      </w:pPr>
      <w:r>
        <w:rPr>
          <w:sz w:val="20"/>
        </w:rPr>
        <w:t xml:space="preserve">48. Получатель гранта признается уклонившимся от заключения соглашения в случае отказа от заключения соглашения в течение 30 календарных дней со дня принятия приказа Министерства о результатах конкурсного отбора.</w:t>
      </w:r>
    </w:p>
    <w:p>
      <w:pPr>
        <w:pStyle w:val="0"/>
        <w:spacing w:before="200" w:lineRule="auto"/>
        <w:ind w:firstLine="540"/>
        <w:jc w:val="both"/>
      </w:pPr>
      <w:r>
        <w:rPr>
          <w:sz w:val="20"/>
        </w:rPr>
        <w:t xml:space="preserve">49. 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гранта в размере, установленном в соглашении.</w:t>
      </w:r>
    </w:p>
    <w:p>
      <w:pPr>
        <w:pStyle w:val="0"/>
        <w:spacing w:before="200" w:lineRule="auto"/>
        <w:ind w:firstLine="540"/>
        <w:jc w:val="both"/>
      </w:pPr>
      <w:r>
        <w:rPr>
          <w:sz w:val="20"/>
        </w:rPr>
        <w:t xml:space="preserve">50. Внесение изменений в соглашение оформляется путем заключения дополнительного соглашения к соглашению в соответствии с типовой формой, утверждаемой приказом Министерства финансов Свердловской области.</w:t>
      </w:r>
    </w:p>
    <w:p>
      <w:pPr>
        <w:pStyle w:val="0"/>
        <w:spacing w:before="200" w:lineRule="auto"/>
        <w:ind w:firstLine="540"/>
        <w:jc w:val="both"/>
      </w:pPr>
      <w:r>
        <w:rPr>
          <w:sz w:val="20"/>
        </w:rPr>
        <w:t xml:space="preserve">51. Перечисление гранта производится на расчетный счет, открытый победителем конкурсного отбора в российской кредитной организации, в течение 10 рабочих дней со дня заключения соглашения.</w:t>
      </w:r>
    </w:p>
    <w:p>
      <w:pPr>
        <w:pStyle w:val="0"/>
        <w:spacing w:before="200" w:lineRule="auto"/>
        <w:ind w:firstLine="540"/>
        <w:jc w:val="both"/>
      </w:pPr>
      <w:r>
        <w:rPr>
          <w:sz w:val="20"/>
        </w:rPr>
        <w:t xml:space="preserve">52. Основаниями для отказа победителю конкурсного отбора в предоставлении гранта являются:</w:t>
      </w:r>
    </w:p>
    <w:p>
      <w:pPr>
        <w:pStyle w:val="0"/>
        <w:spacing w:before="200" w:lineRule="auto"/>
        <w:ind w:firstLine="540"/>
        <w:jc w:val="both"/>
      </w:pPr>
      <w:r>
        <w:rPr>
          <w:sz w:val="20"/>
        </w:rPr>
        <w:t xml:space="preserve">1) несоответствие получателя гранта требованиям, указанным в </w:t>
      </w:r>
      <w:hyperlink w:history="0" w:anchor="P745" w:tooltip="14. К участию в конкурсном отборе допускаются организации, соответствующие по состоянию не ранее чем на первое число месяца, предшествующего месяцу подачи заявки, следующим требованиям:">
        <w:r>
          <w:rPr>
            <w:sz w:val="20"/>
            <w:color w:val="0000ff"/>
          </w:rPr>
          <w:t xml:space="preserve">пункте 14</w:t>
        </w:r>
      </w:hyperlink>
      <w:r>
        <w:rPr>
          <w:sz w:val="20"/>
        </w:rPr>
        <w:t xml:space="preserve"> настоящего порядка;</w:t>
      </w:r>
    </w:p>
    <w:p>
      <w:pPr>
        <w:pStyle w:val="0"/>
        <w:spacing w:before="200" w:lineRule="auto"/>
        <w:ind w:firstLine="540"/>
        <w:jc w:val="both"/>
      </w:pPr>
      <w:r>
        <w:rPr>
          <w:sz w:val="20"/>
        </w:rPr>
        <w:t xml:space="preserve">2) несоответствие представленных получателем гранта документов требованиям, указанным в </w:t>
      </w:r>
      <w:hyperlink w:history="0" w:anchor="P776" w:tooltip="25. Заявка содержит:">
        <w:r>
          <w:rPr>
            <w:sz w:val="20"/>
            <w:color w:val="0000ff"/>
          </w:rPr>
          <w:t xml:space="preserve">пункте 25</w:t>
        </w:r>
      </w:hyperlink>
      <w:r>
        <w:rPr>
          <w:sz w:val="20"/>
        </w:rPr>
        <w:t xml:space="preserve"> и </w:t>
      </w:r>
      <w:hyperlink w:history="0" w:anchor="P797" w:tooltip="26. К заявке прилагаются следующие документы:">
        <w:r>
          <w:rPr>
            <w:sz w:val="20"/>
            <w:color w:val="0000ff"/>
          </w:rPr>
          <w:t xml:space="preserve">частях первой</w:t>
        </w:r>
      </w:hyperlink>
      <w:r>
        <w:rPr>
          <w:sz w:val="20"/>
        </w:rPr>
        <w:t xml:space="preserve"> и </w:t>
      </w:r>
      <w:hyperlink w:history="0" w:anchor="P804" w:tooltip="Каждый из документов, указанных в подпунктах 1 - 6 части первой настоящего пункта, представляется в виде одного файла в формате pdf.">
        <w:r>
          <w:rPr>
            <w:sz w:val="20"/>
            <w:color w:val="0000ff"/>
          </w:rPr>
          <w:t xml:space="preserve">второй пункта 26</w:t>
        </w:r>
      </w:hyperlink>
      <w:r>
        <w:rPr>
          <w:sz w:val="20"/>
        </w:rPr>
        <w:t xml:space="preserve"> настоящего порядка,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3) установление факта недостоверности (или неполноты) предоставленной получателем гранта информации;</w:t>
      </w:r>
    </w:p>
    <w:p>
      <w:pPr>
        <w:pStyle w:val="0"/>
        <w:spacing w:before="200" w:lineRule="auto"/>
        <w:ind w:firstLine="540"/>
        <w:jc w:val="both"/>
      </w:pPr>
      <w:r>
        <w:rPr>
          <w:sz w:val="20"/>
        </w:rPr>
        <w:t xml:space="preserve">4) поступление в Министерство от победителя конкурсного отбора заявления об отказе от заключения соглашения, о несогласии с условиями соглашения.</w:t>
      </w:r>
    </w:p>
    <w:p>
      <w:pPr>
        <w:pStyle w:val="0"/>
        <w:spacing w:before="200" w:lineRule="auto"/>
        <w:ind w:firstLine="540"/>
        <w:jc w:val="both"/>
      </w:pPr>
      <w:r>
        <w:rPr>
          <w:sz w:val="20"/>
        </w:rPr>
        <w:t xml:space="preserve">53. В случае наличия по результатам проведения конкурсного отбора остатка лимитов бюджетных обязательств на предоставление гранта на соответствующий финансовый год, не распределенного между победителями конкурсного отбора, увеличения лимитов бюджетных обязательств, отказа победителя конкурсного отбора от заключения соглашения, расторжения соглашения с получателем гранта Министерство может принять решение о проведении дополнительного конкурсного отбора в соответствии с настоящим порядком.</w:t>
      </w:r>
    </w:p>
    <w:p>
      <w:pPr>
        <w:pStyle w:val="0"/>
        <w:spacing w:before="200" w:lineRule="auto"/>
        <w:ind w:firstLine="540"/>
        <w:jc w:val="both"/>
      </w:pPr>
      <w:r>
        <w:rPr>
          <w:sz w:val="20"/>
        </w:rPr>
        <w:t xml:space="preserve">54. При реорганизации получателя гранта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55. При реорганизации получателя гранта в форме разделения, выделения, а также при ликвидации получателя гранта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областной бюджет.</w:t>
      </w:r>
    </w:p>
    <w:p>
      <w:pPr>
        <w:pStyle w:val="0"/>
        <w:ind w:firstLine="540"/>
        <w:jc w:val="both"/>
      </w:pPr>
      <w:r>
        <w:rPr>
          <w:sz w:val="20"/>
        </w:rPr>
      </w:r>
    </w:p>
    <w:p>
      <w:pPr>
        <w:pStyle w:val="2"/>
        <w:outlineLvl w:val="1"/>
        <w:jc w:val="center"/>
      </w:pPr>
      <w:r>
        <w:rPr>
          <w:sz w:val="20"/>
        </w:rPr>
        <w:t xml:space="preserve">Глава 4. ТРЕБОВАНИЯ К ОТЧЕТНОСТИ</w:t>
      </w:r>
    </w:p>
    <w:p>
      <w:pPr>
        <w:pStyle w:val="0"/>
        <w:ind w:firstLine="540"/>
        <w:jc w:val="both"/>
      </w:pPr>
      <w:r>
        <w:rPr>
          <w:sz w:val="20"/>
        </w:rPr>
      </w:r>
    </w:p>
    <w:p>
      <w:pPr>
        <w:pStyle w:val="0"/>
        <w:ind w:firstLine="540"/>
        <w:jc w:val="both"/>
      </w:pPr>
      <w:r>
        <w:rPr>
          <w:sz w:val="20"/>
        </w:rPr>
        <w:t xml:space="preserve">56. Получатели грантов представляют в Министерство не позднее 10 рабочего дня, следующего за отчетным кварталом:</w:t>
      </w:r>
    </w:p>
    <w:bookmarkStart w:id="864" w:name="P864"/>
    <w:bookmarkEnd w:id="864"/>
    <w:p>
      <w:pPr>
        <w:pStyle w:val="0"/>
        <w:spacing w:before="200" w:lineRule="auto"/>
        <w:ind w:firstLine="540"/>
        <w:jc w:val="both"/>
      </w:pPr>
      <w:r>
        <w:rPr>
          <w:sz w:val="20"/>
        </w:rPr>
        <w:t xml:space="preserve">1) отчет о достижении значения результата предоставления гранта;</w:t>
      </w:r>
    </w:p>
    <w:bookmarkStart w:id="865" w:name="P865"/>
    <w:bookmarkEnd w:id="865"/>
    <w:p>
      <w:pPr>
        <w:pStyle w:val="0"/>
        <w:spacing w:before="200" w:lineRule="auto"/>
        <w:ind w:firstLine="540"/>
        <w:jc w:val="both"/>
      </w:pPr>
      <w:r>
        <w:rPr>
          <w:sz w:val="20"/>
        </w:rPr>
        <w:t xml:space="preserve">2) отчет о реализации плана мероприятий по достижению результата предоставления гранта;</w:t>
      </w:r>
    </w:p>
    <w:bookmarkStart w:id="866" w:name="P866"/>
    <w:bookmarkEnd w:id="866"/>
    <w:p>
      <w:pPr>
        <w:pStyle w:val="0"/>
        <w:spacing w:before="200" w:lineRule="auto"/>
        <w:ind w:firstLine="540"/>
        <w:jc w:val="both"/>
      </w:pPr>
      <w:r>
        <w:rPr>
          <w:sz w:val="20"/>
        </w:rPr>
        <w:t xml:space="preserve">3) отчет о расходах, источником финансового обеспечения которых является грант.</w:t>
      </w:r>
    </w:p>
    <w:p>
      <w:pPr>
        <w:pStyle w:val="0"/>
        <w:spacing w:before="200" w:lineRule="auto"/>
        <w:ind w:firstLine="540"/>
        <w:jc w:val="both"/>
      </w:pPr>
      <w:r>
        <w:rPr>
          <w:sz w:val="20"/>
        </w:rPr>
        <w:t xml:space="preserve">Получатель гранта в течение 5 рабочих дней после реализации проекта направляет в Министерство официальное письмо, содержащее ссылку на информационные материалы (включая фото- и (или) видеоматериалы) о реализации проекта, размещенные на официальном сайте получателя гранта и (или) других ресурсах в сети Интернет.</w:t>
      </w:r>
    </w:p>
    <w:p>
      <w:pPr>
        <w:pStyle w:val="0"/>
        <w:spacing w:before="200" w:lineRule="auto"/>
        <w:ind w:firstLine="540"/>
        <w:jc w:val="both"/>
      </w:pPr>
      <w:r>
        <w:rPr>
          <w:sz w:val="20"/>
        </w:rPr>
        <w:t xml:space="preserve">Отчеты, указанные в </w:t>
      </w:r>
      <w:hyperlink w:history="0" w:anchor="P864" w:tooltip="1) отчет о достижении значения результата предоставления гранта;">
        <w:r>
          <w:rPr>
            <w:sz w:val="20"/>
            <w:color w:val="0000ff"/>
          </w:rPr>
          <w:t xml:space="preserve">подпунктах 1</w:t>
        </w:r>
      </w:hyperlink>
      <w:r>
        <w:rPr>
          <w:sz w:val="20"/>
        </w:rPr>
        <w:t xml:space="preserve"> и </w:t>
      </w:r>
      <w:hyperlink w:history="0" w:anchor="P866" w:tooltip="3) отчет о расходах, источником финансового обеспечения которых является грант.">
        <w:r>
          <w:rPr>
            <w:sz w:val="20"/>
            <w:color w:val="0000ff"/>
          </w:rPr>
          <w:t xml:space="preserve">3 части первой</w:t>
        </w:r>
      </w:hyperlink>
      <w:r>
        <w:rPr>
          <w:sz w:val="20"/>
        </w:rPr>
        <w:t xml:space="preserve"> настоящего пункта, представляются в соответствии с типовыми формами, установленными Министерством финансов Свердловской области.</w:t>
      </w:r>
    </w:p>
    <w:p>
      <w:pPr>
        <w:pStyle w:val="0"/>
        <w:spacing w:before="200" w:lineRule="auto"/>
        <w:ind w:firstLine="540"/>
        <w:jc w:val="both"/>
      </w:pPr>
      <w:r>
        <w:rPr>
          <w:sz w:val="20"/>
        </w:rPr>
        <w:t xml:space="preserve">Отчет, указанный в </w:t>
      </w:r>
      <w:hyperlink w:history="0" w:anchor="P865" w:tooltip="2) отчет о реализации плана мероприятий по достижению результата предоставления гранта;">
        <w:r>
          <w:rPr>
            <w:sz w:val="20"/>
            <w:color w:val="0000ff"/>
          </w:rPr>
          <w:t xml:space="preserve">подпункте 2 части первой</w:t>
        </w:r>
      </w:hyperlink>
      <w:r>
        <w:rPr>
          <w:sz w:val="20"/>
        </w:rPr>
        <w:t xml:space="preserve"> настоящего пункта, представляется в соответствии с типовой формой, установленной Министерством финансов Российской Федерации.</w:t>
      </w:r>
    </w:p>
    <w:p>
      <w:pPr>
        <w:pStyle w:val="0"/>
        <w:spacing w:before="200" w:lineRule="auto"/>
        <w:ind w:firstLine="540"/>
        <w:jc w:val="both"/>
      </w:pPr>
      <w:r>
        <w:rPr>
          <w:sz w:val="20"/>
        </w:rPr>
        <w:t xml:space="preserve">57. Министерство вправе устанавливать в соглашении сроки и формы представления получателем гранта дополнительной отчетности.</w:t>
      </w:r>
    </w:p>
    <w:p>
      <w:pPr>
        <w:pStyle w:val="0"/>
        <w:spacing w:before="200" w:lineRule="auto"/>
        <w:ind w:firstLine="540"/>
        <w:jc w:val="both"/>
      </w:pPr>
      <w:r>
        <w:rPr>
          <w:sz w:val="20"/>
        </w:rPr>
        <w:t xml:space="preserve">Порядок и сроки проверки и принятия Министерством отчетности, представленной получателем гранта, устанавливаются в соглашении.</w:t>
      </w:r>
    </w:p>
    <w:p>
      <w:pPr>
        <w:pStyle w:val="0"/>
        <w:spacing w:before="200" w:lineRule="auto"/>
        <w:ind w:firstLine="540"/>
        <w:jc w:val="both"/>
      </w:pPr>
      <w:r>
        <w:rPr>
          <w:sz w:val="20"/>
        </w:rPr>
        <w:t xml:space="preserve">58. Результат предоставления гранта - "Предоставлена государственная поддержка некоммерческим организациям, не являющимся государственными и муниципальными учреждениями, в сфере культуры, в целях реализации творческого проекта".</w:t>
      </w:r>
    </w:p>
    <w:p>
      <w:pPr>
        <w:pStyle w:val="0"/>
        <w:ind w:firstLine="540"/>
        <w:jc w:val="both"/>
      </w:pPr>
      <w:r>
        <w:rPr>
          <w:sz w:val="20"/>
        </w:rPr>
      </w:r>
    </w:p>
    <w:p>
      <w:pPr>
        <w:pStyle w:val="2"/>
        <w:outlineLvl w:val="1"/>
        <w:jc w:val="center"/>
      </w:pPr>
      <w:r>
        <w:rPr>
          <w:sz w:val="20"/>
        </w:rPr>
        <w:t xml:space="preserve">Глава 5. ТРЕБОВАНИЯ ОБ ОСУЩЕСТВЛЕНИИ КОНТРОЛЯ ЗА СОБЛЮДЕНИЕМ</w:t>
      </w:r>
    </w:p>
    <w:p>
      <w:pPr>
        <w:pStyle w:val="2"/>
        <w:jc w:val="center"/>
      </w:pPr>
      <w:r>
        <w:rPr>
          <w:sz w:val="20"/>
        </w:rPr>
        <w:t xml:space="preserve">УСЛОВИЙ И ПОРЯДКА ПРЕДОСТАВЛЕНИЯ ГРАНТОВ</w:t>
      </w:r>
    </w:p>
    <w:p>
      <w:pPr>
        <w:pStyle w:val="2"/>
        <w:jc w:val="center"/>
      </w:pPr>
      <w:r>
        <w:rPr>
          <w:sz w:val="20"/>
        </w:rPr>
        <w:t xml:space="preserve">И ОТВЕТСТВЕННОСТЬ ЗА ИХ НАРУШЕНИЕ</w:t>
      </w:r>
    </w:p>
    <w:p>
      <w:pPr>
        <w:pStyle w:val="0"/>
        <w:ind w:firstLine="540"/>
        <w:jc w:val="both"/>
      </w:pPr>
      <w:r>
        <w:rPr>
          <w:sz w:val="20"/>
        </w:rPr>
      </w:r>
    </w:p>
    <w:p>
      <w:pPr>
        <w:pStyle w:val="0"/>
        <w:ind w:firstLine="540"/>
        <w:jc w:val="both"/>
      </w:pPr>
      <w:r>
        <w:rPr>
          <w:sz w:val="20"/>
        </w:rPr>
        <w:t xml:space="preserve">59. В отношении получателя гранта и лиц, являющихся поставщиками (подрядчиками, исполнителями) по договорам (соглашениям), заключенным в целях исполнения обязательств по соглашению, Министерством осуществляются проверки соблюдения ими условий и порядка предоставления гранта, в том числе в части достижения результата предоставления гранта.</w:t>
      </w:r>
    </w:p>
    <w:p>
      <w:pPr>
        <w:pStyle w:val="0"/>
        <w:spacing w:before="200" w:lineRule="auto"/>
        <w:ind w:firstLine="540"/>
        <w:jc w:val="both"/>
      </w:pPr>
      <w:r>
        <w:rPr>
          <w:sz w:val="20"/>
        </w:rPr>
        <w:t xml:space="preserve">60. Министерством проводится мониторинг достижения результата предоставления гранта и событий, отражающих факт завершения соответствующего мероприятия по получению результата предоставления гранта (контрольная точка), в соответствии с </w:t>
      </w:r>
      <w:hyperlink w:history="0" r:id="rId48"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pPr>
        <w:pStyle w:val="0"/>
        <w:spacing w:before="200" w:lineRule="auto"/>
        <w:ind w:firstLine="540"/>
        <w:jc w:val="both"/>
      </w:pPr>
      <w:r>
        <w:rPr>
          <w:sz w:val="20"/>
        </w:rPr>
        <w:t xml:space="preserve">61. В случае нарушения получателем гранта условий, установленных при предоставлении грантов, выявленного в том числе по фактам проверок, проведенных Министерством, требование о возврате гранта направляется Министерством получателю гранта в течение 10 рабочих дней со дня выявления такого нарушения.</w:t>
      </w:r>
    </w:p>
    <w:p>
      <w:pPr>
        <w:pStyle w:val="0"/>
        <w:spacing w:before="200" w:lineRule="auto"/>
        <w:ind w:firstLine="540"/>
        <w:jc w:val="both"/>
      </w:pPr>
      <w:r>
        <w:rPr>
          <w:sz w:val="20"/>
        </w:rPr>
        <w:t xml:space="preserve">Грант (часть гранта) возвращается в областной бюджет в размере и сроки, установленные в полученном от Министерства требовании, либо на основании представления и (или) предписания Министерства финансов Свердловской области в сроки, установленные бюджетным законодательством Российской Федерации.</w:t>
      </w:r>
    </w:p>
    <w:bookmarkStart w:id="882" w:name="P882"/>
    <w:bookmarkEnd w:id="882"/>
    <w:p>
      <w:pPr>
        <w:pStyle w:val="0"/>
        <w:spacing w:before="200" w:lineRule="auto"/>
        <w:ind w:firstLine="540"/>
        <w:jc w:val="both"/>
      </w:pPr>
      <w:r>
        <w:rPr>
          <w:sz w:val="20"/>
        </w:rPr>
        <w:t xml:space="preserve">62. Грант подлежит возврату в областной бюджет в течение 10 рабочих дней со дня получения получателем гранта соответствующего требования Министерства о возврате гранта (части гранта).</w:t>
      </w:r>
    </w:p>
    <w:p>
      <w:pPr>
        <w:pStyle w:val="0"/>
        <w:spacing w:before="200" w:lineRule="auto"/>
        <w:ind w:firstLine="540"/>
        <w:jc w:val="both"/>
      </w:pPr>
      <w:r>
        <w:rPr>
          <w:sz w:val="20"/>
        </w:rPr>
        <w:t xml:space="preserve">Также грант (часть гранта) подлежит возврату в случае приобретения за счет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При невозврате гранта (части гранта) в срок, указанный в </w:t>
      </w:r>
      <w:hyperlink w:history="0" w:anchor="P882" w:tooltip="62. Грант подлежит возврату в областной бюджет в течение 10 рабочих дней со дня получения получателем гранта соответствующего требования Министерства о возврате гранта (части гранта).">
        <w:r>
          <w:rPr>
            <w:sz w:val="20"/>
            <w:color w:val="0000ff"/>
          </w:rPr>
          <w:t xml:space="preserve">части первой</w:t>
        </w:r>
      </w:hyperlink>
      <w:r>
        <w:rPr>
          <w:sz w:val="20"/>
        </w:rPr>
        <w:t xml:space="preserve"> настоящего пункта, Министерство принимает меры по взысканию подлежащего возврату в областной бюджет гранта (части гранта) в судебном порядке.</w:t>
      </w:r>
    </w:p>
    <w:p>
      <w:pPr>
        <w:pStyle w:val="0"/>
        <w:spacing w:before="200" w:lineRule="auto"/>
        <w:ind w:firstLine="540"/>
        <w:jc w:val="both"/>
      </w:pPr>
      <w:r>
        <w:rPr>
          <w:sz w:val="20"/>
        </w:rPr>
        <w:t xml:space="preserve">63. В отношении получателя гранта и лиц, являющихся поставщиками (подрядчиками, исполнителями) по договорам (соглашениям), заключенным в целях исполнения обязательств по соглашению, также осуществляются проверки уполномоченными органами государственного финансового контроля Свердловской области в соответствии со </w:t>
      </w:r>
      <w:hyperlink w:history="0" r:id="rId49"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50"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предоставления грантов</w:t>
      </w:r>
    </w:p>
    <w:p>
      <w:pPr>
        <w:pStyle w:val="0"/>
        <w:jc w:val="right"/>
      </w:pPr>
      <w:r>
        <w:rPr>
          <w:sz w:val="20"/>
        </w:rPr>
        <w:t xml:space="preserve">в форме субсидий некоммерческим</w:t>
      </w:r>
    </w:p>
    <w:p>
      <w:pPr>
        <w:pStyle w:val="0"/>
        <w:jc w:val="right"/>
      </w:pPr>
      <w:r>
        <w:rPr>
          <w:sz w:val="20"/>
        </w:rPr>
        <w:t xml:space="preserve">организациям, не являющимся</w:t>
      </w:r>
    </w:p>
    <w:p>
      <w:pPr>
        <w:pStyle w:val="0"/>
        <w:jc w:val="right"/>
      </w:pPr>
      <w:r>
        <w:rPr>
          <w:sz w:val="20"/>
        </w:rPr>
        <w:t xml:space="preserve">государственными и муниципальными</w:t>
      </w:r>
    </w:p>
    <w:p>
      <w:pPr>
        <w:pStyle w:val="0"/>
        <w:jc w:val="right"/>
      </w:pPr>
      <w:r>
        <w:rPr>
          <w:sz w:val="20"/>
        </w:rPr>
        <w:t xml:space="preserve">учреждениями, в сфере культуры</w:t>
      </w:r>
    </w:p>
    <w:p>
      <w:pPr>
        <w:pStyle w:val="0"/>
        <w:ind w:firstLine="540"/>
        <w:jc w:val="both"/>
      </w:pPr>
      <w:r>
        <w:rPr>
          <w:sz w:val="20"/>
        </w:rPr>
      </w:r>
    </w:p>
    <w:bookmarkStart w:id="898" w:name="P898"/>
    <w:bookmarkEnd w:id="898"/>
    <w:p>
      <w:pPr>
        <w:pStyle w:val="2"/>
        <w:jc w:val="center"/>
      </w:pPr>
      <w:r>
        <w:rPr>
          <w:sz w:val="20"/>
        </w:rPr>
        <w:t xml:space="preserve">МЕТОДИКА</w:t>
      </w:r>
    </w:p>
    <w:p>
      <w:pPr>
        <w:pStyle w:val="2"/>
        <w:jc w:val="center"/>
      </w:pPr>
      <w:r>
        <w:rPr>
          <w:sz w:val="20"/>
        </w:rPr>
        <w:t xml:space="preserve">ОЦЕНКИ ЗАЯВОК УЧАСТНИКОВ КОНКУРСНОГО ОТБОРА</w:t>
      </w:r>
    </w:p>
    <w:p>
      <w:pPr>
        <w:pStyle w:val="2"/>
        <w:jc w:val="center"/>
      </w:pPr>
      <w:r>
        <w:rPr>
          <w:sz w:val="20"/>
        </w:rPr>
        <w:t xml:space="preserve">НА ПРЕДОСТАВЛЕНИЕ ГРАНТОВ В ФОРМЕ СУБСИДИЙ НЕКОММЕРЧЕСКИМ</w:t>
      </w:r>
    </w:p>
    <w:p>
      <w:pPr>
        <w:pStyle w:val="2"/>
        <w:jc w:val="center"/>
      </w:pPr>
      <w:r>
        <w:rPr>
          <w:sz w:val="20"/>
        </w:rPr>
        <w:t xml:space="preserve">ОРГАНИЗАЦИЯМ, НЕ ЯВЛЯЮЩИМСЯ ГОСУДАРСТВЕННЫМИ</w:t>
      </w:r>
    </w:p>
    <w:p>
      <w:pPr>
        <w:pStyle w:val="2"/>
        <w:jc w:val="center"/>
      </w:pPr>
      <w:r>
        <w:rPr>
          <w:sz w:val="20"/>
        </w:rPr>
        <w:t xml:space="preserve">И МУНИЦИПАЛЬНЫМИ УЧРЕЖДЕНИЯМИ, В СФЕРЕ КУЛЬТУРЫ</w:t>
      </w:r>
    </w:p>
    <w:p>
      <w:pPr>
        <w:pStyle w:val="0"/>
        <w:ind w:firstLine="540"/>
        <w:jc w:val="both"/>
      </w:pPr>
      <w:r>
        <w:rPr>
          <w:sz w:val="20"/>
        </w:rPr>
      </w:r>
    </w:p>
    <w:p>
      <w:pPr>
        <w:pStyle w:val="0"/>
        <w:ind w:firstLine="540"/>
        <w:jc w:val="both"/>
      </w:pPr>
      <w:r>
        <w:rPr>
          <w:sz w:val="20"/>
        </w:rPr>
        <w:t xml:space="preserve">1. Оценка заявок участников конкурсного отбора (далее - заявки) на предоставление грантов в форме субсидий некоммерческим организациям, не являющимся государственными и муниципальными учреждениями, в сфере культуры (далее - гранты) осуществляется членами экспертного совета по оценке заявок (далее - конкурсный отбор) в течение 7 календарных дней со дня размещения на официальном сайте Министерства культуры Свердловской области (далее - Министерство) в информационно-телекоммуникационной сети "Интернет" (далее - сеть Интернет) протокола рассмотрения заявок.</w:t>
      </w:r>
    </w:p>
    <w:p>
      <w:pPr>
        <w:pStyle w:val="0"/>
        <w:spacing w:before="200" w:lineRule="auto"/>
        <w:ind w:firstLine="540"/>
        <w:jc w:val="both"/>
      </w:pPr>
      <w:r>
        <w:rPr>
          <w:sz w:val="20"/>
        </w:rPr>
        <w:t xml:space="preserve">2. Член экспертного совета по оценке заявок (далее - эксперт) при оценке заявки:</w:t>
      </w:r>
    </w:p>
    <w:p>
      <w:pPr>
        <w:pStyle w:val="0"/>
        <w:spacing w:before="200" w:lineRule="auto"/>
        <w:ind w:firstLine="540"/>
        <w:jc w:val="both"/>
      </w:pPr>
      <w:r>
        <w:rPr>
          <w:sz w:val="20"/>
        </w:rPr>
        <w:t xml:space="preserve">1) проводит полное исследование представленных в составе заявки документов и информации;</w:t>
      </w:r>
    </w:p>
    <w:p>
      <w:pPr>
        <w:pStyle w:val="0"/>
        <w:spacing w:before="200" w:lineRule="auto"/>
        <w:ind w:firstLine="540"/>
        <w:jc w:val="both"/>
      </w:pPr>
      <w:r>
        <w:rPr>
          <w:sz w:val="20"/>
        </w:rPr>
        <w:t xml:space="preserve">2) оценивает заявку по 10 критериям, указанным в </w:t>
      </w:r>
      <w:hyperlink w:history="0" w:anchor="P909" w:tooltip="4. Критерии оценки заявки и коэффициенты их значимости приведены в таблице.">
        <w:r>
          <w:rPr>
            <w:sz w:val="20"/>
            <w:color w:val="0000ff"/>
          </w:rPr>
          <w:t xml:space="preserve">пункте 4</w:t>
        </w:r>
      </w:hyperlink>
      <w:r>
        <w:rPr>
          <w:sz w:val="20"/>
        </w:rPr>
        <w:t xml:space="preserve"> настоящей методики.</w:t>
      </w:r>
    </w:p>
    <w:p>
      <w:pPr>
        <w:pStyle w:val="0"/>
        <w:spacing w:before="200" w:lineRule="auto"/>
        <w:ind w:firstLine="540"/>
        <w:jc w:val="both"/>
      </w:pPr>
      <w:r>
        <w:rPr>
          <w:sz w:val="20"/>
        </w:rPr>
        <w:t xml:space="preserve">3. Оценка заявки рассчитывается как сумма баллов, присвоенных экспертом по каждому критерию, умноженных на соответствующий коэффициент значимости критерия.</w:t>
      </w:r>
    </w:p>
    <w:bookmarkStart w:id="909" w:name="P909"/>
    <w:bookmarkEnd w:id="909"/>
    <w:p>
      <w:pPr>
        <w:pStyle w:val="0"/>
        <w:spacing w:before="200" w:lineRule="auto"/>
        <w:ind w:firstLine="540"/>
        <w:jc w:val="both"/>
      </w:pPr>
      <w:r>
        <w:rPr>
          <w:sz w:val="20"/>
        </w:rPr>
        <w:t xml:space="preserve">4. Критерии оценки заявки и коэффициенты их значимости приведены в таблице.</w:t>
      </w:r>
    </w:p>
    <w:p>
      <w:pPr>
        <w:pStyle w:val="0"/>
        <w:ind w:firstLine="540"/>
        <w:jc w:val="both"/>
      </w:pPr>
      <w:r>
        <w:rPr>
          <w:sz w:val="20"/>
        </w:rPr>
      </w:r>
    </w:p>
    <w:p>
      <w:pPr>
        <w:pStyle w:val="0"/>
        <w:jc w:val="right"/>
      </w:pPr>
      <w:r>
        <w:rPr>
          <w:sz w:val="20"/>
        </w:rPr>
        <w:t xml:space="preserve">Таблица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6293"/>
        <w:gridCol w:w="1644"/>
      </w:tblGrid>
      <w:tr>
        <w:tc>
          <w:tcPr>
            <w:tcW w:w="1134" w:type="dxa"/>
          </w:tcPr>
          <w:p>
            <w:pPr>
              <w:pStyle w:val="0"/>
              <w:jc w:val="center"/>
            </w:pPr>
            <w:r>
              <w:rPr>
                <w:sz w:val="20"/>
              </w:rPr>
              <w:t xml:space="preserve">Номер критерия</w:t>
            </w:r>
          </w:p>
        </w:tc>
        <w:tc>
          <w:tcPr>
            <w:tcW w:w="6293" w:type="dxa"/>
          </w:tcPr>
          <w:p>
            <w:pPr>
              <w:pStyle w:val="0"/>
              <w:jc w:val="center"/>
            </w:pPr>
            <w:r>
              <w:rPr>
                <w:sz w:val="20"/>
              </w:rPr>
              <w:t xml:space="preserve">Наименование критерия</w:t>
            </w:r>
          </w:p>
        </w:tc>
        <w:tc>
          <w:tcPr>
            <w:tcW w:w="1644" w:type="dxa"/>
          </w:tcPr>
          <w:p>
            <w:pPr>
              <w:pStyle w:val="0"/>
              <w:jc w:val="center"/>
            </w:pPr>
            <w:r>
              <w:rPr>
                <w:sz w:val="20"/>
              </w:rPr>
              <w:t xml:space="preserve">Коэффициент значимости критерия</w:t>
            </w:r>
          </w:p>
        </w:tc>
      </w:tr>
      <w:tr>
        <w:tc>
          <w:tcPr>
            <w:tcW w:w="1134" w:type="dxa"/>
          </w:tcPr>
          <w:p>
            <w:pPr>
              <w:pStyle w:val="0"/>
              <w:jc w:val="center"/>
            </w:pPr>
            <w:r>
              <w:rPr>
                <w:sz w:val="20"/>
              </w:rPr>
              <w:t xml:space="preserve">1</w:t>
            </w:r>
          </w:p>
        </w:tc>
        <w:tc>
          <w:tcPr>
            <w:tcW w:w="6293" w:type="dxa"/>
          </w:tcPr>
          <w:p>
            <w:pPr>
              <w:pStyle w:val="0"/>
              <w:jc w:val="center"/>
            </w:pPr>
            <w:r>
              <w:rPr>
                <w:sz w:val="20"/>
              </w:rPr>
              <w:t xml:space="preserve">2</w:t>
            </w:r>
          </w:p>
        </w:tc>
        <w:tc>
          <w:tcPr>
            <w:tcW w:w="1644" w:type="dxa"/>
          </w:tcPr>
          <w:p>
            <w:pPr>
              <w:pStyle w:val="0"/>
              <w:jc w:val="center"/>
            </w:pPr>
            <w:r>
              <w:rPr>
                <w:sz w:val="20"/>
              </w:rPr>
              <w:t xml:space="preserve">3</w:t>
            </w:r>
          </w:p>
        </w:tc>
      </w:tr>
      <w:tr>
        <w:tc>
          <w:tcPr>
            <w:tcW w:w="1134" w:type="dxa"/>
          </w:tcPr>
          <w:p>
            <w:pPr>
              <w:pStyle w:val="0"/>
              <w:jc w:val="center"/>
            </w:pPr>
            <w:r>
              <w:rPr>
                <w:sz w:val="20"/>
              </w:rPr>
              <w:t xml:space="preserve">1.</w:t>
            </w:r>
          </w:p>
        </w:tc>
        <w:tc>
          <w:tcPr>
            <w:tcW w:w="6293" w:type="dxa"/>
          </w:tcPr>
          <w:p>
            <w:pPr>
              <w:pStyle w:val="0"/>
            </w:pPr>
            <w:r>
              <w:rPr>
                <w:sz w:val="20"/>
              </w:rPr>
              <w:t xml:space="preserve">Актуальность проекта, представленного в заявке (далее - проект)</w:t>
            </w:r>
          </w:p>
        </w:tc>
        <w:tc>
          <w:tcPr>
            <w:tcW w:w="1644" w:type="dxa"/>
          </w:tcPr>
          <w:p>
            <w:pPr>
              <w:pStyle w:val="0"/>
              <w:jc w:val="center"/>
            </w:pPr>
            <w:r>
              <w:rPr>
                <w:sz w:val="20"/>
              </w:rPr>
              <w:t xml:space="preserve">0,1</w:t>
            </w:r>
          </w:p>
        </w:tc>
      </w:tr>
      <w:tr>
        <w:tc>
          <w:tcPr>
            <w:tcW w:w="1134" w:type="dxa"/>
          </w:tcPr>
          <w:p>
            <w:pPr>
              <w:pStyle w:val="0"/>
              <w:jc w:val="center"/>
            </w:pPr>
            <w:r>
              <w:rPr>
                <w:sz w:val="20"/>
              </w:rPr>
              <w:t xml:space="preserve">2.</w:t>
            </w:r>
          </w:p>
        </w:tc>
        <w:tc>
          <w:tcPr>
            <w:tcW w:w="6293" w:type="dxa"/>
          </w:tcPr>
          <w:p>
            <w:pPr>
              <w:pStyle w:val="0"/>
            </w:pPr>
            <w:r>
              <w:rPr>
                <w:sz w:val="20"/>
              </w:rPr>
              <w:t xml:space="preserve">Четкость изложения плана подготовки и реализации проекта</w:t>
            </w:r>
          </w:p>
        </w:tc>
        <w:tc>
          <w:tcPr>
            <w:tcW w:w="1644" w:type="dxa"/>
          </w:tcPr>
          <w:p>
            <w:pPr>
              <w:pStyle w:val="0"/>
              <w:jc w:val="center"/>
            </w:pPr>
            <w:r>
              <w:rPr>
                <w:sz w:val="20"/>
              </w:rPr>
              <w:t xml:space="preserve">0,1</w:t>
            </w:r>
          </w:p>
        </w:tc>
      </w:tr>
      <w:tr>
        <w:tc>
          <w:tcPr>
            <w:tcW w:w="1134" w:type="dxa"/>
          </w:tcPr>
          <w:p>
            <w:pPr>
              <w:pStyle w:val="0"/>
              <w:jc w:val="center"/>
            </w:pPr>
            <w:r>
              <w:rPr>
                <w:sz w:val="20"/>
              </w:rPr>
              <w:t xml:space="preserve">3.</w:t>
            </w:r>
          </w:p>
        </w:tc>
        <w:tc>
          <w:tcPr>
            <w:tcW w:w="6293" w:type="dxa"/>
          </w:tcPr>
          <w:p>
            <w:pPr>
              <w:pStyle w:val="0"/>
            </w:pPr>
            <w:r>
              <w:rPr>
                <w:sz w:val="20"/>
              </w:rPr>
              <w:t xml:space="preserve">Инновационность, уникальность проекта</w:t>
            </w:r>
          </w:p>
        </w:tc>
        <w:tc>
          <w:tcPr>
            <w:tcW w:w="1644" w:type="dxa"/>
          </w:tcPr>
          <w:p>
            <w:pPr>
              <w:pStyle w:val="0"/>
              <w:jc w:val="center"/>
            </w:pPr>
            <w:r>
              <w:rPr>
                <w:sz w:val="20"/>
              </w:rPr>
              <w:t xml:space="preserve">0,1</w:t>
            </w:r>
          </w:p>
        </w:tc>
      </w:tr>
      <w:tr>
        <w:tc>
          <w:tcPr>
            <w:tcW w:w="1134" w:type="dxa"/>
          </w:tcPr>
          <w:p>
            <w:pPr>
              <w:pStyle w:val="0"/>
              <w:jc w:val="center"/>
            </w:pPr>
            <w:r>
              <w:rPr>
                <w:sz w:val="20"/>
              </w:rPr>
              <w:t xml:space="preserve">4.</w:t>
            </w:r>
          </w:p>
        </w:tc>
        <w:tc>
          <w:tcPr>
            <w:tcW w:w="6293" w:type="dxa"/>
          </w:tcPr>
          <w:p>
            <w:pPr>
              <w:pStyle w:val="0"/>
            </w:pPr>
            <w:r>
              <w:rPr>
                <w:sz w:val="20"/>
              </w:rPr>
              <w:t xml:space="preserve">Соотношение планируемых расходов на реализацию мероприятий проекта и его ожидаемых результатов, адекватность, измеримость и достижимость таких результатов</w:t>
            </w:r>
          </w:p>
        </w:tc>
        <w:tc>
          <w:tcPr>
            <w:tcW w:w="1644" w:type="dxa"/>
          </w:tcPr>
          <w:p>
            <w:pPr>
              <w:pStyle w:val="0"/>
              <w:jc w:val="center"/>
            </w:pPr>
            <w:r>
              <w:rPr>
                <w:sz w:val="20"/>
              </w:rPr>
              <w:t xml:space="preserve">0,1</w:t>
            </w:r>
          </w:p>
        </w:tc>
      </w:tr>
      <w:tr>
        <w:tc>
          <w:tcPr>
            <w:tcW w:w="1134" w:type="dxa"/>
          </w:tcPr>
          <w:p>
            <w:pPr>
              <w:pStyle w:val="0"/>
              <w:jc w:val="center"/>
            </w:pPr>
            <w:r>
              <w:rPr>
                <w:sz w:val="20"/>
              </w:rPr>
              <w:t xml:space="preserve">5.</w:t>
            </w:r>
          </w:p>
        </w:tc>
        <w:tc>
          <w:tcPr>
            <w:tcW w:w="6293" w:type="dxa"/>
          </w:tcPr>
          <w:p>
            <w:pPr>
              <w:pStyle w:val="0"/>
            </w:pPr>
            <w:r>
              <w:rPr>
                <w:sz w:val="20"/>
              </w:rPr>
              <w:t xml:space="preserve">Реалистичность бюджета проекта и обоснованность планируемых расходов на реализацию проекта</w:t>
            </w:r>
          </w:p>
        </w:tc>
        <w:tc>
          <w:tcPr>
            <w:tcW w:w="1644" w:type="dxa"/>
          </w:tcPr>
          <w:p>
            <w:pPr>
              <w:pStyle w:val="0"/>
              <w:jc w:val="center"/>
            </w:pPr>
            <w:r>
              <w:rPr>
                <w:sz w:val="20"/>
              </w:rPr>
              <w:t xml:space="preserve">0,1</w:t>
            </w:r>
          </w:p>
        </w:tc>
      </w:tr>
      <w:tr>
        <w:tc>
          <w:tcPr>
            <w:tcW w:w="1134" w:type="dxa"/>
          </w:tcPr>
          <w:p>
            <w:pPr>
              <w:pStyle w:val="0"/>
              <w:jc w:val="center"/>
            </w:pPr>
            <w:r>
              <w:rPr>
                <w:sz w:val="20"/>
              </w:rPr>
              <w:t xml:space="preserve">6.</w:t>
            </w:r>
          </w:p>
        </w:tc>
        <w:tc>
          <w:tcPr>
            <w:tcW w:w="6293" w:type="dxa"/>
          </w:tcPr>
          <w:p>
            <w:pPr>
              <w:pStyle w:val="0"/>
            </w:pPr>
            <w:r>
              <w:rPr>
                <w:sz w:val="20"/>
              </w:rPr>
              <w:t xml:space="preserve">Масштаб реализации проекта</w:t>
            </w:r>
          </w:p>
        </w:tc>
        <w:tc>
          <w:tcPr>
            <w:tcW w:w="1644" w:type="dxa"/>
          </w:tcPr>
          <w:p>
            <w:pPr>
              <w:pStyle w:val="0"/>
              <w:jc w:val="center"/>
            </w:pPr>
            <w:r>
              <w:rPr>
                <w:sz w:val="20"/>
              </w:rPr>
              <w:t xml:space="preserve">0,1</w:t>
            </w:r>
          </w:p>
        </w:tc>
      </w:tr>
      <w:tr>
        <w:tc>
          <w:tcPr>
            <w:tcW w:w="1134" w:type="dxa"/>
          </w:tcPr>
          <w:p>
            <w:pPr>
              <w:pStyle w:val="0"/>
              <w:jc w:val="center"/>
            </w:pPr>
            <w:r>
              <w:rPr>
                <w:sz w:val="20"/>
              </w:rPr>
              <w:t xml:space="preserve">7.</w:t>
            </w:r>
          </w:p>
        </w:tc>
        <w:tc>
          <w:tcPr>
            <w:tcW w:w="6293" w:type="dxa"/>
          </w:tcPr>
          <w:p>
            <w:pPr>
              <w:pStyle w:val="0"/>
            </w:pPr>
            <w:r>
              <w:rPr>
                <w:sz w:val="20"/>
              </w:rPr>
              <w:t xml:space="preserve">Собственный вклад участника конкурсного отбора и дополнительные ресурсы, привлекаемые на реализацию проекта, перспективы дальнейшего развития проекта</w:t>
            </w:r>
          </w:p>
        </w:tc>
        <w:tc>
          <w:tcPr>
            <w:tcW w:w="1644" w:type="dxa"/>
          </w:tcPr>
          <w:p>
            <w:pPr>
              <w:pStyle w:val="0"/>
              <w:jc w:val="center"/>
            </w:pPr>
            <w:r>
              <w:rPr>
                <w:sz w:val="20"/>
              </w:rPr>
              <w:t xml:space="preserve">0,1</w:t>
            </w:r>
          </w:p>
        </w:tc>
      </w:tr>
      <w:tr>
        <w:tc>
          <w:tcPr>
            <w:tcW w:w="1134" w:type="dxa"/>
          </w:tcPr>
          <w:p>
            <w:pPr>
              <w:pStyle w:val="0"/>
              <w:jc w:val="center"/>
            </w:pPr>
            <w:r>
              <w:rPr>
                <w:sz w:val="20"/>
              </w:rPr>
              <w:t xml:space="preserve">8.</w:t>
            </w:r>
          </w:p>
        </w:tc>
        <w:tc>
          <w:tcPr>
            <w:tcW w:w="6293" w:type="dxa"/>
          </w:tcPr>
          <w:p>
            <w:pPr>
              <w:pStyle w:val="0"/>
            </w:pPr>
            <w:r>
              <w:rPr>
                <w:sz w:val="20"/>
              </w:rPr>
              <w:t xml:space="preserve">Опыт участника конкурсного отбора по успешной реализации проектов</w:t>
            </w:r>
          </w:p>
        </w:tc>
        <w:tc>
          <w:tcPr>
            <w:tcW w:w="1644" w:type="dxa"/>
          </w:tcPr>
          <w:p>
            <w:pPr>
              <w:pStyle w:val="0"/>
              <w:jc w:val="center"/>
            </w:pPr>
            <w:r>
              <w:rPr>
                <w:sz w:val="20"/>
              </w:rPr>
              <w:t xml:space="preserve">0,1</w:t>
            </w:r>
          </w:p>
        </w:tc>
      </w:tr>
      <w:tr>
        <w:tc>
          <w:tcPr>
            <w:tcW w:w="1134" w:type="dxa"/>
          </w:tcPr>
          <w:p>
            <w:pPr>
              <w:pStyle w:val="0"/>
              <w:jc w:val="center"/>
            </w:pPr>
            <w:r>
              <w:rPr>
                <w:sz w:val="20"/>
              </w:rPr>
              <w:t xml:space="preserve">9.</w:t>
            </w:r>
          </w:p>
        </w:tc>
        <w:tc>
          <w:tcPr>
            <w:tcW w:w="6293" w:type="dxa"/>
          </w:tcPr>
          <w:p>
            <w:pPr>
              <w:pStyle w:val="0"/>
            </w:pPr>
            <w:r>
              <w:rPr>
                <w:sz w:val="20"/>
              </w:rPr>
              <w:t xml:space="preserve">Соответствие опыта и компетенций команды проекта планируемой деятельности</w:t>
            </w:r>
          </w:p>
        </w:tc>
        <w:tc>
          <w:tcPr>
            <w:tcW w:w="1644" w:type="dxa"/>
          </w:tcPr>
          <w:p>
            <w:pPr>
              <w:pStyle w:val="0"/>
              <w:jc w:val="center"/>
            </w:pPr>
            <w:r>
              <w:rPr>
                <w:sz w:val="20"/>
              </w:rPr>
              <w:t xml:space="preserve">0,1</w:t>
            </w:r>
          </w:p>
        </w:tc>
      </w:tr>
      <w:tr>
        <w:tc>
          <w:tcPr>
            <w:tcW w:w="1134" w:type="dxa"/>
          </w:tcPr>
          <w:p>
            <w:pPr>
              <w:pStyle w:val="0"/>
              <w:jc w:val="center"/>
            </w:pPr>
            <w:r>
              <w:rPr>
                <w:sz w:val="20"/>
              </w:rPr>
              <w:t xml:space="preserve">10.</w:t>
            </w:r>
          </w:p>
        </w:tc>
        <w:tc>
          <w:tcPr>
            <w:tcW w:w="6293" w:type="dxa"/>
          </w:tcPr>
          <w:p>
            <w:pPr>
              <w:pStyle w:val="0"/>
            </w:pPr>
            <w:r>
              <w:rPr>
                <w:sz w:val="20"/>
              </w:rPr>
              <w:t xml:space="preserve">Информационная открытость участника конкурсного отбора</w:t>
            </w:r>
          </w:p>
        </w:tc>
        <w:tc>
          <w:tcPr>
            <w:tcW w:w="1644" w:type="dxa"/>
          </w:tcPr>
          <w:p>
            <w:pPr>
              <w:pStyle w:val="0"/>
              <w:jc w:val="center"/>
            </w:pPr>
            <w:r>
              <w:rPr>
                <w:sz w:val="20"/>
              </w:rPr>
              <w:t xml:space="preserve">0,1</w:t>
            </w:r>
          </w:p>
        </w:tc>
      </w:tr>
    </w:tbl>
    <w:p>
      <w:pPr>
        <w:pStyle w:val="0"/>
        <w:ind w:firstLine="540"/>
        <w:jc w:val="both"/>
      </w:pPr>
      <w:r>
        <w:rPr>
          <w:sz w:val="20"/>
        </w:rPr>
      </w:r>
    </w:p>
    <w:p>
      <w:pPr>
        <w:pStyle w:val="0"/>
        <w:ind w:firstLine="540"/>
        <w:jc w:val="both"/>
      </w:pPr>
      <w:r>
        <w:rPr>
          <w:sz w:val="20"/>
        </w:rPr>
        <w:t xml:space="preserve">5. Определение оценки заявки по критериям оценки заявки, указанным в </w:t>
      </w:r>
      <w:hyperlink w:history="0" w:anchor="P909" w:tooltip="4. Критерии оценки заявки и коэффициенты их значимости приведены в таблице.">
        <w:r>
          <w:rPr>
            <w:sz w:val="20"/>
            <w:color w:val="0000ff"/>
          </w:rPr>
          <w:t xml:space="preserve">пункте 4</w:t>
        </w:r>
      </w:hyperlink>
      <w:r>
        <w:rPr>
          <w:sz w:val="20"/>
        </w:rPr>
        <w:t xml:space="preserve"> настоящей методики:</w:t>
      </w:r>
    </w:p>
    <w:p>
      <w:pPr>
        <w:pStyle w:val="0"/>
        <w:spacing w:before="200" w:lineRule="auto"/>
        <w:ind w:firstLine="540"/>
        <w:jc w:val="both"/>
      </w:pPr>
      <w:r>
        <w:rPr>
          <w:sz w:val="20"/>
        </w:rPr>
        <w:t xml:space="preserve">1) актуальность проекта, представленного в заявке:</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220"/>
      </w:tblGrid>
      <w:tr>
        <w:tc>
          <w:tcPr>
            <w:tcW w:w="850" w:type="dxa"/>
          </w:tcPr>
          <w:p>
            <w:pPr>
              <w:pStyle w:val="0"/>
              <w:jc w:val="center"/>
            </w:pPr>
            <w:r>
              <w:rPr>
                <w:sz w:val="20"/>
              </w:rPr>
              <w:t xml:space="preserve">100 баллов</w:t>
            </w:r>
          </w:p>
        </w:tc>
        <w:tc>
          <w:tcPr>
            <w:tcW w:w="8220" w:type="dxa"/>
          </w:tcPr>
          <w:p>
            <w:pPr>
              <w:pStyle w:val="0"/>
            </w:pPr>
            <w:r>
              <w:rPr>
                <w:sz w:val="20"/>
              </w:rPr>
              <w:t xml:space="preserve">актуальность и социальная значимость проекта убедительно доказана:</w:t>
            </w:r>
          </w:p>
          <w:p>
            <w:pPr>
              <w:pStyle w:val="0"/>
            </w:pPr>
            <w:r>
              <w:rPr>
                <w:sz w:val="20"/>
              </w:rPr>
              <w:t xml:space="preserve">проблемы, на решение которых направлен проект, детально раскрыты, их описание аргументировано и подкреплено конкретными количественными и (или) качественными показателями;</w:t>
            </w:r>
          </w:p>
          <w:p>
            <w:pPr>
              <w:pStyle w:val="0"/>
            </w:pPr>
            <w:r>
              <w:rPr>
                <w:sz w:val="20"/>
              </w:rPr>
              <w:t xml:space="preserve">проект направлен на решение именно тех проблем, которые обозначены как значимые;</w:t>
            </w:r>
          </w:p>
          <w:p>
            <w:pPr>
              <w:pStyle w:val="0"/>
            </w:pPr>
            <w:r>
              <w:rPr>
                <w:sz w:val="20"/>
              </w:rPr>
              <w:t xml:space="preserve">имеется подтверждение актуальности проблемы, на решение которой направлен проект, представителями целевой аудитории, потенциальными благополучателями, партнерами;</w:t>
            </w:r>
          </w:p>
          <w:p>
            <w:pPr>
              <w:pStyle w:val="0"/>
            </w:pPr>
            <w:r>
              <w:rPr>
                <w:sz w:val="20"/>
              </w:rPr>
              <w:t xml:space="preserve">мероприятия проекта полностью соответствуют направлениям, указанным в </w:t>
            </w:r>
            <w:hyperlink w:history="0" w:anchor="P690"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Порядка предоставления грантов в форме субсидий некоммерческим организациям, не являющимся государственными и муниципальными учреждениями, в сфере культуры, утвержденного Правительством Свердловской области (далее - Порядок)</w:t>
            </w:r>
          </w:p>
        </w:tc>
      </w:tr>
      <w:tr>
        <w:tc>
          <w:tcPr>
            <w:tcW w:w="850" w:type="dxa"/>
          </w:tcPr>
          <w:p>
            <w:pPr>
              <w:pStyle w:val="0"/>
              <w:jc w:val="center"/>
            </w:pPr>
            <w:r>
              <w:rPr>
                <w:sz w:val="20"/>
              </w:rPr>
              <w:t xml:space="preserve">70 баллов</w:t>
            </w:r>
          </w:p>
        </w:tc>
        <w:tc>
          <w:tcPr>
            <w:tcW w:w="8220" w:type="dxa"/>
          </w:tcPr>
          <w:p>
            <w:pPr>
              <w:pStyle w:val="0"/>
            </w:pPr>
            <w:r>
              <w:rPr>
                <w:sz w:val="20"/>
              </w:rPr>
              <w:t xml:space="preserve">актуальность и социальная значимость проекта в целом доказаны, однако имеются несущественные замечания эксперта:</w:t>
            </w:r>
          </w:p>
          <w:p>
            <w:pPr>
              <w:pStyle w:val="0"/>
            </w:pPr>
            <w:r>
              <w:rPr>
                <w:sz w:val="20"/>
              </w:rPr>
              <w:t xml:space="preserve">проблемы, на решение которых направлен проект, относятся к разряду актуальных, но авторы преувеличили их значимость для выбранной территории реализации проекта и (или) целевой группы;</w:t>
            </w:r>
          </w:p>
          <w:p>
            <w:pPr>
              <w:pStyle w:val="0"/>
            </w:pPr>
            <w:r>
              <w:rPr>
                <w:sz w:val="20"/>
              </w:rPr>
              <w:t xml:space="preserve">проблемы, на решение которых направлен проект, описаны общими фразами, без ссылок на конкретные факты либо этих фактов и показателей недостаточно для подтверждения актуальности проблемы для выбранной территории реализации проекта и (или) целевой группы;</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40 баллов</w:t>
            </w:r>
          </w:p>
        </w:tc>
        <w:tc>
          <w:tcPr>
            <w:tcW w:w="8220" w:type="dxa"/>
          </w:tcPr>
          <w:p>
            <w:pPr>
              <w:pStyle w:val="0"/>
            </w:pPr>
            <w:r>
              <w:rPr>
                <w:sz w:val="20"/>
              </w:rPr>
              <w:t xml:space="preserve">актуальность и социальная значимость проекта доказаны недостаточно убедительно:</w:t>
            </w:r>
          </w:p>
          <w:p>
            <w:pPr>
              <w:pStyle w:val="0"/>
            </w:pPr>
            <w:r>
              <w:rPr>
                <w:sz w:val="20"/>
              </w:rPr>
              <w:t xml:space="preserve">проблема не имеет острой значимости для выбранной территории реализации проекта и (или) целевой группы;</w:t>
            </w:r>
          </w:p>
          <w:p>
            <w:pPr>
              <w:pStyle w:val="0"/>
            </w:pPr>
            <w:r>
              <w:rPr>
                <w:sz w:val="20"/>
              </w:rPr>
              <w:t xml:space="preserve">в проекте недостаточно аргументированно и без конкретных показателей описана проблема, на решение которой направлен проект, либо не подтверждено взаимодействие с территориями реализации проекта, обозначенными в заявке;</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10 баллов</w:t>
            </w:r>
          </w:p>
        </w:tc>
        <w:tc>
          <w:tcPr>
            <w:tcW w:w="8220" w:type="dxa"/>
          </w:tcPr>
          <w:p>
            <w:pPr>
              <w:pStyle w:val="0"/>
            </w:pPr>
            <w:r>
              <w:rPr>
                <w:sz w:val="20"/>
              </w:rPr>
              <w:t xml:space="preserve">актуальность и социальная значимость проекта не доказаны:</w:t>
            </w:r>
          </w:p>
          <w:p>
            <w:pPr>
              <w:pStyle w:val="0"/>
            </w:pPr>
            <w:r>
              <w:rPr>
                <w:sz w:val="20"/>
              </w:rPr>
              <w:t xml:space="preserve">проблема, которой посвящен проект, не относится к разряду востребованных обществом либо слабо обоснована авторами проекта;</w:t>
            </w:r>
          </w:p>
          <w:p>
            <w:pPr>
              <w:pStyle w:val="0"/>
            </w:pPr>
            <w:r>
              <w:rPr>
                <w:sz w:val="20"/>
              </w:rPr>
              <w:t xml:space="preserve">большая часть мероприятий проекта не связана с выбранным направлением конкурсного отбора из числа указанных в </w:t>
            </w:r>
            <w:hyperlink w:history="0" w:anchor="P690"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Порядка;</w:t>
            </w:r>
          </w:p>
          <w:p>
            <w:pPr>
              <w:pStyle w:val="0"/>
            </w:pPr>
            <w:r>
              <w:rPr>
                <w:sz w:val="20"/>
              </w:rPr>
              <w:t xml:space="preserve">имеются другие замечания эксперта (с комментарием)</w:t>
            </w:r>
          </w:p>
        </w:tc>
      </w:tr>
    </w:tbl>
    <w:p>
      <w:pPr>
        <w:pStyle w:val="0"/>
        <w:ind w:firstLine="540"/>
        <w:jc w:val="both"/>
      </w:pPr>
      <w:r>
        <w:rPr>
          <w:sz w:val="20"/>
        </w:rPr>
      </w:r>
    </w:p>
    <w:p>
      <w:pPr>
        <w:pStyle w:val="0"/>
        <w:ind w:firstLine="540"/>
        <w:jc w:val="both"/>
      </w:pPr>
      <w:r>
        <w:rPr>
          <w:sz w:val="20"/>
        </w:rPr>
        <w:t xml:space="preserve">2) четкость изложения плана подготовки и реализации проекта: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220"/>
      </w:tblGrid>
      <w:tr>
        <w:tc>
          <w:tcPr>
            <w:tcW w:w="850" w:type="dxa"/>
          </w:tcPr>
          <w:p>
            <w:pPr>
              <w:pStyle w:val="0"/>
              <w:jc w:val="center"/>
            </w:pPr>
            <w:r>
              <w:rPr>
                <w:sz w:val="20"/>
              </w:rPr>
              <w:t xml:space="preserve">100 баллов</w:t>
            </w:r>
          </w:p>
        </w:tc>
        <w:tc>
          <w:tcPr>
            <w:tcW w:w="8220" w:type="dxa"/>
          </w:tcPr>
          <w:p>
            <w:pPr>
              <w:pStyle w:val="0"/>
            </w:pPr>
            <w:r>
              <w:rPr>
                <w:sz w:val="20"/>
              </w:rPr>
              <w:t xml:space="preserve">проект полностью соответствует данному критерию:</w:t>
            </w:r>
          </w:p>
          <w:p>
            <w:pPr>
              <w:pStyle w:val="0"/>
            </w:pPr>
            <w:r>
              <w:rPr>
                <w:sz w:val="20"/>
              </w:rPr>
              <w:t xml:space="preserve">все разделы проекта логически взаимосвязаны, каждый раздел содержит информацию, необходимую и достаточную для полного понимания содержания проекта;</w:t>
            </w:r>
          </w:p>
          <w:p>
            <w:pPr>
              <w:pStyle w:val="0"/>
            </w:pPr>
            <w:r>
              <w:rPr>
                <w:sz w:val="20"/>
              </w:rPr>
              <w:t xml:space="preserve">календарный план реализации проекта хорошо структурирован, детализирован, содержит описание конкретных мероприятий;</w:t>
            </w:r>
          </w:p>
          <w:p>
            <w:pPr>
              <w:pStyle w:val="0"/>
            </w:pPr>
            <w:r>
              <w:rPr>
                <w:sz w:val="20"/>
              </w:rPr>
              <w:t xml:space="preserve">запланированные мероприятия соответствуют условиям конкурсного отбора и обеспечивают решение поставленных задач и достижение предполагаемых результатов проекта;</w:t>
            </w:r>
          </w:p>
          <w:p>
            <w:pPr>
              <w:pStyle w:val="0"/>
            </w:pPr>
            <w:r>
              <w:rPr>
                <w:sz w:val="20"/>
              </w:rPr>
              <w:t xml:space="preserve">указаны конкретные и разумные сроки, позволяющие в полной мере решить задачи проекта</w:t>
            </w:r>
          </w:p>
        </w:tc>
      </w:tr>
      <w:tr>
        <w:tc>
          <w:tcPr>
            <w:tcW w:w="850" w:type="dxa"/>
          </w:tcPr>
          <w:p>
            <w:pPr>
              <w:pStyle w:val="0"/>
              <w:jc w:val="center"/>
            </w:pPr>
            <w:r>
              <w:rPr>
                <w:sz w:val="20"/>
              </w:rPr>
              <w:t xml:space="preserve">70 баллов</w:t>
            </w:r>
          </w:p>
        </w:tc>
        <w:tc>
          <w:tcPr>
            <w:tcW w:w="8220" w:type="dxa"/>
          </w:tcPr>
          <w:p>
            <w:pPr>
              <w:pStyle w:val="0"/>
            </w:pPr>
            <w:r>
              <w:rPr>
                <w:sz w:val="20"/>
              </w:rPr>
              <w:t xml:space="preserve">по данному критерию проект в целом проработан, однако имеются несущественные замечания эксперта:</w:t>
            </w:r>
          </w:p>
          <w:p>
            <w:pPr>
              <w:pStyle w:val="0"/>
            </w:pPr>
            <w:r>
              <w:rPr>
                <w:sz w:val="20"/>
              </w:rPr>
              <w:t xml:space="preserve">все разделы проекта логически взаимосвязаны, однако имеются несущественные смысловые несоответствия, что нарушает внутреннюю целостность проекта;</w:t>
            </w:r>
          </w:p>
          <w:p>
            <w:pPr>
              <w:pStyle w:val="0"/>
            </w:pPr>
            <w:r>
              <w:rPr>
                <w:sz w:val="20"/>
              </w:rPr>
              <w:t xml:space="preserve">запланированные мероприятия соответствуют условиям конкурсного отбора, обеспечивают решение поставленных задач и достижение предполагаемых результатов проекта, вместе с тем состав мероприятий не является полностью оптимальным и (или) сроки выполнения отдельных мероприятий проекта требуют корректировки</w:t>
            </w:r>
          </w:p>
        </w:tc>
      </w:tr>
      <w:tr>
        <w:tc>
          <w:tcPr>
            <w:tcW w:w="850" w:type="dxa"/>
          </w:tcPr>
          <w:p>
            <w:pPr>
              <w:pStyle w:val="0"/>
              <w:jc w:val="center"/>
            </w:pPr>
            <w:r>
              <w:rPr>
                <w:sz w:val="20"/>
              </w:rPr>
              <w:t xml:space="preserve">40 баллов</w:t>
            </w:r>
          </w:p>
        </w:tc>
        <w:tc>
          <w:tcPr>
            <w:tcW w:w="8220" w:type="dxa"/>
          </w:tcPr>
          <w:p>
            <w:pPr>
              <w:pStyle w:val="0"/>
            </w:pPr>
            <w:r>
              <w:rPr>
                <w:sz w:val="20"/>
              </w:rPr>
              <w:t xml:space="preserve">проект по данному критерию проработан недостаточно, имеются замечания эксперта, которые необходимо устранить:</w:t>
            </w:r>
          </w:p>
          <w:p>
            <w:pPr>
              <w:pStyle w:val="0"/>
            </w:pPr>
            <w:r>
              <w:rPr>
                <w:sz w:val="20"/>
              </w:rPr>
              <w:t xml:space="preserve">календарный план реализации проекта описывает лишь общие направления деятельности, не раскрывает последовательность реализации проекта, не позволяет определить содержание основных мероприятий;</w:t>
            </w:r>
          </w:p>
          <w:p>
            <w:pPr>
              <w:pStyle w:val="0"/>
            </w:pPr>
            <w:r>
              <w:rPr>
                <w:sz w:val="20"/>
              </w:rPr>
              <w:t xml:space="preserve">имеются устранимые нарушения логической связи между задачами, мероприятиями и предполагаемыми результатами проекта;</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10 баллов</w:t>
            </w:r>
          </w:p>
        </w:tc>
        <w:tc>
          <w:tcPr>
            <w:tcW w:w="8220" w:type="dxa"/>
          </w:tcPr>
          <w:p>
            <w:pPr>
              <w:pStyle w:val="0"/>
            </w:pPr>
            <w:r>
              <w:rPr>
                <w:sz w:val="20"/>
              </w:rPr>
              <w:t xml:space="preserve">проект не соответствует данному критерию:</w:t>
            </w:r>
          </w:p>
          <w:p>
            <w:pPr>
              <w:pStyle w:val="0"/>
            </w:pPr>
            <w:r>
              <w:rPr>
                <w:sz w:val="20"/>
              </w:rPr>
              <w:t xml:space="preserve">проект проработан на низком уровне, имеются несоответствия мероприятий проекта его целям и задачам, противоречия между планируемой деятельностью и предполагаемыми результатами проекта;</w:t>
            </w:r>
          </w:p>
          <w:p>
            <w:pPr>
              <w:pStyle w:val="0"/>
            </w:pPr>
            <w:r>
              <w:rPr>
                <w:sz w:val="20"/>
              </w:rPr>
              <w:t xml:space="preserve">существенные ошибки в постановке целей, задач, описании мероприятий, результатов проекта делают реализацию проекта нецелесообразной;</w:t>
            </w:r>
          </w:p>
          <w:p>
            <w:pPr>
              <w:pStyle w:val="0"/>
            </w:pPr>
            <w:r>
              <w:rPr>
                <w:sz w:val="20"/>
              </w:rPr>
              <w:t xml:space="preserve">сроки выполнения мероприятий проекта некорректны и не соответствуют заявленным целям и задачам проекта, из-за непродуманности создают значительные риски реализации проекта;</w:t>
            </w:r>
          </w:p>
          <w:p>
            <w:pPr>
              <w:pStyle w:val="0"/>
            </w:pPr>
            <w:r>
              <w:rPr>
                <w:sz w:val="20"/>
              </w:rPr>
              <w:t xml:space="preserve">имеются другие замечания эксперта (с комментарием)</w:t>
            </w:r>
          </w:p>
        </w:tc>
      </w:tr>
    </w:tbl>
    <w:p>
      <w:pPr>
        <w:pStyle w:val="0"/>
        <w:ind w:firstLine="540"/>
        <w:jc w:val="both"/>
      </w:pPr>
      <w:r>
        <w:rPr>
          <w:sz w:val="20"/>
        </w:rPr>
      </w:r>
    </w:p>
    <w:p>
      <w:pPr>
        <w:pStyle w:val="0"/>
        <w:ind w:firstLine="540"/>
        <w:jc w:val="both"/>
      </w:pPr>
      <w:r>
        <w:rPr>
          <w:sz w:val="20"/>
        </w:rPr>
        <w:t xml:space="preserve">3) инновационность, уникальность проекта: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220"/>
      </w:tblGrid>
      <w:tr>
        <w:tc>
          <w:tcPr>
            <w:tcW w:w="850" w:type="dxa"/>
          </w:tcPr>
          <w:p>
            <w:pPr>
              <w:pStyle w:val="0"/>
              <w:jc w:val="center"/>
            </w:pPr>
            <w:r>
              <w:rPr>
                <w:sz w:val="20"/>
              </w:rPr>
              <w:t xml:space="preserve">100 баллов</w:t>
            </w:r>
          </w:p>
        </w:tc>
        <w:tc>
          <w:tcPr>
            <w:tcW w:w="8220" w:type="dxa"/>
          </w:tcPr>
          <w:p>
            <w:pPr>
              <w:pStyle w:val="0"/>
            </w:pPr>
            <w:r>
              <w:rPr>
                <w:sz w:val="20"/>
              </w:rPr>
              <w:t xml:space="preserve">проект является инновационным, уникальным:</w:t>
            </w:r>
          </w:p>
          <w:p>
            <w:pPr>
              <w:pStyle w:val="0"/>
            </w:pPr>
            <w:r>
              <w:rPr>
                <w:sz w:val="20"/>
              </w:rPr>
              <w:t xml:space="preserve">проект преимущественно направлен на внедрение новых или значительно улучшенных практик, методов в деятельность участника конкурсного отбора и (или) его партнеров, что позволит качественно улучшить такую деятельность</w:t>
            </w:r>
          </w:p>
        </w:tc>
      </w:tr>
      <w:tr>
        <w:tc>
          <w:tcPr>
            <w:tcW w:w="850" w:type="dxa"/>
          </w:tcPr>
          <w:p>
            <w:pPr>
              <w:pStyle w:val="0"/>
              <w:jc w:val="center"/>
            </w:pPr>
            <w:r>
              <w:rPr>
                <w:sz w:val="20"/>
              </w:rPr>
              <w:t xml:space="preserve">70 баллов</w:t>
            </w:r>
          </w:p>
        </w:tc>
        <w:tc>
          <w:tcPr>
            <w:tcW w:w="8220" w:type="dxa"/>
          </w:tcPr>
          <w:p>
            <w:pPr>
              <w:pStyle w:val="0"/>
            </w:pPr>
            <w:r>
              <w:rPr>
                <w:sz w:val="20"/>
              </w:rPr>
              <w:t xml:space="preserve">проект имеет признаки инновационности, уникальности, но эти признаки несущественно влияют на его предполагаемые результаты:</w:t>
            </w:r>
          </w:p>
          <w:p>
            <w:pPr>
              <w:pStyle w:val="0"/>
            </w:pPr>
            <w:r>
              <w:rPr>
                <w:sz w:val="20"/>
              </w:rPr>
              <w:t xml:space="preserve">проект предусматривает внедрение новых или значительно улучшенных практик, методов, но в заявке четко не описано, как это приведет к изменению содержания и результативности деятельности, которую осуществляет участник конкурсного отбора и (или) его партнеры;</w:t>
            </w:r>
          </w:p>
          <w:p>
            <w:pPr>
              <w:pStyle w:val="0"/>
            </w:pPr>
            <w:r>
              <w:rPr>
                <w:sz w:val="20"/>
              </w:rPr>
              <w:t xml:space="preserve">у участника конкурсного отбора есть ресурсы и опыт, чтобы успешно внедрить описанные инновации;</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40 баллов</w:t>
            </w:r>
          </w:p>
        </w:tc>
        <w:tc>
          <w:tcPr>
            <w:tcW w:w="8220" w:type="dxa"/>
          </w:tcPr>
          <w:p>
            <w:pPr>
              <w:pStyle w:val="0"/>
            </w:pPr>
            <w:r>
              <w:rPr>
                <w:sz w:val="20"/>
              </w:rPr>
              <w:t xml:space="preserve">проект практически не имеет признаков инновационности, уникальности:</w:t>
            </w:r>
          </w:p>
          <w:p>
            <w:pPr>
              <w:pStyle w:val="0"/>
            </w:pPr>
            <w:r>
              <w:rPr>
                <w:sz w:val="20"/>
              </w:rPr>
              <w:t xml:space="preserve">в проекте упоминается использование новых или значительно улучшенных практик, методов, вместе с тем состав мероприятий проекта не позволяет сделать вывод о том, что проект является уникальным по сравнению с деятельностью других участников конкурсного отбора по соответствующей тематике;</w:t>
            </w:r>
          </w:p>
          <w:p>
            <w:pPr>
              <w:pStyle w:val="0"/>
            </w:pPr>
            <w:r>
              <w:rPr>
                <w:sz w:val="20"/>
              </w:rPr>
              <w:t xml:space="preserve">практики и методики, указанные в проекте, не являются инновационными;</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10 баллов</w:t>
            </w:r>
          </w:p>
        </w:tc>
        <w:tc>
          <w:tcPr>
            <w:tcW w:w="8220" w:type="dxa"/>
          </w:tcPr>
          <w:p>
            <w:pPr>
              <w:pStyle w:val="0"/>
            </w:pPr>
            <w:r>
              <w:rPr>
                <w:sz w:val="20"/>
              </w:rPr>
              <w:t xml:space="preserve">проект не является инновационным, уникальным:</w:t>
            </w:r>
          </w:p>
          <w:p>
            <w:pPr>
              <w:pStyle w:val="0"/>
            </w:pPr>
            <w:r>
              <w:rPr>
                <w:sz w:val="20"/>
              </w:rPr>
              <w:t xml:space="preserve">проект по сути является продолжением уже осуществляемой (ранее осуществлявшейся) деятельности участника конкурсного отбора;</w:t>
            </w:r>
          </w:p>
          <w:p>
            <w:pPr>
              <w:pStyle w:val="0"/>
            </w:pPr>
            <w:r>
              <w:rPr>
                <w:sz w:val="20"/>
              </w:rPr>
              <w:t xml:space="preserve">практики и методики, указанные в проекте, не рекомендуются к применению (наличие данного обстоятельства необходимо указать в комментарии эксперта к оценке заявки с соответствующим обоснованием)</w:t>
            </w:r>
          </w:p>
        </w:tc>
      </w:tr>
    </w:tbl>
    <w:p>
      <w:pPr>
        <w:pStyle w:val="0"/>
        <w:ind w:firstLine="540"/>
        <w:jc w:val="both"/>
      </w:pPr>
      <w:r>
        <w:rPr>
          <w:sz w:val="20"/>
        </w:rPr>
      </w:r>
    </w:p>
    <w:p>
      <w:pPr>
        <w:pStyle w:val="0"/>
        <w:ind w:firstLine="540"/>
        <w:jc w:val="both"/>
      </w:pPr>
      <w:r>
        <w:rPr>
          <w:sz w:val="20"/>
        </w:rPr>
        <w:t xml:space="preserve">4) соотношение планируемых расходов на реализацию мероприятий проекта и его ожидаемых результатов, адекватность, измеримость и достижимость таких результатов: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220"/>
      </w:tblGrid>
      <w:tr>
        <w:tc>
          <w:tcPr>
            <w:tcW w:w="850" w:type="dxa"/>
          </w:tcPr>
          <w:p>
            <w:pPr>
              <w:pStyle w:val="0"/>
              <w:jc w:val="center"/>
            </w:pPr>
            <w:r>
              <w:rPr>
                <w:sz w:val="20"/>
              </w:rPr>
              <w:t xml:space="preserve">100 баллов</w:t>
            </w:r>
          </w:p>
        </w:tc>
        <w:tc>
          <w:tcPr>
            <w:tcW w:w="8220" w:type="dxa"/>
          </w:tcPr>
          <w:p>
            <w:pPr>
              <w:pStyle w:val="0"/>
            </w:pPr>
            <w:r>
              <w:rPr>
                <w:sz w:val="20"/>
              </w:rPr>
              <w:t xml:space="preserve">данный критерий отлично выражен в заявке:</w:t>
            </w:r>
          </w:p>
          <w:p>
            <w:pPr>
              <w:pStyle w:val="0"/>
            </w:pPr>
            <w:r>
              <w:rPr>
                <w:sz w:val="20"/>
              </w:rPr>
              <w:t xml:space="preserve">в заявке четко изложены ожидаемые результаты проекта, они адекватны, конкретны и измеримы;</w:t>
            </w:r>
          </w:p>
          <w:p>
            <w:pPr>
              <w:pStyle w:val="0"/>
            </w:pPr>
            <w:r>
              <w:rPr>
                <w:sz w:val="20"/>
              </w:rPr>
              <w:t xml:space="preserve">их получение за общую сумму предполагаемых расходов на реализацию проекта соразмерно и обосновано</w:t>
            </w:r>
          </w:p>
        </w:tc>
      </w:tr>
      <w:tr>
        <w:tc>
          <w:tcPr>
            <w:tcW w:w="850" w:type="dxa"/>
          </w:tcPr>
          <w:p>
            <w:pPr>
              <w:pStyle w:val="0"/>
              <w:jc w:val="center"/>
            </w:pPr>
            <w:r>
              <w:rPr>
                <w:sz w:val="20"/>
              </w:rPr>
              <w:t xml:space="preserve">70 баллов</w:t>
            </w:r>
          </w:p>
        </w:tc>
        <w:tc>
          <w:tcPr>
            <w:tcW w:w="8220" w:type="dxa"/>
          </w:tcPr>
          <w:p>
            <w:pPr>
              <w:pStyle w:val="0"/>
            </w:pPr>
            <w:r>
              <w:rPr>
                <w:sz w:val="20"/>
              </w:rPr>
              <w:t xml:space="preserve">данный критерий хорошо выражен в заявке:</w:t>
            </w:r>
          </w:p>
          <w:p>
            <w:pPr>
              <w:pStyle w:val="0"/>
            </w:pPr>
            <w:r>
              <w:rPr>
                <w:sz w:val="20"/>
              </w:rPr>
              <w:t xml:space="preserve">в заявке четко изложены ожидаемые результаты проекта, их получение за общую сумму предполагаемых расходов на реализацию проекта обосновано, вместе с тем содержание запланированной деятельности по достижению указанных результатов (состав мероприятий) не является полностью оптимальным;</w:t>
            </w:r>
          </w:p>
          <w:p>
            <w:pPr>
              <w:pStyle w:val="0"/>
            </w:pPr>
            <w:r>
              <w:rPr>
                <w:sz w:val="20"/>
              </w:rPr>
              <w:t xml:space="preserve">по описанию запланированных результатов у эксперта имеются несущественные замечания в части их адекватности, измеримости и достижимости (замечания необходимо указать в комментарии эксперта к оценке заявки)</w:t>
            </w:r>
          </w:p>
        </w:tc>
      </w:tr>
      <w:tr>
        <w:tc>
          <w:tcPr>
            <w:tcW w:w="850" w:type="dxa"/>
          </w:tcPr>
          <w:p>
            <w:pPr>
              <w:pStyle w:val="0"/>
              <w:jc w:val="center"/>
            </w:pPr>
            <w:r>
              <w:rPr>
                <w:sz w:val="20"/>
              </w:rPr>
              <w:t xml:space="preserve">40 баллов</w:t>
            </w:r>
          </w:p>
        </w:tc>
        <w:tc>
          <w:tcPr>
            <w:tcW w:w="8220" w:type="dxa"/>
          </w:tcPr>
          <w:p>
            <w:pPr>
              <w:pStyle w:val="0"/>
            </w:pPr>
            <w:r>
              <w:rPr>
                <w:sz w:val="20"/>
              </w:rPr>
              <w:t xml:space="preserve">данный критерий удовлетворительно выражен в заявке: в заявке изложены ожидаемые результаты проекта, но они не полностью соответствуют критериям адекватности, измеримости, достижимости;</w:t>
            </w:r>
          </w:p>
          <w:p>
            <w:pPr>
              <w:pStyle w:val="0"/>
            </w:pPr>
            <w:r>
              <w:rPr>
                <w:sz w:val="20"/>
              </w:rPr>
              <w:t xml:space="preserve">запланированные результаты проекта могут быть достигнуты при меньших затратах;</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10 баллов</w:t>
            </w:r>
          </w:p>
        </w:tc>
        <w:tc>
          <w:tcPr>
            <w:tcW w:w="8220" w:type="dxa"/>
          </w:tcPr>
          <w:p>
            <w:pPr>
              <w:pStyle w:val="0"/>
            </w:pPr>
            <w:r>
              <w:rPr>
                <w:sz w:val="20"/>
              </w:rPr>
              <w:t xml:space="preserve">данный критерий плохо выражен в заявке:</w:t>
            </w:r>
          </w:p>
          <w:p>
            <w:pPr>
              <w:pStyle w:val="0"/>
            </w:pPr>
            <w:r>
              <w:rPr>
                <w:sz w:val="20"/>
              </w:rPr>
              <w:t xml:space="preserve">ожидаемые результаты проекта изложены неконкретно;</w:t>
            </w:r>
          </w:p>
          <w:p>
            <w:pPr>
              <w:pStyle w:val="0"/>
            </w:pPr>
            <w:r>
              <w:rPr>
                <w:sz w:val="20"/>
              </w:rPr>
              <w:t xml:space="preserve">предполагаемые затраты на достижение результатов проекта явно завышены;</w:t>
            </w:r>
          </w:p>
          <w:p>
            <w:pPr>
              <w:pStyle w:val="0"/>
            </w:pPr>
            <w:r>
              <w:rPr>
                <w:sz w:val="20"/>
              </w:rPr>
              <w:t xml:space="preserve">описанная в заявке деятельность участника конкурсного отбора является по сути предпринимательской;</w:t>
            </w:r>
          </w:p>
          <w:p>
            <w:pPr>
              <w:pStyle w:val="0"/>
            </w:pPr>
            <w:r>
              <w:rPr>
                <w:sz w:val="20"/>
              </w:rPr>
              <w:t xml:space="preserve">имеются другие замечания эксперта (с комментарием)</w:t>
            </w:r>
          </w:p>
        </w:tc>
      </w:tr>
    </w:tbl>
    <w:p>
      <w:pPr>
        <w:pStyle w:val="0"/>
        <w:ind w:firstLine="540"/>
        <w:jc w:val="both"/>
      </w:pPr>
      <w:r>
        <w:rPr>
          <w:sz w:val="20"/>
        </w:rPr>
      </w:r>
    </w:p>
    <w:p>
      <w:pPr>
        <w:pStyle w:val="0"/>
        <w:ind w:firstLine="540"/>
        <w:jc w:val="both"/>
      </w:pPr>
      <w:r>
        <w:rPr>
          <w:sz w:val="20"/>
        </w:rPr>
        <w:t xml:space="preserve">5) реалистичность бюджета проекта и обоснованность планируемых расходов на реализацию проекта: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220"/>
      </w:tblGrid>
      <w:tr>
        <w:tc>
          <w:tcPr>
            <w:tcW w:w="850" w:type="dxa"/>
          </w:tcPr>
          <w:p>
            <w:pPr>
              <w:pStyle w:val="0"/>
              <w:jc w:val="center"/>
            </w:pPr>
            <w:r>
              <w:rPr>
                <w:sz w:val="20"/>
              </w:rPr>
              <w:t xml:space="preserve">100 баллов</w:t>
            </w:r>
          </w:p>
        </w:tc>
        <w:tc>
          <w:tcPr>
            <w:tcW w:w="8220" w:type="dxa"/>
          </w:tcPr>
          <w:p>
            <w:pPr>
              <w:pStyle w:val="0"/>
            </w:pPr>
            <w:r>
              <w:rPr>
                <w:sz w:val="20"/>
              </w:rPr>
              <w:t xml:space="preserve">проект полностью соответствует данному критерию:</w:t>
            </w:r>
          </w:p>
          <w:p>
            <w:pPr>
              <w:pStyle w:val="0"/>
            </w:pPr>
            <w:r>
              <w:rPr>
                <w:sz w:val="20"/>
              </w:rPr>
              <w:t xml:space="preserve">в бюджете проекта предусмотрено финансовое обеспечение всех мероприятий проекта и отсутствуют расходы, которые непосредственно не связаны с мероприятиями проекта;</w:t>
            </w:r>
          </w:p>
          <w:p>
            <w:pPr>
              <w:pStyle w:val="0"/>
            </w:pPr>
            <w:r>
              <w:rPr>
                <w:sz w:val="20"/>
              </w:rPr>
              <w:t xml:space="preserve">все планируемые расходы проекта реалистичны и обоснованы;</w:t>
            </w:r>
          </w:p>
          <w:p>
            <w:pPr>
              <w:pStyle w:val="0"/>
            </w:pPr>
            <w:r>
              <w:rPr>
                <w:sz w:val="20"/>
              </w:rPr>
              <w:t xml:space="preserve">даны корректные комментарии по всем предполагаемым расходам за счет гранта, позволяющие четко определить состав (детализацию) расходов;</w:t>
            </w:r>
          </w:p>
          <w:p>
            <w:pPr>
              <w:pStyle w:val="0"/>
            </w:pPr>
            <w:r>
              <w:rPr>
                <w:sz w:val="20"/>
              </w:rPr>
              <w:t xml:space="preserve">в проекте предусмотрено активное использование имеющихся у участника конкурсного отбора ресурсов</w:t>
            </w:r>
          </w:p>
        </w:tc>
      </w:tr>
      <w:tr>
        <w:tc>
          <w:tcPr>
            <w:tcW w:w="850" w:type="dxa"/>
          </w:tcPr>
          <w:p>
            <w:pPr>
              <w:pStyle w:val="0"/>
              <w:jc w:val="center"/>
            </w:pPr>
            <w:r>
              <w:rPr>
                <w:sz w:val="20"/>
              </w:rPr>
              <w:t xml:space="preserve">70 баллов</w:t>
            </w:r>
          </w:p>
        </w:tc>
        <w:tc>
          <w:tcPr>
            <w:tcW w:w="8220" w:type="dxa"/>
          </w:tcPr>
          <w:p>
            <w:pPr>
              <w:pStyle w:val="0"/>
            </w:pPr>
            <w:r>
              <w:rPr>
                <w:sz w:val="20"/>
              </w:rPr>
              <w:t xml:space="preserve">проект в целом соответствует данному критерию, однако имеются несущественные замечания эксперта:</w:t>
            </w:r>
          </w:p>
          <w:p>
            <w:pPr>
              <w:pStyle w:val="0"/>
            </w:pPr>
            <w:r>
              <w:rPr>
                <w:sz w:val="20"/>
              </w:rPr>
              <w:t xml:space="preserve">все планируемые расходы проекта реалистичны, следуют из задач, мероприятий и обоснованы, вместе с тем по некоторым расходам невозможно точно определить их состав (детализацию);</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40 баллов</w:t>
            </w:r>
          </w:p>
        </w:tc>
        <w:tc>
          <w:tcPr>
            <w:tcW w:w="8220" w:type="dxa"/>
          </w:tcPr>
          <w:p>
            <w:pPr>
              <w:pStyle w:val="0"/>
            </w:pPr>
            <w:r>
              <w:rPr>
                <w:sz w:val="20"/>
              </w:rPr>
              <w:t xml:space="preserve">проект в целом соответствует данному критерию, однако имеются замечания эксперта, которые необходимо устранить:</w:t>
            </w:r>
          </w:p>
          <w:p>
            <w:pPr>
              <w:pStyle w:val="0"/>
            </w:pPr>
            <w:r>
              <w:rPr>
                <w:sz w:val="20"/>
              </w:rPr>
              <w:t xml:space="preserve">не все предполагаемые расходы проекта непосредственно связаны с мероприятиями проекта и достижением ожидаемых результатов;</w:t>
            </w:r>
          </w:p>
          <w:p>
            <w:pPr>
              <w:pStyle w:val="0"/>
            </w:pPr>
            <w:r>
              <w:rPr>
                <w:sz w:val="20"/>
              </w:rPr>
              <w:t xml:space="preserve">в бюджете проекта предусмотрены побочные, не имеющие прямого отношения к реализации проекта расходы;</w:t>
            </w:r>
          </w:p>
          <w:p>
            <w:pPr>
              <w:pStyle w:val="0"/>
            </w:pPr>
            <w:r>
              <w:rPr>
                <w:sz w:val="20"/>
              </w:rPr>
              <w:t xml:space="preserve">некоторые расходы проекта завышены или занижены по сравнению со средним рыночным уровнем оплаты труда, работ, услуг, аренды, уровнем цен на товары (без соответствующего обоснования в комментариях к расходам);</w:t>
            </w:r>
          </w:p>
          <w:p>
            <w:pPr>
              <w:pStyle w:val="0"/>
            </w:pPr>
            <w:r>
              <w:rPr>
                <w:sz w:val="20"/>
              </w:rPr>
              <w:t xml:space="preserve">обоснование некоторых запланированных расходов проекта не позволяет оценить их взаимосвязь с мероприятиями проекта;</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10 баллов</w:t>
            </w:r>
          </w:p>
        </w:tc>
        <w:tc>
          <w:tcPr>
            <w:tcW w:w="8220" w:type="dxa"/>
          </w:tcPr>
          <w:p>
            <w:pPr>
              <w:pStyle w:val="0"/>
            </w:pPr>
            <w:r>
              <w:rPr>
                <w:sz w:val="20"/>
              </w:rPr>
              <w:t xml:space="preserve">проект не соответствует данному критерию:</w:t>
            </w:r>
          </w:p>
          <w:p>
            <w:pPr>
              <w:pStyle w:val="0"/>
            </w:pPr>
            <w:r>
              <w:rPr>
                <w:sz w:val="20"/>
              </w:rPr>
              <w:t xml:space="preserve">предполагаемые затраты на реализацию проекта явно завышены либо занижены и (или) не соответствуют мероприятиям проекта, условиям конкурсного отбора;</w:t>
            </w:r>
          </w:p>
          <w:p>
            <w:pPr>
              <w:pStyle w:val="0"/>
            </w:pPr>
            <w:r>
              <w:rPr>
                <w:sz w:val="20"/>
              </w:rPr>
              <w:t xml:space="preserve">бюджет проекта нереалистичен, не соответствует тексту проекта;</w:t>
            </w:r>
          </w:p>
          <w:p>
            <w:pPr>
              <w:pStyle w:val="0"/>
            </w:pPr>
            <w:r>
              <w:rPr>
                <w:sz w:val="20"/>
              </w:rPr>
              <w:t xml:space="preserve">бюджет проекта не соответствует целевому характеру гранта, часть расходов проекта не направлена на выполнение мероприятий проекта либо вообще не имеет отношения к реализации проекта;</w:t>
            </w:r>
          </w:p>
          <w:p>
            <w:pPr>
              <w:pStyle w:val="0"/>
            </w:pPr>
            <w:r>
              <w:rPr>
                <w:sz w:val="20"/>
              </w:rPr>
              <w:t xml:space="preserve">имеются несоответствия между суммами в описании проекта и бюджете проекта;</w:t>
            </w:r>
          </w:p>
          <w:p>
            <w:pPr>
              <w:pStyle w:val="0"/>
            </w:pPr>
            <w:r>
              <w:rPr>
                <w:sz w:val="20"/>
              </w:rPr>
              <w:t xml:space="preserve">комментарии к запланированным расходам неполные, некорректные, нелогичные;</w:t>
            </w:r>
          </w:p>
          <w:p>
            <w:pPr>
              <w:pStyle w:val="0"/>
            </w:pPr>
            <w:r>
              <w:rPr>
                <w:sz w:val="20"/>
              </w:rPr>
              <w:t xml:space="preserve">имеются другие замечания эксперта (с комментарием)</w:t>
            </w:r>
          </w:p>
        </w:tc>
      </w:tr>
    </w:tbl>
    <w:p>
      <w:pPr>
        <w:pStyle w:val="0"/>
        <w:ind w:firstLine="540"/>
        <w:jc w:val="both"/>
      </w:pPr>
      <w:r>
        <w:rPr>
          <w:sz w:val="20"/>
        </w:rPr>
      </w:r>
    </w:p>
    <w:p>
      <w:pPr>
        <w:pStyle w:val="0"/>
        <w:ind w:firstLine="540"/>
        <w:jc w:val="both"/>
      </w:pPr>
      <w:r>
        <w:rPr>
          <w:sz w:val="20"/>
        </w:rPr>
        <w:t xml:space="preserve">6) масштаб реализации проекта: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220"/>
      </w:tblGrid>
      <w:tr>
        <w:tc>
          <w:tcPr>
            <w:tcW w:w="850" w:type="dxa"/>
          </w:tcPr>
          <w:p>
            <w:pPr>
              <w:pStyle w:val="0"/>
              <w:jc w:val="center"/>
            </w:pPr>
            <w:r>
              <w:rPr>
                <w:sz w:val="20"/>
              </w:rPr>
              <w:t xml:space="preserve">100 баллов</w:t>
            </w:r>
          </w:p>
        </w:tc>
        <w:tc>
          <w:tcPr>
            <w:tcW w:w="8220" w:type="dxa"/>
          </w:tcPr>
          <w:p>
            <w:pPr>
              <w:pStyle w:val="0"/>
            </w:pPr>
            <w:r>
              <w:rPr>
                <w:sz w:val="20"/>
              </w:rPr>
              <w:t xml:space="preserve">проект по данному критерию проработан отлично:</w:t>
            </w:r>
          </w:p>
          <w:p>
            <w:pPr>
              <w:pStyle w:val="0"/>
            </w:pPr>
            <w:r>
              <w:rPr>
                <w:sz w:val="20"/>
              </w:rPr>
              <w:t xml:space="preserve">заявленный территориальный охват проекта оправдан, использует реальные возможности участника конкурсного отбора и адекватен тем проблемам, на решение которых направлен проект;</w:t>
            </w:r>
          </w:p>
          <w:p>
            <w:pPr>
              <w:pStyle w:val="0"/>
            </w:pPr>
            <w:r>
              <w:rPr>
                <w:sz w:val="20"/>
              </w:rPr>
              <w:t xml:space="preserve">в проекте предусмотрена деятельность участника конкурсного отбора в пределах территории реализации проекта самостоятельно или с активным вовлечением партнеров</w:t>
            </w:r>
          </w:p>
        </w:tc>
      </w:tr>
      <w:tr>
        <w:tc>
          <w:tcPr>
            <w:tcW w:w="850" w:type="dxa"/>
          </w:tcPr>
          <w:p>
            <w:pPr>
              <w:pStyle w:val="0"/>
              <w:jc w:val="center"/>
            </w:pPr>
            <w:r>
              <w:rPr>
                <w:sz w:val="20"/>
              </w:rPr>
              <w:t xml:space="preserve">70 баллов</w:t>
            </w:r>
          </w:p>
        </w:tc>
        <w:tc>
          <w:tcPr>
            <w:tcW w:w="8220" w:type="dxa"/>
          </w:tcPr>
          <w:p>
            <w:pPr>
              <w:pStyle w:val="0"/>
            </w:pPr>
            <w:r>
              <w:rPr>
                <w:sz w:val="20"/>
              </w:rPr>
              <w:t xml:space="preserve">проект по данному критерию проработан хорошо:</w:t>
            </w:r>
          </w:p>
          <w:p>
            <w:pPr>
              <w:pStyle w:val="0"/>
            </w:pPr>
            <w:r>
              <w:rPr>
                <w:sz w:val="20"/>
              </w:rPr>
              <w:t xml:space="preserve">в проекте предусмотрена деятельность в пределах территории его реализации за счет вовлечения партнеров, но наличие устойчивых связей с партнерами в проекте не подтверждено;</w:t>
            </w:r>
          </w:p>
          <w:p>
            <w:pPr>
              <w:pStyle w:val="0"/>
            </w:pPr>
            <w:r>
              <w:rPr>
                <w:sz w:val="20"/>
              </w:rPr>
              <w:t xml:space="preserve">имеется частичное (несущественное) расхождение между заявленной территорией реализации проекта и календарным планом реализации проекта, обеспечение такого территориального охвата может вызвать затруднения реализации проекта в сроки, установленные календарным планом;</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40 баллов</w:t>
            </w:r>
          </w:p>
        </w:tc>
        <w:tc>
          <w:tcPr>
            <w:tcW w:w="8220" w:type="dxa"/>
          </w:tcPr>
          <w:p>
            <w:pPr>
              <w:pStyle w:val="0"/>
            </w:pPr>
            <w:r>
              <w:rPr>
                <w:sz w:val="20"/>
              </w:rPr>
              <w:t xml:space="preserve">проект по данному критерию проработан удовлетворительно:</w:t>
            </w:r>
          </w:p>
          <w:p>
            <w:pPr>
              <w:pStyle w:val="0"/>
            </w:pPr>
            <w:r>
              <w:rPr>
                <w:sz w:val="20"/>
              </w:rPr>
              <w:t xml:space="preserve">возможность реализации проекта на заявленной территории не обеспечена в полном объеме бюджетом проекта, при этом информация об иных источниках в заявке отсутствует;</w:t>
            </w:r>
          </w:p>
          <w:p>
            <w:pPr>
              <w:pStyle w:val="0"/>
            </w:pPr>
            <w:r>
              <w:rPr>
                <w:sz w:val="20"/>
              </w:rPr>
              <w:t xml:space="preserve">в качестве территории реализации проекта заявлена потенциальная аудитория интернет-ресурса, который планируется создать или развивать в рамках реализации проекта;</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10 баллов</w:t>
            </w:r>
          </w:p>
        </w:tc>
        <w:tc>
          <w:tcPr>
            <w:tcW w:w="8220" w:type="dxa"/>
          </w:tcPr>
          <w:p>
            <w:pPr>
              <w:pStyle w:val="0"/>
            </w:pPr>
            <w:r>
              <w:rPr>
                <w:sz w:val="20"/>
              </w:rPr>
              <w:t xml:space="preserve">проект по данному критерию проработан плохо:</w:t>
            </w:r>
          </w:p>
          <w:p>
            <w:pPr>
              <w:pStyle w:val="0"/>
            </w:pPr>
            <w:r>
              <w:rPr>
                <w:sz w:val="20"/>
              </w:rPr>
              <w:t xml:space="preserve">заявленная территория реализации проекта не подтверждается содержанием заявки;</w:t>
            </w:r>
          </w:p>
          <w:p>
            <w:pPr>
              <w:pStyle w:val="0"/>
            </w:pPr>
            <w:r>
              <w:rPr>
                <w:sz w:val="20"/>
              </w:rPr>
              <w:t xml:space="preserve">не доказано взаимодействие участника конкурсного отбора с территориями, обозначенными в заявке;</w:t>
            </w:r>
          </w:p>
          <w:p>
            <w:pPr>
              <w:pStyle w:val="0"/>
            </w:pPr>
            <w:r>
              <w:rPr>
                <w:sz w:val="20"/>
              </w:rPr>
              <w:t xml:space="preserve">имеются другие замечания эксперта (с комментарием)</w:t>
            </w:r>
          </w:p>
        </w:tc>
      </w:tr>
    </w:tbl>
    <w:p>
      <w:pPr>
        <w:pStyle w:val="0"/>
        <w:ind w:firstLine="540"/>
        <w:jc w:val="both"/>
      </w:pPr>
      <w:r>
        <w:rPr>
          <w:sz w:val="20"/>
        </w:rPr>
      </w:r>
    </w:p>
    <w:p>
      <w:pPr>
        <w:pStyle w:val="0"/>
        <w:ind w:firstLine="540"/>
        <w:jc w:val="both"/>
      </w:pPr>
      <w:r>
        <w:rPr>
          <w:sz w:val="20"/>
        </w:rPr>
        <w:t xml:space="preserve">7) собственный вклад участника конкурсного отбора и дополнительные ресурсы, привлекаемые на реализацию проекта, перспективы дальнейшего развития проекта: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220"/>
      </w:tblGrid>
      <w:tr>
        <w:tc>
          <w:tcPr>
            <w:tcW w:w="850" w:type="dxa"/>
          </w:tcPr>
          <w:p>
            <w:pPr>
              <w:pStyle w:val="0"/>
              <w:jc w:val="center"/>
            </w:pPr>
            <w:r>
              <w:rPr>
                <w:sz w:val="20"/>
              </w:rPr>
              <w:t xml:space="preserve">100 баллов</w:t>
            </w:r>
          </w:p>
        </w:tc>
        <w:tc>
          <w:tcPr>
            <w:tcW w:w="8220" w:type="dxa"/>
          </w:tcPr>
          <w:p>
            <w:pPr>
              <w:pStyle w:val="0"/>
            </w:pPr>
            <w:r>
              <w:rPr>
                <w:sz w:val="20"/>
              </w:rPr>
              <w:t xml:space="preserve">участник конкурсного отбора обеспечивает реальное привлечение дополнительных ресурсов на реализацию проекта в объеме более 30% бюджета проекта:</w:t>
            </w:r>
          </w:p>
          <w:p>
            <w:pPr>
              <w:pStyle w:val="0"/>
            </w:pPr>
            <w:r>
              <w:rPr>
                <w:sz w:val="20"/>
              </w:rPr>
              <w:t xml:space="preserve">участник конкурсного отбора располагает ресурсами на реализацию проекта (добровольцами, помещением в собственности, безвозмездном пользовании или аренде, оборудованием, транспортными средствами, интеллектуальными правами и другими ресурсами) и (или) подтверждает реалистичность их привлечения;</w:t>
            </w:r>
          </w:p>
          <w:p>
            <w:pPr>
              <w:pStyle w:val="0"/>
            </w:pPr>
            <w:r>
              <w:rPr>
                <w:sz w:val="20"/>
              </w:rPr>
              <w:t xml:space="preserve">уровень собственного вклада участника конкурсного отбора и дополнительных ресурсов превышает 30% бюджета проекта (не суммы гранта, а именно всего бюджета проекта), при этом такой уровень корректно рассчитан;</w:t>
            </w:r>
          </w:p>
          <w:p>
            <w:pPr>
              <w:pStyle w:val="0"/>
            </w:pPr>
            <w:r>
              <w:rPr>
                <w:sz w:val="20"/>
              </w:rPr>
              <w:t xml:space="preserve">доказано долгосрочное и соответствующее масштабу и задачам проекта влияние его успешной реализации на проблемы, на решение которых он направлен;</w:t>
            </w:r>
          </w:p>
          <w:p>
            <w:pPr>
              <w:pStyle w:val="0"/>
            </w:pPr>
            <w:r>
              <w:rPr>
                <w:sz w:val="20"/>
              </w:rPr>
              <w:t xml:space="preserve">участником конкурсного отбора представлено четкое видение дальнейшего развития деятельности по проекту и использования его результатов после завершения проекта</w:t>
            </w:r>
          </w:p>
        </w:tc>
      </w:tr>
      <w:tr>
        <w:tc>
          <w:tcPr>
            <w:tcW w:w="850" w:type="dxa"/>
          </w:tcPr>
          <w:p>
            <w:pPr>
              <w:pStyle w:val="0"/>
              <w:jc w:val="center"/>
            </w:pPr>
            <w:r>
              <w:rPr>
                <w:sz w:val="20"/>
              </w:rPr>
              <w:t xml:space="preserve">70 баллов</w:t>
            </w:r>
          </w:p>
        </w:tc>
        <w:tc>
          <w:tcPr>
            <w:tcW w:w="8220" w:type="dxa"/>
          </w:tcPr>
          <w:p>
            <w:pPr>
              <w:pStyle w:val="0"/>
            </w:pPr>
            <w:r>
              <w:rPr>
                <w:sz w:val="20"/>
              </w:rPr>
              <w:t xml:space="preserve">участник конкурсного отбора обеспечивает реальное привлечение дополнительных ресурсов на реализацию проекта в объеме от 20 до 30% бюджета проекта:</w:t>
            </w:r>
          </w:p>
          <w:p>
            <w:pPr>
              <w:pStyle w:val="0"/>
            </w:pPr>
            <w:r>
              <w:rPr>
                <w:sz w:val="20"/>
              </w:rPr>
              <w:t xml:space="preserve">участник конкурсного отбора располагает ресурсами на реализацию проекта (добровольцами, помещением в собственности, безвозмездном пользовании или аренде, оборудованием, транспортными средствами, интеллектуальными правами и другими ресурсами) и (или) подтверждает реалистичность их привлечения;</w:t>
            </w:r>
          </w:p>
          <w:p>
            <w:pPr>
              <w:pStyle w:val="0"/>
            </w:pPr>
            <w:r>
              <w:rPr>
                <w:sz w:val="20"/>
              </w:rPr>
              <w:t xml:space="preserve">уровень собственного вклада и дополнительных ресурсов участника конкурсного отбора составляет от 20 до 30% бюджета проекта, при этом он в целом корректно рассчитан;</w:t>
            </w:r>
          </w:p>
          <w:p>
            <w:pPr>
              <w:pStyle w:val="0"/>
            </w:pPr>
            <w:r>
              <w:rPr>
                <w:sz w:val="20"/>
              </w:rPr>
              <w:t xml:space="preserve">в заявке в целом описаны механизмы дальнейшего развития проекта, источники ресурсного обеспечения после завершения проекта, но отсутствуют достаточные сведения, позволяющие сделать обоснованный вывод о наличии перспектив продолжения деятельности по проекту</w:t>
            </w:r>
          </w:p>
        </w:tc>
      </w:tr>
      <w:tr>
        <w:tc>
          <w:tcPr>
            <w:tcW w:w="850" w:type="dxa"/>
          </w:tcPr>
          <w:p>
            <w:pPr>
              <w:pStyle w:val="0"/>
              <w:jc w:val="center"/>
            </w:pPr>
            <w:r>
              <w:rPr>
                <w:sz w:val="20"/>
              </w:rPr>
              <w:t xml:space="preserve">40 баллов</w:t>
            </w:r>
          </w:p>
        </w:tc>
        <w:tc>
          <w:tcPr>
            <w:tcW w:w="8220" w:type="dxa"/>
          </w:tcPr>
          <w:p>
            <w:pPr>
              <w:pStyle w:val="0"/>
            </w:pPr>
            <w:r>
              <w:rPr>
                <w:sz w:val="20"/>
              </w:rPr>
              <w:t xml:space="preserve">дополнительные ресурсы на реализацию проекта участником конкурсного отбора не подтверждены и (или) несоразмерны с запрашиваемой суммой гранта:</w:t>
            </w:r>
          </w:p>
          <w:p>
            <w:pPr>
              <w:pStyle w:val="0"/>
            </w:pPr>
            <w:r>
              <w:rPr>
                <w:sz w:val="20"/>
              </w:rPr>
              <w:t xml:space="preserve">уровень собственного вклада и дополнительных ресурсов составляет от 10 до 20% бюджета проекта либо заявлен в большем объеме, но по некоторым позициям некорректно рассчитан и (или) подтвержден неубедительно;</w:t>
            </w:r>
          </w:p>
          <w:p>
            <w:pPr>
              <w:pStyle w:val="0"/>
            </w:pPr>
            <w:r>
              <w:rPr>
                <w:sz w:val="20"/>
              </w:rPr>
              <w:t xml:space="preserve">продолжение реализации проекта после окончания финансирования описано общими фразами;</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10 баллов</w:t>
            </w:r>
          </w:p>
        </w:tc>
        <w:tc>
          <w:tcPr>
            <w:tcW w:w="8220" w:type="dxa"/>
          </w:tcPr>
          <w:p>
            <w:pPr>
              <w:pStyle w:val="0"/>
            </w:pPr>
            <w:r>
              <w:rPr>
                <w:sz w:val="20"/>
              </w:rPr>
              <w:t xml:space="preserve">реализация проекта предполагается участником конкурсного отбора практически только за счет гранта:</w:t>
            </w:r>
          </w:p>
          <w:p>
            <w:pPr>
              <w:pStyle w:val="0"/>
            </w:pPr>
            <w:r>
              <w:rPr>
                <w:sz w:val="20"/>
              </w:rPr>
              <w:t xml:space="preserve">уровень собственного вклада и дополнительных ресурсов участника конкурсного отбора составляет менее 10% бюджета проекта либо заявлен в большем объеме, но ничем не подтвержден;</w:t>
            </w:r>
          </w:p>
          <w:p>
            <w:pPr>
              <w:pStyle w:val="0"/>
            </w:pPr>
            <w:r>
              <w:rPr>
                <w:sz w:val="20"/>
              </w:rPr>
              <w:t xml:space="preserve">отсутствует описание работы по выбранному направлению после завершения проекта;</w:t>
            </w:r>
          </w:p>
          <w:p>
            <w:pPr>
              <w:pStyle w:val="0"/>
            </w:pPr>
            <w:r>
              <w:rPr>
                <w:sz w:val="20"/>
              </w:rPr>
              <w:t xml:space="preserve">имеются другие замечания эксперта (с комментарием)</w:t>
            </w:r>
          </w:p>
        </w:tc>
      </w:tr>
    </w:tbl>
    <w:p>
      <w:pPr>
        <w:pStyle w:val="0"/>
        <w:ind w:firstLine="540"/>
        <w:jc w:val="both"/>
      </w:pPr>
      <w:r>
        <w:rPr>
          <w:sz w:val="20"/>
        </w:rPr>
      </w:r>
    </w:p>
    <w:p>
      <w:pPr>
        <w:pStyle w:val="0"/>
        <w:ind w:firstLine="540"/>
        <w:jc w:val="both"/>
      </w:pPr>
      <w:r>
        <w:rPr>
          <w:sz w:val="20"/>
        </w:rPr>
        <w:t xml:space="preserve">8) опыт участника конкурсного отбора по успешной реализации проектов: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220"/>
      </w:tblGrid>
      <w:tr>
        <w:tc>
          <w:tcPr>
            <w:tcW w:w="850" w:type="dxa"/>
          </w:tcPr>
          <w:p>
            <w:pPr>
              <w:pStyle w:val="0"/>
              <w:jc w:val="center"/>
            </w:pPr>
            <w:r>
              <w:rPr>
                <w:sz w:val="20"/>
              </w:rPr>
              <w:t xml:space="preserve">100 баллов</w:t>
            </w:r>
          </w:p>
        </w:tc>
        <w:tc>
          <w:tcPr>
            <w:tcW w:w="8220" w:type="dxa"/>
          </w:tcPr>
          <w:p>
            <w:pPr>
              <w:pStyle w:val="0"/>
            </w:pPr>
            <w:r>
              <w:rPr>
                <w:sz w:val="20"/>
              </w:rPr>
              <w:t xml:space="preserve">у участника конкурсного отбора отличный опыт проектной работы по выбранному направлению деятельности:</w:t>
            </w:r>
          </w:p>
          <w:p>
            <w:pPr>
              <w:pStyle w:val="0"/>
            </w:pPr>
            <w:r>
              <w:rPr>
                <w:sz w:val="20"/>
              </w:rPr>
              <w:t xml:space="preserve">участник конкурсного отбора имеет опыт устойчивой активной деятельности по выбранному направлению на протяжении более 3 лет;</w:t>
            </w:r>
          </w:p>
          <w:p>
            <w:pPr>
              <w:pStyle w:val="0"/>
            </w:pPr>
            <w:r>
              <w:rPr>
                <w:sz w:val="20"/>
              </w:rPr>
              <w:t xml:space="preserve">в заявке представлено описание собственного опыта участника конкурсного отбора с указанием конкретных программ, проектов или мероприятий;</w:t>
            </w:r>
          </w:p>
          <w:p>
            <w:pPr>
              <w:pStyle w:val="0"/>
            </w:pPr>
            <w:r>
              <w:rPr>
                <w:sz w:val="20"/>
              </w:rPr>
              <w:t xml:space="preserve">имеются сведения о результативности указанных в заявке мероприятий;</w:t>
            </w:r>
          </w:p>
          <w:p>
            <w:pPr>
              <w:pStyle w:val="0"/>
            </w:pPr>
            <w:r>
              <w:rPr>
                <w:sz w:val="20"/>
              </w:rPr>
              <w:t xml:space="preserve">опыт деятельности участника конкурсного отбора и ее успешность подтверждаются наградами, отзывами, публикациями в средствах массовой информации и в сети Интернет;</w:t>
            </w:r>
          </w:p>
          <w:p>
            <w:pPr>
              <w:pStyle w:val="0"/>
            </w:pPr>
            <w:r>
              <w:rPr>
                <w:sz w:val="20"/>
              </w:rPr>
              <w:t xml:space="preserve">участник конкурсного отбора получал целевые поступления на реализацию своих программ, проектов, информация о претензиях по поводу их использования отсутствует;</w:t>
            </w:r>
          </w:p>
          <w:p>
            <w:pPr>
              <w:pStyle w:val="0"/>
            </w:pPr>
            <w:r>
              <w:rPr>
                <w:sz w:val="20"/>
              </w:rPr>
              <w:t xml:space="preserve">у участника конкурсного отбора имеется сопоставимый с содержанием заявки опыт проектной деятельности (по масштабу и количеству мероприятий);</w:t>
            </w:r>
          </w:p>
          <w:p>
            <w:pPr>
              <w:pStyle w:val="0"/>
            </w:pPr>
            <w:r>
              <w:rPr>
                <w:sz w:val="20"/>
              </w:rPr>
              <w:t xml:space="preserve">у участника конкурсного отбора есть материально-техническая база для реализации проектов по выбранному направлению, имеются (если применимо) лицензии, иные разрешительные документы, обязательные для осуществления запланированной деятельности</w:t>
            </w:r>
          </w:p>
        </w:tc>
      </w:tr>
      <w:tr>
        <w:tc>
          <w:tcPr>
            <w:tcW w:w="850" w:type="dxa"/>
          </w:tcPr>
          <w:p>
            <w:pPr>
              <w:pStyle w:val="0"/>
              <w:jc w:val="center"/>
            </w:pPr>
            <w:r>
              <w:rPr>
                <w:sz w:val="20"/>
              </w:rPr>
              <w:t xml:space="preserve">70 баллов</w:t>
            </w:r>
          </w:p>
        </w:tc>
        <w:tc>
          <w:tcPr>
            <w:tcW w:w="8220" w:type="dxa"/>
          </w:tcPr>
          <w:p>
            <w:pPr>
              <w:pStyle w:val="0"/>
            </w:pPr>
            <w:r>
              <w:rPr>
                <w:sz w:val="20"/>
              </w:rPr>
              <w:t xml:space="preserve">у участника конкурсного отбора хороший опыт проектной работы по выбранному направлению деятельности:</w:t>
            </w:r>
          </w:p>
          <w:p>
            <w:pPr>
              <w:pStyle w:val="0"/>
            </w:pPr>
            <w:r>
              <w:rPr>
                <w:sz w:val="20"/>
              </w:rPr>
              <w:t xml:space="preserve">у участника конкурсного отбора имеется сопоставимый с содержанием заявки опыт системной и устойчивой проектной деятельности по выбранному направлению (по масштабу и количеству мероприятий);</w:t>
            </w:r>
          </w:p>
          <w:p>
            <w:pPr>
              <w:pStyle w:val="0"/>
            </w:pPr>
            <w:r>
              <w:rPr>
                <w:sz w:val="20"/>
              </w:rPr>
              <w:t xml:space="preserve">в заявке представлено описание собственного опыта участника конкурсного отбора с указанием конкретных программ, проектов или мероприятий;</w:t>
            </w:r>
          </w:p>
          <w:p>
            <w:pPr>
              <w:pStyle w:val="0"/>
            </w:pPr>
            <w:r>
              <w:rPr>
                <w:sz w:val="20"/>
              </w:rPr>
              <w:t xml:space="preserve">успешность опыта участника конкурсного отбора подтверждается наградами, отзывами, публикациями в средствах массовой информации и сети Интернет;</w:t>
            </w:r>
          </w:p>
          <w:p>
            <w:pPr>
              <w:pStyle w:val="0"/>
            </w:pPr>
            <w:r>
              <w:rPr>
                <w:sz w:val="20"/>
              </w:rPr>
              <w:t xml:space="preserve">участник конкурсного отбора имеет опыт активной деятельности на протяжении более 2 лет либо имеет опыт работы менее 2 лет, но организация участника конкурсного отбора создана гражданами, имеющими значительный опыт аналогичной деятельности</w:t>
            </w:r>
          </w:p>
        </w:tc>
      </w:tr>
      <w:tr>
        <w:tc>
          <w:tcPr>
            <w:tcW w:w="850" w:type="dxa"/>
          </w:tcPr>
          <w:p>
            <w:pPr>
              <w:pStyle w:val="0"/>
              <w:jc w:val="center"/>
            </w:pPr>
            <w:r>
              <w:rPr>
                <w:sz w:val="20"/>
              </w:rPr>
              <w:t xml:space="preserve">40 баллов</w:t>
            </w:r>
          </w:p>
        </w:tc>
        <w:tc>
          <w:tcPr>
            <w:tcW w:w="8220" w:type="dxa"/>
          </w:tcPr>
          <w:p>
            <w:pPr>
              <w:pStyle w:val="0"/>
            </w:pPr>
            <w:r>
              <w:rPr>
                <w:sz w:val="20"/>
              </w:rPr>
              <w:t xml:space="preserve">у участника конкурсного отбора удовлетворительный опыт проектной работы по выбранному направлению деятельности:</w:t>
            </w:r>
          </w:p>
          <w:p>
            <w:pPr>
              <w:pStyle w:val="0"/>
            </w:pPr>
            <w:r>
              <w:rPr>
                <w:sz w:val="20"/>
              </w:rPr>
              <w:t xml:space="preserve">в заявке приведено описание собственного опыта участника конкурсного отбора по реализации программ, проектов по выбранному направлению, но оно не позволяет сделать однозначный вывод о системном и устойчивом характере такой работы в течение 3 лет или с даты создания участника конкурсного отбора (если участник конкурсного отбора существует менее 3 лет) и наличии положительных результатов;</w:t>
            </w:r>
          </w:p>
          <w:p>
            <w:pPr>
              <w:pStyle w:val="0"/>
            </w:pPr>
            <w:r>
              <w:rPr>
                <w:sz w:val="20"/>
              </w:rPr>
              <w:t xml:space="preserve">участник конкурсного отбора имеет опыт реализации менее масштабных проектов по выбранному направлению и не имеет опыта работы с соизмеримыми (с запрашиваемой суммой гранта) объемами целевых средств;</w:t>
            </w:r>
          </w:p>
          <w:p>
            <w:pPr>
              <w:pStyle w:val="0"/>
            </w:pPr>
            <w:r>
              <w:rPr>
                <w:sz w:val="20"/>
              </w:rPr>
              <w:t xml:space="preserve">участник конкурсного отбора имеет опыт управления соизмеримыми (с запрашиваемой суммой гранта) объемами целевых средств, однако информация о реализованных проектах не освещена на сайте участника конкурсного отбора либо в социальных сетях в сети Интернет, заявленные достигнутые результаты реализации проекта не представлены;</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10 баллов</w:t>
            </w:r>
          </w:p>
        </w:tc>
        <w:tc>
          <w:tcPr>
            <w:tcW w:w="8220" w:type="dxa"/>
          </w:tcPr>
          <w:p>
            <w:pPr>
              <w:pStyle w:val="0"/>
            </w:pPr>
            <w:r>
              <w:rPr>
                <w:sz w:val="20"/>
              </w:rPr>
              <w:t xml:space="preserve">у участника конкурсного отбора практически отсутствует опыт работы по выбранному направлению деятельности:</w:t>
            </w:r>
          </w:p>
          <w:p>
            <w:pPr>
              <w:pStyle w:val="0"/>
            </w:pPr>
            <w:r>
              <w:rPr>
                <w:sz w:val="20"/>
              </w:rPr>
              <w:t xml:space="preserve">участник конкурсного отбора не имеет опыта активной деятельности либо подтвержденной деятельности за последний год;</w:t>
            </w:r>
          </w:p>
          <w:p>
            <w:pPr>
              <w:pStyle w:val="0"/>
            </w:pPr>
            <w:r>
              <w:rPr>
                <w:sz w:val="20"/>
              </w:rPr>
              <w:t xml:space="preserve">опыт проектной работы участника конкурсного отбора в заявке практически не описан;</w:t>
            </w:r>
          </w:p>
          <w:p>
            <w:pPr>
              <w:pStyle w:val="0"/>
            </w:pPr>
            <w:r>
              <w:rPr>
                <w:sz w:val="20"/>
              </w:rPr>
              <w:t xml:space="preserve">имеются противоречия между описанным в заявке опытом участника конкурсного отбора и информацией из открытых источников;</w:t>
            </w:r>
          </w:p>
          <w:p>
            <w:pPr>
              <w:pStyle w:val="0"/>
            </w:pPr>
            <w:r>
              <w:rPr>
                <w:sz w:val="20"/>
              </w:rPr>
              <w:t xml:space="preserve">основной профиль деятельности участника конкурсного отбора не соответствует выбранному направлению;</w:t>
            </w:r>
          </w:p>
          <w:p>
            <w:pPr>
              <w:pStyle w:val="0"/>
            </w:pPr>
            <w:r>
              <w:rPr>
                <w:sz w:val="20"/>
              </w:rPr>
              <w:t xml:space="preserve">имеются другие замечания эксперта (с комментарием)</w:t>
            </w:r>
          </w:p>
        </w:tc>
      </w:tr>
    </w:tbl>
    <w:p>
      <w:pPr>
        <w:pStyle w:val="0"/>
        <w:ind w:firstLine="540"/>
        <w:jc w:val="both"/>
      </w:pPr>
      <w:r>
        <w:rPr>
          <w:sz w:val="20"/>
        </w:rPr>
      </w:r>
    </w:p>
    <w:p>
      <w:pPr>
        <w:pStyle w:val="0"/>
        <w:ind w:firstLine="540"/>
        <w:jc w:val="both"/>
      </w:pPr>
      <w:r>
        <w:rPr>
          <w:sz w:val="20"/>
        </w:rPr>
        <w:t xml:space="preserve">9) соответствие опыта и компетенций команды проекта планируемой деятельности: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220"/>
      </w:tblGrid>
      <w:tr>
        <w:tc>
          <w:tcPr>
            <w:tcW w:w="850" w:type="dxa"/>
          </w:tcPr>
          <w:p>
            <w:pPr>
              <w:pStyle w:val="0"/>
              <w:jc w:val="center"/>
            </w:pPr>
            <w:r>
              <w:rPr>
                <w:sz w:val="20"/>
              </w:rPr>
              <w:t xml:space="preserve">100 баллов</w:t>
            </w:r>
          </w:p>
        </w:tc>
        <w:tc>
          <w:tcPr>
            <w:tcW w:w="8220" w:type="dxa"/>
          </w:tcPr>
          <w:p>
            <w:pPr>
              <w:pStyle w:val="0"/>
            </w:pPr>
            <w:r>
              <w:rPr>
                <w:sz w:val="20"/>
              </w:rPr>
              <w:t xml:space="preserve">данный критерий отлично выражен в заявке:</w:t>
            </w:r>
          </w:p>
          <w:p>
            <w:pPr>
              <w:pStyle w:val="0"/>
            </w:pPr>
            <w:r>
              <w:rPr>
                <w:sz w:val="20"/>
              </w:rPr>
              <w:t xml:space="preserve">проект полностью обеспечен опытными, квалифицированными специалистами по всем необходимым для реализации проекта профилям деятельности участника конкурсного отбора;</w:t>
            </w:r>
          </w:p>
          <w:p>
            <w:pPr>
              <w:pStyle w:val="0"/>
            </w:pPr>
            <w:r>
              <w:rPr>
                <w:sz w:val="20"/>
              </w:rPr>
              <w:t xml:space="preserve">в заявке доказана возможность каждого члена указанной в заявке команды проекта качественно работать над проектом на условиях, в порядке и в сроки, установленные календарным планом и бюджетом проекта, без существенных замен в ходе проекта</w:t>
            </w:r>
          </w:p>
        </w:tc>
      </w:tr>
      <w:tr>
        <w:tc>
          <w:tcPr>
            <w:tcW w:w="850" w:type="dxa"/>
          </w:tcPr>
          <w:p>
            <w:pPr>
              <w:pStyle w:val="0"/>
              <w:jc w:val="center"/>
            </w:pPr>
            <w:r>
              <w:rPr>
                <w:sz w:val="20"/>
              </w:rPr>
              <w:t xml:space="preserve">70 баллов</w:t>
            </w:r>
          </w:p>
        </w:tc>
        <w:tc>
          <w:tcPr>
            <w:tcW w:w="8220" w:type="dxa"/>
          </w:tcPr>
          <w:p>
            <w:pPr>
              <w:pStyle w:val="0"/>
            </w:pPr>
            <w:r>
              <w:rPr>
                <w:sz w:val="20"/>
              </w:rPr>
              <w:t xml:space="preserve">данный критерий хорошо выражен в заявке:</w:t>
            </w:r>
          </w:p>
          <w:p>
            <w:pPr>
              <w:pStyle w:val="0"/>
            </w:pPr>
            <w:r>
              <w:rPr>
                <w:sz w:val="20"/>
              </w:rPr>
              <w:t xml:space="preserve">проект в целом обеспечен опытными, квалифицированными специалистами, но по некоторым необходимым профилям деятельности участника конкурсного отбора информация отсутствует;</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40 баллов</w:t>
            </w:r>
          </w:p>
        </w:tc>
        <w:tc>
          <w:tcPr>
            <w:tcW w:w="8220" w:type="dxa"/>
          </w:tcPr>
          <w:p>
            <w:pPr>
              <w:pStyle w:val="0"/>
            </w:pPr>
            <w:r>
              <w:rPr>
                <w:sz w:val="20"/>
              </w:rPr>
              <w:t xml:space="preserve">данный критерий удовлетворительно выражен в заявке:</w:t>
            </w:r>
          </w:p>
          <w:p>
            <w:pPr>
              <w:pStyle w:val="0"/>
            </w:pPr>
            <w:r>
              <w:rPr>
                <w:sz w:val="20"/>
              </w:rPr>
              <w:t xml:space="preserve">в заявке содержится описание команды проекта, но конкретные исполнители основных мероприятий проекта не названы либо не приводятся сведения об их знаниях и опыте или о выполняемых функциях в рамках реализации проекта;</w:t>
            </w:r>
          </w:p>
          <w:p>
            <w:pPr>
              <w:pStyle w:val="0"/>
            </w:pPr>
            <w:r>
              <w:rPr>
                <w:sz w:val="20"/>
              </w:rPr>
              <w:t xml:space="preserve">указанные в заявке члены команды проекта не в полной мере соответствуют уровню опыта и компетенций, необходимых для реализации проекта;</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10 баллов</w:t>
            </w:r>
          </w:p>
        </w:tc>
        <w:tc>
          <w:tcPr>
            <w:tcW w:w="8220" w:type="dxa"/>
          </w:tcPr>
          <w:p>
            <w:pPr>
              <w:pStyle w:val="0"/>
            </w:pPr>
            <w:r>
              <w:rPr>
                <w:sz w:val="20"/>
              </w:rPr>
              <w:t xml:space="preserve">данный критерий плохо выражен в заявке:</w:t>
            </w:r>
          </w:p>
          <w:p>
            <w:pPr>
              <w:pStyle w:val="0"/>
            </w:pPr>
            <w:r>
              <w:rPr>
                <w:sz w:val="20"/>
              </w:rPr>
              <w:t xml:space="preserve">описание команды проекта, ее квалификации, опыта работы в заявке практически отсутствует;</w:t>
            </w:r>
          </w:p>
          <w:p>
            <w:pPr>
              <w:pStyle w:val="0"/>
            </w:pPr>
            <w:r>
              <w:rPr>
                <w:sz w:val="20"/>
              </w:rPr>
              <w:t xml:space="preserve">имеются высокие риски в реализации проекта в силу недостаточности опыта и низкой квалификации команды проекта;</w:t>
            </w:r>
          </w:p>
          <w:p>
            <w:pPr>
              <w:pStyle w:val="0"/>
            </w:pPr>
            <w:r>
              <w:rPr>
                <w:sz w:val="20"/>
              </w:rPr>
              <w:t xml:space="preserve">имеются другие серьезные замечания эксперта (с комментарием)</w:t>
            </w:r>
          </w:p>
        </w:tc>
      </w:tr>
    </w:tbl>
    <w:p>
      <w:pPr>
        <w:pStyle w:val="0"/>
        <w:ind w:firstLine="540"/>
        <w:jc w:val="both"/>
      </w:pPr>
      <w:r>
        <w:rPr>
          <w:sz w:val="20"/>
        </w:rPr>
      </w:r>
    </w:p>
    <w:p>
      <w:pPr>
        <w:pStyle w:val="0"/>
        <w:ind w:firstLine="540"/>
        <w:jc w:val="both"/>
      </w:pPr>
      <w:r>
        <w:rPr>
          <w:sz w:val="20"/>
        </w:rPr>
        <w:t xml:space="preserve">10) информационная открытость участника конкурсного отбора: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220"/>
      </w:tblGrid>
      <w:tr>
        <w:tc>
          <w:tcPr>
            <w:tcW w:w="850" w:type="dxa"/>
          </w:tcPr>
          <w:p>
            <w:pPr>
              <w:pStyle w:val="0"/>
              <w:jc w:val="center"/>
            </w:pPr>
            <w:r>
              <w:rPr>
                <w:sz w:val="20"/>
              </w:rPr>
              <w:t xml:space="preserve">100 баллов</w:t>
            </w:r>
          </w:p>
        </w:tc>
        <w:tc>
          <w:tcPr>
            <w:tcW w:w="8220" w:type="dxa"/>
          </w:tcPr>
          <w:p>
            <w:pPr>
              <w:pStyle w:val="0"/>
            </w:pPr>
            <w:r>
              <w:rPr>
                <w:sz w:val="20"/>
              </w:rPr>
              <w:t xml:space="preserve">данный критерий отлично выражен в заявке:</w:t>
            </w:r>
          </w:p>
          <w:p>
            <w:pPr>
              <w:pStyle w:val="0"/>
            </w:pPr>
            <w:r>
              <w:rPr>
                <w:sz w:val="20"/>
              </w:rPr>
              <w:t xml:space="preserve">информацию о деятельности участника конкурсного отбора легко найти в сети Интернет с помощью поисковых запросов;</w:t>
            </w:r>
          </w:p>
          <w:p>
            <w:pPr>
              <w:pStyle w:val="0"/>
            </w:pPr>
            <w:r>
              <w:rPr>
                <w:sz w:val="20"/>
              </w:rPr>
              <w:t xml:space="preserve">деятельность участника конкурсного отбора систематически освещается в средствах массовой информации;</w:t>
            </w:r>
          </w:p>
          <w:p>
            <w:pPr>
              <w:pStyle w:val="0"/>
            </w:pPr>
            <w:r>
              <w:rPr>
                <w:sz w:val="20"/>
              </w:rPr>
              <w:t xml:space="preserve">участник конкурсного отбора имеет действующий, постоянно обновляемый сайт в сети Интернет, на котором представлены подробные годовые отчеты о деятельности участника конкурсного отбора, размещена актуальная информация о реализованных проектах и мероприятиях, составе органов управления;</w:t>
            </w:r>
          </w:p>
          <w:p>
            <w:pPr>
              <w:pStyle w:val="0"/>
            </w:pPr>
            <w:r>
              <w:rPr>
                <w:sz w:val="20"/>
              </w:rPr>
              <w:t xml:space="preserve">участник конкурсного отбора имеет страницы (группы) в социальных сетях, на которых регулярно обновляется информация;</w:t>
            </w:r>
          </w:p>
          <w:p>
            <w:pPr>
              <w:pStyle w:val="0"/>
            </w:pPr>
            <w:r>
              <w:rPr>
                <w:sz w:val="20"/>
              </w:rPr>
              <w:t xml:space="preserve">участник конкурсного отбора регулярно публикует годовую отчетность о своей деятельности</w:t>
            </w:r>
          </w:p>
        </w:tc>
      </w:tr>
      <w:tr>
        <w:tc>
          <w:tcPr>
            <w:tcW w:w="850" w:type="dxa"/>
          </w:tcPr>
          <w:p>
            <w:pPr>
              <w:pStyle w:val="0"/>
              <w:jc w:val="center"/>
            </w:pPr>
            <w:r>
              <w:rPr>
                <w:sz w:val="20"/>
              </w:rPr>
              <w:t xml:space="preserve">70 баллов</w:t>
            </w:r>
          </w:p>
        </w:tc>
        <w:tc>
          <w:tcPr>
            <w:tcW w:w="8220" w:type="dxa"/>
          </w:tcPr>
          <w:p>
            <w:pPr>
              <w:pStyle w:val="0"/>
            </w:pPr>
            <w:r>
              <w:rPr>
                <w:sz w:val="20"/>
              </w:rPr>
              <w:t xml:space="preserve">данный критерий хорошо выражен в заявке:</w:t>
            </w:r>
          </w:p>
          <w:p>
            <w:pPr>
              <w:pStyle w:val="0"/>
            </w:pPr>
            <w:r>
              <w:rPr>
                <w:sz w:val="20"/>
              </w:rPr>
              <w:t xml:space="preserve">участник конкурсного отбора имеет действующий сайт, страницы (группы) в социальных сетях с актуальной информацией, однако без подробных сведений о работе участника конкурсного отбора, привлекаемых им ресурсах, составе органов управления, реализованных программах, проектах;</w:t>
            </w:r>
          </w:p>
          <w:p>
            <w:pPr>
              <w:pStyle w:val="0"/>
            </w:pPr>
            <w:r>
              <w:rPr>
                <w:sz w:val="20"/>
              </w:rPr>
              <w:t xml:space="preserve">информацию о деятельности участника конкурсного отбора легко найти в сети Интернет с помощью поисковых запросов;</w:t>
            </w:r>
          </w:p>
          <w:p>
            <w:pPr>
              <w:pStyle w:val="0"/>
            </w:pPr>
            <w:r>
              <w:rPr>
                <w:sz w:val="20"/>
              </w:rPr>
              <w:t xml:space="preserve">деятельность участника конкурсного отбора периодически освещается в средствах массовой информации;</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40 баллов</w:t>
            </w:r>
          </w:p>
        </w:tc>
        <w:tc>
          <w:tcPr>
            <w:tcW w:w="8220" w:type="dxa"/>
          </w:tcPr>
          <w:p>
            <w:pPr>
              <w:pStyle w:val="0"/>
            </w:pPr>
            <w:r>
              <w:rPr>
                <w:sz w:val="20"/>
              </w:rPr>
              <w:t xml:space="preserve">данный критерий удовлетворительно выражен в заявке:</w:t>
            </w:r>
          </w:p>
          <w:p>
            <w:pPr>
              <w:pStyle w:val="0"/>
            </w:pPr>
            <w:r>
              <w:rPr>
                <w:sz w:val="20"/>
              </w:rPr>
              <w:t xml:space="preserve">деятельность участника конкурсного отбора мало освещается в средствах массовой информации и сети Интернет;</w:t>
            </w:r>
          </w:p>
          <w:p>
            <w:pPr>
              <w:pStyle w:val="0"/>
            </w:pPr>
            <w:r>
              <w:rPr>
                <w:sz w:val="20"/>
              </w:rPr>
              <w:t xml:space="preserve">у участника конкурсного отбора есть сайт в сети Интернет и (или) страница (группа) в социальной сети, которые содержат неактуальную (устаревшую) информацию;</w:t>
            </w:r>
          </w:p>
          <w:p>
            <w:pPr>
              <w:pStyle w:val="0"/>
            </w:pPr>
            <w:r>
              <w:rPr>
                <w:sz w:val="20"/>
              </w:rPr>
              <w:t xml:space="preserve">отчеты о деятельности участника конкурсного отбора отсутствуют в открытом доступе;</w:t>
            </w:r>
          </w:p>
          <w:p>
            <w:pPr>
              <w:pStyle w:val="0"/>
            </w:pPr>
            <w:r>
              <w:rPr>
                <w:sz w:val="20"/>
              </w:rPr>
              <w:t xml:space="preserve">имеются другие замечания эксперта (с комментарием)</w:t>
            </w:r>
          </w:p>
        </w:tc>
      </w:tr>
      <w:tr>
        <w:tc>
          <w:tcPr>
            <w:tcW w:w="850" w:type="dxa"/>
          </w:tcPr>
          <w:p>
            <w:pPr>
              <w:pStyle w:val="0"/>
              <w:jc w:val="center"/>
            </w:pPr>
            <w:r>
              <w:rPr>
                <w:sz w:val="20"/>
              </w:rPr>
              <w:t xml:space="preserve">10 баллов</w:t>
            </w:r>
          </w:p>
        </w:tc>
        <w:tc>
          <w:tcPr>
            <w:tcW w:w="8220" w:type="dxa"/>
          </w:tcPr>
          <w:p>
            <w:pPr>
              <w:pStyle w:val="0"/>
            </w:pPr>
            <w:r>
              <w:rPr>
                <w:sz w:val="20"/>
              </w:rPr>
              <w:t xml:space="preserve">данный критерий плохо выражен в заявке:</w:t>
            </w:r>
          </w:p>
          <w:p>
            <w:pPr>
              <w:pStyle w:val="0"/>
            </w:pPr>
            <w:r>
              <w:rPr>
                <w:sz w:val="20"/>
              </w:rPr>
              <w:t xml:space="preserve">информация о деятельности участника конкурсного отбора практически отсутствует в сети Интернет;</w:t>
            </w:r>
          </w:p>
          <w:p>
            <w:pPr>
              <w:pStyle w:val="0"/>
            </w:pPr>
            <w:r>
              <w:rPr>
                <w:sz w:val="20"/>
              </w:rPr>
              <w:t xml:space="preserve">имеются другие замечания эксперта (с комментарием)</w:t>
            </w:r>
          </w:p>
        </w:tc>
      </w:tr>
    </w:tbl>
    <w:p>
      <w:pPr>
        <w:pStyle w:val="0"/>
        <w:ind w:firstLine="540"/>
        <w:jc w:val="both"/>
      </w:pPr>
      <w:r>
        <w:rPr>
          <w:sz w:val="20"/>
        </w:rPr>
      </w:r>
    </w:p>
    <w:p>
      <w:pPr>
        <w:pStyle w:val="0"/>
        <w:ind w:firstLine="540"/>
        <w:jc w:val="both"/>
      </w:pPr>
      <w:r>
        <w:rPr>
          <w:sz w:val="20"/>
        </w:rPr>
        <w:t xml:space="preserve">6. По итогам оценки каждой заявке присваивается определенный порядковый номер в зависимости от итоговой суммы набранных баллов. Первый порядковый номер присваивается заявке, получившей максимальное количество баллов. Последующие порядковые номера присваиваются заявкам в порядке убывания итоговой суммы набранных баллов.</w:t>
      </w:r>
    </w:p>
    <w:p>
      <w:pPr>
        <w:pStyle w:val="0"/>
        <w:spacing w:before="200" w:lineRule="auto"/>
        <w:ind w:firstLine="540"/>
        <w:jc w:val="both"/>
      </w:pPr>
      <w:r>
        <w:rPr>
          <w:sz w:val="20"/>
        </w:rPr>
        <w:t xml:space="preserve">По каждому из направлений, указанных в </w:t>
      </w:r>
      <w:hyperlink w:history="0" w:anchor="P690"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Порядка, победителями признаются участники конкурсного отбора, заявки которых получили наибольшее суммарное количество баллов.</w:t>
      </w:r>
    </w:p>
    <w:p>
      <w:pPr>
        <w:pStyle w:val="0"/>
        <w:spacing w:before="200" w:lineRule="auto"/>
        <w:ind w:firstLine="540"/>
        <w:jc w:val="both"/>
      </w:pPr>
      <w:r>
        <w:rPr>
          <w:sz w:val="20"/>
        </w:rPr>
        <w:t xml:space="preserve">При равной итоговой сумме баллов приоритетное право на получение гранта имеет участник конкурсного отбора, заявка которого подана в более раннюю дату, а при совпадении дат - в более раннее время.</w:t>
      </w:r>
    </w:p>
    <w:p>
      <w:pPr>
        <w:pStyle w:val="0"/>
        <w:spacing w:before="200" w:lineRule="auto"/>
        <w:ind w:firstLine="540"/>
        <w:jc w:val="both"/>
      </w:pPr>
      <w:r>
        <w:rPr>
          <w:sz w:val="20"/>
        </w:rPr>
        <w:t xml:space="preserve">Распределение грантов осуществляется в соответствии со сформированным рейтингом заявок.</w:t>
      </w:r>
    </w:p>
    <w:p>
      <w:pPr>
        <w:pStyle w:val="0"/>
        <w:spacing w:before="200" w:lineRule="auto"/>
        <w:ind w:firstLine="540"/>
        <w:jc w:val="both"/>
      </w:pPr>
      <w:r>
        <w:rPr>
          <w:sz w:val="20"/>
        </w:rPr>
        <w:t xml:space="preserve">7. Общий объем грантов по каждому из направлений конкурсного отбора, указанных в </w:t>
      </w:r>
      <w:hyperlink w:history="0" w:anchor="P690" w:tooltip="6. Гранты предоставляются организациям на финансовое обеспечение затрат в целях реализации творческих проектов по следующим направлениям конкурсного отбора:">
        <w:r>
          <w:rPr>
            <w:sz w:val="20"/>
            <w:color w:val="0000ff"/>
          </w:rPr>
          <w:t xml:space="preserve">пункте 6</w:t>
        </w:r>
      </w:hyperlink>
      <w:r>
        <w:rPr>
          <w:sz w:val="20"/>
        </w:rPr>
        <w:t xml:space="preserve"> Порядка, количество грантов и размер гранта на реализацию одного проекта по каждому направлению конкурсного отбора утверждаются приказом Министерства в соответствии с </w:t>
      </w:r>
      <w:hyperlink w:history="0" w:anchor="P702" w:tooltip="3) утверждает размер гранта на один проект по каждому из направлений конкурсного отбора, указанных в пункте 6 настоящего порядка, исходя из доведенных в установленном порядке лимитов бюджетных обязательств на предоставление грантов на соответствующий финансовый год;">
        <w:r>
          <w:rPr>
            <w:sz w:val="20"/>
            <w:color w:val="0000ff"/>
          </w:rPr>
          <w:t xml:space="preserve">подпунктом 3 пункта 8</w:t>
        </w:r>
      </w:hyperlink>
      <w:r>
        <w:rPr>
          <w:sz w:val="20"/>
        </w:rPr>
        <w:t xml:space="preserve"> Порядка.</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Свердловской области от 21.08.2025 N 472-ПП</w:t>
            <w:br/>
            <w:t>"Об утверждении порядков предоставления грантов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103575" TargetMode = "External"/><Relationship Id="rId9" Type="http://schemas.openxmlformats.org/officeDocument/2006/relationships/hyperlink" Target="https://login.consultant.ru/link/?req=doc&amp;base=LAW&amp;n=520154&amp;dst=7461" TargetMode = "External"/><Relationship Id="rId10" Type="http://schemas.openxmlformats.org/officeDocument/2006/relationships/hyperlink" Target="https://login.consultant.ru/link/?req=doc&amp;base=LAW&amp;n=522972&amp;dst=100019" TargetMode = "External"/><Relationship Id="rId11" Type="http://schemas.openxmlformats.org/officeDocument/2006/relationships/hyperlink" Target="https://login.consultant.ru/link/?req=doc&amp;base=RLAW071&amp;n=417457" TargetMode = "External"/><Relationship Id="rId12" Type="http://schemas.openxmlformats.org/officeDocument/2006/relationships/hyperlink" Target="https://login.consultant.ru/link/?req=doc&amp;base=RLAW071&amp;n=343749" TargetMode = "External"/><Relationship Id="rId13" Type="http://schemas.openxmlformats.org/officeDocument/2006/relationships/hyperlink" Target="www.pravo.gov66.ru" TargetMode = "External"/><Relationship Id="rId14" Type="http://schemas.openxmlformats.org/officeDocument/2006/relationships/hyperlink" Target="https://login.consultant.ru/link/?req=doc&amp;base=LAW&amp;n=520154" TargetMode = "External"/><Relationship Id="rId15" Type="http://schemas.openxmlformats.org/officeDocument/2006/relationships/hyperlink" Target="https://login.consultant.ru/link/?req=doc&amp;base=LAW&amp;n=522972&amp;dst=100019" TargetMode = "External"/><Relationship Id="rId16" Type="http://schemas.openxmlformats.org/officeDocument/2006/relationships/hyperlink" Target="https://login.consultant.ru/link/?req=doc&amp;base=RLAW071&amp;n=417457&amp;dst=161" TargetMode = "External"/><Relationship Id="rId17" Type="http://schemas.openxmlformats.org/officeDocument/2006/relationships/hyperlink" Target="https://login.consultant.ru/link/?req=doc&amp;base=LAW&amp;n=507521&amp;dst=144" TargetMode = "External"/><Relationship Id="rId18" Type="http://schemas.openxmlformats.org/officeDocument/2006/relationships/hyperlink" Target="https://login.consultant.ru/link/?req=doc&amp;base=LAW&amp;n=514105&amp;dst=100013" TargetMode = "External"/><Relationship Id="rId19" Type="http://schemas.openxmlformats.org/officeDocument/2006/relationships/hyperlink" Target="https://login.consultant.ru/link/?req=doc&amp;base=LAW&amp;n=510266&amp;dst=100011" TargetMode = "External"/><Relationship Id="rId20" Type="http://schemas.openxmlformats.org/officeDocument/2006/relationships/hyperlink" Target="https://promote.budget.gov.ru" TargetMode = "External"/><Relationship Id="rId21" Type="http://schemas.openxmlformats.org/officeDocument/2006/relationships/hyperlink" Target="https://login.consultant.ru/link/?req=doc&amp;base=LAW&amp;n=121087&amp;dst=100142" TargetMode = "External"/><Relationship Id="rId22" Type="http://schemas.openxmlformats.org/officeDocument/2006/relationships/hyperlink" Target="https://login.consultant.ru/link/?req=doc&amp;base=LAW&amp;n=503698" TargetMode = "External"/><Relationship Id="rId23" Type="http://schemas.openxmlformats.org/officeDocument/2006/relationships/hyperlink" Target="https://login.consultant.ru/link/?req=doc&amp;base=LAW&amp;n=520119&amp;dst=5769" TargetMode = "External"/><Relationship Id="rId24" Type="http://schemas.openxmlformats.org/officeDocument/2006/relationships/hyperlink" Target="https://login.consultant.ru/link/?req=doc&amp;base=LAW&amp;n=516950" TargetMode = "External"/><Relationship Id="rId25" Type="http://schemas.openxmlformats.org/officeDocument/2006/relationships/hyperlink" Target="https://login.consultant.ru/link/?req=doc&amp;base=LAW&amp;n=520154&amp;dst=3704" TargetMode = "External"/><Relationship Id="rId26" Type="http://schemas.openxmlformats.org/officeDocument/2006/relationships/hyperlink" Target="https://login.consultant.ru/link/?req=doc&amp;base=LAW&amp;n=520154&amp;dst=3722" TargetMode = "External"/><Relationship Id="rId27" Type="http://schemas.openxmlformats.org/officeDocument/2006/relationships/hyperlink" Target="https://login.consultant.ru/link/?req=doc&amp;base=LAW&amp;n=520154" TargetMode = "External"/><Relationship Id="rId28" Type="http://schemas.openxmlformats.org/officeDocument/2006/relationships/hyperlink" Target="https://login.consultant.ru/link/?req=doc&amp;base=LAW&amp;n=522972&amp;dst=100019" TargetMode = "External"/><Relationship Id="rId29" Type="http://schemas.openxmlformats.org/officeDocument/2006/relationships/hyperlink" Target="https://login.consultant.ru/link/?req=doc&amp;base=RLAW071&amp;n=417457&amp;dst=161" TargetMode = "External"/><Relationship Id="rId30" Type="http://schemas.openxmlformats.org/officeDocument/2006/relationships/hyperlink" Target="https://login.consultant.ru/link/?req=doc&amp;base=LAW&amp;n=507521&amp;dst=144" TargetMode = "External"/><Relationship Id="rId31" Type="http://schemas.openxmlformats.org/officeDocument/2006/relationships/hyperlink" Target="https://promote.budget.gov.ru" TargetMode = "External"/><Relationship Id="rId32" Type="http://schemas.openxmlformats.org/officeDocument/2006/relationships/hyperlink" Target="https://login.consultant.ru/link/?req=doc&amp;base=LAW&amp;n=121087&amp;dst=100142" TargetMode = "External"/><Relationship Id="rId33" Type="http://schemas.openxmlformats.org/officeDocument/2006/relationships/hyperlink" Target="https://login.consultant.ru/link/?req=doc&amp;base=LAW&amp;n=503698" TargetMode = "External"/><Relationship Id="rId34" Type="http://schemas.openxmlformats.org/officeDocument/2006/relationships/hyperlink" Target="https://login.consultant.ru/link/?req=doc&amp;base=LAW&amp;n=520119&amp;dst=5769" TargetMode = "External"/><Relationship Id="rId35" Type="http://schemas.openxmlformats.org/officeDocument/2006/relationships/hyperlink" Target="https://login.consultant.ru/link/?req=doc&amp;base=LAW&amp;n=516950" TargetMode = "External"/><Relationship Id="rId36" Type="http://schemas.openxmlformats.org/officeDocument/2006/relationships/hyperlink" Target="https://login.consultant.ru/link/?req=doc&amp;base=LAW&amp;n=520154&amp;dst=3704" TargetMode = "External"/><Relationship Id="rId37" Type="http://schemas.openxmlformats.org/officeDocument/2006/relationships/hyperlink" Target="https://login.consultant.ru/link/?req=doc&amp;base=LAW&amp;n=520154&amp;dst=3722" TargetMode = "External"/><Relationship Id="rId38" Type="http://schemas.openxmlformats.org/officeDocument/2006/relationships/hyperlink" Target="https://login.consultant.ru/link/?req=doc&amp;base=LAW&amp;n=520154&amp;dst=7460" TargetMode = "External"/><Relationship Id="rId39" Type="http://schemas.openxmlformats.org/officeDocument/2006/relationships/hyperlink" Target="https://login.consultant.ru/link/?req=doc&amp;base=LAW&amp;n=522972&amp;dst=100019" TargetMode = "External"/><Relationship Id="rId40" Type="http://schemas.openxmlformats.org/officeDocument/2006/relationships/hyperlink" Target="https://login.consultant.ru/link/?req=doc&amp;base=RLAW071&amp;n=417457&amp;dst=161" TargetMode = "External"/><Relationship Id="rId41" Type="http://schemas.openxmlformats.org/officeDocument/2006/relationships/hyperlink" Target="https://login.consultant.ru/link/?req=doc&amp;base=LAW&amp;n=507521&amp;dst=144" TargetMode = "External"/><Relationship Id="rId42" Type="http://schemas.openxmlformats.org/officeDocument/2006/relationships/hyperlink" Target="https://login.consultant.ru/link/?req=doc&amp;base=LAW&amp;n=514105&amp;dst=100013" TargetMode = "External"/><Relationship Id="rId43" Type="http://schemas.openxmlformats.org/officeDocument/2006/relationships/hyperlink" Target="https://login.consultant.ru/link/?req=doc&amp;base=LAW&amp;n=510266&amp;dst=100011" TargetMode = "External"/><Relationship Id="rId44" Type="http://schemas.openxmlformats.org/officeDocument/2006/relationships/hyperlink" Target="https://promote.budget.gov.ru" TargetMode = "External"/><Relationship Id="rId45" Type="http://schemas.openxmlformats.org/officeDocument/2006/relationships/hyperlink" Target="https://login.consultant.ru/link/?req=doc&amp;base=LAW&amp;n=121087&amp;dst=100142" TargetMode = "External"/><Relationship Id="rId46" Type="http://schemas.openxmlformats.org/officeDocument/2006/relationships/hyperlink" Target="https://login.consultant.ru/link/?req=doc&amp;base=LAW&amp;n=503698" TargetMode = "External"/><Relationship Id="rId47" Type="http://schemas.openxmlformats.org/officeDocument/2006/relationships/hyperlink" Target="https://login.consultant.ru/link/?req=doc&amp;base=LAW&amp;n=520119&amp;dst=5769" TargetMode = "External"/><Relationship Id="rId48" Type="http://schemas.openxmlformats.org/officeDocument/2006/relationships/hyperlink" Target="https://login.consultant.ru/link/?req=doc&amp;base=LAW&amp;n=516950" TargetMode = "External"/><Relationship Id="rId49" Type="http://schemas.openxmlformats.org/officeDocument/2006/relationships/hyperlink" Target="https://login.consultant.ru/link/?req=doc&amp;base=LAW&amp;n=520154&amp;dst=3704" TargetMode = "External"/><Relationship Id="rId50" Type="http://schemas.openxmlformats.org/officeDocument/2006/relationships/hyperlink" Target="https://login.consultant.ru/link/?req=doc&amp;base=LAW&amp;n=520154&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Свердловской области от 21.08.2025 N 472-ПП
"Об утверждении порядков предоставления грантов в форме субсидий некоммерческим организациям, осуществляющим деятельность в сфере культуры и искусства, в целях реализации творческих проектов"
(вместе с "Порядком предоставления грантов в форме субсидий на оказание государственной поддержки в сфере культуры и искусства организациям культуры и искусства", "Порядком предоставления грантов в форме субсидий на реализацию всероссийских и между</dc:title>
  <dcterms:created xsi:type="dcterms:W3CDTF">2026-01-10T11:58:13Z</dcterms:created>
</cp:coreProperties>
</file>