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Тамбовской области от 19.05.2025 N 338</w:t>
              <w:br/>
              <w:t xml:space="preserve">(ред. от 22.09.2025)</w:t>
              <w:br/>
              <w:t xml:space="preserve">"Об утверждении Порядка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ТАМБОВСКОЙ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19 мая 2025 г. N 338</w:t>
      </w:r>
    </w:p>
    <w:p>
      <w:pPr>
        <w:pStyle w:val="2"/>
        <w:jc w:val="both"/>
      </w:pPr>
      <w:r>
        <w:rPr>
          <w:sz w:val="20"/>
        </w:rPr>
      </w:r>
    </w:p>
    <w:p>
      <w:pPr>
        <w:pStyle w:val="2"/>
        <w:jc w:val="center"/>
      </w:pPr>
      <w:r>
        <w:rPr>
          <w:sz w:val="20"/>
        </w:rPr>
        <w:t xml:space="preserve">ОБ УТВЕРЖДЕНИИ ПОРЯДКА ПРЕДОСТАВЛЕНИЯ ГРАНТОВ В ФОРМЕ</w:t>
      </w:r>
    </w:p>
    <w:p>
      <w:pPr>
        <w:pStyle w:val="2"/>
        <w:jc w:val="center"/>
      </w:pPr>
      <w:r>
        <w:rPr>
          <w:sz w:val="20"/>
        </w:rPr>
        <w:t xml:space="preserve">СУБСИДИЙ ИЗ БЮДЖЕТА ТАМБОВСКОЙ ОБЛАСТИ НЕКОММЕРЧЕСКИМ</w:t>
      </w:r>
    </w:p>
    <w:p>
      <w:pPr>
        <w:pStyle w:val="2"/>
        <w:jc w:val="center"/>
      </w:pPr>
      <w:r>
        <w:rPr>
          <w:sz w:val="20"/>
        </w:rPr>
        <w:t xml:space="preserve">ОРГАНИЗАЦИЯМ НА ОБНОВЛЕНИЕ СОДЕРЖАНИЯ И ТЕХНОЛОГИЙ</w:t>
      </w:r>
    </w:p>
    <w:p>
      <w:pPr>
        <w:pStyle w:val="2"/>
        <w:jc w:val="center"/>
      </w:pPr>
      <w:r>
        <w:rPr>
          <w:sz w:val="20"/>
        </w:rPr>
        <w:t xml:space="preserve">ДОПОЛНИТЕЛЬНОГО ОБРАЗОВАНИЯ ПО ПРИОРИТЕТНЫМ НАПРАВЛЕНИЯМ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color w:val="392c69"/>
              </w:rPr>
              <w:t xml:space="preserve"> Правительства Тамбовской области от 22.09.2025 N 536)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9"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10"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а также в целях реализации государственной </w:t>
      </w:r>
      <w:hyperlink w:history="0" r:id="rId11" w:tooltip="Постановление администрации Тамбовской области от 28.12.2012 N 1677 (ред. от 04.12.2025) &quot;Об утверждении государственной программы Тамбовской области &quot;Развитие образования Тамбовской области&quot; {КонсультантПлюс}">
        <w:r>
          <w:rPr>
            <w:sz w:val="20"/>
            <w:color w:val="0000ff"/>
          </w:rPr>
          <w:t xml:space="preserve">программы</w:t>
        </w:r>
      </w:hyperlink>
      <w:r>
        <w:rPr>
          <w:sz w:val="20"/>
        </w:rPr>
        <w:t xml:space="preserve"> Тамбовской области "Развитие образования Тамбовской области", утвержденной постановлением администрации Тамбовской области от 28.12.2012 N 1677 "Об утверждении государственной программы Тамбовской области "Развитие образования Тамбовской области", Правительство Тамбовской области постановляет:</w:t>
      </w:r>
    </w:p>
    <w:p>
      <w:pPr>
        <w:pStyle w:val="0"/>
        <w:spacing w:before="200" w:lineRule="auto"/>
        <w:ind w:firstLine="540"/>
        <w:jc w:val="both"/>
      </w:pPr>
      <w:r>
        <w:rPr>
          <w:sz w:val="20"/>
        </w:rPr>
        <w:t xml:space="preserve">1. Утвердить </w:t>
      </w:r>
      <w:hyperlink w:history="0" w:anchor="P32" w:tooltip="ПОРЯДОК">
        <w:r>
          <w:rPr>
            <w:sz w:val="20"/>
            <w:color w:val="0000ff"/>
          </w:rPr>
          <w:t xml:space="preserve">Порядок</w:t>
        </w:r>
      </w:hyperlink>
      <w:r>
        <w:rPr>
          <w:sz w:val="20"/>
        </w:rPr>
        <w:t xml:space="preserve">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 согласно приложению.</w:t>
      </w:r>
    </w:p>
    <w:p>
      <w:pPr>
        <w:pStyle w:val="0"/>
        <w:spacing w:before="200" w:lineRule="auto"/>
        <w:ind w:firstLine="540"/>
        <w:jc w:val="both"/>
      </w:pPr>
      <w:r>
        <w:rPr>
          <w:sz w:val="20"/>
        </w:rPr>
        <w:t xml:space="preserve">2. Опубликовать настоящее постановление на "Официальном интернет-портале правовой информации" (</w:t>
      </w:r>
      <w:hyperlink w:history="0" r:id="rId12">
        <w:r>
          <w:rPr>
            <w:sz w:val="20"/>
            <w:color w:val="0000ff"/>
          </w:rPr>
          <w:t xml:space="preserve">www.pravo.gov.ru</w:t>
        </w:r>
      </w:hyperlink>
      <w:r>
        <w:rPr>
          <w:sz w:val="20"/>
        </w:rPr>
        <w:t xml:space="preserve">) и на сайте сетевого издания "Тамбовская жизнь" (</w:t>
      </w:r>
      <w:hyperlink w:history="0" r:id="rId13">
        <w:r>
          <w:rPr>
            <w:sz w:val="20"/>
            <w:color w:val="0000ff"/>
          </w:rPr>
          <w:t xml:space="preserve">www.tamlife.ru</w:t>
        </w:r>
      </w:hyperlink>
      <w:r>
        <w:rPr>
          <w:sz w:val="20"/>
        </w:rPr>
        <w:t xml:space="preserve">).</w:t>
      </w:r>
    </w:p>
    <w:p>
      <w:pPr>
        <w:pStyle w:val="0"/>
        <w:spacing w:before="200" w:lineRule="auto"/>
        <w:ind w:firstLine="540"/>
        <w:jc w:val="both"/>
      </w:pPr>
      <w:r>
        <w:rPr>
          <w:sz w:val="20"/>
        </w:rPr>
        <w:t xml:space="preserve">3. Настоящее постановление вступает в силу на следующий день после дня первого официального опубликования.</w:t>
      </w:r>
    </w:p>
    <w:p>
      <w:pPr>
        <w:pStyle w:val="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Главы Тамбовской области</w:t>
      </w:r>
    </w:p>
    <w:p>
      <w:pPr>
        <w:pStyle w:val="0"/>
        <w:jc w:val="right"/>
      </w:pPr>
      <w:r>
        <w:rPr>
          <w:sz w:val="20"/>
        </w:rPr>
        <w:t xml:space="preserve">Е.Первышов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Тамбовской области</w:t>
      </w:r>
    </w:p>
    <w:p>
      <w:pPr>
        <w:pStyle w:val="0"/>
        <w:jc w:val="right"/>
      </w:pPr>
      <w:r>
        <w:rPr>
          <w:sz w:val="20"/>
        </w:rPr>
        <w:t xml:space="preserve">от 19.05.2025 N 338</w:t>
      </w:r>
    </w:p>
    <w:p>
      <w:pPr>
        <w:pStyle w:val="0"/>
        <w:jc w:val="both"/>
      </w:pPr>
      <w:r>
        <w:rPr>
          <w:sz w:val="20"/>
        </w:rPr>
      </w:r>
    </w:p>
    <w:bookmarkStart w:id="32" w:name="P32"/>
    <w:bookmarkEnd w:id="32"/>
    <w:p>
      <w:pPr>
        <w:pStyle w:val="2"/>
        <w:jc w:val="center"/>
      </w:pPr>
      <w:r>
        <w:rPr>
          <w:sz w:val="20"/>
        </w:rPr>
        <w:t xml:space="preserve">ПОРЯДОК</w:t>
      </w:r>
    </w:p>
    <w:p>
      <w:pPr>
        <w:pStyle w:val="2"/>
        <w:jc w:val="center"/>
      </w:pPr>
      <w:r>
        <w:rPr>
          <w:sz w:val="20"/>
        </w:rPr>
        <w:t xml:space="preserve">ПРЕДОСТАВЛЕНИЯ ГРАНТОВ В ФОРМЕ СУБСИДИЙ ИЗ БЮДЖЕТА</w:t>
      </w:r>
    </w:p>
    <w:p>
      <w:pPr>
        <w:pStyle w:val="2"/>
        <w:jc w:val="center"/>
      </w:pPr>
      <w:r>
        <w:rPr>
          <w:sz w:val="20"/>
        </w:rPr>
        <w:t xml:space="preserve">ТАМБОВСКОЙ ОБЛАСТИ НЕКОММЕРЧЕСКИМ ОРГАНИЗАЦИЯМ НА ОБНОВЛЕНИЕ</w:t>
      </w:r>
    </w:p>
    <w:p>
      <w:pPr>
        <w:pStyle w:val="2"/>
        <w:jc w:val="center"/>
      </w:pPr>
      <w:r>
        <w:rPr>
          <w:sz w:val="20"/>
        </w:rPr>
        <w:t xml:space="preserve">СОДЕРЖАНИЯ И ТЕХНОЛОГИЙ ДОПОЛНИТЕЛЬНОГО ОБРАЗОВАНИЯ</w:t>
      </w:r>
    </w:p>
    <w:p>
      <w:pPr>
        <w:pStyle w:val="2"/>
        <w:jc w:val="center"/>
      </w:pPr>
      <w:r>
        <w:rPr>
          <w:sz w:val="20"/>
        </w:rPr>
        <w:t xml:space="preserve">ПО ПРИОРИТЕТНЫМ НАПРАВЛЕНИЯМ (ДАЛЕЕ - ПОРЯДОК)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color w:val="392c69"/>
              </w:rPr>
              <w:t xml:space="preserve"> Правительства Тамбовской области от 22.09.2025 N 536)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 о предоставлении грантов</w:t>
      </w:r>
    </w:p>
    <w:p>
      <w:pPr>
        <w:pStyle w:val="0"/>
        <w:jc w:val="both"/>
      </w:pPr>
      <w:r>
        <w:rPr>
          <w:sz w:val="20"/>
        </w:rPr>
      </w:r>
    </w:p>
    <w:p>
      <w:pPr>
        <w:pStyle w:val="0"/>
        <w:ind w:firstLine="540"/>
        <w:jc w:val="both"/>
      </w:pPr>
      <w:r>
        <w:rPr>
          <w:sz w:val="20"/>
        </w:rPr>
        <w:t xml:space="preserve">1.1. Настоящий Порядок разработан в соответствии с </w:t>
      </w:r>
      <w:hyperlink w:history="0" r:id="rId15"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4 статьи 78.1</w:t>
        </w:r>
      </w:hyperlink>
      <w:r>
        <w:rPr>
          <w:sz w:val="20"/>
        </w:rPr>
        <w:t xml:space="preserve"> Бюджетного кодекса Российской Федерации, </w:t>
      </w:r>
      <w:hyperlink w:history="0" r:id="rId16"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7" w:tooltip="Постановление администрации Тамбовской области от 28.12.2012 N 1677 (ред. от 04.12.2025) &quot;Об утверждении государственной программы Тамбовской области &quot;Развитие образования Тамбовской области&quot; {КонсультантПлюс}">
        <w:r>
          <w:rPr>
            <w:sz w:val="20"/>
            <w:color w:val="0000ff"/>
          </w:rPr>
          <w:t xml:space="preserve">постановлением</w:t>
        </w:r>
      </w:hyperlink>
      <w:r>
        <w:rPr>
          <w:sz w:val="20"/>
        </w:rPr>
        <w:t xml:space="preserve"> администрации Тамбовской области от 28.12.2012 N 1677 "Об утверждении государственной программы Тамбовской области "Развитие образования Тамбовской области", устанавливает цели, условия и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 (далее - грант).</w:t>
      </w:r>
    </w:p>
    <w:bookmarkStart w:id="43" w:name="P43"/>
    <w:bookmarkEnd w:id="43"/>
    <w:p>
      <w:pPr>
        <w:pStyle w:val="0"/>
        <w:spacing w:before="200" w:lineRule="auto"/>
        <w:ind w:firstLine="540"/>
        <w:jc w:val="both"/>
      </w:pPr>
      <w:r>
        <w:rPr>
          <w:sz w:val="20"/>
        </w:rPr>
        <w:t xml:space="preserve">1.2. Целью предоставления гранта является финансовое обеспечение затрат некоммерческих организаций по обновлению содержания и технологий дополнительного образования по приоритетным направлениям в рамках государственной </w:t>
      </w:r>
      <w:hyperlink w:history="0" r:id="rId18" w:tooltip="Постановление администрации Тамбовской области от 28.12.2012 N 1677 (ред. от 04.12.2025) &quot;Об утверждении государственной программы Тамбовской области &quot;Развитие образования Тамбовской области&quot; {КонсультантПлюс}">
        <w:r>
          <w:rPr>
            <w:sz w:val="20"/>
            <w:color w:val="0000ff"/>
          </w:rPr>
          <w:t xml:space="preserve">программы</w:t>
        </w:r>
      </w:hyperlink>
      <w:r>
        <w:rPr>
          <w:sz w:val="20"/>
        </w:rPr>
        <w:t xml:space="preserve"> Тамбовской области "Развитие образования Тамбовской области", утвержденной постановлением администрации Тамбовской области от 28.12.2012 N 1677.</w:t>
      </w:r>
    </w:p>
    <w:p>
      <w:pPr>
        <w:pStyle w:val="0"/>
        <w:spacing w:before="200" w:lineRule="auto"/>
        <w:ind w:firstLine="540"/>
        <w:jc w:val="both"/>
      </w:pPr>
      <w:r>
        <w:rPr>
          <w:sz w:val="20"/>
        </w:rPr>
        <w:t xml:space="preserve">1.3. Понятие, используемое в настоящем Порядке:</w:t>
      </w:r>
    </w:p>
    <w:p>
      <w:pPr>
        <w:pStyle w:val="0"/>
        <w:spacing w:before="200" w:lineRule="auto"/>
        <w:ind w:firstLine="540"/>
        <w:jc w:val="both"/>
      </w:pPr>
      <w:r>
        <w:rPr>
          <w:sz w:val="20"/>
        </w:rPr>
        <w:t xml:space="preserve">приоритетные направления дополнительного образования - программы технической и естественно-научной направленности, реализуемые на базе Центров развития современных компетенций школьников, созданных на базе образовательных организаций высшего образования.</w:t>
      </w:r>
    </w:p>
    <w:p>
      <w:pPr>
        <w:pStyle w:val="0"/>
        <w:spacing w:before="200" w:lineRule="auto"/>
        <w:ind w:firstLine="540"/>
        <w:jc w:val="both"/>
      </w:pPr>
      <w:r>
        <w:rPr>
          <w:sz w:val="20"/>
        </w:rPr>
        <w:t xml:space="preserve">1.4. Главным распорядителем средств бюджета Тамбовской области, осуществляющим предоставление гранта, является министерство образования и науки Тамбовской области (далее - Министерство).</w:t>
      </w:r>
    </w:p>
    <w:p>
      <w:pPr>
        <w:pStyle w:val="0"/>
        <w:spacing w:before="200" w:lineRule="auto"/>
        <w:ind w:firstLine="540"/>
        <w:jc w:val="both"/>
      </w:pPr>
      <w:r>
        <w:rPr>
          <w:sz w:val="20"/>
        </w:rPr>
        <w:t xml:space="preserve">1.5. Гранты предоставляются Министерством в пределах бюджетных ассигнований, предусмотренных в бюджете Тамбовской области на соответствующий финансовый год и плановый период.</w:t>
      </w:r>
    </w:p>
    <w:p>
      <w:pPr>
        <w:pStyle w:val="0"/>
        <w:spacing w:before="200" w:lineRule="auto"/>
        <w:ind w:firstLine="540"/>
        <w:jc w:val="both"/>
      </w:pPr>
      <w:r>
        <w:rPr>
          <w:sz w:val="20"/>
        </w:rPr>
        <w:t xml:space="preserve">1.6. Способом предоставления грантов является финансовое обеспечение затрат.</w:t>
      </w:r>
    </w:p>
    <w:p>
      <w:pPr>
        <w:pStyle w:val="0"/>
        <w:spacing w:before="200" w:lineRule="auto"/>
        <w:ind w:firstLine="540"/>
        <w:jc w:val="both"/>
      </w:pPr>
      <w:r>
        <w:rPr>
          <w:sz w:val="20"/>
        </w:rPr>
        <w:t xml:space="preserve">1.7. Сведения о грантах размещаются на едином портале бюджетной системы Российской Федерации (далее - единый портал) в информационно-телекоммуникационной сети "Интернет" (в разделе единого портала) в порядке, установленном Министерством финансов Российской Федерации.</w:t>
      </w:r>
    </w:p>
    <w:p>
      <w:pPr>
        <w:pStyle w:val="0"/>
        <w:jc w:val="both"/>
      </w:pPr>
      <w:r>
        <w:rPr>
          <w:sz w:val="20"/>
        </w:rPr>
      </w:r>
    </w:p>
    <w:bookmarkStart w:id="51" w:name="P51"/>
    <w:bookmarkEnd w:id="51"/>
    <w:p>
      <w:pPr>
        <w:pStyle w:val="2"/>
        <w:outlineLvl w:val="1"/>
        <w:jc w:val="center"/>
      </w:pPr>
      <w:r>
        <w:rPr>
          <w:sz w:val="20"/>
        </w:rPr>
        <w:t xml:space="preserve">2. Порядок проведения отбора</w:t>
      </w:r>
    </w:p>
    <w:p>
      <w:pPr>
        <w:pStyle w:val="0"/>
        <w:jc w:val="both"/>
      </w:pPr>
      <w:r>
        <w:rPr>
          <w:sz w:val="20"/>
        </w:rPr>
      </w:r>
    </w:p>
    <w:p>
      <w:pPr>
        <w:pStyle w:val="0"/>
        <w:ind w:firstLine="540"/>
        <w:jc w:val="both"/>
      </w:pPr>
      <w:r>
        <w:rPr>
          <w:sz w:val="20"/>
        </w:rPr>
        <w:t xml:space="preserve">2.1. Отбор получателей гранта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pPr>
        <w:pStyle w:val="0"/>
        <w:spacing w:before="200" w:lineRule="auto"/>
        <w:ind w:firstLine="540"/>
        <w:jc w:val="both"/>
      </w:pPr>
      <w:r>
        <w:rPr>
          <w:sz w:val="20"/>
        </w:rPr>
        <w:t xml:space="preserve">Организатором отбора является Министерство.</w:t>
      </w:r>
    </w:p>
    <w:p>
      <w:pPr>
        <w:pStyle w:val="0"/>
        <w:jc w:val="both"/>
      </w:pPr>
      <w:r>
        <w:rPr>
          <w:sz w:val="20"/>
        </w:rPr>
        <w:t xml:space="preserve">(абзац введен </w:t>
      </w:r>
      <w:hyperlink w:history="0" r:id="rId19"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Постановлением</w:t>
        </w:r>
      </w:hyperlink>
      <w:r>
        <w:rPr>
          <w:sz w:val="20"/>
        </w:rPr>
        <w:t xml:space="preserve"> Правительства Тамбовской области от 22.09.2025 N 536)</w:t>
      </w:r>
    </w:p>
    <w:p>
      <w:pPr>
        <w:pStyle w:val="0"/>
        <w:spacing w:before="200" w:lineRule="auto"/>
        <w:ind w:firstLine="540"/>
        <w:jc w:val="both"/>
      </w:pPr>
      <w:r>
        <w:rPr>
          <w:sz w:val="20"/>
        </w:rPr>
        <w:t xml:space="preserve">Взаимодействие Министерства с участниками отбора осуществляется с использованием документов в электронной форме в системе "Электронный бюджет".</w:t>
      </w:r>
    </w:p>
    <w:p>
      <w:pPr>
        <w:pStyle w:val="0"/>
        <w:spacing w:before="200" w:lineRule="auto"/>
        <w:ind w:firstLine="540"/>
        <w:jc w:val="both"/>
      </w:pPr>
      <w:r>
        <w:rPr>
          <w:sz w:val="20"/>
        </w:rPr>
        <w:t xml:space="preserve">Доступ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2.2. Способом проведения отбора является запрос предложений, который осуществляется Министерством на основании заявок, направленных участниками отбора для участия в отборе (далее - заявки).</w:t>
      </w:r>
    </w:p>
    <w:p>
      <w:pPr>
        <w:pStyle w:val="0"/>
        <w:spacing w:before="200" w:lineRule="auto"/>
        <w:ind w:firstLine="540"/>
        <w:jc w:val="both"/>
      </w:pPr>
      <w:r>
        <w:rPr>
          <w:sz w:val="20"/>
        </w:rPr>
        <w:t xml:space="preserve">2.3. В целях проведения отбора Министерство не позднее чем за 1 рабочий день до даты начала подачи заявок на отбор формирует в электронной форме посредством заполнения соответствующих экранных форм веб-интерфейса системы "Электронный бюджет" объявление о проведении отбора, которое подписывается усиленной квалифицированной электронной подписью министра образования и науки Тамбовской области (далее - министр) и размещает его на едином портале и на своем официальном сайте в информационно-телекоммуникационной сети "Интернет" с указанием:</w:t>
      </w:r>
    </w:p>
    <w:p>
      <w:pPr>
        <w:pStyle w:val="0"/>
        <w:spacing w:before="200" w:lineRule="auto"/>
        <w:ind w:firstLine="540"/>
        <w:jc w:val="both"/>
      </w:pPr>
      <w:r>
        <w:rPr>
          <w:sz w:val="20"/>
        </w:rPr>
        <w:t xml:space="preserve">сроков проведения отбора;</w:t>
      </w:r>
    </w:p>
    <w:p>
      <w:pPr>
        <w:pStyle w:val="0"/>
        <w:spacing w:before="200" w:lineRule="auto"/>
        <w:ind w:firstLine="540"/>
        <w:jc w:val="both"/>
      </w:pPr>
      <w:r>
        <w:rPr>
          <w:sz w:val="20"/>
        </w:rPr>
        <w:t xml:space="preserve">даты начала подачи и окончания приема заявок участников отбора, при этом дата окончания приема заявок не может быть ранее 10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наименования, места нахождения, почтового адреса, адреса электронной почты Министерства;</w:t>
      </w:r>
    </w:p>
    <w:p>
      <w:pPr>
        <w:pStyle w:val="0"/>
        <w:spacing w:before="200" w:lineRule="auto"/>
        <w:ind w:firstLine="540"/>
        <w:jc w:val="both"/>
      </w:pPr>
      <w:r>
        <w:rPr>
          <w:sz w:val="20"/>
        </w:rPr>
        <w:t xml:space="preserve">результата предоставления гранта, а также характеристика результата;</w:t>
      </w:r>
    </w:p>
    <w:p>
      <w:pPr>
        <w:pStyle w:val="0"/>
        <w:spacing w:before="200" w:lineRule="auto"/>
        <w:ind w:firstLine="540"/>
        <w:jc w:val="both"/>
      </w:pPr>
      <w:r>
        <w:rPr>
          <w:sz w:val="20"/>
        </w:rPr>
        <w:t xml:space="preserve">доменного имени и (или) указателей страниц государственной информационной системы в информационно-телекоммуникационной сети "Интернет";</w:t>
      </w:r>
    </w:p>
    <w:p>
      <w:pPr>
        <w:pStyle w:val="0"/>
        <w:spacing w:before="200" w:lineRule="auto"/>
        <w:ind w:firstLine="540"/>
        <w:jc w:val="both"/>
      </w:pPr>
      <w:r>
        <w:rPr>
          <w:sz w:val="20"/>
        </w:rPr>
        <w:t xml:space="preserve">требований к участникам отбора в соответствии с </w:t>
      </w:r>
      <w:hyperlink w:history="0" w:anchor="P83" w:tooltip="2.4. Для получения гранта на даты рассмотрения заявки и заключения Соглашения участник отбора должен соответствовать следующим требованиям:">
        <w:r>
          <w:rPr>
            <w:sz w:val="20"/>
            <w:color w:val="0000ff"/>
          </w:rPr>
          <w:t xml:space="preserve">пунктом 2.4</w:t>
        </w:r>
      </w:hyperlink>
      <w:r>
        <w:rPr>
          <w:sz w:val="20"/>
        </w:rPr>
        <w:t xml:space="preserve"> настоящего Порядка, а также перечня документов, представляемых участниками отбора для подтверждения соответствия указанным требованиям;</w:t>
      </w:r>
    </w:p>
    <w:p>
      <w:pPr>
        <w:pStyle w:val="0"/>
        <w:spacing w:before="200" w:lineRule="auto"/>
        <w:ind w:firstLine="540"/>
        <w:jc w:val="both"/>
      </w:pPr>
      <w:r>
        <w:rPr>
          <w:sz w:val="20"/>
        </w:rPr>
        <w:t xml:space="preserve">категории и (или) критериев отбора в виде запроса предложений;</w:t>
      </w:r>
    </w:p>
    <w:p>
      <w:pPr>
        <w:pStyle w:val="0"/>
        <w:spacing w:before="200" w:lineRule="auto"/>
        <w:ind w:firstLine="540"/>
        <w:jc w:val="both"/>
      </w:pPr>
      <w:r>
        <w:rPr>
          <w:sz w:val="20"/>
        </w:rPr>
        <w:t xml:space="preserve">порядка подачи участником отбора заявок и требований, предъявляемых к их содержанию;</w:t>
      </w:r>
    </w:p>
    <w:p>
      <w:pPr>
        <w:pStyle w:val="0"/>
        <w:spacing w:before="200" w:lineRule="auto"/>
        <w:ind w:firstLine="540"/>
        <w:jc w:val="both"/>
      </w:pPr>
      <w:r>
        <w:rPr>
          <w:sz w:val="20"/>
        </w:rPr>
        <w:t xml:space="preserve">порядка отзыва заявок участников отбора, порядка возврата, определяющего в том числе основания для возврата заявок;</w:t>
      </w:r>
    </w:p>
    <w:p>
      <w:pPr>
        <w:pStyle w:val="0"/>
        <w:spacing w:before="200" w:lineRule="auto"/>
        <w:ind w:firstLine="540"/>
        <w:jc w:val="both"/>
      </w:pPr>
      <w:r>
        <w:rPr>
          <w:sz w:val="20"/>
        </w:rPr>
        <w:t xml:space="preserve">порядка внесения участниками отбора изменений в заявки;</w:t>
      </w:r>
    </w:p>
    <w:p>
      <w:pPr>
        <w:pStyle w:val="0"/>
        <w:spacing w:before="200" w:lineRule="auto"/>
        <w:ind w:firstLine="540"/>
        <w:jc w:val="both"/>
      </w:pPr>
      <w:r>
        <w:rPr>
          <w:sz w:val="20"/>
        </w:rPr>
        <w:t xml:space="preserve">правил рассмотрения заявок и оценки заявок в соответствии с настоящим Порядком;</w:t>
      </w:r>
    </w:p>
    <w:p>
      <w:pPr>
        <w:pStyle w:val="0"/>
        <w:spacing w:before="200" w:lineRule="auto"/>
        <w:ind w:firstLine="540"/>
        <w:jc w:val="both"/>
      </w:pPr>
      <w:r>
        <w:rPr>
          <w:sz w:val="20"/>
        </w:rPr>
        <w:t xml:space="preserve">порядка возврата заявок на доработку;</w:t>
      </w:r>
    </w:p>
    <w:p>
      <w:pPr>
        <w:pStyle w:val="0"/>
        <w:spacing w:before="200" w:lineRule="auto"/>
        <w:ind w:firstLine="540"/>
        <w:jc w:val="both"/>
      </w:pPr>
      <w:r>
        <w:rPr>
          <w:sz w:val="20"/>
        </w:rPr>
        <w:t xml:space="preserve">порядка отклонения заявок, а также информации об основаниях их отклонения;</w:t>
      </w:r>
    </w:p>
    <w:p>
      <w:pPr>
        <w:pStyle w:val="0"/>
        <w:spacing w:before="200" w:lineRule="auto"/>
        <w:ind w:firstLine="540"/>
        <w:jc w:val="both"/>
      </w:pPr>
      <w:r>
        <w:rPr>
          <w:sz w:val="20"/>
        </w:rPr>
        <w:t xml:space="preserve">объема распределяемого гранта в рамках отбора, порядка расчета размера гранта, установленного настоящим Порядком, правил распределения гранта по результатам отбора;</w:t>
      </w:r>
    </w:p>
    <w:p>
      <w:pPr>
        <w:pStyle w:val="0"/>
        <w:spacing w:before="200" w:lineRule="auto"/>
        <w:ind w:firstLine="540"/>
        <w:jc w:val="both"/>
      </w:pPr>
      <w:r>
        <w:rPr>
          <w:sz w:val="20"/>
        </w:rPr>
        <w:t xml:space="preserve">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00" w:lineRule="auto"/>
        <w:ind w:firstLine="540"/>
        <w:jc w:val="both"/>
      </w:pPr>
      <w:r>
        <w:rPr>
          <w:sz w:val="20"/>
        </w:rPr>
        <w:t xml:space="preserve">срока, в течение которого победитель (победители) отбора должен подписать соглашение о предоставлении гранта (далее - Соглашение);</w:t>
      </w:r>
    </w:p>
    <w:p>
      <w:pPr>
        <w:pStyle w:val="0"/>
        <w:spacing w:before="200" w:lineRule="auto"/>
        <w:ind w:firstLine="540"/>
        <w:jc w:val="both"/>
      </w:pPr>
      <w:r>
        <w:rPr>
          <w:sz w:val="20"/>
        </w:rPr>
        <w:t xml:space="preserve">условий признания победителя (победителей) отбора уклонившимся от заключения Соглашения;</w:t>
      </w:r>
    </w:p>
    <w:p>
      <w:pPr>
        <w:pStyle w:val="0"/>
        <w:spacing w:before="200" w:lineRule="auto"/>
        <w:ind w:firstLine="540"/>
        <w:jc w:val="both"/>
      </w:pPr>
      <w:r>
        <w:rPr>
          <w:sz w:val="20"/>
        </w:rPr>
        <w:t xml:space="preserve">срока размещения протокола подведения итогов отбора на едином портале, а также на официальном сайте Министерства в информационно-телекоммуникационной сети "Интернет" (</w:t>
      </w:r>
      <w:hyperlink w:history="0" r:id="rId20">
        <w:r>
          <w:rPr>
            <w:sz w:val="20"/>
            <w:color w:val="0000ff"/>
          </w:rPr>
          <w:t xml:space="preserve">https://obraz.tmbreg.ru</w:t>
        </w:r>
      </w:hyperlink>
      <w:r>
        <w:rPr>
          <w:sz w:val="20"/>
        </w:rPr>
        <w:t xml:space="preserve">), который не может быть позднее 14 календарного дня, следующего за днем определения победителя отбора.</w:t>
      </w:r>
    </w:p>
    <w:p>
      <w:pPr>
        <w:pStyle w:val="0"/>
        <w:spacing w:before="200" w:lineRule="auto"/>
        <w:ind w:firstLine="540"/>
        <w:jc w:val="both"/>
      </w:pPr>
      <w:r>
        <w:rPr>
          <w:sz w:val="20"/>
        </w:rPr>
        <w:t xml:space="preserve">Внесение изменений в объявление о проведении отбора осуществляется в порядке, аналогичном порядку формирования объявления о проведении отбора, установленному в настоящем пункте, не позднее наступления даты окончания приема заявок участников отбора с соблюдением следующих условий:</w:t>
      </w:r>
    </w:p>
    <w:p>
      <w:pPr>
        <w:pStyle w:val="0"/>
        <w:spacing w:before="200" w:lineRule="auto"/>
        <w:ind w:firstLine="540"/>
        <w:jc w:val="both"/>
      </w:pPr>
      <w:r>
        <w:rPr>
          <w:sz w:val="20"/>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pPr>
        <w:pStyle w:val="0"/>
        <w:spacing w:before="200" w:lineRule="auto"/>
        <w:ind w:firstLine="540"/>
        <w:jc w:val="both"/>
      </w:pPr>
      <w:r>
        <w:rPr>
          <w:sz w:val="20"/>
        </w:rPr>
        <w:t xml:space="preserve">при внесении изменений в объявление о проведении отбора получателей субсидии изменение способа отбора получателей субсидии не допускается;</w:t>
      </w:r>
    </w:p>
    <w:p>
      <w:pPr>
        <w:pStyle w:val="0"/>
        <w:spacing w:before="200" w:lineRule="auto"/>
        <w:ind w:firstLine="540"/>
        <w:jc w:val="both"/>
      </w:pPr>
      <w:r>
        <w:rPr>
          <w:sz w:val="20"/>
        </w:rPr>
        <w:t xml:space="preserve">в случае внесения изменений в объявление о проведении отбора получателей субсидии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bookmarkStart w:id="83" w:name="P83"/>
    <w:bookmarkEnd w:id="83"/>
    <w:p>
      <w:pPr>
        <w:pStyle w:val="0"/>
        <w:spacing w:before="200" w:lineRule="auto"/>
        <w:ind w:firstLine="540"/>
        <w:jc w:val="both"/>
      </w:pPr>
      <w:r>
        <w:rPr>
          <w:sz w:val="20"/>
        </w:rPr>
        <w:t xml:space="preserve">2.4. Для получения гранта на даты рассмотрения заявки и заключения Соглашения участник отбора должен соответствовать следующим требованиям:</w:t>
      </w:r>
    </w:p>
    <w:p>
      <w:pPr>
        <w:pStyle w:val="0"/>
        <w:spacing w:before="200" w:lineRule="auto"/>
        <w:ind w:firstLine="540"/>
        <w:jc w:val="both"/>
      </w:pPr>
      <w:r>
        <w:rPr>
          <w:sz w:val="20"/>
        </w:rPr>
        <w:t xml:space="preserve">2.4.1.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При расчете доли участия офшорных компаний в капитале российских юридических лиц для целей настоящего абзаца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2.4.2.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2.4.3. участник отбора не находится в составляемых в рамках реализации полномочий, предусмотренных </w:t>
      </w:r>
      <w:hyperlink w:history="0" r:id="rId21"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2.4.4. участник отбора не получает средства из бюджета Тамбовской области, из которого планируется предоставление субсидии, в соответствии с нормативными правовыми актами Тамбовской области на цели, указанные в </w:t>
      </w:r>
      <w:hyperlink w:history="0" w:anchor="P43" w:tooltip="1.2. Целью предоставления гранта является финансовое обеспечение затрат некоммерческих организаций по обновлению содержания и технологий дополнительного образования по приоритетным направлениям в рамках государственной программы Тамбовской области &quot;Развитие образования Тамбовской области&quot;, утвержденной постановлением администрации Тамбовской области от 28.12.2012 N 1677.">
        <w:r>
          <w:rPr>
            <w:sz w:val="20"/>
            <w:color w:val="0000ff"/>
          </w:rPr>
          <w:t xml:space="preserve">пункте 1.2</w:t>
        </w:r>
      </w:hyperlink>
      <w:r>
        <w:rPr>
          <w:sz w:val="20"/>
        </w:rPr>
        <w:t xml:space="preserve"> настоящего Порядка;</w:t>
      </w:r>
    </w:p>
    <w:p>
      <w:pPr>
        <w:pStyle w:val="0"/>
        <w:spacing w:before="200" w:lineRule="auto"/>
        <w:ind w:firstLine="540"/>
        <w:jc w:val="both"/>
      </w:pPr>
      <w:r>
        <w:rPr>
          <w:sz w:val="20"/>
        </w:rPr>
        <w:t xml:space="preserve">2.4.5. участник отбора не является иностранным агентом в соответствии с Федеральным </w:t>
      </w:r>
      <w:hyperlink w:history="0" r:id="rId22"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2.4.6. у участника отбора на едином налоговом счете отсутствует или не превышает размер, определенный </w:t>
      </w:r>
      <w:hyperlink w:history="0" r:id="rId23"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2.4.7. у участника отбора отсутствуют просроченная задолженность по возврату в бюджет Тамбовской области,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Тамбовской областью (за исключением случаев, установленных Правительством Тамбовской области);</w:t>
      </w:r>
    </w:p>
    <w:p>
      <w:pPr>
        <w:pStyle w:val="0"/>
        <w:spacing w:before="200" w:lineRule="auto"/>
        <w:ind w:firstLine="540"/>
        <w:jc w:val="both"/>
      </w:pPr>
      <w:r>
        <w:rPr>
          <w:sz w:val="20"/>
        </w:rPr>
        <w:t xml:space="preserve">2.4.8.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гранта (участником отбора), другого юридического лица), ликвидации, в отношении него не введена процедура банкротства, деятельность получателя гранта (участника отбора) не приостановлена в порядке, предусмотренном законодательством Российской Федерации, а получатель гранта (участник отбора), являющийся индивидуальным предпринимателем, не прекратил деятельность в качестве индивидуального предпринимателя;</w:t>
      </w:r>
    </w:p>
    <w:p>
      <w:pPr>
        <w:pStyle w:val="0"/>
        <w:spacing w:before="200" w:lineRule="auto"/>
        <w:ind w:firstLine="540"/>
        <w:jc w:val="both"/>
      </w:pPr>
      <w:r>
        <w:rPr>
          <w:sz w:val="20"/>
        </w:rPr>
        <w:t xml:space="preserve">2.4.9.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bookmarkStart w:id="93" w:name="P93"/>
    <w:bookmarkEnd w:id="93"/>
    <w:p>
      <w:pPr>
        <w:pStyle w:val="0"/>
        <w:spacing w:before="200" w:lineRule="auto"/>
        <w:ind w:firstLine="540"/>
        <w:jc w:val="both"/>
      </w:pPr>
      <w:r>
        <w:rPr>
          <w:sz w:val="20"/>
        </w:rPr>
        <w:t xml:space="preserve">2.5. Для участия в отборе участник отбора на даты рассмотрения заявки и заключения соглашения должен также соответствовать следующим требованиям:</w:t>
      </w:r>
    </w:p>
    <w:p>
      <w:pPr>
        <w:pStyle w:val="0"/>
        <w:spacing w:before="200" w:lineRule="auto"/>
        <w:ind w:firstLine="540"/>
        <w:jc w:val="both"/>
      </w:pPr>
      <w:r>
        <w:rPr>
          <w:sz w:val="20"/>
        </w:rPr>
        <w:t xml:space="preserve">2.5.1. участник отбора является некоммерческой организацией, реализующей дополнительные общеобразовательные программы по приоритетным направлениям дополнительного образования на базе Центров развития современных компетенций детей, созданных на базе образовательных организаций высшего образования, осуществляющих образовательную деятельность на территории Тамбовской области;</w:t>
      </w:r>
    </w:p>
    <w:p>
      <w:pPr>
        <w:pStyle w:val="0"/>
        <w:spacing w:before="200" w:lineRule="auto"/>
        <w:ind w:firstLine="540"/>
        <w:jc w:val="both"/>
      </w:pPr>
      <w:r>
        <w:rPr>
          <w:sz w:val="20"/>
        </w:rPr>
        <w:t xml:space="preserve">2.5.2. участник отбора имеет лицензию на реализацию образовательных программ высшего образования, лицензию на осуществление образовательной деятельности по реализации образовательных программ по подвиду дополнительного образования "дополнительное образование детей и взрослых", свидетельство о государственной аккредитации образовательной деятельности по программам высшего образования;</w:t>
      </w:r>
    </w:p>
    <w:p>
      <w:pPr>
        <w:pStyle w:val="0"/>
        <w:spacing w:before="200" w:lineRule="auto"/>
        <w:ind w:firstLine="540"/>
        <w:jc w:val="both"/>
      </w:pPr>
      <w:r>
        <w:rPr>
          <w:sz w:val="20"/>
        </w:rPr>
        <w:t xml:space="preserve">2.5.3. участник отбора принимает на себя обязательство по софинансированию за счет собственных или привлеченных средств расходов на реализацию дополнительных общеобразовательных программ по приоритетным направлениям дополнительного образования в размере не менее 20% от размера гранта;</w:t>
      </w:r>
    </w:p>
    <w:p>
      <w:pPr>
        <w:pStyle w:val="0"/>
        <w:spacing w:before="200" w:lineRule="auto"/>
        <w:ind w:firstLine="540"/>
        <w:jc w:val="both"/>
      </w:pPr>
      <w:r>
        <w:rPr>
          <w:sz w:val="20"/>
        </w:rPr>
        <w:t xml:space="preserve">2.5.4. участник отбора получил согласие органа государственной власти (государственного органа) и (или) органа местного самоуправления, осуществляющих функции и полномочия учредителя в отношении бюджетных или автономных учреждений, на участие таких бюджетных или автономных учреждений в отборе, в случае, если Министерство не осуществляет в отношении них функций и полномочий учредителя (для юридических лиц, являющихся бюджетными или автономными учреждениями).</w:t>
      </w:r>
    </w:p>
    <w:bookmarkStart w:id="98" w:name="P98"/>
    <w:bookmarkEnd w:id="98"/>
    <w:p>
      <w:pPr>
        <w:pStyle w:val="0"/>
        <w:spacing w:before="200" w:lineRule="auto"/>
        <w:ind w:firstLine="540"/>
        <w:jc w:val="both"/>
      </w:pPr>
      <w:r>
        <w:rPr>
          <w:sz w:val="20"/>
        </w:rPr>
        <w:t xml:space="preserve">2.6. При осуществлении взаимодействия между Министерством и участниками отбора запрещается требовать от участника отбора представления документов и информации в целях подтверждения соответствия участника отбора требованиям, определенным </w:t>
      </w:r>
      <w:hyperlink w:history="0" w:anchor="P83" w:tooltip="2.4. Для получения гранта на даты рассмотрения заявки и заключения Соглашения участник отбора должен соответствовать следующим требованиям:">
        <w:r>
          <w:rPr>
            <w:sz w:val="20"/>
            <w:color w:val="0000ff"/>
          </w:rPr>
          <w:t xml:space="preserve">пунктами 2.4</w:t>
        </w:r>
      </w:hyperlink>
      <w:r>
        <w:rPr>
          <w:sz w:val="20"/>
        </w:rPr>
        <w:t xml:space="preserve">, </w:t>
      </w:r>
      <w:hyperlink w:history="0" w:anchor="P93" w:tooltip="2.5. Для участия в отборе участник отбора на даты рассмотрения заявки и заключения соглашения должен также соответствовать следующим требованиям:">
        <w:r>
          <w:rPr>
            <w:sz w:val="20"/>
            <w:color w:val="0000ff"/>
          </w:rPr>
          <w:t xml:space="preserve">2.5</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pPr>
        <w:pStyle w:val="0"/>
        <w:spacing w:before="200" w:lineRule="auto"/>
        <w:ind w:firstLine="540"/>
        <w:jc w:val="both"/>
      </w:pPr>
      <w:r>
        <w:rPr>
          <w:sz w:val="20"/>
        </w:rPr>
        <w:t xml:space="preserve">Осуществление проверки участника отбора на соответствие требованиям, определенным </w:t>
      </w:r>
      <w:hyperlink w:history="0" w:anchor="P83" w:tooltip="2.4. Для получения гранта на даты рассмотрения заявки и заключения Соглашения участник отбора должен соответствовать следующим требованиям:">
        <w:r>
          <w:rPr>
            <w:sz w:val="20"/>
            <w:color w:val="0000ff"/>
          </w:rPr>
          <w:t xml:space="preserve">пунктом 2.4</w:t>
        </w:r>
      </w:hyperlink>
      <w:r>
        <w:rPr>
          <w:sz w:val="20"/>
        </w:rPr>
        <w:t xml:space="preserve"> настоящего Порядка,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00" w:lineRule="auto"/>
        <w:ind w:firstLine="540"/>
        <w:jc w:val="both"/>
      </w:pPr>
      <w:r>
        <w:rPr>
          <w:sz w:val="20"/>
        </w:rPr>
        <w:t xml:space="preserve">Подтверждение соответствия участника отбора требованиям, определенным </w:t>
      </w:r>
      <w:hyperlink w:history="0" w:anchor="P83" w:tooltip="2.4. Для получения гранта на даты рассмотрения заявки и заключения Соглашения участник отбора должен соответствовать следующим требованиям:">
        <w:r>
          <w:rPr>
            <w:sz w:val="20"/>
            <w:color w:val="0000ff"/>
          </w:rPr>
          <w:t xml:space="preserve">пунктом 2.4</w:t>
        </w:r>
      </w:hyperlink>
      <w:r>
        <w:rPr>
          <w:sz w:val="20"/>
        </w:rPr>
        <w:t xml:space="preserve"> настоящего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Для подтверждения соответствия участника отбора требованиям, установленным в </w:t>
      </w:r>
      <w:hyperlink w:history="0" w:anchor="P93" w:tooltip="2.5. Для участия в отборе участник отбора на даты рассмотрения заявки и заключения соглашения должен также соответствовать следующим требованиям:">
        <w:r>
          <w:rPr>
            <w:sz w:val="20"/>
            <w:color w:val="0000ff"/>
          </w:rPr>
          <w:t xml:space="preserve">пункте 2.5</w:t>
        </w:r>
      </w:hyperlink>
      <w:r>
        <w:rPr>
          <w:sz w:val="20"/>
        </w:rPr>
        <w:t xml:space="preserve"> настоящего Порядка, участник отбора предоставляет в системе "Электронный бюджет" в электронной форме:</w:t>
      </w:r>
    </w:p>
    <w:p>
      <w:pPr>
        <w:pStyle w:val="0"/>
        <w:spacing w:before="200" w:lineRule="auto"/>
        <w:ind w:firstLine="540"/>
        <w:jc w:val="both"/>
      </w:pPr>
      <w:r>
        <w:rPr>
          <w:sz w:val="20"/>
        </w:rPr>
        <w:t xml:space="preserve">заверенные участником отбора копии локальных актов участника отбора, подтверждающих реализацию дополнительных общеобразовательных программ по приоритетным направлениям дополнительного образования на базе Центров развития современных компетенций детей, созданных на базе образовательных организаций высшего образования, осуществляющих образовательную деятельность на территории Тамбовской области;</w:t>
      </w:r>
    </w:p>
    <w:bookmarkStart w:id="103" w:name="P103"/>
    <w:bookmarkEnd w:id="103"/>
    <w:p>
      <w:pPr>
        <w:pStyle w:val="0"/>
        <w:spacing w:before="200" w:lineRule="auto"/>
        <w:ind w:firstLine="540"/>
        <w:jc w:val="both"/>
      </w:pPr>
      <w:r>
        <w:rPr>
          <w:sz w:val="20"/>
        </w:rPr>
        <w:t xml:space="preserve">заверенные участником отбора копии лицензии на реализацию образовательных программ высшего образования, лицензии на осуществление образовательной деятельности по реализации образовательных программ по подвиду дополнительного образования "дополнительное образование детей и взрослых", свидетельства о государственной аккредитации образовательной деятельности по программам высшего образования;</w:t>
      </w:r>
    </w:p>
    <w:p>
      <w:pPr>
        <w:pStyle w:val="0"/>
        <w:spacing w:before="200" w:lineRule="auto"/>
        <w:ind w:firstLine="540"/>
        <w:jc w:val="both"/>
      </w:pPr>
      <w:r>
        <w:rPr>
          <w:sz w:val="20"/>
        </w:rPr>
        <w:t xml:space="preserve">гарантийное </w:t>
      </w:r>
      <w:hyperlink w:history="0" w:anchor="P286" w:tooltip="               Гарантийное письмо о выполнении обязательств">
        <w:r>
          <w:rPr>
            <w:sz w:val="20"/>
            <w:color w:val="0000ff"/>
          </w:rPr>
          <w:t xml:space="preserve">письмо</w:t>
        </w:r>
      </w:hyperlink>
      <w:r>
        <w:rPr>
          <w:sz w:val="20"/>
        </w:rPr>
        <w:t xml:space="preserve"> о выполнении обязательств по софинансированию за счет собственных или привлеченных средств расходов на реализацию дополнительных общеобразовательных программ по приоритетным направлениям дополнительного образования в размере не менее 20% от размера гранта по форме согласно приложению к настоящему Порядку;</w:t>
      </w:r>
    </w:p>
    <w:p>
      <w:pPr>
        <w:pStyle w:val="0"/>
        <w:spacing w:before="200" w:lineRule="auto"/>
        <w:ind w:firstLine="540"/>
        <w:jc w:val="both"/>
      </w:pPr>
      <w:r>
        <w:rPr>
          <w:sz w:val="20"/>
        </w:rPr>
        <w:t xml:space="preserve">согласие органа государственной власти (государственного органа) и (или) органа местного самоуправления, осуществляющих функции и полномочия учредителя в отношении бюджетных или автономных учреждений, на участие таких бюджетных или автономных учреждений в отборе, в случае если Министерство не осуществляет в отношении них функций и полномочий учредителя (для юридических лиц, являющихся бюджетными или автономными учреждениями).</w:t>
      </w:r>
    </w:p>
    <w:p>
      <w:pPr>
        <w:pStyle w:val="0"/>
        <w:spacing w:before="200" w:lineRule="auto"/>
        <w:ind w:firstLine="540"/>
        <w:jc w:val="both"/>
      </w:pPr>
      <w:r>
        <w:rPr>
          <w:sz w:val="20"/>
        </w:rPr>
        <w:t xml:space="preserve">В случае если участник отбора не представил по собственной инициативе копии документов, указанных в </w:t>
      </w:r>
      <w:hyperlink w:history="0" w:anchor="P103" w:tooltip="заверенные участником отбора копии лицензии на реализацию образовательных программ высшего образования, лицензии на осуществление образовательной деятельности по реализации образовательных программ по подвиду дополнительного образования &quot;дополнительное образование детей и взрослых&quot;, свидетельства о государственной аккредитации образовательной деятельности по программам высшего образования;">
        <w:r>
          <w:rPr>
            <w:sz w:val="20"/>
            <w:color w:val="0000ff"/>
          </w:rPr>
          <w:t xml:space="preserve">абзаце шестом</w:t>
        </w:r>
      </w:hyperlink>
      <w:r>
        <w:rPr>
          <w:sz w:val="20"/>
        </w:rPr>
        <w:t xml:space="preserve"> настоящего пункта, Министерство в течение 3 рабочих дней с даты подачи заявки запрашивает в Федеральной службе по надзору в сфере образования и науки (Реестр лицензий на осуществление образовательной деятельности, Реестр организаций, осуществляющих образовательную деятельность по имеющим государственную аккредитацию образовательным программам) информацию о том, что участник отбора имеет лицензии на реализацию образовательных программ высшего образования, лицензии на осуществление образовательной деятельности по реализации образовательных программ по подвиду дополнительного образования "дополнительное образование детей и взрослых", свидетельства о государственной аккредитации образовательной деятельности по программам высшего образования.</w:t>
      </w:r>
    </w:p>
    <w:p>
      <w:pPr>
        <w:pStyle w:val="0"/>
        <w:spacing w:before="200" w:lineRule="auto"/>
        <w:ind w:firstLine="540"/>
        <w:jc w:val="both"/>
      </w:pPr>
      <w:r>
        <w:rPr>
          <w:sz w:val="20"/>
        </w:rPr>
        <w:t xml:space="preserve">2.7. К категории получателей грантов относятся некоммерческие организации, осуществляющие деятельность на территории Тамбовской области, осуществляющие образовательную деятельность по имеющим государственную аккредитацию программам высшего образования и реализующие дополнительные общеобразовательные программы, соответствующие требованиям, установленным </w:t>
      </w:r>
      <w:hyperlink w:history="0" w:anchor="P83" w:tooltip="2.4. Для получения гранта на даты рассмотрения заявки и заключения Соглашения участник отбора должен соответствовать следующим требованиям:">
        <w:r>
          <w:rPr>
            <w:sz w:val="20"/>
            <w:color w:val="0000ff"/>
          </w:rPr>
          <w:t xml:space="preserve">пунктами 2.4</w:t>
        </w:r>
      </w:hyperlink>
      <w:r>
        <w:rPr>
          <w:sz w:val="20"/>
        </w:rPr>
        <w:t xml:space="preserve">, </w:t>
      </w:r>
      <w:hyperlink w:history="0" w:anchor="P93" w:tooltip="2.5. Для участия в отборе участник отбора на даты рассмотрения заявки и заключения соглашения должен также соответствовать следующим требованиям:">
        <w:r>
          <w:rPr>
            <w:sz w:val="20"/>
            <w:color w:val="0000ff"/>
          </w:rPr>
          <w:t xml:space="preserve">2.5</w:t>
        </w:r>
      </w:hyperlink>
      <w:r>
        <w:rPr>
          <w:sz w:val="20"/>
        </w:rPr>
        <w:t xml:space="preserve"> настоящего Порядка (далее - участники отбора, победители отбора).</w:t>
      </w:r>
    </w:p>
    <w:p>
      <w:pPr>
        <w:pStyle w:val="0"/>
        <w:spacing w:before="200" w:lineRule="auto"/>
        <w:ind w:firstLine="540"/>
        <w:jc w:val="both"/>
      </w:pPr>
      <w:r>
        <w:rPr>
          <w:sz w:val="20"/>
        </w:rPr>
        <w:t xml:space="preserve">2.8. Для участия в отборе участник отбора формирует заявку в электронной форме посредством заполнения соответствующих экранных форм веб-интерфейса системы "Электронный бюджет" и представляет в систему "Электронный бюджет" электронные копии документов (документов на носителе, преобразованных в электронную форму посредством сканирования) и материалы, представление которых предусмотрено в объявлении о проведении отбора.</w:t>
      </w:r>
    </w:p>
    <w:p>
      <w:pPr>
        <w:pStyle w:val="0"/>
        <w:spacing w:before="200" w:lineRule="auto"/>
        <w:ind w:firstLine="540"/>
        <w:jc w:val="both"/>
      </w:pPr>
      <w:r>
        <w:rPr>
          <w:sz w:val="20"/>
        </w:rPr>
        <w:t xml:space="preserve">Заявка участников отбора подается в соответствии с требованиями и в сроки, указанные в объявлении о проведении отбора.</w:t>
      </w:r>
    </w:p>
    <w:p>
      <w:pPr>
        <w:pStyle w:val="0"/>
        <w:spacing w:before="200" w:lineRule="auto"/>
        <w:ind w:firstLine="540"/>
        <w:jc w:val="both"/>
      </w:pPr>
      <w:r>
        <w:rPr>
          <w:sz w:val="20"/>
        </w:rPr>
        <w:t xml:space="preserve">Заявка участника отбора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00" w:lineRule="auto"/>
        <w:ind w:firstLine="540"/>
        <w:jc w:val="both"/>
      </w:pPr>
      <w:r>
        <w:rPr>
          <w:sz w:val="20"/>
        </w:rPr>
        <w:t xml:space="preserve">Фото- и видеоматериалы, включаемые в заявку, должны содержать четкое и контрастное изображение высокого качества.</w:t>
      </w:r>
    </w:p>
    <w:p>
      <w:pPr>
        <w:pStyle w:val="0"/>
        <w:spacing w:before="200" w:lineRule="auto"/>
        <w:ind w:firstLine="540"/>
        <w:jc w:val="both"/>
      </w:pPr>
      <w:r>
        <w:rPr>
          <w:sz w:val="20"/>
        </w:rPr>
        <w:t xml:space="preserve">Документы, электронные копии, включаемые в заявку, которые прилагаются к заявке для участия в отборе, должны быть оформлены в соответствии с требованиями законодательства. Не допускается представление документов, на которых отсутствует подпись уполномоченного лица, оттиск печати (при наличии) или цифровая подпись, имеются не оговоренные опечатки, подчистки, исправления, ошибки в расчетах, а также если текст документов не поддается прочтению или представленные документы содержат противоречивые сведения.</w:t>
      </w:r>
    </w:p>
    <w:p>
      <w:pPr>
        <w:pStyle w:val="0"/>
        <w:spacing w:before="200" w:lineRule="auto"/>
        <w:ind w:firstLine="540"/>
        <w:jc w:val="both"/>
      </w:pPr>
      <w:r>
        <w:rPr>
          <w:sz w:val="20"/>
        </w:rPr>
        <w:t xml:space="preserve">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pPr>
        <w:pStyle w:val="0"/>
        <w:spacing w:before="200" w:lineRule="auto"/>
        <w:ind w:firstLine="540"/>
        <w:jc w:val="both"/>
      </w:pPr>
      <w:r>
        <w:rPr>
          <w:sz w:val="20"/>
        </w:rPr>
        <w:t xml:space="preserve">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pPr>
        <w:pStyle w:val="0"/>
        <w:spacing w:before="200" w:lineRule="auto"/>
        <w:ind w:firstLine="540"/>
        <w:jc w:val="both"/>
      </w:pPr>
      <w:r>
        <w:rPr>
          <w:sz w:val="20"/>
        </w:rPr>
        <w:t xml:space="preserve">2.9. Заявка участника отбора включает в себя:</w:t>
      </w:r>
    </w:p>
    <w:p>
      <w:pPr>
        <w:pStyle w:val="0"/>
        <w:spacing w:before="200" w:lineRule="auto"/>
        <w:ind w:firstLine="540"/>
        <w:jc w:val="both"/>
      </w:pPr>
      <w:r>
        <w:rPr>
          <w:sz w:val="20"/>
        </w:rPr>
        <w:t xml:space="preserve">2.9.1. информацию и документы об участнике отбора:</w:t>
      </w:r>
    </w:p>
    <w:p>
      <w:pPr>
        <w:pStyle w:val="0"/>
        <w:spacing w:before="200" w:lineRule="auto"/>
        <w:ind w:firstLine="540"/>
        <w:jc w:val="both"/>
      </w:pPr>
      <w:r>
        <w:rPr>
          <w:sz w:val="20"/>
        </w:rPr>
        <w:t xml:space="preserve">полное и сокращенное наименование;</w:t>
      </w:r>
    </w:p>
    <w:p>
      <w:pPr>
        <w:pStyle w:val="0"/>
        <w:spacing w:before="200" w:lineRule="auto"/>
        <w:ind w:firstLine="540"/>
        <w:jc w:val="both"/>
      </w:pPr>
      <w:r>
        <w:rPr>
          <w:sz w:val="20"/>
        </w:rPr>
        <w:t xml:space="preserve">основной государственный регистрационный номер участника отбора;</w:t>
      </w:r>
    </w:p>
    <w:p>
      <w:pPr>
        <w:pStyle w:val="0"/>
        <w:spacing w:before="200" w:lineRule="auto"/>
        <w:ind w:firstLine="540"/>
        <w:jc w:val="both"/>
      </w:pPr>
      <w:r>
        <w:rPr>
          <w:sz w:val="20"/>
        </w:rPr>
        <w:t xml:space="preserve">идентификационный номер налогоплательщика;</w:t>
      </w:r>
    </w:p>
    <w:p>
      <w:pPr>
        <w:pStyle w:val="0"/>
        <w:spacing w:before="200" w:lineRule="auto"/>
        <w:ind w:firstLine="540"/>
        <w:jc w:val="both"/>
      </w:pPr>
      <w:r>
        <w:rPr>
          <w:sz w:val="20"/>
        </w:rPr>
        <w:t xml:space="preserve">дату и код причины постановки на учет в налоговом органе;</w:t>
      </w:r>
    </w:p>
    <w:p>
      <w:pPr>
        <w:pStyle w:val="0"/>
        <w:spacing w:before="200" w:lineRule="auto"/>
        <w:ind w:firstLine="540"/>
        <w:jc w:val="both"/>
      </w:pPr>
      <w:r>
        <w:rPr>
          <w:sz w:val="20"/>
        </w:rPr>
        <w:t xml:space="preserve">адрес юридического лица;</w:t>
      </w:r>
    </w:p>
    <w:p>
      <w:pPr>
        <w:pStyle w:val="0"/>
        <w:spacing w:before="200" w:lineRule="auto"/>
        <w:ind w:firstLine="540"/>
        <w:jc w:val="both"/>
      </w:pPr>
      <w:r>
        <w:rPr>
          <w:sz w:val="20"/>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00" w:lineRule="auto"/>
        <w:ind w:firstLine="540"/>
        <w:jc w:val="both"/>
      </w:pPr>
      <w:r>
        <w:rPr>
          <w:sz w:val="20"/>
        </w:rPr>
        <w:t xml:space="preserve">фамилию,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w:t>
      </w:r>
    </w:p>
    <w:p>
      <w:pPr>
        <w:pStyle w:val="0"/>
        <w:spacing w:before="200" w:lineRule="auto"/>
        <w:ind w:firstLine="540"/>
        <w:jc w:val="both"/>
      </w:pPr>
      <w:r>
        <w:rPr>
          <w:sz w:val="20"/>
        </w:rPr>
        <w:t xml:space="preserve">информацию о руководителе юридического лица (фамилию, имя, отчество (при наличии), идентификационный номер налогоплательщика, должность);</w:t>
      </w:r>
    </w:p>
    <w:p>
      <w:pPr>
        <w:pStyle w:val="0"/>
        <w:spacing w:before="200" w:lineRule="auto"/>
        <w:ind w:firstLine="540"/>
        <w:jc w:val="both"/>
      </w:pPr>
      <w:r>
        <w:rPr>
          <w:sz w:val="20"/>
        </w:rPr>
        <w:t xml:space="preserve">перечень основных и дополнительных видов деятельности, которые участник отбора вправе осуществлять в соответствии с учредительными документами организации;</w:t>
      </w:r>
    </w:p>
    <w:p>
      <w:pPr>
        <w:pStyle w:val="0"/>
        <w:spacing w:before="200" w:lineRule="auto"/>
        <w:ind w:firstLine="540"/>
        <w:jc w:val="both"/>
      </w:pPr>
      <w:r>
        <w:rPr>
          <w:sz w:val="20"/>
        </w:rPr>
        <w:t xml:space="preserve">информацию о счетах в соответствии с законодательством Российской Федерации для перечисления гранта, а также о лице, уполномоченном на подписание Соглашения;</w:t>
      </w:r>
    </w:p>
    <w:p>
      <w:pPr>
        <w:pStyle w:val="0"/>
        <w:spacing w:before="200" w:lineRule="auto"/>
        <w:ind w:firstLine="540"/>
        <w:jc w:val="both"/>
      </w:pPr>
      <w:r>
        <w:rPr>
          <w:sz w:val="20"/>
        </w:rPr>
        <w:t xml:space="preserve">2.9.2. информацию и документы, подтверждающие соответствие участника отбора требованиям, установленным </w:t>
      </w:r>
      <w:hyperlink w:history="0" w:anchor="P83" w:tooltip="2.4. Для получения гранта на даты рассмотрения заявки и заключения Соглашения участник отбора должен соответствовать следующим требованиям:">
        <w:r>
          <w:rPr>
            <w:sz w:val="20"/>
            <w:color w:val="0000ff"/>
          </w:rPr>
          <w:t xml:space="preserve">пунктом 2.4</w:t>
        </w:r>
      </w:hyperlink>
      <w:r>
        <w:rPr>
          <w:sz w:val="20"/>
        </w:rPr>
        <w:t xml:space="preserve"> настоящего Порядка;</w:t>
      </w:r>
    </w:p>
    <w:p>
      <w:pPr>
        <w:pStyle w:val="0"/>
        <w:spacing w:before="200" w:lineRule="auto"/>
        <w:ind w:firstLine="540"/>
        <w:jc w:val="both"/>
      </w:pPr>
      <w:r>
        <w:rPr>
          <w:sz w:val="20"/>
        </w:rPr>
        <w:t xml:space="preserve">2.9.3. информацию и документы, подтверждающие соответствие участника отбора требованиям, установленным </w:t>
      </w:r>
      <w:hyperlink w:history="0" w:anchor="P93" w:tooltip="2.5. Для участия в отборе участник отбора на даты рассмотрения заявки и заключения соглашения должен также соответствовать следующим требованиям:">
        <w:r>
          <w:rPr>
            <w:sz w:val="20"/>
            <w:color w:val="0000ff"/>
          </w:rPr>
          <w:t xml:space="preserve">пунктом 2.5</w:t>
        </w:r>
      </w:hyperlink>
      <w:r>
        <w:rPr>
          <w:sz w:val="20"/>
        </w:rPr>
        <w:t xml:space="preserve"> настоящего Порядка, предусмотренным </w:t>
      </w:r>
      <w:hyperlink w:history="0" w:anchor="P98" w:tooltip="2.6. При осуществлении взаимодействия между Министерством и участниками отбора запрещается требовать от участника отбора представления документов и информации в целях подтверждения соответствия участника отбора требованиям, определенным пунктами 2.4, 2.5 настоящего 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
        <w:r>
          <w:rPr>
            <w:sz w:val="20"/>
            <w:color w:val="0000ff"/>
          </w:rPr>
          <w:t xml:space="preserve">пунктом 2.6</w:t>
        </w:r>
      </w:hyperlink>
      <w:r>
        <w:rPr>
          <w:sz w:val="20"/>
        </w:rPr>
        <w:t xml:space="preserve"> настоящего Порядка.</w:t>
      </w:r>
    </w:p>
    <w:p>
      <w:pPr>
        <w:pStyle w:val="0"/>
        <w:spacing w:before="200" w:lineRule="auto"/>
        <w:ind w:firstLine="540"/>
        <w:jc w:val="both"/>
      </w:pPr>
      <w:r>
        <w:rPr>
          <w:sz w:val="20"/>
        </w:rPr>
        <w:t xml:space="preserve">2.9.4. информацию и документы, представляемые участником отбора при проведении отбора в процессе документооборота:</w:t>
      </w:r>
    </w:p>
    <w:p>
      <w:pPr>
        <w:pStyle w:val="0"/>
        <w:spacing w:before="200" w:lineRule="auto"/>
        <w:ind w:firstLine="540"/>
        <w:jc w:val="both"/>
      </w:pPr>
      <w:r>
        <w:rPr>
          <w:sz w:val="20"/>
        </w:rPr>
        <w:t xml:space="preserve">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отбора и результатом предоставления гранта, подаваемое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согласие на обработку персональных данных, подаваемое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2.9.5. предлагаемые участником отбора значения результата предоставления гранта, указанного в </w:t>
      </w:r>
      <w:hyperlink w:history="0" w:anchor="P215" w:tooltip="3.9. Результатом предоставления гранта является: реализованы программы дополнительного образования по приоритетным направлениям детям в возрасте от 5 до 18 лет в образовательных организациях высшего образования.">
        <w:r>
          <w:rPr>
            <w:sz w:val="20"/>
            <w:color w:val="0000ff"/>
          </w:rPr>
          <w:t xml:space="preserve">пункте 3.9</w:t>
        </w:r>
      </w:hyperlink>
      <w:r>
        <w:rPr>
          <w:sz w:val="20"/>
        </w:rPr>
        <w:t xml:space="preserve"> настоящего Порядка.</w:t>
      </w:r>
    </w:p>
    <w:p>
      <w:pPr>
        <w:pStyle w:val="0"/>
        <w:spacing w:before="200" w:lineRule="auto"/>
        <w:ind w:firstLine="540"/>
        <w:jc w:val="both"/>
      </w:pPr>
      <w:r>
        <w:rPr>
          <w:sz w:val="20"/>
        </w:rPr>
        <w:t xml:space="preserve">2.10. Внесение изменений в заявку осуществляется путем подачи новой заявки до окончания срока приема заявок, при этом ранее поданная заявка считается отозванной.</w:t>
      </w:r>
    </w:p>
    <w:p>
      <w:pPr>
        <w:pStyle w:val="0"/>
        <w:spacing w:before="200" w:lineRule="auto"/>
        <w:ind w:firstLine="540"/>
        <w:jc w:val="both"/>
      </w:pPr>
      <w:r>
        <w:rPr>
          <w:sz w:val="20"/>
        </w:rPr>
        <w:t xml:space="preserve">Представление и рассмотрение повторной заявки осуществляется в порядке, предусмотренном для представления и рассмотрения заявки, поданной впервые.</w:t>
      </w:r>
    </w:p>
    <w:bookmarkStart w:id="136" w:name="P136"/>
    <w:bookmarkEnd w:id="136"/>
    <w:p>
      <w:pPr>
        <w:pStyle w:val="0"/>
        <w:spacing w:before="200" w:lineRule="auto"/>
        <w:ind w:firstLine="540"/>
        <w:jc w:val="both"/>
      </w:pPr>
      <w:r>
        <w:rPr>
          <w:sz w:val="20"/>
        </w:rPr>
        <w:t xml:space="preserve">2.11. Любой участник отбора со дня размещения объявления о проведении отбора на едином портале не позднее 3 рабочего дня до дня завершения подачи заявок вправе направить Министерству не более 5 запросов о разъяснении положений объявления о проведении отбора путем формирования в системе "Электронный бюджет" соответствующего запроса.</w:t>
      </w:r>
    </w:p>
    <w:bookmarkStart w:id="137" w:name="P137"/>
    <w:bookmarkEnd w:id="137"/>
    <w:p>
      <w:pPr>
        <w:pStyle w:val="0"/>
        <w:spacing w:before="200" w:lineRule="auto"/>
        <w:ind w:firstLine="540"/>
        <w:jc w:val="both"/>
      </w:pPr>
      <w:r>
        <w:rPr>
          <w:sz w:val="20"/>
        </w:rPr>
        <w:t xml:space="preserve">Министерство в ответ на запрос, указанный в </w:t>
      </w:r>
      <w:hyperlink w:history="0" w:anchor="P136" w:tooltip="2.11. Любой участник отбора со дня размещения объявления о проведении отбора на едином портале не позднее 3 рабочего дня до дня завершения подачи заявок вправе направить Министерству не более 5 запросов о разъяснении положений объявления о проведении отбора путем формирования в системе &quot;Электронный бюджет&quot; соответствующего запроса.">
        <w:r>
          <w:rPr>
            <w:sz w:val="20"/>
            <w:color w:val="0000ff"/>
          </w:rPr>
          <w:t xml:space="preserve">абзаце первом</w:t>
        </w:r>
      </w:hyperlink>
      <w:r>
        <w:rPr>
          <w:sz w:val="20"/>
        </w:rPr>
        <w:t xml:space="preserve"> настоящего пункта, направляет разъяснение положений объявления о проведении отбора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Министерством разъяснение положений объявления о проведении отбора не должно изменять суть информации, содержащейся в указанном объявлении.</w:t>
      </w:r>
    </w:p>
    <w:p>
      <w:pPr>
        <w:pStyle w:val="0"/>
        <w:spacing w:before="200" w:lineRule="auto"/>
        <w:ind w:firstLine="540"/>
        <w:jc w:val="both"/>
      </w:pPr>
      <w:r>
        <w:rPr>
          <w:sz w:val="20"/>
        </w:rPr>
        <w:t xml:space="preserve">Доступ к разъяснению, формируемому в системе "Электронный бюджет" в соответствии с </w:t>
      </w:r>
      <w:hyperlink w:history="0" w:anchor="P137" w:tooltip="Министерство в ответ на запрос, указанный в абзаце первом настоящего пункта, направляет разъяснение положений объявления о проведении отбора в срок, установленный указанным объявлением, но не позднее 1 рабочего дня до дня завершения подачи заявок, путем формирования в системе &quot;Электронный бюджет&quot; соответствующего разъяснения. Представленное Министерством разъяснение положений объявления о проведении отбора не должно изменять суть информации, содержащейся в указанном объявлении.">
        <w:r>
          <w:rPr>
            <w:sz w:val="20"/>
            <w:color w:val="0000ff"/>
          </w:rPr>
          <w:t xml:space="preserve">абзацем вторым</w:t>
        </w:r>
      </w:hyperlink>
      <w:r>
        <w:rPr>
          <w:sz w:val="20"/>
        </w:rPr>
        <w:t xml:space="preserve"> настоящего пункта, предоставляется всем участникам отбора.</w:t>
      </w:r>
    </w:p>
    <w:p>
      <w:pPr>
        <w:pStyle w:val="0"/>
        <w:spacing w:before="200" w:lineRule="auto"/>
        <w:ind w:firstLine="540"/>
        <w:jc w:val="both"/>
      </w:pPr>
      <w:r>
        <w:rPr>
          <w:sz w:val="20"/>
        </w:rPr>
        <w:t xml:space="preserve">2.12. В целях проведения отбора Министерству не позднее 1 рабочего дня, следующего за днем окончания срока подачи заявок, установленного в объявлении о проведении отбора, в системе "Электронный бюджет" открывается доступ к поданным участниками отбора заявкам для их рассмотрения.</w:t>
      </w:r>
    </w:p>
    <w:p>
      <w:pPr>
        <w:pStyle w:val="0"/>
        <w:spacing w:before="200" w:lineRule="auto"/>
        <w:ind w:firstLine="540"/>
        <w:jc w:val="both"/>
      </w:pPr>
      <w:r>
        <w:rPr>
          <w:sz w:val="20"/>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министра в системе "Электронный бюджет", а также размещается на едином портале и на официальном сайте Министерства в информационно-телекоммуникационной сети "Интернет" не позднее 1 рабочего дня, следующего за днем его подписания.</w:t>
      </w:r>
    </w:p>
    <w:bookmarkStart w:id="141" w:name="P141"/>
    <w:bookmarkEnd w:id="141"/>
    <w:p>
      <w:pPr>
        <w:pStyle w:val="0"/>
        <w:spacing w:before="200" w:lineRule="auto"/>
        <w:ind w:firstLine="540"/>
        <w:jc w:val="both"/>
      </w:pPr>
      <w:r>
        <w:rPr>
          <w:sz w:val="20"/>
        </w:rPr>
        <w:t xml:space="preserve">Представленная участником отбора заявка с приложенными к ней документами рассматривается Министерством на предмет соответствия требованиям, установленным настоящим Порядком, в течение 15 рабочих дней со дня окончания срока подачи (приема) заявок, указанного в объявлении.</w:t>
      </w:r>
    </w:p>
    <w:p>
      <w:pPr>
        <w:pStyle w:val="0"/>
        <w:spacing w:before="200" w:lineRule="auto"/>
        <w:ind w:firstLine="540"/>
        <w:jc w:val="both"/>
      </w:pPr>
      <w:r>
        <w:rPr>
          <w:sz w:val="20"/>
        </w:rPr>
        <w:t xml:space="preserve">Заявка признается надлежащей, если она соответствует требованиям, указанным в объявлении о проведении отбора, и при отсутствии оснований для отклонения заявки, указанных в </w:t>
      </w:r>
      <w:hyperlink w:history="0" w:anchor="P145" w:tooltip="2.13. Основаниями для отклонения заявок на стадии рассмотрения являются:">
        <w:r>
          <w:rPr>
            <w:sz w:val="20"/>
            <w:color w:val="0000ff"/>
          </w:rPr>
          <w:t xml:space="preserve">пункте 2.13</w:t>
        </w:r>
      </w:hyperlink>
      <w:r>
        <w:rPr>
          <w:sz w:val="20"/>
        </w:rPr>
        <w:t xml:space="preserve"> настоящего Порядка.</w:t>
      </w:r>
    </w:p>
    <w:p>
      <w:pPr>
        <w:pStyle w:val="0"/>
        <w:spacing w:before="200" w:lineRule="auto"/>
        <w:ind w:firstLine="540"/>
        <w:jc w:val="both"/>
      </w:pPr>
      <w:r>
        <w:rPr>
          <w:sz w:val="20"/>
        </w:rPr>
        <w:t xml:space="preserve">Решения о соответствии заявки требованиям, указанным в объявлении о проведении отбора, принимаются Министерством не позднее срока, указанного в </w:t>
      </w:r>
      <w:hyperlink w:history="0" w:anchor="P141" w:tooltip="Представленная участником отбора заявка с приложенными к ней документами рассматривается Министерством на предмет соответствия требованиям, установленным настоящим Порядком, в течение 15 рабочих дней со дня окончания срока подачи (приема) заявок, указанного в объявлении.">
        <w:r>
          <w:rPr>
            <w:sz w:val="20"/>
            <w:color w:val="0000ff"/>
          </w:rPr>
          <w:t xml:space="preserve">абзаце третьем</w:t>
        </w:r>
      </w:hyperlink>
      <w:r>
        <w:rPr>
          <w:sz w:val="20"/>
        </w:rPr>
        <w:t xml:space="preserve"> настоящего пункта.</w:t>
      </w:r>
    </w:p>
    <w:p>
      <w:pPr>
        <w:pStyle w:val="0"/>
        <w:spacing w:before="200" w:lineRule="auto"/>
        <w:ind w:firstLine="540"/>
        <w:jc w:val="both"/>
      </w:pPr>
      <w:r>
        <w:rPr>
          <w:sz w:val="20"/>
        </w:rPr>
        <w:t xml:space="preserve">При отсутствии оснований для отклонения заявки, указанных в </w:t>
      </w:r>
      <w:hyperlink w:history="0" w:anchor="P145" w:tooltip="2.13. Основаниями для отклонения заявок на стадии рассмотрения являются:">
        <w:r>
          <w:rPr>
            <w:sz w:val="20"/>
            <w:color w:val="0000ff"/>
          </w:rPr>
          <w:t xml:space="preserve">пункте 2.13</w:t>
        </w:r>
      </w:hyperlink>
      <w:r>
        <w:rPr>
          <w:sz w:val="20"/>
        </w:rPr>
        <w:t xml:space="preserve"> настоящего Порядка, подавший ее участник отбора считается допущенным к отбору.</w:t>
      </w:r>
    </w:p>
    <w:bookmarkStart w:id="145" w:name="P145"/>
    <w:bookmarkEnd w:id="145"/>
    <w:p>
      <w:pPr>
        <w:pStyle w:val="0"/>
        <w:spacing w:before="200" w:lineRule="auto"/>
        <w:ind w:firstLine="540"/>
        <w:jc w:val="both"/>
      </w:pPr>
      <w:r>
        <w:rPr>
          <w:sz w:val="20"/>
        </w:rPr>
        <w:t xml:space="preserve">2.13. Основаниями для отклонения заявок на стадии рассмотрения являются:</w:t>
      </w:r>
    </w:p>
    <w:p>
      <w:pPr>
        <w:pStyle w:val="0"/>
        <w:spacing w:before="200" w:lineRule="auto"/>
        <w:ind w:firstLine="540"/>
        <w:jc w:val="both"/>
      </w:pPr>
      <w:r>
        <w:rPr>
          <w:sz w:val="20"/>
        </w:rPr>
        <w:t xml:space="preserve">2.13.1. несоответствие участника отбора требованиям, установленным в соответствии с </w:t>
      </w:r>
      <w:hyperlink w:history="0" w:anchor="P83" w:tooltip="2.4. Для получения гранта на даты рассмотрения заявки и заключения Соглашения участник отбора должен соответствовать следующим требованиям:">
        <w:r>
          <w:rPr>
            <w:sz w:val="20"/>
            <w:color w:val="0000ff"/>
          </w:rPr>
          <w:t xml:space="preserve">пунктом 2.4</w:t>
        </w:r>
      </w:hyperlink>
      <w:r>
        <w:rPr>
          <w:sz w:val="20"/>
        </w:rPr>
        <w:t xml:space="preserve"> настоящего Порядка;</w:t>
      </w:r>
    </w:p>
    <w:p>
      <w:pPr>
        <w:pStyle w:val="0"/>
        <w:spacing w:before="200" w:lineRule="auto"/>
        <w:ind w:firstLine="540"/>
        <w:jc w:val="both"/>
      </w:pPr>
      <w:r>
        <w:rPr>
          <w:sz w:val="20"/>
        </w:rPr>
        <w:t xml:space="preserve">2.13.2. непредставление (представление не в полном объеме) документов, указанных в объявлении о проведении отбора, предусмотренных настоящим Порядком;</w:t>
      </w:r>
    </w:p>
    <w:p>
      <w:pPr>
        <w:pStyle w:val="0"/>
        <w:spacing w:before="200" w:lineRule="auto"/>
        <w:ind w:firstLine="540"/>
        <w:jc w:val="both"/>
      </w:pPr>
      <w:r>
        <w:rPr>
          <w:sz w:val="20"/>
        </w:rPr>
        <w:t xml:space="preserve">2.13.3. несоответствие представленных участником отбора заявок и (или) документов требованиям, установленным в объявлении о проведении отбора;</w:t>
      </w:r>
    </w:p>
    <w:p>
      <w:pPr>
        <w:pStyle w:val="0"/>
        <w:spacing w:before="200" w:lineRule="auto"/>
        <w:ind w:firstLine="540"/>
        <w:jc w:val="both"/>
      </w:pPr>
      <w:r>
        <w:rPr>
          <w:sz w:val="20"/>
        </w:rPr>
        <w:t xml:space="preserve">2.13.4.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w:t>
      </w:r>
    </w:p>
    <w:p>
      <w:pPr>
        <w:pStyle w:val="0"/>
        <w:spacing w:before="200" w:lineRule="auto"/>
        <w:ind w:firstLine="540"/>
        <w:jc w:val="both"/>
      </w:pPr>
      <w:r>
        <w:rPr>
          <w:sz w:val="20"/>
        </w:rPr>
        <w:t xml:space="preserve">2.13.5. подача участником отбора заявки после даты и (или) времени, определенных для подачи заявок.</w:t>
      </w:r>
    </w:p>
    <w:p>
      <w:pPr>
        <w:pStyle w:val="0"/>
        <w:spacing w:before="200" w:lineRule="auto"/>
        <w:ind w:firstLine="540"/>
        <w:jc w:val="both"/>
      </w:pPr>
      <w:r>
        <w:rPr>
          <w:sz w:val="20"/>
        </w:rPr>
        <w:t xml:space="preserve">2.14. Основаниями отмены проведения отбора являются:</w:t>
      </w:r>
    </w:p>
    <w:p>
      <w:pPr>
        <w:pStyle w:val="0"/>
        <w:spacing w:before="200" w:lineRule="auto"/>
        <w:ind w:firstLine="540"/>
        <w:jc w:val="both"/>
      </w:pPr>
      <w:r>
        <w:rPr>
          <w:sz w:val="20"/>
        </w:rPr>
        <w:t xml:space="preserve">уменьшение лимитов бюджетных ассигнований;</w:t>
      </w:r>
    </w:p>
    <w:p>
      <w:pPr>
        <w:pStyle w:val="0"/>
        <w:spacing w:before="200" w:lineRule="auto"/>
        <w:ind w:firstLine="540"/>
        <w:jc w:val="both"/>
      </w:pPr>
      <w:r>
        <w:rPr>
          <w:sz w:val="20"/>
        </w:rPr>
        <w:t xml:space="preserve">внесение изменений в законодательство, требующее внесения изменений в настоящий Порядок.</w:t>
      </w:r>
    </w:p>
    <w:bookmarkStart w:id="154" w:name="P154"/>
    <w:bookmarkEnd w:id="154"/>
    <w:p>
      <w:pPr>
        <w:pStyle w:val="0"/>
        <w:spacing w:before="200" w:lineRule="auto"/>
        <w:ind w:firstLine="540"/>
        <w:jc w:val="both"/>
      </w:pPr>
      <w:r>
        <w:rPr>
          <w:sz w:val="20"/>
        </w:rPr>
        <w:t xml:space="preserve">В случае отмены проведения отбора Министерство размещает объявление об отмене проведения отбора на едином портале не позднее чем за 1 рабочий день до даты окончания срока подачи заявок участниками отбора.</w:t>
      </w:r>
    </w:p>
    <w:p>
      <w:pPr>
        <w:pStyle w:val="0"/>
        <w:spacing w:before="200" w:lineRule="auto"/>
        <w:ind w:firstLine="540"/>
        <w:jc w:val="both"/>
      </w:pPr>
      <w:r>
        <w:rPr>
          <w:sz w:val="20"/>
        </w:rPr>
        <w:t xml:space="preserve">Одновременно объявление об отмене проведения отбора размещается Министерством на его официальном сайте в информационно-телекоммуникационной сети "Интернет".</w:t>
      </w:r>
    </w:p>
    <w:p>
      <w:pPr>
        <w:pStyle w:val="0"/>
        <w:spacing w:before="200" w:lineRule="auto"/>
        <w:ind w:firstLine="540"/>
        <w:jc w:val="both"/>
      </w:pPr>
      <w:r>
        <w:rPr>
          <w:sz w:val="20"/>
        </w:rPr>
        <w:t xml:space="preserve">Объявление об отмене проведения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размещается на едином портале и содержит информацию о причинах отмены отбора.</w:t>
      </w:r>
    </w:p>
    <w:p>
      <w:pPr>
        <w:pStyle w:val="0"/>
        <w:spacing w:before="200" w:lineRule="auto"/>
        <w:ind w:firstLine="540"/>
        <w:jc w:val="both"/>
      </w:pPr>
      <w:r>
        <w:rPr>
          <w:sz w:val="20"/>
        </w:rPr>
        <w:t xml:space="preserve">Участники отбора, подавшие заявки, информируются об отмене проведения отбора в системе "Электронный бюджет".</w:t>
      </w:r>
    </w:p>
    <w:p>
      <w:pPr>
        <w:pStyle w:val="0"/>
        <w:spacing w:before="200" w:lineRule="auto"/>
        <w:ind w:firstLine="540"/>
        <w:jc w:val="both"/>
      </w:pPr>
      <w:r>
        <w:rPr>
          <w:sz w:val="20"/>
        </w:rPr>
        <w:t xml:space="preserve">Отбор считается отмененным со дня размещения объявления о его отмене на едином портале.</w:t>
      </w:r>
    </w:p>
    <w:p>
      <w:pPr>
        <w:pStyle w:val="0"/>
        <w:spacing w:before="200" w:lineRule="auto"/>
        <w:ind w:firstLine="540"/>
        <w:jc w:val="both"/>
      </w:pPr>
      <w:r>
        <w:rPr>
          <w:sz w:val="20"/>
        </w:rPr>
        <w:t xml:space="preserve">После окончания срока отмены проведения отбора в соответствии </w:t>
      </w:r>
      <w:hyperlink w:history="0" w:anchor="P154" w:tooltip="В случае отмены проведения отбора Министерство размещает объявление об отмене проведения отбора на едином портале не позднее чем за 1 рабочий день до даты окончания срока подачи заявок участниками отбора.">
        <w:r>
          <w:rPr>
            <w:sz w:val="20"/>
            <w:color w:val="0000ff"/>
          </w:rPr>
          <w:t xml:space="preserve">абзацем четвертым</w:t>
        </w:r>
      </w:hyperlink>
      <w:r>
        <w:rPr>
          <w:sz w:val="20"/>
        </w:rPr>
        <w:t xml:space="preserve"> настоящего пункта и до заключения Соглашения с победителем (победителями) отбора Министерство может отменить отбор только в случае возникновения обстоятельств непреодолимой силы в соответствии с </w:t>
      </w:r>
      <w:hyperlink w:history="0" r:id="rId24"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пунктом 3 статьи 401</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2.15. Отбор признается несостоявшимся в случаях, если:</w:t>
      </w:r>
    </w:p>
    <w:p>
      <w:pPr>
        <w:pStyle w:val="0"/>
        <w:spacing w:before="200" w:lineRule="auto"/>
        <w:ind w:firstLine="540"/>
        <w:jc w:val="both"/>
      </w:pPr>
      <w:r>
        <w:rPr>
          <w:sz w:val="20"/>
        </w:rPr>
        <w:t xml:space="preserve">по окончании срока подачи заявок не подано ни одной заявки;</w:t>
      </w:r>
    </w:p>
    <w:p>
      <w:pPr>
        <w:pStyle w:val="0"/>
        <w:spacing w:before="200" w:lineRule="auto"/>
        <w:ind w:firstLine="540"/>
        <w:jc w:val="both"/>
      </w:pPr>
      <w:r>
        <w:rPr>
          <w:sz w:val="20"/>
        </w:rPr>
        <w:t xml:space="preserve">по результатам рассмотрения заявок Министерством отклонены все заявки.</w:t>
      </w:r>
    </w:p>
    <w:p>
      <w:pPr>
        <w:pStyle w:val="0"/>
        <w:spacing w:before="200" w:lineRule="auto"/>
        <w:ind w:firstLine="540"/>
        <w:jc w:val="both"/>
      </w:pPr>
      <w:r>
        <w:rPr>
          <w:sz w:val="20"/>
        </w:rPr>
        <w:t xml:space="preserve">2.16. Порядок ранжирования поступивших заявок, определяемый при проведении отбора путем запроса предложений - исходя из очередности поступления заявок.</w:t>
      </w:r>
    </w:p>
    <w:p>
      <w:pPr>
        <w:pStyle w:val="0"/>
        <w:spacing w:before="200" w:lineRule="auto"/>
        <w:ind w:firstLine="540"/>
        <w:jc w:val="both"/>
      </w:pPr>
      <w:r>
        <w:rPr>
          <w:sz w:val="20"/>
        </w:rPr>
        <w:t xml:space="preserve">Если по результатам рассмотрения заявок, единственная заявка признана соответствующей требованиям, установленным в объявлении о проведении отбора, то с получателем заключается Соглашение.</w:t>
      </w:r>
    </w:p>
    <w:p>
      <w:pPr>
        <w:pStyle w:val="0"/>
        <w:spacing w:before="200" w:lineRule="auto"/>
        <w:ind w:firstLine="540"/>
        <w:jc w:val="both"/>
      </w:pPr>
      <w:r>
        <w:rPr>
          <w:sz w:val="20"/>
        </w:rPr>
        <w:t xml:space="preserve">2.17. В целях завершения отбора и определения победителей отбора формируется протокол подведения итогов отбора.</w:t>
      </w:r>
    </w:p>
    <w:p>
      <w:pPr>
        <w:pStyle w:val="0"/>
        <w:spacing w:before="200" w:lineRule="auto"/>
        <w:ind w:firstLine="540"/>
        <w:jc w:val="both"/>
      </w:pPr>
      <w:r>
        <w:rPr>
          <w:sz w:val="20"/>
        </w:rPr>
        <w:t xml:space="preserve">Протокол подведения итогов отбора автоматически формируется на едином портале на основании результатов определения победителя (победителей) отбора, подписывается усиленной квалифицированной электронной подписью министра в системе "Электронный бюджет", а также размещается на едином портале не позднее 1 рабочего дня, следующего за днем его подписания. Одновременно протокол размещается Министерством на его официальном сайте в информационно-телекоммуникационной сети "Интернет".</w:t>
      </w:r>
    </w:p>
    <w:p>
      <w:pPr>
        <w:pStyle w:val="0"/>
        <w:spacing w:before="200" w:lineRule="auto"/>
        <w:ind w:firstLine="540"/>
        <w:jc w:val="both"/>
      </w:pPr>
      <w:r>
        <w:rPr>
          <w:sz w:val="20"/>
        </w:rPr>
        <w:t xml:space="preserve">2.18. Протокол подведения итогов отбора включает следующие сведения:</w:t>
      </w:r>
    </w:p>
    <w:p>
      <w:pPr>
        <w:pStyle w:val="0"/>
        <w:spacing w:before="200" w:lineRule="auto"/>
        <w:ind w:firstLine="540"/>
        <w:jc w:val="both"/>
      </w:pPr>
      <w:r>
        <w:rPr>
          <w:sz w:val="20"/>
        </w:rPr>
        <w:t xml:space="preserve">дату, время и место проведения рассмотрения;</w:t>
      </w:r>
    </w:p>
    <w:p>
      <w:pPr>
        <w:pStyle w:val="0"/>
        <w:spacing w:before="200" w:lineRule="auto"/>
        <w:ind w:firstLine="540"/>
        <w:jc w:val="both"/>
      </w:pPr>
      <w:r>
        <w:rPr>
          <w:sz w:val="20"/>
        </w:rPr>
        <w:t xml:space="preserve">информацию об участниках отбора, заявки которых были рассмотрены;</w:t>
      </w:r>
    </w:p>
    <w:p>
      <w:pPr>
        <w:pStyle w:val="0"/>
        <w:spacing w:before="200" w:lineRule="auto"/>
        <w:ind w:firstLine="540"/>
        <w:jc w:val="both"/>
      </w:pPr>
      <w:r>
        <w:rPr>
          <w:sz w:val="20"/>
        </w:rPr>
        <w:t xml:space="preserve">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00" w:lineRule="auto"/>
        <w:ind w:firstLine="540"/>
        <w:jc w:val="both"/>
      </w:pPr>
      <w:r>
        <w:rPr>
          <w:sz w:val="20"/>
        </w:rPr>
        <w:t xml:space="preserve">наименование получателя (получателей) гранта, с которым (которыми) заключается Соглашение, и размер предоставляемого ему (им) гранта.</w:t>
      </w:r>
    </w:p>
    <w:p>
      <w:pPr>
        <w:pStyle w:val="0"/>
        <w:spacing w:before="200" w:lineRule="auto"/>
        <w:ind w:firstLine="540"/>
        <w:jc w:val="both"/>
      </w:pPr>
      <w:r>
        <w:rPr>
          <w:sz w:val="20"/>
        </w:rPr>
        <w:t xml:space="preserve">2.19. Победителями отбора признаются участники отбора исходя из очередности поступления заявок в рамках отбора.</w:t>
      </w:r>
    </w:p>
    <w:p>
      <w:pPr>
        <w:pStyle w:val="0"/>
        <w:spacing w:before="200" w:lineRule="auto"/>
        <w:ind w:firstLine="540"/>
        <w:jc w:val="both"/>
      </w:pPr>
      <w:r>
        <w:rPr>
          <w:sz w:val="20"/>
        </w:rPr>
        <w:t xml:space="preserve">Победителю (победителям) грант распределяется в соответствии с </w:t>
      </w:r>
      <w:hyperlink w:history="0" w:anchor="P195" w:tooltip="3.7. Размер гранта (S) определяется по формуле:">
        <w:r>
          <w:rPr>
            <w:sz w:val="20"/>
            <w:color w:val="0000ff"/>
          </w:rPr>
          <w:t xml:space="preserve">пунктом 3.7</w:t>
        </w:r>
      </w:hyperlink>
      <w:r>
        <w:rPr>
          <w:sz w:val="20"/>
        </w:rPr>
        <w:t xml:space="preserve"> настоящего Порядка.</w:t>
      </w:r>
    </w:p>
    <w:p>
      <w:pPr>
        <w:pStyle w:val="0"/>
        <w:spacing w:before="200" w:lineRule="auto"/>
        <w:ind w:firstLine="540"/>
        <w:jc w:val="both"/>
      </w:pPr>
      <w:r>
        <w:rPr>
          <w:sz w:val="20"/>
        </w:rPr>
        <w:t xml:space="preserve">В случае если размер гранта, указанный участником отбора в заявке, больше остатка лимита, такому участнику отбора при его согласии грант распределяется в пределах остатка лимита.</w:t>
      </w:r>
    </w:p>
    <w:p>
      <w:pPr>
        <w:pStyle w:val="0"/>
        <w:spacing w:before="200" w:lineRule="auto"/>
        <w:ind w:firstLine="540"/>
        <w:jc w:val="both"/>
      </w:pPr>
      <w:r>
        <w:rPr>
          <w:sz w:val="20"/>
        </w:rPr>
        <w:t xml:space="preserve">2.20. На основании протокола подведения итогов отбора получателей гранта распределение гранта утверждается приказом Министерства, который размещается на едином портале не позднее рабочего дня, следующего за днем издания указанного приказа.</w:t>
      </w:r>
    </w:p>
    <w:p>
      <w:pPr>
        <w:pStyle w:val="0"/>
        <w:spacing w:before="200" w:lineRule="auto"/>
        <w:ind w:firstLine="540"/>
        <w:jc w:val="both"/>
      </w:pPr>
      <w:r>
        <w:rPr>
          <w:sz w:val="20"/>
        </w:rPr>
        <w:t xml:space="preserve">2.21. С получателями, прошедшими отбор в соответствии с </w:t>
      </w:r>
      <w:hyperlink w:history="0" w:anchor="P51" w:tooltip="2. Порядок проведения отбора">
        <w:r>
          <w:rPr>
            <w:sz w:val="20"/>
            <w:color w:val="0000ff"/>
          </w:rPr>
          <w:t xml:space="preserve">разделом 2</w:t>
        </w:r>
      </w:hyperlink>
      <w:r>
        <w:rPr>
          <w:sz w:val="20"/>
        </w:rPr>
        <w:t xml:space="preserve"> настоящего Порядка, в отношении которых Министерством принято решение о предоставлении гранта в соответствии с </w:t>
      </w:r>
      <w:hyperlink w:history="0" w:anchor="P183" w:tooltip="3.2. Министерство осуществляет проверку победителя на соответствие требованиям, указанным в пункте 3.1 настоящего Порядка, исходя из представленных победителями документов, а также в рамках реализации бюджетных полномочий главного распорядителя бюджетных средств по обеспечению соблюдения получателем гранта условий и порядка предоставления гранта в течение 3 рабочих дней со дня размещения на едином портале протокола подведения итогов отбора получателей гранта.">
        <w:r>
          <w:rPr>
            <w:sz w:val="20"/>
            <w:color w:val="0000ff"/>
          </w:rPr>
          <w:t xml:space="preserve">пунктом 3.2</w:t>
        </w:r>
      </w:hyperlink>
      <w:r>
        <w:rPr>
          <w:sz w:val="20"/>
        </w:rPr>
        <w:t xml:space="preserve"> настоящего Порядка, Министерство заключает Соглашение не позднее 5 рабочих дней со дня принятия решения о предоставлении гранта.</w:t>
      </w:r>
    </w:p>
    <w:p>
      <w:pPr>
        <w:pStyle w:val="0"/>
        <w:spacing w:before="200" w:lineRule="auto"/>
        <w:ind w:firstLine="540"/>
        <w:jc w:val="both"/>
      </w:pPr>
      <w:r>
        <w:rPr>
          <w:sz w:val="20"/>
        </w:rPr>
        <w:t xml:space="preserve">2.22. В случае если победитель отбора отказывается от получения гранта, либо уклоняется от заключения Соглашения, либо на дату заключения Соглашения не соответствует требованиям, предусмотренным </w:t>
      </w:r>
      <w:hyperlink w:history="0" w:anchor="P83" w:tooltip="2.4. Для получения гранта на даты рассмотрения заявки и заключения Соглашения участник отбора должен соответствовать следующим требованиям:">
        <w:r>
          <w:rPr>
            <w:sz w:val="20"/>
            <w:color w:val="0000ff"/>
          </w:rPr>
          <w:t xml:space="preserve">пунктами 2.4</w:t>
        </w:r>
      </w:hyperlink>
      <w:r>
        <w:rPr>
          <w:sz w:val="20"/>
        </w:rPr>
        <w:t xml:space="preserve">, </w:t>
      </w:r>
      <w:hyperlink w:history="0" w:anchor="P93" w:tooltip="2.5. Для участия в отборе участник отбора на даты рассмотрения заявки и заключения соглашения должен также соответствовать следующим требованиям:">
        <w:r>
          <w:rPr>
            <w:sz w:val="20"/>
            <w:color w:val="0000ff"/>
          </w:rPr>
          <w:t xml:space="preserve">2.5</w:t>
        </w:r>
      </w:hyperlink>
      <w:r>
        <w:rPr>
          <w:sz w:val="20"/>
        </w:rPr>
        <w:t xml:space="preserve"> настоящего Порядка, грант предоставляется следующему участнику отбора исходя из очередности поступления заявок.</w:t>
      </w:r>
    </w:p>
    <w:p>
      <w:pPr>
        <w:pStyle w:val="0"/>
        <w:spacing w:before="200" w:lineRule="auto"/>
        <w:ind w:firstLine="540"/>
        <w:jc w:val="both"/>
      </w:pPr>
      <w:r>
        <w:rPr>
          <w:sz w:val="20"/>
        </w:rPr>
        <w:t xml:space="preserve">2.23. Внесение изменений в протокол подведения итогов отбора получателей гранта осуществляется не позднее 10 календарных дней с даты подписания первой версии протокола подведения итогов отбора получателей гранта путем формирования новой версии указанного протокола.</w:t>
      </w:r>
    </w:p>
    <w:p>
      <w:pPr>
        <w:pStyle w:val="0"/>
        <w:jc w:val="both"/>
      </w:pPr>
      <w:r>
        <w:rPr>
          <w:sz w:val="20"/>
        </w:rPr>
      </w:r>
    </w:p>
    <w:p>
      <w:pPr>
        <w:pStyle w:val="2"/>
        <w:outlineLvl w:val="1"/>
        <w:jc w:val="center"/>
      </w:pPr>
      <w:r>
        <w:rPr>
          <w:sz w:val="20"/>
        </w:rPr>
        <w:t xml:space="preserve">3. Условия и порядок предоставления грантов</w:t>
      </w:r>
    </w:p>
    <w:p>
      <w:pPr>
        <w:pStyle w:val="0"/>
        <w:jc w:val="both"/>
      </w:pPr>
      <w:r>
        <w:rPr>
          <w:sz w:val="20"/>
        </w:rPr>
      </w:r>
    </w:p>
    <w:bookmarkStart w:id="182" w:name="P182"/>
    <w:bookmarkEnd w:id="182"/>
    <w:p>
      <w:pPr>
        <w:pStyle w:val="0"/>
        <w:ind w:firstLine="540"/>
        <w:jc w:val="both"/>
      </w:pPr>
      <w:r>
        <w:rPr>
          <w:sz w:val="20"/>
        </w:rPr>
        <w:t xml:space="preserve">3.1. Для предоставления грантов победитель отбора должен соответствовать требованиям, предусмотренным </w:t>
      </w:r>
      <w:hyperlink w:history="0" w:anchor="P83" w:tooltip="2.4. Для получения гранта на даты рассмотрения заявки и заключения Соглашения участник отбора должен соответствовать следующим требованиям:">
        <w:r>
          <w:rPr>
            <w:sz w:val="20"/>
            <w:color w:val="0000ff"/>
          </w:rPr>
          <w:t xml:space="preserve">пунктами 2.4</w:t>
        </w:r>
      </w:hyperlink>
      <w:r>
        <w:rPr>
          <w:sz w:val="20"/>
        </w:rPr>
        <w:t xml:space="preserve">, </w:t>
      </w:r>
      <w:hyperlink w:history="0" w:anchor="P93" w:tooltip="2.5. Для участия в отборе участник отбора на даты рассмотрения заявки и заключения соглашения должен также соответствовать следующим требованиям:">
        <w:r>
          <w:rPr>
            <w:sz w:val="20"/>
            <w:color w:val="0000ff"/>
          </w:rPr>
          <w:t xml:space="preserve">2.5</w:t>
        </w:r>
      </w:hyperlink>
      <w:r>
        <w:rPr>
          <w:sz w:val="20"/>
        </w:rPr>
        <w:t xml:space="preserve"> настоящего Порядка, по состоянию на даты рассмотрения заявки и заключения Соглашения.</w:t>
      </w:r>
    </w:p>
    <w:bookmarkStart w:id="183" w:name="P183"/>
    <w:bookmarkEnd w:id="183"/>
    <w:p>
      <w:pPr>
        <w:pStyle w:val="0"/>
        <w:spacing w:before="200" w:lineRule="auto"/>
        <w:ind w:firstLine="540"/>
        <w:jc w:val="both"/>
      </w:pPr>
      <w:r>
        <w:rPr>
          <w:sz w:val="20"/>
        </w:rPr>
        <w:t xml:space="preserve">3.2. Министерство осуществляет проверку победителя на соответствие требованиям, указанным в </w:t>
      </w:r>
      <w:hyperlink w:history="0" w:anchor="P182" w:tooltip="3.1. Для предоставления грантов победитель отбора должен соответствовать требованиям, предусмотренным пунктами 2.4, 2.5 настоящего Порядка, по состоянию на даты рассмотрения заявки и заключения Соглашения.">
        <w:r>
          <w:rPr>
            <w:sz w:val="20"/>
            <w:color w:val="0000ff"/>
          </w:rPr>
          <w:t xml:space="preserve">пункте 3.1</w:t>
        </w:r>
      </w:hyperlink>
      <w:r>
        <w:rPr>
          <w:sz w:val="20"/>
        </w:rPr>
        <w:t xml:space="preserve"> настоящего Порядка, исходя из представленных победителями документов, а также в рамках реализации бюджетных полномочий главного распорядителя бюджетных средств по обеспечению соблюдения получателем гранта условий и порядка предоставления гранта в течение 3 рабочих дней со дня размещения на едином портале протокола подведения итогов отбора получателей гранта.</w:t>
      </w:r>
    </w:p>
    <w:p>
      <w:pPr>
        <w:pStyle w:val="0"/>
        <w:spacing w:before="200" w:lineRule="auto"/>
        <w:ind w:firstLine="540"/>
        <w:jc w:val="both"/>
      </w:pPr>
      <w:r>
        <w:rPr>
          <w:sz w:val="20"/>
        </w:rPr>
        <w:t xml:space="preserve">Несоответствие победителя отбора указанным требованиям является основанием для отказа в предоставлении гранта в соответствии с </w:t>
      </w:r>
      <w:hyperlink w:history="0" w:anchor="P191" w:tooltip="3.6. Основаниями для отказа в предоставлении гранта являются:">
        <w:r>
          <w:rPr>
            <w:sz w:val="20"/>
            <w:color w:val="0000ff"/>
          </w:rPr>
          <w:t xml:space="preserve">пунктом 3.6</w:t>
        </w:r>
      </w:hyperlink>
      <w:r>
        <w:rPr>
          <w:sz w:val="20"/>
        </w:rPr>
        <w:t xml:space="preserve"> настоящего Порядка.</w:t>
      </w:r>
    </w:p>
    <w:bookmarkStart w:id="185" w:name="P185"/>
    <w:bookmarkEnd w:id="185"/>
    <w:p>
      <w:pPr>
        <w:pStyle w:val="0"/>
        <w:spacing w:before="200" w:lineRule="auto"/>
        <w:ind w:firstLine="540"/>
        <w:jc w:val="both"/>
      </w:pPr>
      <w:r>
        <w:rPr>
          <w:sz w:val="20"/>
        </w:rPr>
        <w:t xml:space="preserve">3.3. По результатам проверки Министерство принимает одно из следующих решений:</w:t>
      </w:r>
    </w:p>
    <w:p>
      <w:pPr>
        <w:pStyle w:val="0"/>
        <w:spacing w:before="200" w:lineRule="auto"/>
        <w:ind w:firstLine="540"/>
        <w:jc w:val="both"/>
      </w:pPr>
      <w:r>
        <w:rPr>
          <w:sz w:val="20"/>
        </w:rPr>
        <w:t xml:space="preserve">о представлении гранта;</w:t>
      </w:r>
    </w:p>
    <w:p>
      <w:pPr>
        <w:pStyle w:val="0"/>
        <w:spacing w:before="200" w:lineRule="auto"/>
        <w:ind w:firstLine="540"/>
        <w:jc w:val="both"/>
      </w:pPr>
      <w:r>
        <w:rPr>
          <w:sz w:val="20"/>
        </w:rPr>
        <w:t xml:space="preserve">об отказе в предоставлении гранта.</w:t>
      </w:r>
    </w:p>
    <w:p>
      <w:pPr>
        <w:pStyle w:val="0"/>
        <w:spacing w:before="200" w:lineRule="auto"/>
        <w:ind w:firstLine="540"/>
        <w:jc w:val="both"/>
      </w:pPr>
      <w:r>
        <w:rPr>
          <w:sz w:val="20"/>
        </w:rPr>
        <w:t xml:space="preserve">3.4. Решение о предоставлении гранта оформляется приказом Министерства, который размещается на едином портале и на официальном сайте Министерства в информационно-телекоммуникационной сети "Интернет" не позднее рабочего дня, следующего за днем его издания.</w:t>
      </w:r>
    </w:p>
    <w:p>
      <w:pPr>
        <w:pStyle w:val="0"/>
        <w:spacing w:before="200" w:lineRule="auto"/>
        <w:ind w:firstLine="540"/>
        <w:jc w:val="both"/>
      </w:pPr>
      <w:r>
        <w:rPr>
          <w:sz w:val="20"/>
        </w:rPr>
        <w:t xml:space="preserve">3.5. В случае принятия решения об отказе в предоставлении гранта Министерство в течение 3 рабочих дней уведомляет победителя отбора о принятом решении посредством направления в системе "Электронный бюджет" (при наличии технической возможности) победителю отбора уведомления об отказе в предоставлении гранта с указанием причин отказа.</w:t>
      </w:r>
    </w:p>
    <w:p>
      <w:pPr>
        <w:pStyle w:val="0"/>
        <w:jc w:val="both"/>
      </w:pPr>
      <w:r>
        <w:rPr>
          <w:sz w:val="20"/>
        </w:rPr>
        <w:t xml:space="preserve">(в ред. </w:t>
      </w:r>
      <w:hyperlink w:history="0" r:id="rId25"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rPr>
        <w:t xml:space="preserve"> Правительства Тамбовской области от 22.09.2025 N 536)</w:t>
      </w:r>
    </w:p>
    <w:bookmarkStart w:id="191" w:name="P191"/>
    <w:bookmarkEnd w:id="191"/>
    <w:p>
      <w:pPr>
        <w:pStyle w:val="0"/>
        <w:spacing w:before="200" w:lineRule="auto"/>
        <w:ind w:firstLine="540"/>
        <w:jc w:val="both"/>
      </w:pPr>
      <w:r>
        <w:rPr>
          <w:sz w:val="20"/>
        </w:rPr>
        <w:t xml:space="preserve">3.6. Основаниями для отказа в предоставлении гранта являются:</w:t>
      </w:r>
    </w:p>
    <w:p>
      <w:pPr>
        <w:pStyle w:val="0"/>
        <w:spacing w:before="200" w:lineRule="auto"/>
        <w:ind w:firstLine="540"/>
        <w:jc w:val="both"/>
      </w:pPr>
      <w:r>
        <w:rPr>
          <w:sz w:val="20"/>
        </w:rPr>
        <w:t xml:space="preserve">несоответствие получателя гранта требованиям, предусмотренным </w:t>
      </w:r>
      <w:hyperlink w:history="0" w:anchor="P182" w:tooltip="3.1. Для предоставления грантов победитель отбора должен соответствовать требованиям, предусмотренным пунктами 2.4, 2.5 настоящего Порядка, по состоянию на даты рассмотрения заявки и заключения Соглашения.">
        <w:r>
          <w:rPr>
            <w:sz w:val="20"/>
            <w:color w:val="0000ff"/>
          </w:rPr>
          <w:t xml:space="preserve">пунктом 3.1</w:t>
        </w:r>
      </w:hyperlink>
      <w:r>
        <w:rPr>
          <w:sz w:val="20"/>
        </w:rPr>
        <w:t xml:space="preserve"> настоящего Порядка;</w:t>
      </w:r>
    </w:p>
    <w:p>
      <w:pPr>
        <w:pStyle w:val="0"/>
        <w:spacing w:before="200" w:lineRule="auto"/>
        <w:ind w:firstLine="540"/>
        <w:jc w:val="both"/>
      </w:pPr>
      <w:r>
        <w:rPr>
          <w:sz w:val="20"/>
        </w:rPr>
        <w:t xml:space="preserve">несоответствие представленных получателем гранта документов требованиям, определенным настоящим Порядком,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установление факта недостоверности представленной получателем гранта информации.</w:t>
      </w:r>
    </w:p>
    <w:bookmarkStart w:id="195" w:name="P195"/>
    <w:bookmarkEnd w:id="195"/>
    <w:p>
      <w:pPr>
        <w:pStyle w:val="0"/>
        <w:spacing w:before="200" w:lineRule="auto"/>
        <w:ind w:firstLine="540"/>
        <w:jc w:val="both"/>
      </w:pPr>
      <w:r>
        <w:rPr>
          <w:sz w:val="20"/>
        </w:rPr>
        <w:t xml:space="preserve">3.7. Размер гранта (S) определяется по формуле:</w:t>
      </w:r>
    </w:p>
    <w:p>
      <w:pPr>
        <w:pStyle w:val="0"/>
        <w:jc w:val="both"/>
      </w:pPr>
      <w:r>
        <w:rPr>
          <w:sz w:val="20"/>
        </w:rPr>
      </w:r>
    </w:p>
    <w:p>
      <w:pPr>
        <w:pStyle w:val="0"/>
        <w:jc w:val="center"/>
      </w:pPr>
      <w:r>
        <w:rPr>
          <w:sz w:val="20"/>
        </w:rPr>
        <w:t xml:space="preserve">S = Hsnt х Ksnt,</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S - размер гранта в форме субсидии из бюджета Тамбовской области некоммерческой организации на обновление содержания и технологий дополнительного образования по приоритетным направлениям;</w:t>
      </w:r>
    </w:p>
    <w:p>
      <w:pPr>
        <w:pStyle w:val="0"/>
        <w:spacing w:before="200" w:lineRule="auto"/>
        <w:ind w:firstLine="540"/>
        <w:jc w:val="both"/>
      </w:pPr>
      <w:r>
        <w:rPr>
          <w:sz w:val="20"/>
        </w:rPr>
        <w:t xml:space="preserve">Hsnt - норматив финансирования, утвержденный </w:t>
      </w:r>
      <w:hyperlink w:history="0" r:id="rId26" w:tooltip="Закон Тамбовской области от 28.12.2013 N 360-З (ред. от 09.06.2025) &quot;Об областных нормативах финансирования образовательных организаций Тамбовской области&quot; (принят Постановлением Тамбовской областной Думы от 27.12.2013 N 1023) {КонсультантПлюс}">
        <w:r>
          <w:rPr>
            <w:sz w:val="20"/>
            <w:color w:val="0000ff"/>
          </w:rPr>
          <w:t xml:space="preserve">Законом</w:t>
        </w:r>
      </w:hyperlink>
      <w:r>
        <w:rPr>
          <w:sz w:val="20"/>
        </w:rPr>
        <w:t xml:space="preserve"> Тамбовской области от 28.12.2013 N 360-З "Об областных нормативах финансирования образовательных организаций Тамбовской области";</w:t>
      </w:r>
    </w:p>
    <w:p>
      <w:pPr>
        <w:pStyle w:val="0"/>
        <w:spacing w:before="200" w:lineRule="auto"/>
        <w:ind w:firstLine="540"/>
        <w:jc w:val="both"/>
      </w:pPr>
      <w:r>
        <w:rPr>
          <w:sz w:val="20"/>
        </w:rPr>
        <w:t xml:space="preserve">Ksnt - численность детей в возрасте от 5 до 18 лет, охваченных дополнительными общеобразовательными программами по приоритетным направлениям дополнительного образования.</w:t>
      </w:r>
    </w:p>
    <w:p>
      <w:pPr>
        <w:pStyle w:val="0"/>
        <w:spacing w:before="200" w:lineRule="auto"/>
        <w:ind w:firstLine="540"/>
        <w:jc w:val="both"/>
      </w:pPr>
      <w:r>
        <w:rPr>
          <w:sz w:val="20"/>
        </w:rPr>
        <w:t xml:space="preserve">3.8. В целях заключения Соглашения победителем (победителями) отбора в системе "Электронный бюджет" (при наличии технической возможности) уточняется информация о счетах в соответствии с законодательством Российской Федерации для перечисления гранта, а также о лице, уполномоченном на подписание Соглашения.</w:t>
      </w:r>
    </w:p>
    <w:p>
      <w:pPr>
        <w:pStyle w:val="0"/>
        <w:jc w:val="both"/>
      </w:pPr>
      <w:r>
        <w:rPr>
          <w:sz w:val="20"/>
        </w:rPr>
        <w:t xml:space="preserve">(в ред. </w:t>
      </w:r>
      <w:hyperlink w:history="0" r:id="rId27"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rPr>
        <w:t xml:space="preserve"> Правительства Тамбовской области от 22.09.2025 N 536)</w:t>
      </w:r>
    </w:p>
    <w:bookmarkStart w:id="205" w:name="P205"/>
    <w:bookmarkEnd w:id="205"/>
    <w:p>
      <w:pPr>
        <w:pStyle w:val="0"/>
        <w:spacing w:before="200" w:lineRule="auto"/>
        <w:ind w:firstLine="540"/>
        <w:jc w:val="both"/>
      </w:pPr>
      <w:r>
        <w:rPr>
          <w:sz w:val="20"/>
        </w:rPr>
        <w:t xml:space="preserve">В срок не позднее 5 рабочих дней со дня принятия решения о предоставлении гранта в соответствии с </w:t>
      </w:r>
      <w:hyperlink w:history="0" w:anchor="P185" w:tooltip="3.3. По результатам проверки Министерство принимает одно из следующих решений:">
        <w:r>
          <w:rPr>
            <w:sz w:val="20"/>
            <w:color w:val="0000ff"/>
          </w:rPr>
          <w:t xml:space="preserve">пунктом 3.3</w:t>
        </w:r>
      </w:hyperlink>
      <w:r>
        <w:rPr>
          <w:sz w:val="20"/>
        </w:rPr>
        <w:t xml:space="preserve"> настоящего Порядка Министерство заключает с победителем (победителями) Соглашение.</w:t>
      </w:r>
    </w:p>
    <w:p>
      <w:pPr>
        <w:pStyle w:val="0"/>
        <w:spacing w:before="200" w:lineRule="auto"/>
        <w:ind w:firstLine="540"/>
        <w:jc w:val="both"/>
      </w:pPr>
      <w:r>
        <w:rPr>
          <w:sz w:val="20"/>
        </w:rPr>
        <w:t xml:space="preserve">Соглашение и дополнительные соглашения к Соглашению, предусматривающие внесение в него изменений и его расторжение, заключаются по форме, установленной министерством финансов Тамбовской области, в системе "Электронный бюджет" (при наличии технической возможности).</w:t>
      </w:r>
    </w:p>
    <w:p>
      <w:pPr>
        <w:pStyle w:val="0"/>
        <w:jc w:val="both"/>
      </w:pPr>
      <w:r>
        <w:rPr>
          <w:sz w:val="20"/>
        </w:rPr>
        <w:t xml:space="preserve">(в ред. </w:t>
      </w:r>
      <w:hyperlink w:history="0" r:id="rId28"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rPr>
        <w:t xml:space="preserve"> Правительства Тамбовской области от 22.09.2025 N 536)</w:t>
      </w:r>
    </w:p>
    <w:p>
      <w:pPr>
        <w:pStyle w:val="0"/>
        <w:spacing w:before="200" w:lineRule="auto"/>
        <w:ind w:firstLine="540"/>
        <w:jc w:val="both"/>
      </w:pPr>
      <w:r>
        <w:rPr>
          <w:sz w:val="20"/>
        </w:rPr>
        <w:t xml:space="preserve">Победитель отбора, не подписавший Соглашение в системе "Электронный бюджет" (при наличии технической возможности) в течение срока, указанного в </w:t>
      </w:r>
      <w:hyperlink w:history="0" w:anchor="P205" w:tooltip="В срок не позднее 5 рабочих дней со дня принятия решения о предоставлении гранта в соответствии с пунктом 3.3 настоящего Порядка Министерство заключает с победителем (победителями) Соглашение.">
        <w:r>
          <w:rPr>
            <w:sz w:val="20"/>
            <w:color w:val="0000ff"/>
          </w:rPr>
          <w:t xml:space="preserve">абзаце втором</w:t>
        </w:r>
      </w:hyperlink>
      <w:r>
        <w:rPr>
          <w:sz w:val="20"/>
        </w:rPr>
        <w:t xml:space="preserve"> настоящего пункта, считается уклонившимся от заключения Соглашения, грант ему не предоставляется.</w:t>
      </w:r>
    </w:p>
    <w:p>
      <w:pPr>
        <w:pStyle w:val="0"/>
        <w:jc w:val="both"/>
      </w:pPr>
      <w:r>
        <w:rPr>
          <w:sz w:val="20"/>
        </w:rPr>
        <w:t xml:space="preserve">(в ред. </w:t>
      </w:r>
      <w:hyperlink w:history="0" r:id="rId29"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rPr>
        <w:t xml:space="preserve"> Правительства Тамбовской области от 22.09.2025 N 536)</w:t>
      </w:r>
    </w:p>
    <w:p>
      <w:pPr>
        <w:pStyle w:val="0"/>
        <w:spacing w:before="200" w:lineRule="auto"/>
        <w:ind w:firstLine="540"/>
        <w:jc w:val="both"/>
      </w:pPr>
      <w:r>
        <w:rPr>
          <w:sz w:val="20"/>
        </w:rPr>
        <w:t xml:space="preserve">В Соглашение включается условие о том, что в случае уменьшения Министерству ранее доведенных лимитов бюджетных обязательств на цели, указанные в </w:t>
      </w:r>
      <w:hyperlink w:history="0" w:anchor="P43" w:tooltip="1.2. Целью предоставления гранта является финансовое обеспечение затрат некоммерческих организаций по обновлению содержания и технологий дополнительного образования по приоритетным направлениям в рамках государственной программы Тамбовской области &quot;Развитие образования Тамбовской области&quot;, утвержденной постановлением администрации Тамбовской области от 28.12.2012 N 1677.">
        <w:r>
          <w:rPr>
            <w:sz w:val="20"/>
            <w:color w:val="0000ff"/>
          </w:rPr>
          <w:t xml:space="preserve">пункте 1.2</w:t>
        </w:r>
      </w:hyperlink>
      <w:r>
        <w:rPr>
          <w:sz w:val="20"/>
        </w:rPr>
        <w:t xml:space="preserve"> настоящего Порядка, приводящего к невозможности предоставления гранта в размере, указанном в Соглашении, Министерство согласовывает с получателем гранта новые условия Соглашения или расторгает Соглашение при недостижении согласия по новым условиям.</w:t>
      </w:r>
    </w:p>
    <w:p>
      <w:pPr>
        <w:pStyle w:val="0"/>
        <w:spacing w:before="200" w:lineRule="auto"/>
        <w:ind w:firstLine="540"/>
        <w:jc w:val="both"/>
      </w:pPr>
      <w:r>
        <w:rPr>
          <w:sz w:val="20"/>
        </w:rPr>
        <w:t xml:space="preserve">Дополнительное соглашение к Соглашению заключается в случаях, предусмотренных настоящим Порядком, а также в случаях, предусмотренных типовой формой дополнительного соглашения, установленной министерством финансов Тамбовской области, в порядке, предусмотренном Соглашением.</w:t>
      </w:r>
    </w:p>
    <w:p>
      <w:pPr>
        <w:pStyle w:val="0"/>
        <w:spacing w:before="200" w:lineRule="auto"/>
        <w:ind w:firstLine="540"/>
        <w:jc w:val="both"/>
      </w:pPr>
      <w:r>
        <w:rPr>
          <w:sz w:val="20"/>
        </w:rPr>
        <w:t xml:space="preserve">При реорганизации получателя гранта,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гранта, являющегося юридическим лицом, в форме разделения, выделения (за исключением случая, указанного в </w:t>
      </w:r>
      <w:hyperlink w:history="0" w:anchor="P214" w:tooltip="При реорганизации получателя гранта,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от 14.07.2022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w:r>
          <w:rPr>
            <w:sz w:val="20"/>
            <w:color w:val="0000ff"/>
          </w:rPr>
          <w:t xml:space="preserve">абзаце девятом пункта 3.8</w:t>
        </w:r>
      </w:hyperlink>
      <w:r>
        <w:rPr>
          <w:sz w:val="20"/>
        </w:rPr>
        <w:t xml:space="preserve"> настоящего Порядка), а также при ликвидации получателя гранта,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w:history="0" r:id="rId30"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абзацем вторым пункта 5 статьи 23</w:t>
        </w:r>
      </w:hyperlink>
      <w:r>
        <w:rPr>
          <w:sz w:val="20"/>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грант, и возврате неиспользованного остатка гранта в соответствующий бюджет бюджетной системы Российской Федерации.</w:t>
      </w:r>
    </w:p>
    <w:bookmarkStart w:id="214" w:name="P214"/>
    <w:bookmarkEnd w:id="214"/>
    <w:p>
      <w:pPr>
        <w:pStyle w:val="0"/>
        <w:spacing w:before="200" w:lineRule="auto"/>
        <w:ind w:firstLine="540"/>
        <w:jc w:val="both"/>
      </w:pPr>
      <w:r>
        <w:rPr>
          <w:sz w:val="20"/>
        </w:rPr>
        <w:t xml:space="preserve">При реорганизации получателя гранта,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w:t>
      </w:r>
      <w:hyperlink w:history="0" r:id="rId31"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0"/>
            <w:color w:val="0000ff"/>
          </w:rPr>
          <w:t xml:space="preserve">статьей 8</w:t>
        </w:r>
      </w:hyperlink>
      <w:r>
        <w:rPr>
          <w:sz w:val="20"/>
        </w:rPr>
        <w:t xml:space="preserve"> Федерального закона от 14.07.2022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гранта, в случае если по результатам такой реорганизации права и обязанности по соглашению сохраняются за получателем гранта.</w:t>
      </w:r>
    </w:p>
    <w:bookmarkStart w:id="215" w:name="P215"/>
    <w:bookmarkEnd w:id="215"/>
    <w:p>
      <w:pPr>
        <w:pStyle w:val="0"/>
        <w:spacing w:before="200" w:lineRule="auto"/>
        <w:ind w:firstLine="540"/>
        <w:jc w:val="both"/>
      </w:pPr>
      <w:r>
        <w:rPr>
          <w:sz w:val="20"/>
        </w:rPr>
        <w:t xml:space="preserve">3.9. Результатом предоставления гранта является: реализованы программы дополнительного образования по приоритетным направлениям детям в возрасте от 5 до 18 лет в образовательных организациях высшего образования.</w:t>
      </w:r>
    </w:p>
    <w:p>
      <w:pPr>
        <w:pStyle w:val="0"/>
        <w:jc w:val="both"/>
      </w:pPr>
      <w:r>
        <w:rPr>
          <w:sz w:val="20"/>
        </w:rPr>
        <w:t xml:space="preserve">(в ред. </w:t>
      </w:r>
      <w:hyperlink w:history="0" r:id="rId32"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rPr>
        <w:t xml:space="preserve"> Правительства Тамбовской области от 22.09.2025 N 536)</w:t>
      </w:r>
    </w:p>
    <w:p>
      <w:pPr>
        <w:pStyle w:val="0"/>
        <w:spacing w:before="200" w:lineRule="auto"/>
        <w:ind w:firstLine="540"/>
        <w:jc w:val="both"/>
      </w:pPr>
      <w:r>
        <w:rPr>
          <w:sz w:val="20"/>
        </w:rPr>
        <w:t xml:space="preserve">Характеристикой результата предоставления гранта является среднегодовая численность детей в возрасте от 5 до 18 лет, обучающихся по дополнительным общеобразовательным программам по приоритетным направлениям дополнительного образования.</w:t>
      </w:r>
    </w:p>
    <w:p>
      <w:pPr>
        <w:pStyle w:val="0"/>
        <w:spacing w:before="200" w:lineRule="auto"/>
        <w:ind w:firstLine="540"/>
        <w:jc w:val="both"/>
      </w:pPr>
      <w:r>
        <w:rPr>
          <w:sz w:val="20"/>
        </w:rPr>
        <w:t xml:space="preserve">Типом результата предоставления гранта в соответствии с </w:t>
      </w:r>
      <w:hyperlink w:history="0" r:id="rId33"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является оказание услуг (выполнение работ).</w:t>
      </w:r>
    </w:p>
    <w:p>
      <w:pPr>
        <w:pStyle w:val="0"/>
        <w:spacing w:before="200" w:lineRule="auto"/>
        <w:ind w:firstLine="540"/>
        <w:jc w:val="both"/>
      </w:pPr>
      <w:r>
        <w:rPr>
          <w:sz w:val="20"/>
        </w:rPr>
        <w:t xml:space="preserve">Точная дата завершения и конечное значение результата предоставления гранта устанавливаются в Соглашении.</w:t>
      </w:r>
    </w:p>
    <w:bookmarkStart w:id="220" w:name="P220"/>
    <w:bookmarkEnd w:id="220"/>
    <w:p>
      <w:pPr>
        <w:pStyle w:val="0"/>
        <w:spacing w:before="200" w:lineRule="auto"/>
        <w:ind w:firstLine="540"/>
        <w:jc w:val="both"/>
      </w:pPr>
      <w:r>
        <w:rPr>
          <w:sz w:val="20"/>
        </w:rPr>
        <w:t xml:space="preserve">3.10. Министерство осуществляет перечисление гранта на основании Соглашения в срок, не позднее 10 рабочих дней со дня заключения Соглашения.</w:t>
      </w:r>
    </w:p>
    <w:p>
      <w:pPr>
        <w:pStyle w:val="0"/>
        <w:jc w:val="both"/>
      </w:pPr>
      <w:r>
        <w:rPr>
          <w:sz w:val="20"/>
        </w:rPr>
        <w:t xml:space="preserve">(п. 3.10 в ред. </w:t>
      </w:r>
      <w:hyperlink w:history="0" r:id="rId34"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rPr>
        <w:t xml:space="preserve"> Правительства Тамбовской области от 22.09.2025 N 536)</w:t>
      </w:r>
    </w:p>
    <w:p>
      <w:pPr>
        <w:pStyle w:val="0"/>
        <w:spacing w:before="200" w:lineRule="auto"/>
        <w:ind w:firstLine="540"/>
        <w:jc w:val="both"/>
      </w:pPr>
      <w:r>
        <w:rPr>
          <w:sz w:val="20"/>
        </w:rPr>
        <w:t xml:space="preserve">3.11. Грант перечисляется на казначейский счет, открытый территориальному органу Федерального казначейства для осуществления и отражения операций с денежными средствами, поступающими бюджетными и автономными учреждениями, в сроки, указанные в </w:t>
      </w:r>
      <w:hyperlink w:history="0" w:anchor="P220" w:tooltip="3.10. Министерство осуществляет перечисление гранта на основании Соглашения в срок, не позднее 10 рабочих дней со дня заключения Соглашения.">
        <w:r>
          <w:rPr>
            <w:sz w:val="20"/>
            <w:color w:val="0000ff"/>
          </w:rPr>
          <w:t xml:space="preserve">пункте 3.10</w:t>
        </w:r>
      </w:hyperlink>
      <w:r>
        <w:rPr>
          <w:sz w:val="20"/>
        </w:rPr>
        <w:t xml:space="preserve"> настоящего Порядка.</w:t>
      </w:r>
    </w:p>
    <w:p>
      <w:pPr>
        <w:pStyle w:val="0"/>
        <w:spacing w:before="200" w:lineRule="auto"/>
        <w:ind w:firstLine="540"/>
        <w:jc w:val="both"/>
      </w:pPr>
      <w:r>
        <w:rPr>
          <w:sz w:val="20"/>
        </w:rPr>
        <w:t xml:space="preserve">Получателю гранта, а также лицам, получающим средства на основании договоров (соглашений), заключенных с получателем гранта, запрещается приобретать за счет полученного гранта средства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w:t>
      </w:r>
    </w:p>
    <w:p>
      <w:pPr>
        <w:pStyle w:val="0"/>
        <w:spacing w:before="200" w:lineRule="auto"/>
        <w:ind w:firstLine="540"/>
        <w:jc w:val="both"/>
      </w:pPr>
      <w:r>
        <w:rPr>
          <w:sz w:val="20"/>
        </w:rPr>
        <w:t xml:space="preserve">Получатель гранта, а также лица, получающие средства на основании договоров (соглашений), заключенных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дают согласие на осуществление в отношении них проверки главным распорядителем бюджетных средств соблюдения порядка и условий предоставления гранта, в том числе в части достижения результатов предоставления гранта, а также проверки органами государственного (муниципального) финансового контроля в соответствии со </w:t>
      </w:r>
      <w:hyperlink w:history="0" r:id="rId35"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6"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jc w:val="both"/>
      </w:pPr>
      <w:r>
        <w:rPr>
          <w:sz w:val="20"/>
        </w:rPr>
        <w:t xml:space="preserve">(п. 3.11 в ред. </w:t>
      </w:r>
      <w:hyperlink w:history="0" r:id="rId37"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rPr>
        <w:t xml:space="preserve"> Правительства Тамбовской области от 22.09.2025 N 536)</w:t>
      </w:r>
    </w:p>
    <w:p>
      <w:pPr>
        <w:pStyle w:val="0"/>
        <w:spacing w:before="200" w:lineRule="auto"/>
        <w:ind w:firstLine="540"/>
        <w:jc w:val="both"/>
      </w:pPr>
      <w:r>
        <w:rPr>
          <w:sz w:val="20"/>
        </w:rPr>
        <w:t xml:space="preserve">3.12. Направления расходов, источником финансового обеспечения которых является грант:</w:t>
      </w:r>
    </w:p>
    <w:p>
      <w:pPr>
        <w:pStyle w:val="0"/>
        <w:spacing w:before="200" w:lineRule="auto"/>
        <w:ind w:firstLine="540"/>
        <w:jc w:val="both"/>
      </w:pPr>
      <w:r>
        <w:rPr>
          <w:sz w:val="20"/>
        </w:rPr>
        <w:t xml:space="preserve">выплата заработной платы работникам некоммерческой организации, обеспечивающей реализацию дополнительных общеобразовательных программ для детей по приоритетным направлениям дополнительного образования, в размере не ниже среднеотраслевого уровня по Тамбовской области по виду экономической деятельности "Образование";</w:t>
      </w:r>
    </w:p>
    <w:p>
      <w:pPr>
        <w:pStyle w:val="0"/>
        <w:spacing w:before="200" w:lineRule="auto"/>
        <w:ind w:firstLine="540"/>
        <w:jc w:val="both"/>
      </w:pPr>
      <w:r>
        <w:rPr>
          <w:sz w:val="20"/>
        </w:rPr>
        <w:t xml:space="preserve">уплата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заработную плату работников некоммерческой организации, обеспечивающей реализацию дополнительных общеобразовательных программ для детей по приоритетным направлениям дополнительного образования;</w:t>
      </w:r>
    </w:p>
    <w:p>
      <w:pPr>
        <w:pStyle w:val="0"/>
        <w:spacing w:before="200" w:lineRule="auto"/>
        <w:ind w:firstLine="540"/>
        <w:jc w:val="both"/>
      </w:pPr>
      <w:r>
        <w:rPr>
          <w:sz w:val="20"/>
        </w:rPr>
        <w:t xml:space="preserve">приобретение учебников и учебных пособий, средств обучения, игр, игрушек, связанных с реализацией дополнительных общеобразовательных программ для детей по приоритетным направлениям дополнительного образования.</w:t>
      </w:r>
    </w:p>
    <w:p>
      <w:pPr>
        <w:pStyle w:val="0"/>
        <w:jc w:val="both"/>
      </w:pPr>
      <w:r>
        <w:rPr>
          <w:sz w:val="20"/>
        </w:rPr>
        <w:t xml:space="preserve">(п. 3.12 в ред. </w:t>
      </w:r>
      <w:hyperlink w:history="0" r:id="rId38"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rPr>
        <w:t xml:space="preserve"> Правительства Тамбовской области от 22.09.2025 N 536)</w:t>
      </w:r>
    </w:p>
    <w:p>
      <w:pPr>
        <w:pStyle w:val="0"/>
        <w:spacing w:before="200" w:lineRule="auto"/>
        <w:ind w:firstLine="540"/>
        <w:jc w:val="both"/>
      </w:pPr>
      <w:r>
        <w:rPr>
          <w:sz w:val="20"/>
        </w:rPr>
        <w:t xml:space="preserve">3.13. Грант на финансовое обеспечение затрат предоставляется при условии:</w:t>
      </w:r>
    </w:p>
    <w:p>
      <w:pPr>
        <w:pStyle w:val="0"/>
        <w:spacing w:before="200" w:lineRule="auto"/>
        <w:ind w:firstLine="540"/>
        <w:jc w:val="both"/>
      </w:pPr>
      <w:r>
        <w:rPr>
          <w:sz w:val="20"/>
        </w:rPr>
        <w:t xml:space="preserve">запрета приобретения получателями гранта - юридическими лицами, а также иными юридическими лицами, получающими средства на основании договоров (соглашений), заключенных с получателями гранта,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pPr>
        <w:pStyle w:val="0"/>
        <w:spacing w:before="200" w:lineRule="auto"/>
        <w:ind w:firstLine="540"/>
        <w:jc w:val="both"/>
      </w:pPr>
      <w:r>
        <w:rPr>
          <w:sz w:val="20"/>
        </w:rPr>
        <w:t xml:space="preserve">согласия получателя гранта, лиц, получающих средства на основании договоров (соглашений), заключенных с получателями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Министерством соблюдения порядка и условий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соблюдения получателем гранта порядка и условий предоставления гранта в соответствии со </w:t>
      </w:r>
      <w:hyperlink w:history="0" r:id="rId39"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40"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jc w:val="both"/>
      </w:pPr>
      <w:r>
        <w:rPr>
          <w:sz w:val="20"/>
        </w:rPr>
      </w:r>
    </w:p>
    <w:p>
      <w:pPr>
        <w:pStyle w:val="2"/>
        <w:outlineLvl w:val="1"/>
        <w:jc w:val="center"/>
      </w:pPr>
      <w:r>
        <w:rPr>
          <w:sz w:val="20"/>
        </w:rPr>
        <w:t xml:space="preserve">4. Требования к отчетности о предоставлении гранта,</w:t>
      </w:r>
    </w:p>
    <w:p>
      <w:pPr>
        <w:pStyle w:val="2"/>
        <w:jc w:val="center"/>
      </w:pPr>
      <w:r>
        <w:rPr>
          <w:sz w:val="20"/>
        </w:rPr>
        <w:t xml:space="preserve">мониторинг достижения результата предоставления гранта</w:t>
      </w:r>
    </w:p>
    <w:p>
      <w:pPr>
        <w:pStyle w:val="0"/>
        <w:jc w:val="both"/>
      </w:pPr>
      <w:r>
        <w:rPr>
          <w:sz w:val="20"/>
        </w:rPr>
      </w:r>
    </w:p>
    <w:p>
      <w:pPr>
        <w:pStyle w:val="0"/>
        <w:ind w:firstLine="540"/>
        <w:jc w:val="both"/>
      </w:pPr>
      <w:r>
        <w:rPr>
          <w:sz w:val="20"/>
        </w:rPr>
        <w:t xml:space="preserve">4.1. Получатель гранта представляет в сроки, установленные Соглашением, но не реже одного раза в квартал (не позднее 10 рабочего дня месяца, следующего за отчетным кварталом) по форме, установленной министерством финансов Тамбовской области для соглашений, с использованием системы "Электронный бюджет" (при наличии технической возможности):</w:t>
      </w:r>
    </w:p>
    <w:p>
      <w:pPr>
        <w:pStyle w:val="0"/>
        <w:spacing w:before="200" w:lineRule="auto"/>
        <w:ind w:firstLine="540"/>
        <w:jc w:val="both"/>
      </w:pPr>
      <w:r>
        <w:rPr>
          <w:sz w:val="20"/>
        </w:rPr>
        <w:t xml:space="preserve">отчет о достижении значений результатов предоставления гранта;</w:t>
      </w:r>
    </w:p>
    <w:p>
      <w:pPr>
        <w:pStyle w:val="0"/>
        <w:spacing w:before="200" w:lineRule="auto"/>
        <w:ind w:firstLine="540"/>
        <w:jc w:val="both"/>
      </w:pPr>
      <w:r>
        <w:rPr>
          <w:sz w:val="20"/>
        </w:rPr>
        <w:t xml:space="preserve">отчет об осуществлении расходов, источником финансового обеспечения которых является грант.</w:t>
      </w:r>
    </w:p>
    <w:p>
      <w:pPr>
        <w:pStyle w:val="0"/>
        <w:jc w:val="both"/>
      </w:pPr>
      <w:r>
        <w:rPr>
          <w:sz w:val="20"/>
        </w:rPr>
        <w:t xml:space="preserve">(п. 4.1 в ред. </w:t>
      </w:r>
      <w:hyperlink w:history="0" r:id="rId41"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rPr>
        <w:t xml:space="preserve"> Правительства Тамбовской области от 22.09.2025 N 536)</w:t>
      </w:r>
    </w:p>
    <w:p>
      <w:pPr>
        <w:pStyle w:val="0"/>
        <w:spacing w:before="200" w:lineRule="auto"/>
        <w:ind w:firstLine="540"/>
        <w:jc w:val="both"/>
      </w:pPr>
      <w:r>
        <w:rPr>
          <w:sz w:val="20"/>
        </w:rPr>
        <w:t xml:space="preserve">4.2. Министерство вправе устанавливать в Соглашении сроки и формы представления получателем гранта дополнительной отчетности.</w:t>
      </w:r>
    </w:p>
    <w:p>
      <w:pPr>
        <w:pStyle w:val="0"/>
        <w:spacing w:before="200" w:lineRule="auto"/>
        <w:ind w:firstLine="540"/>
        <w:jc w:val="both"/>
      </w:pPr>
      <w:r>
        <w:rPr>
          <w:sz w:val="20"/>
        </w:rPr>
        <w:t xml:space="preserve">4.3. Министерство осуществляет проверку и принятие отчетов, представленных получателями гранта и составляет акт принятия (отказа в принятии) отчетности, в срок, не превышающий 60 рабочих дней со дня представления таких отчетов.</w:t>
      </w:r>
    </w:p>
    <w:p>
      <w:pPr>
        <w:pStyle w:val="0"/>
        <w:spacing w:before="200" w:lineRule="auto"/>
        <w:ind w:firstLine="540"/>
        <w:jc w:val="both"/>
      </w:pPr>
      <w:r>
        <w:rPr>
          <w:sz w:val="20"/>
        </w:rPr>
        <w:t xml:space="preserve">4.4. По итогам проверки отчетов Министерство вправе запросить дополнительную информацию, либо направить на доработку отчет получателю гранта в случае, если в нем отсутствуют сведения, необходимые для принятия отчета, либо эти сведения требуют уточнения.</w:t>
      </w:r>
    </w:p>
    <w:p>
      <w:pPr>
        <w:pStyle w:val="0"/>
        <w:spacing w:before="200" w:lineRule="auto"/>
        <w:ind w:firstLine="540"/>
        <w:jc w:val="both"/>
      </w:pPr>
      <w:r>
        <w:rPr>
          <w:sz w:val="20"/>
        </w:rPr>
        <w:t xml:space="preserve">Получатель гранта обязан представить дополнительную информацию в течение 10 рабочих дней со дня получения запроса, либо в иной срок, указанный в запросе.</w:t>
      </w:r>
    </w:p>
    <w:p>
      <w:pPr>
        <w:pStyle w:val="0"/>
        <w:spacing w:before="200" w:lineRule="auto"/>
        <w:ind w:firstLine="540"/>
        <w:jc w:val="both"/>
      </w:pPr>
      <w:r>
        <w:rPr>
          <w:sz w:val="20"/>
        </w:rPr>
        <w:t xml:space="preserve">В случае направления запроса о представлении дополнительной информации Министерство составляет акт принятия (отказа в принятии) отчетности в течение 20 рабочих дней со дня представления дополнительной информации.</w:t>
      </w:r>
    </w:p>
    <w:p>
      <w:pPr>
        <w:pStyle w:val="0"/>
        <w:spacing w:before="200" w:lineRule="auto"/>
        <w:ind w:firstLine="540"/>
        <w:jc w:val="both"/>
      </w:pPr>
      <w:r>
        <w:rPr>
          <w:sz w:val="20"/>
        </w:rPr>
        <w:t xml:space="preserve">4.5. Мониторинг достижения результата предоставления гранта проводится в порядке и по формам, установленным Министерством финансов Российской Федерации, исходя из достижения значений результата предоставления гранта, определенного Соглашением, и событий, отражающих факт завершения соответствующего мероприятия по получению результата предоставления гранта (контрольная точка).</w:t>
      </w:r>
    </w:p>
    <w:p>
      <w:pPr>
        <w:pStyle w:val="0"/>
        <w:jc w:val="both"/>
      </w:pPr>
      <w:r>
        <w:rPr>
          <w:sz w:val="20"/>
        </w:rPr>
      </w:r>
    </w:p>
    <w:p>
      <w:pPr>
        <w:pStyle w:val="2"/>
        <w:outlineLvl w:val="1"/>
        <w:jc w:val="center"/>
      </w:pPr>
      <w:r>
        <w:rPr>
          <w:sz w:val="20"/>
        </w:rPr>
        <w:t xml:space="preserve">5. Контроль за соблюдением условий и порядка предоставления</w:t>
      </w:r>
    </w:p>
    <w:p>
      <w:pPr>
        <w:pStyle w:val="2"/>
        <w:jc w:val="center"/>
      </w:pPr>
      <w:r>
        <w:rPr>
          <w:sz w:val="20"/>
        </w:rPr>
        <w:t xml:space="preserve">гранта и ответственность за их нарушение</w:t>
      </w:r>
    </w:p>
    <w:p>
      <w:pPr>
        <w:pStyle w:val="0"/>
        <w:jc w:val="center"/>
      </w:pPr>
      <w:r>
        <w:rPr>
          <w:sz w:val="20"/>
        </w:rPr>
      </w:r>
    </w:p>
    <w:p>
      <w:pPr>
        <w:pStyle w:val="0"/>
        <w:jc w:val="center"/>
      </w:pPr>
      <w:r>
        <w:rPr>
          <w:sz w:val="20"/>
        </w:rPr>
        <w:t xml:space="preserve">(в ред. </w:t>
      </w:r>
      <w:hyperlink w:history="0" r:id="rId42" w:tooltip="Постановление Правительства Тамбовской области от 22.09.2025 N 536 &quot;О внесении изменений в Порядок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quot; {КонсультантПлюс}">
        <w:r>
          <w:rPr>
            <w:sz w:val="20"/>
            <w:color w:val="0000ff"/>
          </w:rPr>
          <w:t xml:space="preserve">Постановления</w:t>
        </w:r>
      </w:hyperlink>
      <w:r>
        <w:rPr>
          <w:sz w:val="20"/>
        </w:rPr>
        <w:t xml:space="preserve"> Правительства Тамбовской области</w:t>
      </w:r>
    </w:p>
    <w:p>
      <w:pPr>
        <w:pStyle w:val="0"/>
        <w:jc w:val="center"/>
      </w:pPr>
      <w:r>
        <w:rPr>
          <w:sz w:val="20"/>
        </w:rPr>
        <w:t xml:space="preserve">от 22.09.2025 N 536)</w:t>
      </w:r>
    </w:p>
    <w:p>
      <w:pPr>
        <w:pStyle w:val="0"/>
        <w:ind w:firstLine="540"/>
        <w:jc w:val="both"/>
      </w:pPr>
      <w:r>
        <w:rPr>
          <w:sz w:val="20"/>
        </w:rPr>
      </w:r>
    </w:p>
    <w:p>
      <w:pPr>
        <w:pStyle w:val="0"/>
        <w:ind w:firstLine="540"/>
        <w:jc w:val="both"/>
      </w:pPr>
      <w:r>
        <w:rPr>
          <w:sz w:val="20"/>
        </w:rPr>
        <w:t xml:space="preserve">5.1. Министерство, как получатель бюджетных средств, осуществляет проверку соблюдения получателями гранта, а также лицами, получающими средства на основании договоров (соглашений), заключенных с получателями гранта, порядка и условий предоставления гранта, в том числе в части достижения результатов предоставления гранта.</w:t>
      </w:r>
    </w:p>
    <w:p>
      <w:pPr>
        <w:pStyle w:val="0"/>
        <w:spacing w:before="200" w:lineRule="auto"/>
        <w:ind w:firstLine="540"/>
        <w:jc w:val="both"/>
      </w:pPr>
      <w:r>
        <w:rPr>
          <w:sz w:val="20"/>
        </w:rPr>
        <w:t xml:space="preserve">Орган государственного финансового контроля осуществляет проверку соблюдения получателями гранта, а также лицами, получающими средства на основании договоров (соглашений), заключенных с получателями гранта, порядка и условий предоставления гранта в соответствии со </w:t>
      </w:r>
      <w:hyperlink w:history="0" r:id="rId43"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44"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bookmarkStart w:id="257" w:name="P257"/>
    <w:bookmarkEnd w:id="257"/>
    <w:p>
      <w:pPr>
        <w:pStyle w:val="0"/>
        <w:spacing w:before="200" w:lineRule="auto"/>
        <w:ind w:firstLine="540"/>
        <w:jc w:val="both"/>
      </w:pPr>
      <w:r>
        <w:rPr>
          <w:sz w:val="20"/>
        </w:rPr>
        <w:t xml:space="preserve">5.2. В случае установления Министерством или получения от органа государственного финансового контроля информации о факте(ах) нарушения получателем гранта условий предоставления гранта, предусмотренных настоящим Порядком и Соглашением, Министерство в течение 30 рабочих дней с даты выявления такого нарушения (с даты получения информации о факте(ах) нарушения от органа государственного финансового контроля) направляет получателю гранта требование об устранении нарушения в сроки, указанные в таком требовании.</w:t>
      </w:r>
    </w:p>
    <w:p>
      <w:pPr>
        <w:pStyle w:val="0"/>
        <w:spacing w:before="200" w:lineRule="auto"/>
        <w:ind w:firstLine="540"/>
        <w:jc w:val="both"/>
      </w:pPr>
      <w:r>
        <w:rPr>
          <w:sz w:val="20"/>
        </w:rPr>
        <w:t xml:space="preserve">В случае, если в установленные в требовании об устранении нарушений сроки такие нарушения не были устранены, Министерство в течение 10 рабочих дней с даты окончания указанных сроков направляет получателю требование о возврате гранта в бюджет Тамбовской области. Грант подлежит возврату получателем в течение 30 календарных дней со дня получения требования. При невозврате гранта в указанный срок Министерство принимает меры по взысканию подлежащей возврату суммы гранта в бюджет Тамбовской области в судебном порядке в сроки, предусмотренные Гражданским </w:t>
      </w:r>
      <w:hyperlink w:history="0" r:id="rId45"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5.3. В случае установления Министерством или получения от органа государственного финансового контроля информации о факте(ах) нарушения лицами, получающими средства на основании договоров (соглашений), заключенных с получателем гранта, условий предоставления гранта, установленных при предоставлении гранта, Министерство в течение 30 рабочих дней с даты выявления такого нарушения (с даты получения информации о факте(ах) нарушения от органа государственного финансового контроля) направляет лицам, получающим средства на основании договоров (соглашений), заключенных с получателями, требование об устранении нарушения в сроки, указанные в таком требовании.</w:t>
      </w:r>
    </w:p>
    <w:p>
      <w:pPr>
        <w:pStyle w:val="0"/>
        <w:spacing w:before="200" w:lineRule="auto"/>
        <w:ind w:firstLine="540"/>
        <w:jc w:val="both"/>
      </w:pPr>
      <w:r>
        <w:rPr>
          <w:sz w:val="20"/>
        </w:rPr>
        <w:t xml:space="preserve">В случае, если в установленные в требовании об устранении нарушений сроки такие нарушения не были устранены, Министерство в течение 10 рабочих дней с даты окончания указанных сроков направляет лицам, получающим средства на основании договоров (соглашений), заключенных с получателем, требование о возврате гранта в бюджет Тамбовской области. Грант подлежит возврату лицами, получающими средства на основании договоров (соглашений), заключенных с получателем, в течение 30 календарных дней со дня получения требования. При невозврате гранта в указанный срок Министерство принимает меры по взысканию подлежащей возврату суммы гранта в бюджет Тамбовской области в судебном порядке, в сроки, предусмотренные Гражданским </w:t>
      </w:r>
      <w:hyperlink w:history="0" r:id="rId4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кодексом</w:t>
        </w:r>
      </w:hyperlink>
      <w:r>
        <w:rPr>
          <w:sz w:val="20"/>
        </w:rPr>
        <w:t xml:space="preserve"> Российской Федерации.</w:t>
      </w:r>
    </w:p>
    <w:bookmarkStart w:id="261" w:name="P261"/>
    <w:bookmarkEnd w:id="261"/>
    <w:p>
      <w:pPr>
        <w:pStyle w:val="0"/>
        <w:spacing w:before="200" w:lineRule="auto"/>
        <w:ind w:firstLine="540"/>
        <w:jc w:val="both"/>
      </w:pPr>
      <w:r>
        <w:rPr>
          <w:sz w:val="20"/>
        </w:rPr>
        <w:t xml:space="preserve">5.4. В случае недостижения значений результатов предоставления гранта, выявленного в том числе по фактам проверок, проведенных Министерством и (или) органом государственного финансового контроля, получателем гранта осуществляется возврат средств гранта в бюджет, из которого предоставлен грант, в размере средств (Vвозврата), рассчитываемом по формуле:</w:t>
      </w:r>
    </w:p>
    <w:p>
      <w:pPr>
        <w:pStyle w:val="0"/>
        <w:ind w:firstLine="540"/>
        <w:jc w:val="both"/>
      </w:pPr>
      <w:r>
        <w:rPr>
          <w:sz w:val="20"/>
        </w:rPr>
      </w:r>
    </w:p>
    <w:p>
      <w:pPr>
        <w:pStyle w:val="0"/>
        <w:jc w:val="center"/>
      </w:pPr>
      <w:r>
        <w:rPr>
          <w:sz w:val="20"/>
        </w:rPr>
        <w:t xml:space="preserve">Vвозврата = (1 - T / S) х Vгранта,</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T - фактически достигнутое некоммерческой организацией, обеспечивающей реализацию дополнительных общеобразовательных программ для детей по приоритетным направлениям дополнительного образования, значение результата предоставления гранта на отчетную дату;</w:t>
      </w:r>
    </w:p>
    <w:p>
      <w:pPr>
        <w:pStyle w:val="0"/>
        <w:spacing w:before="200" w:lineRule="auto"/>
        <w:ind w:firstLine="540"/>
        <w:jc w:val="both"/>
      </w:pPr>
      <w:r>
        <w:rPr>
          <w:sz w:val="20"/>
        </w:rPr>
        <w:t xml:space="preserve">S - плановое значение результата предоставления гранта;</w:t>
      </w:r>
    </w:p>
    <w:p>
      <w:pPr>
        <w:pStyle w:val="0"/>
        <w:spacing w:before="200" w:lineRule="auto"/>
        <w:ind w:firstLine="540"/>
        <w:jc w:val="both"/>
      </w:pPr>
      <w:r>
        <w:rPr>
          <w:sz w:val="20"/>
        </w:rPr>
        <w:t xml:space="preserve">Vгранта </w:t>
      </w:r>
      <w:r>
        <w:rPr>
          <w:sz w:val="20"/>
          <w:i w:val="on"/>
        </w:rPr>
        <w:t xml:space="preserve">-</w:t>
      </w:r>
      <w:r>
        <w:rPr>
          <w:sz w:val="20"/>
        </w:rPr>
        <w:t xml:space="preserve"> размер гранта, предоставленного некоммерческой организации, обеспечивающей реализацию дополнительных общеобразовательных программ для детей по приоритетным направлениям дополнительного образования, в отчетном финансовом году.</w:t>
      </w:r>
    </w:p>
    <w:p>
      <w:pPr>
        <w:pStyle w:val="0"/>
        <w:spacing w:before="200" w:lineRule="auto"/>
        <w:ind w:firstLine="540"/>
        <w:jc w:val="both"/>
      </w:pPr>
      <w:r>
        <w:rPr>
          <w:sz w:val="20"/>
        </w:rPr>
        <w:t xml:space="preserve">5.5. В течение 30 календарных дней со дня принятия Министерством решения о применении к получателю мер ответственности, предусмотренных </w:t>
      </w:r>
      <w:hyperlink w:history="0" w:anchor="P261" w:tooltip="5.4. В случае недостижения значений результатов предоставления гранта, выявленного в том числе по фактам проверок, проведенных Министерством и (или) органом государственного финансового контроля, получателем гранта осуществляется возврат средств гранта в бюджет, из которого предоставлен грант, в размере средств (Vвозврата), рассчитываемом по формуле:">
        <w:r>
          <w:rPr>
            <w:sz w:val="20"/>
            <w:color w:val="0000ff"/>
          </w:rPr>
          <w:t xml:space="preserve">пунктом 5.4</w:t>
        </w:r>
      </w:hyperlink>
      <w:r>
        <w:rPr>
          <w:sz w:val="20"/>
        </w:rPr>
        <w:t xml:space="preserve"> настоящего Порядка, Министерство направляет получателю требование о возврате гранта в бюджет Тамбовской области за недостижение результата предоставления гранта, которое подлежит исполнению в течение 30 календарных дней со дня получения требования.</w:t>
      </w:r>
    </w:p>
    <w:p>
      <w:pPr>
        <w:pStyle w:val="0"/>
        <w:spacing w:before="200" w:lineRule="auto"/>
        <w:ind w:firstLine="540"/>
        <w:jc w:val="both"/>
      </w:pPr>
      <w:r>
        <w:rPr>
          <w:sz w:val="20"/>
        </w:rPr>
        <w:t xml:space="preserve">При невозврате гранта в указанный срок Министерство принимает меры по взысканию подлежащей возврату суммы гранта в бюджет Тамбовской области в судебном порядке, в сроки, предусмотренные Гражданским </w:t>
      </w:r>
      <w:hyperlink w:history="0" r:id="rId47"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5.6. Требование о возврате гранта, предусмотренное </w:t>
      </w:r>
      <w:hyperlink w:history="0" w:anchor="P257" w:tooltip="5.2. В случае установления Министерством или получения от органа государственного финансового контроля информации о факте(ах) нарушения получателем гранта условий предоставления гранта, предусмотренных настоящим Порядком и Соглашением, Министерство в течение 30 рабочих дней с даты выявления такого нарушения (с даты получения информации о факте(ах) нарушения от органа государственного финансового контроля) направляет получателю гранта требование об устранении нарушения в сроки, указанные в таком требовании.">
        <w:r>
          <w:rPr>
            <w:sz w:val="20"/>
            <w:color w:val="0000ff"/>
          </w:rPr>
          <w:t xml:space="preserve">пунктами 5.2</w:t>
        </w:r>
      </w:hyperlink>
      <w:r>
        <w:rPr>
          <w:sz w:val="20"/>
        </w:rPr>
        <w:t xml:space="preserve">, </w:t>
      </w:r>
      <w:hyperlink w:history="0" w:anchor="P261" w:tooltip="5.4. В случае недостижения значений результатов предоставления гранта, выявленного в том числе по фактам проверок, проведенных Министерством и (или) органом государственного финансового контроля, получателем гранта осуществляется возврат средств гранта в бюджет, из которого предоставлен грант, в размере средств (Vвозврата), рассчитываемом по формуле:">
        <w:r>
          <w:rPr>
            <w:sz w:val="20"/>
            <w:color w:val="0000ff"/>
          </w:rPr>
          <w:t xml:space="preserve">5.4</w:t>
        </w:r>
      </w:hyperlink>
      <w:r>
        <w:rPr>
          <w:sz w:val="20"/>
        </w:rPr>
        <w:t xml:space="preserve"> настоящего Порядка, не применяется в случае, если соблюдение условий предоставления гранта, в том числе исполнение обязательств по достижению значения результата предоставления гранта, оказалось невозможным вследствие обстоятельств непреодолимой силы.</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предоставления грантов в форме</w:t>
      </w:r>
    </w:p>
    <w:p>
      <w:pPr>
        <w:pStyle w:val="0"/>
        <w:jc w:val="right"/>
      </w:pPr>
      <w:r>
        <w:rPr>
          <w:sz w:val="20"/>
        </w:rPr>
        <w:t xml:space="preserve">субсидий из бюджета Тамбовской области</w:t>
      </w:r>
    </w:p>
    <w:p>
      <w:pPr>
        <w:pStyle w:val="0"/>
        <w:jc w:val="right"/>
      </w:pPr>
      <w:r>
        <w:rPr>
          <w:sz w:val="20"/>
        </w:rPr>
        <w:t xml:space="preserve">некоммерческим организациям на обновление</w:t>
      </w:r>
    </w:p>
    <w:p>
      <w:pPr>
        <w:pStyle w:val="0"/>
        <w:jc w:val="right"/>
      </w:pPr>
      <w:r>
        <w:rPr>
          <w:sz w:val="20"/>
        </w:rPr>
        <w:t xml:space="preserve">содержания и технологий дополнительного</w:t>
      </w:r>
    </w:p>
    <w:p>
      <w:pPr>
        <w:pStyle w:val="0"/>
        <w:jc w:val="right"/>
      </w:pPr>
      <w:r>
        <w:rPr>
          <w:sz w:val="20"/>
        </w:rPr>
        <w:t xml:space="preserve">образования по приоритетным направлениям</w:t>
      </w:r>
    </w:p>
    <w:p>
      <w:pPr>
        <w:pStyle w:val="0"/>
        <w:jc w:val="both"/>
      </w:pPr>
      <w:r>
        <w:rPr>
          <w:sz w:val="20"/>
        </w:rPr>
      </w:r>
    </w:p>
    <w:p>
      <w:pPr>
        <w:pStyle w:val="1"/>
        <w:jc w:val="both"/>
      </w:pPr>
      <w:r>
        <w:rPr>
          <w:sz w:val="20"/>
        </w:rPr>
        <w:t xml:space="preserve">                                                                      Форма</w:t>
      </w:r>
    </w:p>
    <w:p>
      <w:pPr>
        <w:pStyle w:val="1"/>
        <w:jc w:val="both"/>
      </w:pPr>
      <w:r>
        <w:rPr>
          <w:sz w:val="20"/>
        </w:rPr>
      </w:r>
    </w:p>
    <w:bookmarkStart w:id="286" w:name="P286"/>
    <w:bookmarkEnd w:id="286"/>
    <w:p>
      <w:pPr>
        <w:pStyle w:val="1"/>
        <w:jc w:val="both"/>
      </w:pPr>
      <w:r>
        <w:rPr>
          <w:sz w:val="20"/>
        </w:rPr>
        <w:t xml:space="preserve">               Гарантийное письмо о выполнении обязательств</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(Ф.И.О.)</w:t>
      </w:r>
    </w:p>
    <w:p>
      <w:pPr>
        <w:pStyle w:val="1"/>
        <w:jc w:val="both"/>
      </w:pPr>
      <w:r>
        <w:rPr>
          <w:sz w:val="20"/>
        </w:rPr>
        <w:t xml:space="preserve">в  случае  получения  гранта  в  форме  субсидии настоящим письмом обязуюсь</w:t>
      </w:r>
    </w:p>
    <w:p>
      <w:pPr>
        <w:pStyle w:val="1"/>
        <w:jc w:val="both"/>
      </w:pPr>
      <w:r>
        <w:rPr>
          <w:sz w:val="20"/>
        </w:rPr>
        <w:t xml:space="preserve">софинансировать  за  счет  собственных  или привлеченных средств расходы на</w:t>
      </w:r>
    </w:p>
    <w:p>
      <w:pPr>
        <w:pStyle w:val="1"/>
        <w:jc w:val="both"/>
      </w:pPr>
      <w:r>
        <w:rPr>
          <w:sz w:val="20"/>
        </w:rPr>
        <w:t xml:space="preserve">реализацию  дополнительных  общеобразовательных  программ  по  приоритетным</w:t>
      </w:r>
    </w:p>
    <w:p>
      <w:pPr>
        <w:pStyle w:val="1"/>
        <w:jc w:val="both"/>
      </w:pPr>
      <w:r>
        <w:rPr>
          <w:sz w:val="20"/>
        </w:rPr>
        <w:t xml:space="preserve">направлениям  дополнительного образования в размере не менее 20% от размера</w:t>
      </w:r>
    </w:p>
    <w:p>
      <w:pPr>
        <w:pStyle w:val="1"/>
        <w:jc w:val="both"/>
      </w:pPr>
      <w:r>
        <w:rPr>
          <w:sz w:val="20"/>
        </w:rPr>
        <w:t xml:space="preserve">гранта.</w:t>
      </w:r>
    </w:p>
    <w:p>
      <w:pPr>
        <w:pStyle w:val="1"/>
        <w:jc w:val="both"/>
      </w:pPr>
      <w:r>
        <w:rPr>
          <w:sz w:val="20"/>
        </w:rPr>
      </w:r>
    </w:p>
    <w:p>
      <w:pPr>
        <w:pStyle w:val="1"/>
        <w:jc w:val="both"/>
      </w:pPr>
      <w:r>
        <w:rPr>
          <w:sz w:val="20"/>
        </w:rPr>
        <w:t xml:space="preserve">Участник отбора ___________________________ "__" __________ 202__ г.</w:t>
      </w:r>
    </w:p>
    <w:p>
      <w:pPr>
        <w:pStyle w:val="1"/>
        <w:jc w:val="both"/>
      </w:pPr>
      <w:r>
        <w:rPr>
          <w:sz w:val="20"/>
        </w:rPr>
        <w:t xml:space="preserve">    М.П. (при наличии) (Ф.И.О., подпись)</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Тамбовской области от 19.05.2025 N 338</w:t>
            <w:br/>
            <w:t>(ред. от 22.09.2025)</w:t>
            <w:br/>
            <w:t>"Об утверждении Порядка предоста...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44&amp;n=204260&amp;dst=100005" TargetMode = "External"/><Relationship Id="rId9" Type="http://schemas.openxmlformats.org/officeDocument/2006/relationships/hyperlink" Target="https://login.consultant.ru/link/?req=doc&amp;base=LAW&amp;n=520154&amp;dst=7461" TargetMode = "External"/><Relationship Id="rId10" Type="http://schemas.openxmlformats.org/officeDocument/2006/relationships/hyperlink" Target="https://login.consultant.ru/link/?req=doc&amp;base=LAW&amp;n=490805&amp;dst=100019" TargetMode = "External"/><Relationship Id="rId11" Type="http://schemas.openxmlformats.org/officeDocument/2006/relationships/hyperlink" Target="https://login.consultant.ru/link/?req=doc&amp;base=RLAW444&amp;n=207353&amp;dst=589894" TargetMode = "External"/><Relationship Id="rId12" Type="http://schemas.openxmlformats.org/officeDocument/2006/relationships/hyperlink" Target="www.pravo.gov.ru" TargetMode = "External"/><Relationship Id="rId13" Type="http://schemas.openxmlformats.org/officeDocument/2006/relationships/hyperlink" Target="www.tamlife.ru" TargetMode = "External"/><Relationship Id="rId14" Type="http://schemas.openxmlformats.org/officeDocument/2006/relationships/hyperlink" Target="https://login.consultant.ru/link/?req=doc&amp;base=RLAW444&amp;n=204260&amp;dst=100005" TargetMode = "External"/><Relationship Id="rId15" Type="http://schemas.openxmlformats.org/officeDocument/2006/relationships/hyperlink" Target="https://login.consultant.ru/link/?req=doc&amp;base=LAW&amp;n=520154&amp;dst=7461" TargetMode = "External"/><Relationship Id="rId16" Type="http://schemas.openxmlformats.org/officeDocument/2006/relationships/hyperlink" Target="https://login.consultant.ru/link/?req=doc&amp;base=LAW&amp;n=490805&amp;dst=100019" TargetMode = "External"/><Relationship Id="rId17" Type="http://schemas.openxmlformats.org/officeDocument/2006/relationships/hyperlink" Target="https://login.consultant.ru/link/?req=doc&amp;base=RLAW444&amp;n=207353" TargetMode = "External"/><Relationship Id="rId18" Type="http://schemas.openxmlformats.org/officeDocument/2006/relationships/hyperlink" Target="https://login.consultant.ru/link/?req=doc&amp;base=RLAW444&amp;n=207353&amp;dst=589894" TargetMode = "External"/><Relationship Id="rId19" Type="http://schemas.openxmlformats.org/officeDocument/2006/relationships/hyperlink" Target="https://login.consultant.ru/link/?req=doc&amp;base=RLAW444&amp;n=204260&amp;dst=100006" TargetMode = "External"/><Relationship Id="rId20" Type="http://schemas.openxmlformats.org/officeDocument/2006/relationships/hyperlink" Target="https://obraz.tmbreg.ru" TargetMode = "External"/><Relationship Id="rId21" Type="http://schemas.openxmlformats.org/officeDocument/2006/relationships/hyperlink" Target="https://login.consultant.ru/link/?req=doc&amp;base=LAW&amp;n=121087&amp;dst=100142" TargetMode = "External"/><Relationship Id="rId22" Type="http://schemas.openxmlformats.org/officeDocument/2006/relationships/hyperlink" Target="https://login.consultant.ru/link/?req=doc&amp;base=LAW&amp;n=503698" TargetMode = "External"/><Relationship Id="rId23" Type="http://schemas.openxmlformats.org/officeDocument/2006/relationships/hyperlink" Target="https://login.consultant.ru/link/?req=doc&amp;base=LAW&amp;n=520119&amp;dst=5769" TargetMode = "External"/><Relationship Id="rId24" Type="http://schemas.openxmlformats.org/officeDocument/2006/relationships/hyperlink" Target="https://login.consultant.ru/link/?req=doc&amp;base=LAW&amp;n=508490&amp;dst=101922" TargetMode = "External"/><Relationship Id="rId25" Type="http://schemas.openxmlformats.org/officeDocument/2006/relationships/hyperlink" Target="https://login.consultant.ru/link/?req=doc&amp;base=RLAW444&amp;n=204260&amp;dst=100009" TargetMode = "External"/><Relationship Id="rId26" Type="http://schemas.openxmlformats.org/officeDocument/2006/relationships/hyperlink" Target="https://login.consultant.ru/link/?req=doc&amp;base=RLAW444&amp;n=200480" TargetMode = "External"/><Relationship Id="rId27" Type="http://schemas.openxmlformats.org/officeDocument/2006/relationships/hyperlink" Target="https://login.consultant.ru/link/?req=doc&amp;base=RLAW444&amp;n=204260&amp;dst=100010" TargetMode = "External"/><Relationship Id="rId28" Type="http://schemas.openxmlformats.org/officeDocument/2006/relationships/hyperlink" Target="https://login.consultant.ru/link/?req=doc&amp;base=RLAW444&amp;n=204260&amp;dst=100010" TargetMode = "External"/><Relationship Id="rId29" Type="http://schemas.openxmlformats.org/officeDocument/2006/relationships/hyperlink" Target="https://login.consultant.ru/link/?req=doc&amp;base=RLAW444&amp;n=204260&amp;dst=100010" TargetMode = "External"/><Relationship Id="rId30" Type="http://schemas.openxmlformats.org/officeDocument/2006/relationships/hyperlink" Target="https://login.consultant.ru/link/?req=doc&amp;base=LAW&amp;n=508490&amp;dst=217" TargetMode = "External"/><Relationship Id="rId31" Type="http://schemas.openxmlformats.org/officeDocument/2006/relationships/hyperlink" Target="https://login.consultant.ru/link/?req=doc&amp;base=LAW&amp;n=494637&amp;dst=100058" TargetMode = "External"/><Relationship Id="rId32" Type="http://schemas.openxmlformats.org/officeDocument/2006/relationships/hyperlink" Target="https://login.consultant.ru/link/?req=doc&amp;base=RLAW444&amp;n=204260&amp;dst=100011" TargetMode = "External"/><Relationship Id="rId33" Type="http://schemas.openxmlformats.org/officeDocument/2006/relationships/hyperlink" Target="https://login.consultant.ru/link/?req=doc&amp;base=LAW&amp;n=516950" TargetMode = "External"/><Relationship Id="rId34" Type="http://schemas.openxmlformats.org/officeDocument/2006/relationships/hyperlink" Target="https://login.consultant.ru/link/?req=doc&amp;base=RLAW444&amp;n=204260&amp;dst=100013" TargetMode = "External"/><Relationship Id="rId35" Type="http://schemas.openxmlformats.org/officeDocument/2006/relationships/hyperlink" Target="https://login.consultant.ru/link/?req=doc&amp;base=LAW&amp;n=520154&amp;dst=3704" TargetMode = "External"/><Relationship Id="rId36" Type="http://schemas.openxmlformats.org/officeDocument/2006/relationships/hyperlink" Target="https://login.consultant.ru/link/?req=doc&amp;base=LAW&amp;n=520154&amp;dst=3722" TargetMode = "External"/><Relationship Id="rId37" Type="http://schemas.openxmlformats.org/officeDocument/2006/relationships/hyperlink" Target="https://login.consultant.ru/link/?req=doc&amp;base=RLAW444&amp;n=204260&amp;dst=100015" TargetMode = "External"/><Relationship Id="rId38" Type="http://schemas.openxmlformats.org/officeDocument/2006/relationships/hyperlink" Target="https://login.consultant.ru/link/?req=doc&amp;base=RLAW444&amp;n=204260&amp;dst=100019" TargetMode = "External"/><Relationship Id="rId39" Type="http://schemas.openxmlformats.org/officeDocument/2006/relationships/hyperlink" Target="https://login.consultant.ru/link/?req=doc&amp;base=LAW&amp;n=520154&amp;dst=3704" TargetMode = "External"/><Relationship Id="rId40" Type="http://schemas.openxmlformats.org/officeDocument/2006/relationships/hyperlink" Target="https://login.consultant.ru/link/?req=doc&amp;base=LAW&amp;n=520154&amp;dst=3722" TargetMode = "External"/><Relationship Id="rId41" Type="http://schemas.openxmlformats.org/officeDocument/2006/relationships/hyperlink" Target="https://login.consultant.ru/link/?req=doc&amp;base=RLAW444&amp;n=204260&amp;dst=100024" TargetMode = "External"/><Relationship Id="rId42" Type="http://schemas.openxmlformats.org/officeDocument/2006/relationships/hyperlink" Target="https://login.consultant.ru/link/?req=doc&amp;base=RLAW444&amp;n=204260&amp;dst=100028" TargetMode = "External"/><Relationship Id="rId43" Type="http://schemas.openxmlformats.org/officeDocument/2006/relationships/hyperlink" Target="https://login.consultant.ru/link/?req=doc&amp;base=LAW&amp;n=520154&amp;dst=3704" TargetMode = "External"/><Relationship Id="rId44" Type="http://schemas.openxmlformats.org/officeDocument/2006/relationships/hyperlink" Target="https://login.consultant.ru/link/?req=doc&amp;base=LAW&amp;n=520154&amp;dst=3722" TargetMode = "External"/><Relationship Id="rId45" Type="http://schemas.openxmlformats.org/officeDocument/2006/relationships/hyperlink" Target="https://login.consultant.ru/link/?req=doc&amp;base=LAW&amp;n=508490" TargetMode = "External"/><Relationship Id="rId46" Type="http://schemas.openxmlformats.org/officeDocument/2006/relationships/hyperlink" Target="https://login.consultant.ru/link/?req=doc&amp;base=LAW&amp;n=508490" TargetMode = "External"/><Relationship Id="rId47" Type="http://schemas.openxmlformats.org/officeDocument/2006/relationships/hyperlink" Target="https://login.consultant.ru/link/?req=doc&amp;base=LAW&amp;n=50849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Тамбовской области от 19.05.2025 N 338
(ред. от 22.09.2025)
"Об утверждении Порядка предоставления грантов в форме субсидий из бюджета Тамбовской области некоммерческим организациям на обновление содержания и технологий дополнительного образования по приоритетным направлениям"</dc:title>
  <dcterms:created xsi:type="dcterms:W3CDTF">2026-01-08T13:57:14Z</dcterms:created>
</cp:coreProperties>
</file>