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лесами Тамбовской области от 08.08.2022 N 413</w:t>
              <w:br/>
              <w:t xml:space="preserve">"Об утверждении Положения об общественном совете при управлении лесами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ЛЕСАМИ ТАМБОВСКОЙ ОБЛАСТИ</w:t>
      </w:r>
    </w:p>
    <w:p>
      <w:pPr>
        <w:pStyle w:val="2"/>
        <w:jc w:val="both"/>
      </w:pPr>
      <w:r>
        <w:rPr>
          <w:sz w:val="20"/>
        </w:rPr>
      </w:r>
    </w:p>
    <w:p>
      <w:pPr>
        <w:pStyle w:val="2"/>
        <w:jc w:val="center"/>
      </w:pPr>
      <w:r>
        <w:rPr>
          <w:sz w:val="20"/>
        </w:rPr>
        <w:t xml:space="preserve">ПРИКАЗ</w:t>
      </w:r>
    </w:p>
    <w:p>
      <w:pPr>
        <w:pStyle w:val="2"/>
        <w:jc w:val="center"/>
      </w:pPr>
      <w:r>
        <w:rPr>
          <w:sz w:val="20"/>
        </w:rPr>
        <w:t xml:space="preserve">от 8 августа 2022 г. N 413</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ЛЕСАМИ ТАМБОВСКОЙ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w:t>
      </w:r>
      <w:hyperlink w:history="0" r:id="rId8"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w:t>
      </w:r>
      <w:hyperlink w:history="0" r:id="rId9"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постановлением</w:t>
        </w:r>
      </w:hyperlink>
      <w:r>
        <w:rPr>
          <w:sz w:val="20"/>
        </w:rPr>
        <w:t xml:space="preserve"> администрации Тамбовской области от 14.12.2015 N 1470 "Об утверждении Типового положения об общественном совете при органе исполнительной власти области" приказываю:</w:t>
      </w:r>
    </w:p>
    <w:p>
      <w:pPr>
        <w:pStyle w:val="0"/>
        <w:spacing w:before="200" w:line-rule="auto"/>
        <w:ind w:firstLine="540"/>
        <w:jc w:val="both"/>
      </w:pPr>
      <w:r>
        <w:rPr>
          <w:sz w:val="20"/>
        </w:rPr>
        <w:t xml:space="preserve">1. Утвердить </w:t>
      </w:r>
      <w:hyperlink w:history="0" w:anchor="P30" w:tooltip="ПОЛОЖЕНИЕ">
        <w:r>
          <w:rPr>
            <w:sz w:val="20"/>
            <w:color w:val="0000ff"/>
          </w:rPr>
          <w:t xml:space="preserve">Положение</w:t>
        </w:r>
      </w:hyperlink>
      <w:r>
        <w:rPr>
          <w:sz w:val="20"/>
        </w:rPr>
        <w:t xml:space="preserve"> об общественном совете при управлении лесами Тамбовской области согласно приложению.</w:t>
      </w:r>
    </w:p>
    <w:p>
      <w:pPr>
        <w:pStyle w:val="0"/>
        <w:spacing w:before="200" w:line-rule="auto"/>
        <w:ind w:firstLine="540"/>
        <w:jc w:val="both"/>
      </w:pPr>
      <w:r>
        <w:rPr>
          <w:sz w:val="20"/>
        </w:rPr>
        <w:t xml:space="preserve">2. Признать утратившими силу приказы управления лесами Тамбовской области от:</w:t>
      </w:r>
    </w:p>
    <w:p>
      <w:pPr>
        <w:pStyle w:val="0"/>
        <w:spacing w:before="200" w:line-rule="auto"/>
        <w:ind w:firstLine="540"/>
        <w:jc w:val="both"/>
      </w:pPr>
      <w:r>
        <w:rPr>
          <w:sz w:val="20"/>
        </w:rPr>
        <w:t xml:space="preserve">28.05.2020 </w:t>
      </w:r>
      <w:hyperlink w:history="0" r:id="rId10" w:tooltip="Приказ управления лесами Тамбовской области от 28.05.2020 N 240 (ред. от 28.07.2020) &quot;Об утверждении Положения об общественном совете при управлении лесами Тамбовской области&quot; ------------ Утратил силу или отменен {КонсультантПлюс}">
        <w:r>
          <w:rPr>
            <w:sz w:val="20"/>
            <w:color w:val="0000ff"/>
          </w:rPr>
          <w:t xml:space="preserve">N 240</w:t>
        </w:r>
      </w:hyperlink>
      <w:r>
        <w:rPr>
          <w:sz w:val="20"/>
        </w:rPr>
        <w:t xml:space="preserve"> "Об утверждении Положения об общественном совете при управлении лесами Тамбовской области";</w:t>
      </w:r>
    </w:p>
    <w:p>
      <w:pPr>
        <w:pStyle w:val="0"/>
        <w:spacing w:before="200" w:line-rule="auto"/>
        <w:ind w:firstLine="540"/>
        <w:jc w:val="both"/>
      </w:pPr>
      <w:r>
        <w:rPr>
          <w:sz w:val="20"/>
        </w:rPr>
        <w:t xml:space="preserve">28.07.2020 </w:t>
      </w:r>
      <w:hyperlink w:history="0" r:id="rId11" w:tooltip="Приказ управления лесами Тамбовской области от 28.07.2020 N 286 &quot;О внесении изменений в Положение об общественном совете при управлении лесами Тамбовской области&quot; ------------ Утратил силу или отменен {КонсультантПлюс}">
        <w:r>
          <w:rPr>
            <w:sz w:val="20"/>
            <w:color w:val="0000ff"/>
          </w:rPr>
          <w:t xml:space="preserve">N 286</w:t>
        </w:r>
      </w:hyperlink>
      <w:r>
        <w:rPr>
          <w:sz w:val="20"/>
        </w:rPr>
        <w:t xml:space="preserve"> "О внесении изменений в Положение об общественном совете при управлении лесами Тамбовской области".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и разместить на официальном сайте управления лесами области в сети "Интернет".</w:t>
      </w:r>
    </w:p>
    <w:p>
      <w:pPr>
        <w:pStyle w:val="0"/>
        <w:spacing w:before="200" w:line-rule="auto"/>
        <w:ind w:firstLine="540"/>
        <w:jc w:val="both"/>
      </w:pPr>
      <w:r>
        <w:rPr>
          <w:sz w:val="20"/>
        </w:rPr>
        <w:t xml:space="preserve">4. Контроль за исполнением настоящего приказа оставляю за собой.</w:t>
      </w:r>
    </w:p>
    <w:p>
      <w:pPr>
        <w:pStyle w:val="0"/>
        <w:jc w:val="both"/>
      </w:pPr>
      <w:r>
        <w:rPr>
          <w:sz w:val="20"/>
        </w:rPr>
      </w:r>
    </w:p>
    <w:p>
      <w:pPr>
        <w:pStyle w:val="0"/>
        <w:jc w:val="right"/>
      </w:pPr>
      <w:r>
        <w:rPr>
          <w:sz w:val="20"/>
        </w:rPr>
        <w:t xml:space="preserve">И.о. начальника управления</w:t>
      </w:r>
    </w:p>
    <w:p>
      <w:pPr>
        <w:pStyle w:val="0"/>
        <w:jc w:val="right"/>
      </w:pPr>
      <w:r>
        <w:rPr>
          <w:sz w:val="20"/>
        </w:rPr>
        <w:t xml:space="preserve">М.А.Сатин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Утверждено</w:t>
      </w:r>
    </w:p>
    <w:p>
      <w:pPr>
        <w:pStyle w:val="0"/>
        <w:jc w:val="right"/>
      </w:pPr>
      <w:r>
        <w:rPr>
          <w:sz w:val="20"/>
        </w:rPr>
        <w:t xml:space="preserve">приказом</w:t>
      </w:r>
    </w:p>
    <w:p>
      <w:pPr>
        <w:pStyle w:val="0"/>
        <w:jc w:val="right"/>
      </w:pPr>
      <w:r>
        <w:rPr>
          <w:sz w:val="20"/>
        </w:rPr>
        <w:t xml:space="preserve">управления лесами области</w:t>
      </w:r>
    </w:p>
    <w:p>
      <w:pPr>
        <w:pStyle w:val="0"/>
        <w:jc w:val="right"/>
      </w:pPr>
      <w:r>
        <w:rPr>
          <w:sz w:val="20"/>
        </w:rPr>
        <w:t xml:space="preserve">от 08.08.2022 N 413</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УПРАВЛЕНИИ ЛЕСАМИ ТАМБОВСКОЙ</w:t>
      </w:r>
    </w:p>
    <w:p>
      <w:pPr>
        <w:pStyle w:val="2"/>
        <w:jc w:val="center"/>
      </w:pPr>
      <w:r>
        <w:rPr>
          <w:sz w:val="20"/>
        </w:rPr>
        <w:t xml:space="preserve">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управлении лесами Тамбовской области (далее - Положение) определяет компетенцию, порядок деятельности общественного совета при управлении лесами Тамбовской области (далее - Общественный совет, Управление),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иные положения, связанные с особенностями деятельности Управления.</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Управления.</w:t>
      </w:r>
    </w:p>
    <w:p>
      <w:pPr>
        <w:pStyle w:val="0"/>
        <w:spacing w:before="200" w:line-rule="auto"/>
        <w:ind w:firstLine="540"/>
        <w:jc w:val="both"/>
      </w:pPr>
      <w:r>
        <w:rPr>
          <w:sz w:val="20"/>
        </w:rPr>
        <w:t xml:space="preserve">1.3. Общественный совет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4" w:tooltip="&quot;Устав (Основной Закон) Тамбовской области Российской Федерации&quot; (принят Постановлением Тамбовской областной Думы от 30.11.1994 N 84) (ред. от 26.04.2022) (с изм. и доп., вступающими в силу с 01.06.2022) {КонсультантПлюс}">
        <w:r>
          <w:rPr>
            <w:sz w:val="20"/>
            <w:color w:val="0000ff"/>
          </w:rPr>
          <w:t xml:space="preserve">Уставом</w:t>
        </w:r>
      </w:hyperlink>
      <w:r>
        <w:rPr>
          <w:sz w:val="20"/>
        </w:rPr>
        <w:t xml:space="preserve"> (Основным Законом) Тамбовской области,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1.4.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1.5. Общественный совет формируется в целях наиболее эффективного взаимодействия Управления с Общественной палатой Тамбовской области, общественными организациями, представителями научного сообщества и деловых кругов при реализации полномочий, отнесенных к ведению Управления.</w:t>
      </w:r>
    </w:p>
    <w:p>
      <w:pPr>
        <w:pStyle w:val="0"/>
        <w:spacing w:before="200" w:line-rule="auto"/>
        <w:ind w:firstLine="540"/>
        <w:jc w:val="both"/>
      </w:pPr>
      <w:r>
        <w:rPr>
          <w:sz w:val="20"/>
        </w:rPr>
        <w:t xml:space="preserve">1.6. Порядок взаимодействия Общественного совета с Общественной палатой Тамбовской области регламентируется Положением и согласовывается с Советом Общественной палаты Тамбовской области.</w:t>
      </w:r>
    </w:p>
    <w:p>
      <w:pPr>
        <w:pStyle w:val="0"/>
        <w:spacing w:before="200" w:line-rule="auto"/>
        <w:ind w:firstLine="540"/>
        <w:jc w:val="both"/>
      </w:pPr>
      <w:r>
        <w:rPr>
          <w:sz w:val="20"/>
        </w:rPr>
        <w:t xml:space="preserve">Взаимодействие Общественного совета с Общественной палатой Тамбовской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Тамбовской области (по приглашению);</w:t>
      </w:r>
    </w:p>
    <w:p>
      <w:pPr>
        <w:pStyle w:val="0"/>
        <w:spacing w:before="200" w:line-rule="auto"/>
        <w:ind w:firstLine="540"/>
        <w:jc w:val="both"/>
      </w:pPr>
      <w:r>
        <w:rPr>
          <w:sz w:val="20"/>
        </w:rPr>
        <w:t xml:space="preserve">участие членов Общественной палаты Тамбовской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Тамбовской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Тамбовской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1.7. Состав Общественного совета формируется в количестве 7 человек.</w:t>
      </w:r>
    </w:p>
    <w:p>
      <w:pPr>
        <w:pStyle w:val="0"/>
        <w:spacing w:before="200" w:line-rule="auto"/>
        <w:ind w:firstLine="540"/>
        <w:jc w:val="both"/>
      </w:pPr>
      <w:r>
        <w:rPr>
          <w:sz w:val="20"/>
        </w:rPr>
        <w:t xml:space="preserve">1.8.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1.9. Управление разрабатывает положение об Общественном совете на основе Типового </w:t>
      </w:r>
      <w:hyperlink w:history="0" r:id="rId15"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положения</w:t>
        </w:r>
      </w:hyperlink>
      <w:r>
        <w:rPr>
          <w:sz w:val="20"/>
        </w:rPr>
        <w:t xml:space="preserve"> об общественном совете при органе исполнительной власти области, утвержденного постановлением администрации области от 14.12.2015 N 1470, и утверждает его приказом Управления.</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Управления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Управлением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Управления,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Управления.</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7"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Управления.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Управления, связанным с реализацией Управлением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Управления;</w:t>
      </w:r>
    </w:p>
    <w:p>
      <w:pPr>
        <w:pStyle w:val="0"/>
        <w:spacing w:before="200" w:line-rule="auto"/>
        <w:ind w:firstLine="540"/>
        <w:jc w:val="both"/>
      </w:pPr>
      <w:r>
        <w:rPr>
          <w:sz w:val="20"/>
        </w:rPr>
        <w:t xml:space="preserve">2.2.6. рассмотрение и оценка мероприятий Управления в части, касающейся функционирования антимонопольного комплаенса;</w:t>
      </w:r>
    </w:p>
    <w:p>
      <w:pPr>
        <w:pStyle w:val="0"/>
        <w:spacing w:before="200" w:line-rule="auto"/>
        <w:ind w:firstLine="540"/>
        <w:jc w:val="both"/>
      </w:pPr>
      <w:r>
        <w:rPr>
          <w:sz w:val="20"/>
        </w:rPr>
        <w:t xml:space="preserve">2.2.7.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Управления.</w:t>
      </w:r>
    </w:p>
    <w:p>
      <w:pPr>
        <w:pStyle w:val="0"/>
        <w:jc w:val="both"/>
      </w:pPr>
      <w:r>
        <w:rPr>
          <w:sz w:val="20"/>
        </w:rPr>
      </w:r>
    </w:p>
    <w:bookmarkStart w:id="73" w:name="P73"/>
    <w:bookmarkEnd w:id="73"/>
    <w:p>
      <w:pPr>
        <w:pStyle w:val="2"/>
        <w:outlineLvl w:val="1"/>
        <w:jc w:val="center"/>
      </w:pPr>
      <w:r>
        <w:rPr>
          <w:sz w:val="20"/>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Управлением в соответствии с требованиями Федерального </w:t>
      </w:r>
      <w:hyperlink w:history="0" r:id="rId1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19"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Для проведения конкурса Управление образует конкурсную комиссию. В состав конкурсной комиссии входят начальник Управления и (или) уполномоченные им представители, а также представители Общественной палаты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20"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81" w:name="P81"/>
    <w:bookmarkEnd w:id="81"/>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21"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2" w:tooltip="Закон Тамбовской области от 23.12.2016 N 57-З (ред. от 27.07.2022) &quot;Об Общественной палате Тамбовской области&quot; (принят Постановлением Тамбовской областной Думы от 23.12.2016 N 177) {КонсультантПлюс}">
        <w:r>
          <w:rPr>
            <w:sz w:val="20"/>
            <w:color w:val="0000ff"/>
          </w:rPr>
          <w:t xml:space="preserve">Законом</w:t>
        </w:r>
      </w:hyperlink>
      <w:r>
        <w:rPr>
          <w:sz w:val="20"/>
        </w:rPr>
        <w:t xml:space="preserve">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Управления.</w:t>
      </w:r>
    </w:p>
    <w:p>
      <w:pPr>
        <w:pStyle w:val="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w:t>
      </w:r>
    </w:p>
    <w:p>
      <w:pPr>
        <w:pStyle w:val="0"/>
        <w:jc w:val="both"/>
      </w:pPr>
      <w:r>
        <w:rPr>
          <w:sz w:val="20"/>
        </w:rPr>
      </w:r>
    </w:p>
    <w:p>
      <w:pPr>
        <w:pStyle w:val="0"/>
        <w:ind w:firstLine="540"/>
        <w:jc w:val="both"/>
      </w:pPr>
      <w:r>
        <w:rPr>
          <w:sz w:val="20"/>
        </w:rPr>
        <w:t xml:space="preserve">4.1.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4.2. Заседания конкурсной комиссии проводятся по мере необходимости.</w:t>
      </w:r>
    </w:p>
    <w:p>
      <w:pPr>
        <w:pStyle w:val="0"/>
        <w:spacing w:before="200" w:line-rule="auto"/>
        <w:ind w:firstLine="540"/>
        <w:jc w:val="both"/>
      </w:pPr>
      <w:r>
        <w:rPr>
          <w:sz w:val="20"/>
        </w:rPr>
        <w:t xml:space="preserve">4.3. Конкурсная комиссия формируется в составе 5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определяемого согласно </w:t>
      </w:r>
      <w:hyperlink w:history="0" r:id="rId23" w:tooltip="Федеральный закон от 25.12.2008 N 273-ФЗ (ред. от 01.04.2022) &quot;О противодействии коррупции&quot; ------------ Недействующая редакция {КонсультантПлюс}">
        <w:r>
          <w:rPr>
            <w:sz w:val="20"/>
            <w:color w:val="0000ff"/>
          </w:rPr>
          <w:t xml:space="preserve">статьям 10</w:t>
        </w:r>
      </w:hyperlink>
      <w:r>
        <w:rPr>
          <w:sz w:val="20"/>
        </w:rPr>
        <w:t xml:space="preserve">, </w:t>
      </w:r>
      <w:hyperlink w:history="0" r:id="rId24" w:tooltip="Федеральный закон от 25.12.2008 N 273-ФЗ (ред. от 01.04.2022) &quot;О противодействии коррупции&quot; ------------ Недействующая редакция {КонсультантПлюс}">
        <w:r>
          <w:rPr>
            <w:sz w:val="20"/>
            <w:color w:val="0000ff"/>
          </w:rPr>
          <w:t xml:space="preserve">11</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4.4.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4.5.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4.6.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4.7. Объявление о конкурсе размещается на официальном сайте Управления в информационно-телекоммуникационной сети "Интернет" и в газете "Тамбовская жизнь", а также одновременно направляется в Общественную палату Тамбовской области.</w:t>
      </w:r>
    </w:p>
    <w:p>
      <w:pPr>
        <w:pStyle w:val="0"/>
        <w:spacing w:before="200" w:line-rule="auto"/>
        <w:ind w:firstLine="540"/>
        <w:jc w:val="both"/>
      </w:pPr>
      <w:r>
        <w:rPr>
          <w:sz w:val="20"/>
        </w:rPr>
        <w:t xml:space="preserve">4.8.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и форму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места, куда необходимо представить указанные документы.</w:t>
      </w:r>
    </w:p>
    <w:p>
      <w:pPr>
        <w:pStyle w:val="0"/>
        <w:spacing w:before="200" w:line-rule="auto"/>
        <w:ind w:firstLine="540"/>
        <w:jc w:val="both"/>
      </w:pPr>
      <w:r>
        <w:rPr>
          <w:sz w:val="20"/>
        </w:rPr>
        <w:t xml:space="preserve">4.9. Направленное заявление и приложенные к нему документы подлежат регистрации в порядке, установленном инструкцией по делопроизводству в Управлении.</w:t>
      </w:r>
    </w:p>
    <w:bookmarkStart w:id="105" w:name="P105"/>
    <w:bookmarkEnd w:id="105"/>
    <w:p>
      <w:pPr>
        <w:pStyle w:val="0"/>
        <w:spacing w:before="200" w:line-rule="auto"/>
        <w:ind w:firstLine="540"/>
        <w:jc w:val="both"/>
      </w:pPr>
      <w:r>
        <w:rPr>
          <w:sz w:val="20"/>
        </w:rPr>
        <w:t xml:space="preserve">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"Интернет", представляют лично либо направляют по почте </w:t>
      </w:r>
      <w:hyperlink w:history="0" w:anchor="P197" w:tooltip="                                 ЗАЯВЛЕНИЕ">
        <w:r>
          <w:rPr>
            <w:sz w:val="20"/>
            <w:color w:val="0000ff"/>
          </w:rPr>
          <w:t xml:space="preserve">заявление</w:t>
        </w:r>
      </w:hyperlink>
      <w:r>
        <w:rPr>
          <w:sz w:val="20"/>
        </w:rPr>
        <w:t xml:space="preserve"> о выдвижении кандидата в члены Общественного совета при Управлении (далее - кандидат) по форме, указанной в приложении N 1 к настоящему Положению, с приложением следующих документов:</w:t>
      </w:r>
    </w:p>
    <w:p>
      <w:pPr>
        <w:pStyle w:val="0"/>
        <w:spacing w:before="200" w:line-rule="auto"/>
        <w:ind w:firstLine="540"/>
        <w:jc w:val="both"/>
      </w:pPr>
      <w:hyperlink w:history="0" w:anchor="P228" w:tooltip="                                  АНКЕТА">
        <w:r>
          <w:rPr>
            <w:sz w:val="20"/>
            <w:color w:val="0000ff"/>
          </w:rPr>
          <w:t xml:space="preserve">анкета</w:t>
        </w:r>
      </w:hyperlink>
      <w:r>
        <w:rPr>
          <w:sz w:val="20"/>
        </w:rPr>
        <w:t xml:space="preserve"> кандидата в члены Общественного совета по форме, указанной в приложении N 2 к настоящему Положению, с приложением фотографии кандидата размером 30 х 40;</w:t>
      </w:r>
    </w:p>
    <w:p>
      <w:pPr>
        <w:pStyle w:val="0"/>
        <w:spacing w:before="200" w:line-rule="auto"/>
        <w:ind w:firstLine="540"/>
        <w:jc w:val="both"/>
      </w:pPr>
      <w:hyperlink w:history="0" w:anchor="P376" w:tooltip="                            ЗАЯВЛЕНИЕ-СОГЛАСИЕ">
        <w:r>
          <w:rPr>
            <w:sz w:val="20"/>
            <w:color w:val="0000ff"/>
          </w:rPr>
          <w:t xml:space="preserve">заявление-согласие</w:t>
        </w:r>
      </w:hyperlink>
      <w:r>
        <w:rPr>
          <w:sz w:val="20"/>
        </w:rPr>
        <w:t xml:space="preserve"> кандидата на выдвижение в члены Общественного совета по форме, указанной в приложении N 3 к настоящему Положению;</w:t>
      </w:r>
    </w:p>
    <w:p>
      <w:pPr>
        <w:pStyle w:val="0"/>
        <w:spacing w:before="200" w:line-rule="auto"/>
        <w:ind w:firstLine="540"/>
        <w:jc w:val="both"/>
      </w:pPr>
      <w:hyperlink w:history="0" w:anchor="P405" w:tooltip="                           Заявление-согласие">
        <w:r>
          <w:rPr>
            <w:sz w:val="20"/>
            <w:color w:val="0000ff"/>
          </w:rPr>
          <w:t xml:space="preserve">заявление-согласие</w:t>
        </w:r>
      </w:hyperlink>
      <w:r>
        <w:rPr>
          <w:sz w:val="20"/>
        </w:rPr>
        <w:t xml:space="preserve"> кандидата на обработку его персональных данных по форме, указанной в приложении N 4 к настоящему Положению.</w:t>
      </w:r>
    </w:p>
    <w:p>
      <w:pPr>
        <w:pStyle w:val="0"/>
        <w:spacing w:before="200" w:line-rule="auto"/>
        <w:ind w:firstLine="540"/>
        <w:jc w:val="both"/>
      </w:pPr>
      <w:r>
        <w:rPr>
          <w:sz w:val="20"/>
        </w:rPr>
        <w:t xml:space="preserve">4.11. Несвоевременное представление вышеуказанных документов, представление их не в полном объеме, а также представление заведомо ложных сведений о кандидате являются основанием для отказа заявителю в их приеме.</w:t>
      </w:r>
    </w:p>
    <w:p>
      <w:pPr>
        <w:pStyle w:val="0"/>
        <w:spacing w:before="200" w:line-rule="auto"/>
        <w:ind w:firstLine="540"/>
        <w:jc w:val="both"/>
      </w:pPr>
      <w:r>
        <w:rPr>
          <w:sz w:val="20"/>
        </w:rPr>
        <w:t xml:space="preserve">4.12. Решение о дате, месте и времени проведения конкурса принимается начальником Управления после окончания срока подачи документов.</w:t>
      </w:r>
    </w:p>
    <w:p>
      <w:pPr>
        <w:pStyle w:val="0"/>
        <w:spacing w:before="200" w:line-rule="auto"/>
        <w:ind w:firstLine="540"/>
        <w:jc w:val="both"/>
      </w:pPr>
      <w:r>
        <w:rPr>
          <w:sz w:val="20"/>
        </w:rPr>
        <w:t xml:space="preserve">4.13. Организация и проведение конкурса возлагается на конкурсную комиссию.</w:t>
      </w:r>
    </w:p>
    <w:p>
      <w:pPr>
        <w:pStyle w:val="0"/>
        <w:spacing w:before="200" w:line-rule="auto"/>
        <w:ind w:firstLine="540"/>
        <w:jc w:val="both"/>
      </w:pPr>
      <w:r>
        <w:rPr>
          <w:sz w:val="20"/>
        </w:rPr>
        <w:t xml:space="preserve">4.14. На заседании конкурсной комиссии изучаются документы, представленные кандидатами, на предмет соответствия кандидатов требованиям, установленными настоящим Положением.</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4.15.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настоящим Положением;</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w:t>
      </w:r>
      <w:hyperlink w:history="0" w:anchor="P105" w:tooltip="4.10.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quot;Интернет&quot;, представляют лично либо направляют по почте заявление о выдвижении кандидата в члены Общественного совета п...">
        <w:r>
          <w:rPr>
            <w:sz w:val="20"/>
            <w:color w:val="0000ff"/>
          </w:rPr>
          <w:t xml:space="preserve">пунктом 4.10</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4.16.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4.17.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4.18. 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опыта работы и (или) опыта общественной деятельности по профилю деятельности Управления, при котором формируется Общественный совет (от одного года - 1 балл, от двух лет - 2 балла, более трех лет - 3 балла);</w:t>
      </w:r>
    </w:p>
    <w:p>
      <w:pPr>
        <w:pStyle w:val="0"/>
        <w:spacing w:before="200" w:line-rule="auto"/>
        <w:ind w:firstLine="540"/>
        <w:jc w:val="both"/>
      </w:pPr>
      <w:r>
        <w:rPr>
          <w:sz w:val="20"/>
        </w:rPr>
        <w:t xml:space="preserve">наличие достижений в сфере, соответствующей деятельности Общественного совета, подтвержденные документами (на уровне местного самоуправления - 1 балл, на региональном уровне - 2 балла, на федеральном уровне - 3 балла).</w:t>
      </w:r>
    </w:p>
    <w:p>
      <w:pPr>
        <w:pStyle w:val="0"/>
        <w:spacing w:before="200" w:line-rule="auto"/>
        <w:ind w:firstLine="540"/>
        <w:jc w:val="both"/>
      </w:pPr>
      <w:r>
        <w:rPr>
          <w:sz w:val="20"/>
        </w:rPr>
        <w:t xml:space="preserve">4.19. По результатам проведения конкурса конкурсная комиссия принимает решение о результатах проведения конкурса, с указанием кандидатов, набравших наибольшее количество баллов, и представляемых для включения в состав Общественного совета.</w:t>
      </w:r>
    </w:p>
    <w:p>
      <w:pPr>
        <w:pStyle w:val="0"/>
        <w:spacing w:before="200" w:line-rule="auto"/>
        <w:ind w:firstLine="540"/>
        <w:jc w:val="both"/>
      </w:pPr>
      <w:r>
        <w:rPr>
          <w:sz w:val="20"/>
        </w:rPr>
        <w:t xml:space="preserve">4.20.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4.21.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4.22. Управление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Тамбовской области.</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начальником Управления.</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начальником Управления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начальнику Управления в течение семи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начальнику Управления для рассмотрения.</w:t>
      </w:r>
    </w:p>
    <w:p>
      <w:pPr>
        <w:pStyle w:val="0"/>
        <w:spacing w:before="200" w:line-rule="auto"/>
        <w:ind w:firstLine="540"/>
        <w:jc w:val="both"/>
      </w:pPr>
      <w:r>
        <w:rPr>
          <w:sz w:val="20"/>
        </w:rPr>
        <w:t xml:space="preserve">Начальник Управления рассматривает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учитывает предложения, рекомендации и выводы, содержащиеся в этих документах, и принимает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начальником Управления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25"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в информационно-телекоммуникационной сети "Интернет" на официальном Интернет-сайте Управления,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5.10. По запросам Общественного совета Управление в течение двадцати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167" w:name="P167"/>
    <w:bookmarkEnd w:id="167"/>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совета входит в круг лиц, указанных в </w:t>
      </w:r>
      <w:hyperlink w:history="0" w:anchor="P81"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5.11.7. несоблюдения и (или) неисполнения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174" w:name="P174"/>
    <w:bookmarkEnd w:id="174"/>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начальника Управления в течение десяти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67"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174"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w:t>
        </w:r>
      </w:hyperlink>
      <w:r>
        <w:rPr>
          <w:sz w:val="20"/>
        </w:rPr>
        <w:t xml:space="preserve"> настоящего Положения, оформляется решением Общественного совета в течение тридцати календарных дней со дня их возникновения, предварительно согласованным с начальником Управления.</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73"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178" w:name="P178"/>
    <w:bookmarkEnd w:id="178"/>
    <w:p>
      <w:pPr>
        <w:pStyle w:val="0"/>
        <w:spacing w:before="200" w:line-rule="auto"/>
        <w:ind w:firstLine="540"/>
        <w:jc w:val="both"/>
      </w:pPr>
      <w:r>
        <w:rPr>
          <w:sz w:val="20"/>
        </w:rPr>
        <w:t xml:space="preserve">5.12. Полномочия члена Общественного совета приостанавливаются в случае:</w:t>
      </w:r>
    </w:p>
    <w:bookmarkStart w:id="179" w:name="P179"/>
    <w:bookmarkEnd w:id="179"/>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bookmarkStart w:id="181" w:name="P181"/>
    <w:bookmarkEnd w:id="181"/>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в течение тридцати календарных дней со дня возникновения оснований, предусмотренных </w:t>
      </w:r>
      <w:hyperlink w:history="0" w:anchor="P179" w:tooltip="5.12.1. предъявления ему в порядке, установленном уголовно-процессуальным законодательством Российской Федерации, обвинения в совершении преступления;">
        <w:r>
          <w:rPr>
            <w:sz w:val="20"/>
            <w:color w:val="0000ff"/>
          </w:rPr>
          <w:t xml:space="preserve">подпунктами 5.12.1</w:t>
        </w:r>
      </w:hyperlink>
      <w:r>
        <w:rPr>
          <w:sz w:val="20"/>
        </w:rPr>
        <w:t xml:space="preserve"> - </w:t>
      </w:r>
      <w:hyperlink w:history="0" w:anchor="P181" w:tooltip="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
        <w:r>
          <w:rPr>
            <w:sz w:val="20"/>
            <w:color w:val="0000ff"/>
          </w:rPr>
          <w:t xml:space="preserve">5.12.3</w:t>
        </w:r>
      </w:hyperlink>
      <w:r>
        <w:rPr>
          <w:sz w:val="20"/>
        </w:rPr>
        <w:t xml:space="preserve"> настоящего Положения. Решение Общественного совета предварительно согласовывается с начальником Управления.</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178"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Управление.</w:t>
      </w:r>
    </w:p>
    <w:p>
      <w:pPr>
        <w:pStyle w:val="0"/>
        <w:spacing w:before="200" w:line-rule="auto"/>
        <w:ind w:firstLine="540"/>
        <w:jc w:val="both"/>
      </w:pPr>
      <w:r>
        <w:rPr>
          <w:sz w:val="20"/>
        </w:rPr>
        <w:t xml:space="preserve">5.15. Информация о заседании Общественного совета, его составе, планах работы и принятых на заседаниях решениях размещается на официальном Интернет-сайте Управления в информационно-телекоммуникационной сети "Интернет".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лесами</w:t>
      </w:r>
    </w:p>
    <w:p>
      <w:pPr>
        <w:pStyle w:val="0"/>
        <w:jc w:val="right"/>
      </w:pPr>
      <w:r>
        <w:rPr>
          <w:sz w:val="20"/>
        </w:rPr>
        <w:t xml:space="preserve">Тамбовской области</w:t>
      </w:r>
    </w:p>
    <w:p>
      <w:pPr>
        <w:pStyle w:val="0"/>
        <w:jc w:val="both"/>
      </w:pPr>
      <w:r>
        <w:rPr>
          <w:sz w:val="20"/>
        </w:rPr>
      </w:r>
    </w:p>
    <w:bookmarkStart w:id="197" w:name="P197"/>
    <w:bookmarkEnd w:id="197"/>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w:t>
      </w:r>
    </w:p>
    <w:p>
      <w:pPr>
        <w:pStyle w:val="1"/>
        <w:jc w:val="both"/>
      </w:pPr>
      <w:r>
        <w:rPr>
          <w:sz w:val="20"/>
        </w:rPr>
        <w:t xml:space="preserve">                 при управлении лесами Тамбовской области</w:t>
      </w:r>
    </w:p>
    <w:p>
      <w:pPr>
        <w:pStyle w:val="1"/>
        <w:jc w:val="both"/>
      </w:pPr>
      <w:r>
        <w:rPr>
          <w:sz w:val="20"/>
        </w:rPr>
      </w:r>
    </w:p>
    <w:p>
      <w:pPr>
        <w:pStyle w:val="1"/>
        <w:jc w:val="both"/>
      </w:pPr>
      <w:r>
        <w:rPr>
          <w:sz w:val="20"/>
        </w:rPr>
        <w:t xml:space="preserve">Наименование  общественного  объединения  (негосударственной некоммерческой</w:t>
      </w:r>
    </w:p>
    <w:p>
      <w:pPr>
        <w:pStyle w:val="1"/>
        <w:jc w:val="both"/>
      </w:pPr>
      <w:r>
        <w:rPr>
          <w:sz w:val="20"/>
        </w:rPr>
        <w:t xml:space="preserve">организации) (адрес места расположения, телефон, электронный адрес)</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управлении  лесами Тамбовской области 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(указывается  дата рождения кандидата, гражданство, место жительства, место</w:t>
      </w:r>
    </w:p>
    <w:p>
      <w:pPr>
        <w:pStyle w:val="1"/>
        <w:jc w:val="both"/>
      </w:pPr>
      <w:r>
        <w:rPr>
          <w:sz w:val="20"/>
        </w:rPr>
        <w:t xml:space="preserve">работы (службы))</w:t>
      </w:r>
    </w:p>
    <w:p>
      <w:pPr>
        <w:pStyle w:val="1"/>
        <w:jc w:val="both"/>
      </w:pPr>
      <w:r>
        <w:rPr>
          <w:sz w:val="20"/>
        </w:rPr>
      </w:r>
    </w:p>
    <w:p>
      <w:pPr>
        <w:pStyle w:val="1"/>
        <w:jc w:val="both"/>
      </w:pPr>
      <w:r>
        <w:rPr>
          <w:sz w:val="20"/>
        </w:rPr>
        <w:t xml:space="preserve">                                  __________________   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                                                   "____" ________ 20___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лесами</w:t>
      </w:r>
    </w:p>
    <w:p>
      <w:pPr>
        <w:pStyle w:val="0"/>
        <w:jc w:val="right"/>
      </w:pPr>
      <w:r>
        <w:rPr>
          <w:sz w:val="20"/>
        </w:rPr>
        <w:t xml:space="preserve">Тамбовской области</w:t>
      </w:r>
    </w:p>
    <w:p>
      <w:pPr>
        <w:pStyle w:val="0"/>
        <w:jc w:val="both"/>
      </w:pPr>
      <w:r>
        <w:rPr>
          <w:sz w:val="20"/>
        </w:rPr>
      </w:r>
    </w:p>
    <w:bookmarkStart w:id="228" w:name="P228"/>
    <w:bookmarkEnd w:id="228"/>
    <w:p>
      <w:pPr>
        <w:pStyle w:val="1"/>
        <w:jc w:val="both"/>
      </w:pPr>
      <w:r>
        <w:rPr>
          <w:sz w:val="20"/>
        </w:rPr>
        <w:t xml:space="preserve">                                  АНКЕТА</w:t>
      </w:r>
    </w:p>
    <w:p>
      <w:pPr>
        <w:pStyle w:val="1"/>
        <w:jc w:val="both"/>
      </w:pPr>
      <w:r>
        <w:rPr>
          <w:sz w:val="20"/>
        </w:rPr>
        <w:t xml:space="preserve">                  кандидата в члены общественного совета</w:t>
      </w:r>
    </w:p>
    <w:p>
      <w:pPr>
        <w:pStyle w:val="1"/>
        <w:jc w:val="both"/>
      </w:pPr>
      <w:r>
        <w:rPr>
          <w:sz w:val="20"/>
        </w:rPr>
        <w:t xml:space="preserve">                 при управлении лесами Тамбовской области</w:t>
      </w:r>
    </w:p>
    <w:p>
      <w:pPr>
        <w:pStyle w:val="1"/>
        <w:jc w:val="both"/>
      </w:pPr>
      <w:r>
        <w:rPr>
          <w:sz w:val="20"/>
        </w:rPr>
      </w:r>
    </w:p>
    <w:p>
      <w:pPr>
        <w:pStyle w:val="1"/>
        <w:jc w:val="both"/>
      </w:pPr>
      <w:r>
        <w:rPr>
          <w:sz w:val="20"/>
        </w:rPr>
        <w:t xml:space="preserve">1. ________________________________________                  ┌────────────┐</w:t>
      </w:r>
    </w:p>
    <w:p>
      <w:pPr>
        <w:pStyle w:val="1"/>
        <w:jc w:val="both"/>
      </w:pPr>
      <w:r>
        <w:rPr>
          <w:sz w:val="20"/>
        </w:rPr>
        <w:t xml:space="preserve">                 (фамилия)                                   │            │</w:t>
      </w:r>
    </w:p>
    <w:p>
      <w:pPr>
        <w:pStyle w:val="1"/>
        <w:jc w:val="both"/>
      </w:pPr>
      <w:r>
        <w:rPr>
          <w:sz w:val="20"/>
        </w:rPr>
        <w:t xml:space="preserve">___________________________________________                  │  Место для │</w:t>
      </w:r>
    </w:p>
    <w:p>
      <w:pPr>
        <w:pStyle w:val="1"/>
        <w:jc w:val="both"/>
      </w:pPr>
      <w:r>
        <w:rPr>
          <w:sz w:val="20"/>
        </w:rPr>
        <w:t xml:space="preserve">                   (имя)                                     │ фотографии │</w:t>
      </w:r>
    </w:p>
    <w:p>
      <w:pPr>
        <w:pStyle w:val="1"/>
        <w:jc w:val="both"/>
      </w:pPr>
      <w:r>
        <w:rPr>
          <w:sz w:val="20"/>
        </w:rPr>
        <w:t xml:space="preserve">___________________________________________                  │            │</w:t>
      </w:r>
    </w:p>
    <w:p>
      <w:pPr>
        <w:pStyle w:val="1"/>
        <w:jc w:val="both"/>
      </w:pPr>
      <w:r>
        <w:rPr>
          <w:sz w:val="20"/>
        </w:rPr>
        <w:t xml:space="preserve">                (отчество)                                   │            │</w:t>
      </w:r>
    </w:p>
    <w:p>
      <w:pPr>
        <w:pStyle w:val="1"/>
        <w:jc w:val="both"/>
      </w:pPr>
      <w:r>
        <w:rPr>
          <w:sz w:val="20"/>
        </w:rPr>
        <w:t xml:space="preserve">                                                             └────────────┘</w:t>
      </w:r>
    </w:p>
    <w:p>
      <w:pPr>
        <w:pStyle w:val="1"/>
        <w:jc w:val="both"/>
      </w:pPr>
      <w:r>
        <w:rPr>
          <w:sz w:val="20"/>
        </w:rPr>
        <w:t xml:space="preserve">2. ________________________________________________________________________</w:t>
      </w:r>
    </w:p>
    <w:p>
      <w:pPr>
        <w:pStyle w:val="1"/>
        <w:jc w:val="both"/>
      </w:pPr>
      <w:r>
        <w:rPr>
          <w:sz w:val="20"/>
        </w:rPr>
        <w:t xml:space="preserve">                       (число, месяц, год рождения)</w:t>
      </w:r>
    </w:p>
    <w:p>
      <w:pPr>
        <w:pStyle w:val="1"/>
        <w:jc w:val="both"/>
      </w:pPr>
      <w:r>
        <w:rPr>
          <w:sz w:val="20"/>
        </w:rPr>
        <w:t xml:space="preserve">3. ________________________________________________________________________</w:t>
      </w:r>
    </w:p>
    <w:p>
      <w:pPr>
        <w:pStyle w:val="1"/>
        <w:jc w:val="both"/>
      </w:pPr>
      <w:r>
        <w:rPr>
          <w:sz w:val="20"/>
        </w:rPr>
        <w:t xml:space="preserve">  (почтовый адрес, номер телефона, адрес электронной почты либо иной вид</w:t>
      </w:r>
    </w:p>
    <w:p>
      <w:pPr>
        <w:pStyle w:val="1"/>
        <w:jc w:val="both"/>
      </w:pPr>
      <w:r>
        <w:rPr>
          <w:sz w:val="20"/>
        </w:rPr>
        <w:t xml:space="preserve">                                  связи)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4. 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 ________________________________________________________________________</w:t>
      </w:r>
    </w:p>
    <w:p>
      <w:pPr>
        <w:pStyle w:val="1"/>
        <w:jc w:val="both"/>
      </w:pPr>
      <w:r>
        <w:rPr>
          <w:sz w:val="20"/>
        </w:rPr>
        <w:t xml:space="preserve">  (паспорт или документ, его заменяющий: вид документа, серия, номер, дата</w:t>
      </w:r>
    </w:p>
    <w:p>
      <w:pPr>
        <w:pStyle w:val="1"/>
        <w:jc w:val="both"/>
      </w:pPr>
      <w:r>
        <w:rPr>
          <w:sz w:val="20"/>
        </w:rPr>
        <w:t xml:space="preserve">                            выдачи, кем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3682"/>
        <w:gridCol w:w="3798"/>
      </w:tblGrid>
      <w:tr>
        <w:tc>
          <w:tcPr>
            <w:tcW w:w="1531" w:type="dxa"/>
          </w:tcPr>
          <w:p>
            <w:pPr>
              <w:pStyle w:val="0"/>
              <w:jc w:val="center"/>
            </w:pPr>
            <w:r>
              <w:rPr>
                <w:sz w:val="20"/>
              </w:rPr>
              <w:t xml:space="preserve">Год окончания</w:t>
            </w:r>
          </w:p>
        </w:tc>
        <w:tc>
          <w:tcPr>
            <w:tcW w:w="3682" w:type="dxa"/>
          </w:tcPr>
          <w:p>
            <w:pPr>
              <w:pStyle w:val="0"/>
              <w:jc w:val="center"/>
            </w:pPr>
            <w:r>
              <w:rPr>
                <w:sz w:val="20"/>
              </w:rPr>
              <w:t xml:space="preserve">Наименование образовательного (научного) заведения</w:t>
            </w:r>
          </w:p>
        </w:tc>
        <w:tc>
          <w:tcPr>
            <w:tcW w:w="3798"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bl>
    <w:p>
      <w:pPr>
        <w:pStyle w:val="0"/>
        <w:jc w:val="both"/>
      </w:pPr>
      <w:r>
        <w:rPr>
          <w:sz w:val="20"/>
        </w:rPr>
      </w:r>
    </w:p>
    <w:p>
      <w:pPr>
        <w:pStyle w:val="1"/>
        <w:jc w:val="both"/>
      </w:pPr>
      <w:r>
        <w:rPr>
          <w:sz w:val="20"/>
        </w:rPr>
        <w:t xml:space="preserve">7.  Сведения  о  трудовой  деятельности  за последние 10 лет, а также опыт,</w:t>
      </w:r>
    </w:p>
    <w:p>
      <w:pPr>
        <w:pStyle w:val="1"/>
        <w:jc w:val="both"/>
      </w:pPr>
      <w:r>
        <w:rPr>
          <w:sz w:val="20"/>
        </w:rPr>
        <w:t xml:space="preserve">подтверждающий соответствие установленным требованиям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3682"/>
        <w:gridCol w:w="3798"/>
      </w:tblGrid>
      <w:tr>
        <w:tc>
          <w:tcPr>
            <w:tcW w:w="1531" w:type="dxa"/>
          </w:tcPr>
          <w:p>
            <w:pPr>
              <w:pStyle w:val="0"/>
              <w:jc w:val="center"/>
            </w:pPr>
            <w:r>
              <w:rPr>
                <w:sz w:val="20"/>
              </w:rPr>
              <w:t xml:space="preserve">Год поступления и ухода</w:t>
            </w:r>
          </w:p>
        </w:tc>
        <w:tc>
          <w:tcPr>
            <w:tcW w:w="3682" w:type="dxa"/>
          </w:tcPr>
          <w:p>
            <w:pPr>
              <w:pStyle w:val="0"/>
              <w:jc w:val="center"/>
            </w:pPr>
            <w:r>
              <w:rPr>
                <w:sz w:val="20"/>
              </w:rPr>
              <w:t xml:space="preserve">Место работы</w:t>
            </w:r>
          </w:p>
        </w:tc>
        <w:tc>
          <w:tcPr>
            <w:tcW w:w="3798" w:type="dxa"/>
          </w:tcPr>
          <w:p>
            <w:pPr>
              <w:pStyle w:val="0"/>
              <w:jc w:val="center"/>
            </w:pPr>
            <w:r>
              <w:rPr>
                <w:sz w:val="20"/>
              </w:rPr>
              <w:t xml:space="preserve">Наименование должности</w:t>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bl>
    <w:p>
      <w:pPr>
        <w:pStyle w:val="0"/>
        <w:jc w:val="both"/>
      </w:pPr>
      <w:r>
        <w:rPr>
          <w:sz w:val="20"/>
        </w:rPr>
      </w:r>
    </w:p>
    <w:p>
      <w:pPr>
        <w:pStyle w:val="1"/>
        <w:jc w:val="both"/>
      </w:pPr>
      <w:r>
        <w:rPr>
          <w:sz w:val="20"/>
        </w:rPr>
        <w:t xml:space="preserve">8.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3682"/>
        <w:gridCol w:w="3798"/>
      </w:tblGrid>
      <w:tr>
        <w:tc>
          <w:tcPr>
            <w:tcW w:w="1531" w:type="dxa"/>
          </w:tcPr>
          <w:p>
            <w:pPr>
              <w:pStyle w:val="0"/>
              <w:jc w:val="center"/>
            </w:pPr>
            <w:r>
              <w:rPr>
                <w:sz w:val="20"/>
              </w:rPr>
              <w:t xml:space="preserve">Период</w:t>
            </w:r>
          </w:p>
        </w:tc>
        <w:tc>
          <w:tcPr>
            <w:tcW w:w="3682" w:type="dxa"/>
          </w:tcPr>
          <w:p>
            <w:pPr>
              <w:pStyle w:val="0"/>
              <w:jc w:val="center"/>
            </w:pPr>
            <w:r>
              <w:rPr>
                <w:sz w:val="20"/>
              </w:rPr>
              <w:t xml:space="preserve">Вид общественной деятельности и/или должность, занимаемая позиция</w:t>
            </w:r>
          </w:p>
        </w:tc>
        <w:tc>
          <w:tcPr>
            <w:tcW w:w="3798" w:type="dxa"/>
          </w:tcPr>
          <w:p>
            <w:pPr>
              <w:pStyle w:val="0"/>
              <w:jc w:val="center"/>
            </w:pPr>
            <w:r>
              <w:rPr>
                <w:sz w:val="20"/>
              </w:rPr>
              <w:t xml:space="preserve">Примечание</w:t>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bl>
    <w:p>
      <w:pPr>
        <w:pStyle w:val="0"/>
        <w:jc w:val="both"/>
      </w:pPr>
      <w:r>
        <w:rPr>
          <w:sz w:val="20"/>
        </w:rPr>
      </w:r>
    </w:p>
    <w:p>
      <w:pPr>
        <w:pStyle w:val="1"/>
        <w:jc w:val="both"/>
      </w:pPr>
      <w:r>
        <w:rPr>
          <w:sz w:val="20"/>
        </w:rPr>
        <w:t xml:space="preserve">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3682"/>
        <w:gridCol w:w="3798"/>
      </w:tblGrid>
      <w:tr>
        <w:tc>
          <w:tcPr>
            <w:tcW w:w="1531" w:type="dxa"/>
          </w:tcPr>
          <w:p>
            <w:pPr>
              <w:pStyle w:val="0"/>
              <w:jc w:val="center"/>
            </w:pPr>
            <w:r>
              <w:rPr>
                <w:sz w:val="20"/>
              </w:rPr>
              <w:t xml:space="preserve">Год начала и окончания</w:t>
            </w:r>
          </w:p>
        </w:tc>
        <w:tc>
          <w:tcPr>
            <w:tcW w:w="3682" w:type="dxa"/>
          </w:tcPr>
          <w:p>
            <w:pPr>
              <w:pStyle w:val="0"/>
              <w:jc w:val="center"/>
            </w:pPr>
            <w:r>
              <w:rPr>
                <w:sz w:val="20"/>
              </w:rPr>
              <w:t xml:space="preserve">Наименование органа (группы)</w:t>
            </w:r>
          </w:p>
        </w:tc>
        <w:tc>
          <w:tcPr>
            <w:tcW w:w="3798" w:type="dxa"/>
          </w:tcPr>
          <w:p>
            <w:pPr>
              <w:pStyle w:val="0"/>
              <w:jc w:val="center"/>
            </w:pPr>
            <w:r>
              <w:rPr>
                <w:sz w:val="20"/>
              </w:rPr>
              <w:t xml:space="preserve">Примечание</w:t>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r>
        <w:tc>
          <w:tcPr>
            <w:tcW w:w="1531" w:type="dxa"/>
          </w:tcPr>
          <w:p>
            <w:pPr>
              <w:pStyle w:val="0"/>
            </w:pPr>
            <w:r>
              <w:rPr>
                <w:sz w:val="20"/>
              </w:rPr>
            </w:r>
          </w:p>
        </w:tc>
        <w:tc>
          <w:tcPr>
            <w:tcW w:w="3682" w:type="dxa"/>
          </w:tcPr>
          <w:p>
            <w:pPr>
              <w:pStyle w:val="0"/>
            </w:pPr>
            <w:r>
              <w:rPr>
                <w:sz w:val="20"/>
              </w:rPr>
            </w:r>
          </w:p>
        </w:tc>
        <w:tc>
          <w:tcPr>
            <w:tcW w:w="3798" w:type="dxa"/>
          </w:tcPr>
          <w:p>
            <w:pPr>
              <w:pStyle w:val="0"/>
            </w:pPr>
            <w:r>
              <w:rPr>
                <w:sz w:val="20"/>
              </w:rPr>
            </w:r>
          </w:p>
        </w:tc>
      </w:tr>
    </w:tbl>
    <w:p>
      <w:pPr>
        <w:pStyle w:val="0"/>
        <w:jc w:val="both"/>
      </w:pPr>
      <w:r>
        <w:rPr>
          <w:sz w:val="20"/>
        </w:rPr>
      </w:r>
    </w:p>
    <w:p>
      <w:pPr>
        <w:pStyle w:val="1"/>
        <w:jc w:val="both"/>
      </w:pPr>
      <w:r>
        <w:rPr>
          <w:sz w:val="20"/>
        </w:rPr>
        <w:t xml:space="preserve">10. _______________________________________________________________________</w:t>
      </w:r>
    </w:p>
    <w:p>
      <w:pPr>
        <w:pStyle w:val="1"/>
        <w:jc w:val="both"/>
      </w:pPr>
      <w:r>
        <w:rPr>
          <w:sz w:val="20"/>
        </w:rPr>
        <w:t xml:space="preserve">  (дополнительная информация, которую кандидат желает сообщить о себе для</w:t>
      </w:r>
    </w:p>
    <w:p>
      <w:pPr>
        <w:pStyle w:val="1"/>
        <w:jc w:val="both"/>
      </w:pPr>
      <w:r>
        <w:rPr>
          <w:sz w:val="20"/>
        </w:rPr>
        <w:t xml:space="preserve">                            участия в конкурсе)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Достоверность представленных сведений подтверждаю.</w:t>
      </w:r>
    </w:p>
    <w:p>
      <w:pPr>
        <w:pStyle w:val="1"/>
        <w:jc w:val="both"/>
      </w:pPr>
      <w:r>
        <w:rPr>
          <w:sz w:val="20"/>
        </w:rPr>
        <w:t xml:space="preserve">                               ___________________</w:t>
      </w:r>
    </w:p>
    <w:p>
      <w:pPr>
        <w:pStyle w:val="1"/>
        <w:jc w:val="both"/>
      </w:pPr>
      <w:r>
        <w:rPr>
          <w:sz w:val="20"/>
        </w:rPr>
        <w:t xml:space="preserve">                                    (подпись)</w:t>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                               ___________________</w:t>
      </w:r>
    </w:p>
    <w:p>
      <w:pPr>
        <w:pStyle w:val="1"/>
        <w:jc w:val="both"/>
      </w:pPr>
      <w:r>
        <w:rPr>
          <w:sz w:val="20"/>
        </w:rPr>
        <w:t xml:space="preserve">                                    (подпись)</w:t>
      </w:r>
    </w:p>
    <w:p>
      <w:pPr>
        <w:pStyle w:val="1"/>
        <w:jc w:val="both"/>
      </w:pPr>
      <w:r>
        <w:rPr>
          <w:sz w:val="20"/>
        </w:rPr>
        <w:t xml:space="preserve">                               _______________ /___________________/</w:t>
      </w:r>
    </w:p>
    <w:p>
      <w:pPr>
        <w:pStyle w:val="1"/>
        <w:jc w:val="both"/>
      </w:pPr>
      <w:r>
        <w:rPr>
          <w:sz w:val="20"/>
        </w:rPr>
        <w:t xml:space="preserve">                                 (подпись)        (расшифровка)</w:t>
      </w:r>
    </w:p>
    <w:p>
      <w:pPr>
        <w:pStyle w:val="1"/>
        <w:jc w:val="both"/>
      </w:pPr>
      <w:r>
        <w:rPr>
          <w:sz w:val="20"/>
        </w:rPr>
        <w:t xml:space="preserve">                                  "___" ____________________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лесами</w:t>
      </w:r>
    </w:p>
    <w:p>
      <w:pPr>
        <w:pStyle w:val="0"/>
        <w:jc w:val="right"/>
      </w:pPr>
      <w:r>
        <w:rPr>
          <w:sz w:val="20"/>
        </w:rPr>
        <w:t xml:space="preserve">Тамбовской области</w:t>
      </w:r>
    </w:p>
    <w:p>
      <w:pPr>
        <w:pStyle w:val="0"/>
        <w:jc w:val="both"/>
      </w:pPr>
      <w:r>
        <w:rPr>
          <w:sz w:val="20"/>
        </w:rPr>
      </w:r>
    </w:p>
    <w:p>
      <w:pPr>
        <w:pStyle w:val="1"/>
        <w:jc w:val="both"/>
      </w:pPr>
      <w:r>
        <w:rPr>
          <w:sz w:val="20"/>
        </w:rPr>
        <w:t xml:space="preserve">                            Заявление-согласие</w:t>
      </w:r>
    </w:p>
    <w:p>
      <w:pPr>
        <w:pStyle w:val="1"/>
        <w:jc w:val="both"/>
      </w:pPr>
      <w:r>
        <w:rPr>
          <w:sz w:val="20"/>
        </w:rPr>
        <w:t xml:space="preserve">           кандидата на выдвижение в члены общественного совета</w:t>
      </w:r>
    </w:p>
    <w:p>
      <w:pPr>
        <w:pStyle w:val="1"/>
        <w:jc w:val="both"/>
      </w:pPr>
      <w:r>
        <w:rPr>
          <w:sz w:val="20"/>
        </w:rPr>
        <w:t xml:space="preserve">                 при управлении лесами Тамбовской области</w:t>
      </w:r>
    </w:p>
    <w:p>
      <w:pPr>
        <w:pStyle w:val="1"/>
        <w:jc w:val="both"/>
      </w:pPr>
      <w:r>
        <w:rPr>
          <w:sz w:val="20"/>
        </w:rPr>
      </w:r>
    </w:p>
    <w:p>
      <w:pPr>
        <w:pStyle w:val="1"/>
        <w:jc w:val="both"/>
      </w:pPr>
      <w:r>
        <w:rPr>
          <w:sz w:val="20"/>
        </w:rPr>
        <w:t xml:space="preserve">                                               Начальнику управления лесами</w:t>
      </w:r>
    </w:p>
    <w:p>
      <w:pPr>
        <w:pStyle w:val="1"/>
        <w:jc w:val="both"/>
      </w:pPr>
      <w:r>
        <w:rPr>
          <w:sz w:val="20"/>
        </w:rPr>
        <w:t xml:space="preserve">                                               Тамбовской области</w:t>
      </w:r>
    </w:p>
    <w:p>
      <w:pPr>
        <w:pStyle w:val="1"/>
        <w:jc w:val="both"/>
      </w:pPr>
      <w:r>
        <w:rPr>
          <w:sz w:val="20"/>
        </w:rPr>
        <w:t xml:space="preserve">                                               ____________________________</w:t>
      </w:r>
    </w:p>
    <w:p>
      <w:pPr>
        <w:pStyle w:val="1"/>
        <w:jc w:val="both"/>
      </w:pPr>
      <w:r>
        <w:rPr>
          <w:sz w:val="20"/>
        </w:rPr>
        <w:t xml:space="preserve">                                                          (Ф.И.О.)</w:t>
      </w:r>
    </w:p>
    <w:p>
      <w:pPr>
        <w:pStyle w:val="1"/>
        <w:jc w:val="both"/>
      </w:pPr>
      <w:r>
        <w:rPr>
          <w:sz w:val="20"/>
        </w:rPr>
        <w:t xml:space="preserve">                                               ____________________________</w:t>
      </w:r>
    </w:p>
    <w:p>
      <w:pPr>
        <w:pStyle w:val="1"/>
        <w:jc w:val="both"/>
      </w:pPr>
      <w:r>
        <w:rPr>
          <w:sz w:val="20"/>
        </w:rPr>
        <w:t xml:space="preserve">                                                          (Ф.И.О.)</w:t>
      </w:r>
    </w:p>
    <w:p>
      <w:pPr>
        <w:pStyle w:val="1"/>
        <w:jc w:val="both"/>
      </w:pPr>
      <w:r>
        <w:rPr>
          <w:sz w:val="20"/>
        </w:rPr>
        <w:t xml:space="preserve">                                               ____________________________</w:t>
      </w:r>
    </w:p>
    <w:p>
      <w:pPr>
        <w:pStyle w:val="1"/>
        <w:jc w:val="both"/>
      </w:pPr>
      <w:r>
        <w:rPr>
          <w:sz w:val="20"/>
        </w:rPr>
        <w:t xml:space="preserve">                                               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w:t>
      </w:r>
    </w:p>
    <w:p>
      <w:pPr>
        <w:pStyle w:val="1"/>
        <w:jc w:val="both"/>
      </w:pPr>
      <w:r>
        <w:rPr>
          <w:sz w:val="20"/>
        </w:rPr>
      </w:r>
    </w:p>
    <w:bookmarkStart w:id="376" w:name="P376"/>
    <w:bookmarkEnd w:id="376"/>
    <w:p>
      <w:pPr>
        <w:pStyle w:val="1"/>
        <w:jc w:val="both"/>
      </w:pPr>
      <w:r>
        <w:rPr>
          <w:sz w:val="20"/>
        </w:rPr>
        <w:t xml:space="preserve">                            </w:t>
      </w:r>
      <w:r>
        <w:rPr>
          <w:sz w:val="20"/>
          <w:b w:val="on"/>
        </w:rPr>
        <w:t xml:space="preserve">ЗАЯВЛЕНИЕ-СОГЛАСИЕ</w:t>
      </w:r>
    </w:p>
    <w:p>
      <w:pPr>
        <w:pStyle w:val="1"/>
        <w:jc w:val="both"/>
      </w:pPr>
      <w:r>
        <w:rPr>
          <w:sz w:val="20"/>
        </w:rPr>
        <w:t xml:space="preserve">           </w:t>
      </w:r>
      <w:r>
        <w:rPr>
          <w:sz w:val="20"/>
          <w:b w:val="on"/>
        </w:rPr>
        <w:t xml:space="preserve">гражданина на выдвижение в члены общественного совета</w:t>
      </w:r>
    </w:p>
    <w:p>
      <w:pPr>
        <w:pStyle w:val="1"/>
        <w:jc w:val="both"/>
      </w:pPr>
      <w:r>
        <w:rPr>
          <w:sz w:val="20"/>
        </w:rPr>
        <w:t xml:space="preserve">                 </w:t>
      </w:r>
      <w:r>
        <w:rPr>
          <w:sz w:val="20"/>
          <w:b w:val="on"/>
        </w:rPr>
        <w:t xml:space="preserve">при управлении лесами Тамбовской области</w:t>
      </w:r>
    </w:p>
    <w:p>
      <w:pPr>
        <w:pStyle w:val="1"/>
        <w:jc w:val="both"/>
      </w:pPr>
      <w:r>
        <w:rPr>
          <w:sz w:val="20"/>
        </w:rPr>
      </w:r>
    </w:p>
    <w:p>
      <w:pPr>
        <w:pStyle w:val="1"/>
        <w:jc w:val="both"/>
      </w:pPr>
      <w:r>
        <w:rPr>
          <w:sz w:val="20"/>
        </w:rPr>
        <w:t xml:space="preserve">Я, __________________________________, паспорт серии _____________________,</w:t>
      </w:r>
    </w:p>
    <w:p>
      <w:pPr>
        <w:pStyle w:val="1"/>
        <w:jc w:val="both"/>
      </w:pPr>
      <w:r>
        <w:rPr>
          <w:sz w:val="20"/>
        </w:rPr>
        <w:t xml:space="preserve">номер ___________, выданный _______________________________________________</w:t>
      </w:r>
    </w:p>
    <w:p>
      <w:pPr>
        <w:pStyle w:val="1"/>
        <w:jc w:val="both"/>
      </w:pPr>
      <w:r>
        <w:rPr>
          <w:sz w:val="20"/>
        </w:rPr>
        <w:t xml:space="preserve">"___" _________ года, согласен (согласна) участвовать в конкурсе кандидатов</w:t>
      </w:r>
    </w:p>
    <w:p>
      <w:pPr>
        <w:pStyle w:val="1"/>
        <w:jc w:val="both"/>
      </w:pPr>
      <w:r>
        <w:rPr>
          <w:sz w:val="20"/>
        </w:rPr>
        <w:t xml:space="preserve">в члены общественного совета при управлении лесами Тамбовской области.</w:t>
      </w:r>
    </w:p>
    <w:p>
      <w:pPr>
        <w:pStyle w:val="1"/>
        <w:jc w:val="both"/>
      </w:pPr>
      <w:r>
        <w:rPr>
          <w:sz w:val="20"/>
        </w:rPr>
      </w:r>
    </w:p>
    <w:p>
      <w:pPr>
        <w:pStyle w:val="1"/>
        <w:jc w:val="both"/>
      </w:pPr>
      <w:r>
        <w:rPr>
          <w:sz w:val="20"/>
        </w:rPr>
        <w:t xml:space="preserve">С условиями конкурса ознакомлен (ознакомлена).</w:t>
      </w:r>
    </w:p>
    <w:p>
      <w:pPr>
        <w:pStyle w:val="1"/>
        <w:jc w:val="both"/>
      </w:pPr>
      <w:r>
        <w:rPr>
          <w:sz w:val="20"/>
        </w:rPr>
      </w:r>
    </w:p>
    <w:p>
      <w:pPr>
        <w:pStyle w:val="1"/>
        <w:jc w:val="both"/>
      </w:pPr>
      <w:r>
        <w:rPr>
          <w:sz w:val="20"/>
        </w:rPr>
        <w:t xml:space="preserve">"____" ____________ 20____ г.   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управлении лесами</w:t>
      </w:r>
    </w:p>
    <w:p>
      <w:pPr>
        <w:pStyle w:val="0"/>
        <w:jc w:val="right"/>
      </w:pPr>
      <w:r>
        <w:rPr>
          <w:sz w:val="20"/>
        </w:rPr>
        <w:t xml:space="preserve">Тамбовской области</w:t>
      </w:r>
    </w:p>
    <w:p>
      <w:pPr>
        <w:pStyle w:val="0"/>
        <w:jc w:val="both"/>
      </w:pPr>
      <w:r>
        <w:rPr>
          <w:sz w:val="20"/>
        </w:rPr>
      </w:r>
    </w:p>
    <w:p>
      <w:pPr>
        <w:pStyle w:val="1"/>
        <w:jc w:val="both"/>
      </w:pPr>
      <w:r>
        <w:rPr>
          <w:sz w:val="20"/>
        </w:rPr>
        <w:t xml:space="preserve">                                           ________________________________</w:t>
      </w:r>
    </w:p>
    <w:p>
      <w:pPr>
        <w:pStyle w:val="1"/>
        <w:jc w:val="both"/>
      </w:pPr>
      <w:r>
        <w:rPr>
          <w:sz w:val="20"/>
        </w:rPr>
        <w:t xml:space="preserve">                                           (наименование (Ф.И.О.) оператора</w:t>
      </w:r>
    </w:p>
    <w:p>
      <w:pPr>
        <w:pStyle w:val="1"/>
        <w:jc w:val="both"/>
      </w:pPr>
      <w:r>
        <w:rPr>
          <w:sz w:val="20"/>
        </w:rPr>
        <w:t xml:space="preserve">                                           ________________________________</w:t>
      </w:r>
    </w:p>
    <w:p>
      <w:pPr>
        <w:pStyle w:val="1"/>
        <w:jc w:val="both"/>
      </w:pPr>
      <w:r>
        <w:rPr>
          <w:sz w:val="20"/>
        </w:rPr>
        <w:t xml:space="preserve">                                                          (адрес оператора)</w:t>
      </w:r>
    </w:p>
    <w:p>
      <w:pPr>
        <w:pStyle w:val="1"/>
        <w:jc w:val="both"/>
      </w:pPr>
      <w:r>
        <w:rPr>
          <w:sz w:val="20"/>
        </w:rPr>
      </w:r>
    </w:p>
    <w:bookmarkStart w:id="405" w:name="P405"/>
    <w:bookmarkEnd w:id="405"/>
    <w:p>
      <w:pPr>
        <w:pStyle w:val="1"/>
        <w:jc w:val="both"/>
      </w:pPr>
      <w:r>
        <w:rPr>
          <w:sz w:val="20"/>
        </w:rPr>
        <w:t xml:space="preserve">                           </w:t>
      </w:r>
      <w:r>
        <w:rPr>
          <w:sz w:val="20"/>
          <w:b w:val="on"/>
        </w:rPr>
        <w:t xml:space="preserve">Заявление-согласие</w:t>
      </w:r>
    </w:p>
    <w:p>
      <w:pPr>
        <w:pStyle w:val="1"/>
        <w:jc w:val="both"/>
      </w:pPr>
      <w:r>
        <w:rPr>
          <w:sz w:val="20"/>
        </w:rPr>
        <w:t xml:space="preserve">              </w:t>
      </w:r>
      <w:r>
        <w:rPr>
          <w:sz w:val="20"/>
          <w:b w:val="on"/>
        </w:rPr>
        <w:t xml:space="preserve">кандидата на обработку его персональных данных</w:t>
      </w:r>
    </w:p>
    <w:p>
      <w:pPr>
        <w:pStyle w:val="1"/>
        <w:jc w:val="both"/>
      </w:pPr>
      <w:r>
        <w:rPr>
          <w:sz w:val="20"/>
        </w:rPr>
      </w:r>
    </w:p>
    <w:p>
      <w:pPr>
        <w:pStyle w:val="1"/>
        <w:jc w:val="both"/>
      </w:pPr>
      <w:r>
        <w:rPr>
          <w:sz w:val="20"/>
        </w:rPr>
        <w:t xml:space="preserve">  Я, _____________________________________________________________________,</w:t>
      </w:r>
    </w:p>
    <w:p>
      <w:pPr>
        <w:pStyle w:val="1"/>
        <w:jc w:val="both"/>
      </w:pPr>
      <w:r>
        <w:rPr>
          <w:sz w:val="20"/>
        </w:rPr>
        <w:t xml:space="preserve">                      (Ф.И.О. субъекта персональных данных)</w:t>
      </w:r>
    </w:p>
    <w:p>
      <w:pPr>
        <w:pStyle w:val="1"/>
        <w:jc w:val="both"/>
      </w:pPr>
      <w:r>
        <w:rPr>
          <w:sz w:val="20"/>
        </w:rPr>
        <w:t xml:space="preserve">паспорт серии ______ номер ________, выданный 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 ________ 20___ года, проживающий по адресу: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в соответствии с Федеральным </w:t>
      </w:r>
      <w:hyperlink w:history="0" r:id="rId26" w:tooltip="Федеральный закон от 27.07.2006 N 152-ФЗ (ред. от 02.07.2021) &quot;О персональных данных&quot; ------------ Недействующая редакция {КонсультантПлюс}">
        <w:r>
          <w:rPr>
            <w:sz w:val="20"/>
            <w:color w:val="0000ff"/>
          </w:rPr>
          <w:t xml:space="preserve">законом</w:t>
        </w:r>
      </w:hyperlink>
      <w:r>
        <w:rPr>
          <w:sz w:val="20"/>
        </w:rPr>
        <w:t xml:space="preserve"> от 27.07.2006 N 152-ФЗ "О персональных</w:t>
      </w:r>
    </w:p>
    <w:p>
      <w:pPr>
        <w:pStyle w:val="1"/>
        <w:jc w:val="both"/>
      </w:pPr>
      <w:r>
        <w:rPr>
          <w:sz w:val="20"/>
        </w:rPr>
        <w:t xml:space="preserve">данных"  (далее  -  федеральный  закон)  даю  согласие  на  обработку  моих</w:t>
      </w:r>
    </w:p>
    <w:p>
      <w:pPr>
        <w:pStyle w:val="1"/>
        <w:jc w:val="both"/>
      </w:pPr>
      <w:r>
        <w:rPr>
          <w:sz w:val="20"/>
        </w:rPr>
        <w:t xml:space="preserve">персональных данных, а именно: ____________________________________________</w:t>
      </w:r>
    </w:p>
    <w:p>
      <w:pPr>
        <w:pStyle w:val="1"/>
        <w:jc w:val="both"/>
      </w:pPr>
      <w:r>
        <w:rPr>
          <w:sz w:val="20"/>
        </w:rPr>
        <w:t xml:space="preserve">                  (состав персональных данных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для обработки в целях _____________________________________________________</w:t>
      </w:r>
    </w:p>
    <w:p>
      <w:pPr>
        <w:pStyle w:val="1"/>
        <w:jc w:val="both"/>
      </w:pPr>
      <w:r>
        <w:rPr>
          <w:sz w:val="20"/>
        </w:rPr>
        <w:t xml:space="preserve">          (цели обработки персональных данных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способом __________________________________________________________________</w:t>
      </w:r>
    </w:p>
    <w:p>
      <w:pPr>
        <w:pStyle w:val="1"/>
        <w:jc w:val="both"/>
      </w:pPr>
      <w:r>
        <w:rPr>
          <w:sz w:val="20"/>
        </w:rPr>
        <w:t xml:space="preserve">(общее   описание   используемых  способов  обработки  персональных  данных</w:t>
      </w:r>
    </w:p>
    <w:p>
      <w:pPr>
        <w:pStyle w:val="1"/>
        <w:jc w:val="both"/>
      </w:pPr>
      <w:r>
        <w:rPr>
          <w:sz w:val="20"/>
        </w:rPr>
        <w:t xml:space="preserve">субъекта персональных данных)</w:t>
      </w:r>
    </w:p>
    <w:p>
      <w:pPr>
        <w:pStyle w:val="1"/>
        <w:jc w:val="both"/>
      </w:pPr>
      <w:r>
        <w:rPr>
          <w:sz w:val="20"/>
        </w:rPr>
        <w:t xml:space="preserve">Даю  согласие  на  совершение с персональными данными следующих действий, а</w:t>
      </w:r>
    </w:p>
    <w:p>
      <w:pPr>
        <w:pStyle w:val="1"/>
        <w:jc w:val="both"/>
      </w:pPr>
      <w:r>
        <w:rPr>
          <w:sz w:val="20"/>
        </w:rPr>
        <w:t xml:space="preserve">именно: ___________________________________________________________________</w:t>
      </w:r>
    </w:p>
    <w:p>
      <w:pPr>
        <w:pStyle w:val="1"/>
        <w:jc w:val="both"/>
      </w:pPr>
      <w:r>
        <w:rPr>
          <w:sz w:val="20"/>
        </w:rPr>
        <w:t xml:space="preserve">   (перечень действий с персональными данными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Я не против того, чтобы мои персональные данные были переданы для обработки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(Ф.И.О.) оператора, адрес оператора)</w:t>
      </w:r>
    </w:p>
    <w:p>
      <w:pPr>
        <w:pStyle w:val="1"/>
        <w:jc w:val="both"/>
      </w:pPr>
      <w:r>
        <w:rPr>
          <w:sz w:val="20"/>
        </w:rPr>
        <w:t xml:space="preserve">___________________________________________________________________________</w:t>
      </w:r>
    </w:p>
    <w:p>
      <w:pPr>
        <w:pStyle w:val="1"/>
        <w:jc w:val="both"/>
      </w:pPr>
      <w:r>
        <w:rPr>
          <w:sz w:val="20"/>
        </w:rPr>
        <w:t xml:space="preserve">Я  утверждаю,  что ознакомлен(а) с документами управления лесами Тамбовской</w:t>
      </w:r>
    </w:p>
    <w:p>
      <w:pPr>
        <w:pStyle w:val="1"/>
        <w:jc w:val="both"/>
      </w:pPr>
      <w:r>
        <w:rPr>
          <w:sz w:val="20"/>
        </w:rPr>
        <w:t xml:space="preserve">области,  устанавливающими порядок обработки персональных данных, а также с</w:t>
      </w:r>
    </w:p>
    <w:p>
      <w:pPr>
        <w:pStyle w:val="1"/>
        <w:jc w:val="both"/>
      </w:pPr>
      <w:r>
        <w:rPr>
          <w:sz w:val="20"/>
        </w:rPr>
        <w:t xml:space="preserve">моими правами и обязанностями в этой области.</w:t>
      </w:r>
    </w:p>
    <w:p>
      <w:pPr>
        <w:pStyle w:val="1"/>
        <w:jc w:val="both"/>
      </w:pPr>
      <w:r>
        <w:rPr>
          <w:sz w:val="20"/>
        </w:rPr>
        <w:t xml:space="preserve">Согласие  вступает  в  силу  со  дня  его подписания и действует до момента</w:t>
      </w:r>
    </w:p>
    <w:p>
      <w:pPr>
        <w:pStyle w:val="1"/>
        <w:jc w:val="both"/>
      </w:pPr>
      <w:r>
        <w:rPr>
          <w:sz w:val="20"/>
        </w:rPr>
        <w:t xml:space="preserve">достижения  цели  обработки  персональных  данных, если иное не установлено</w:t>
      </w:r>
    </w:p>
    <w:p>
      <w:pPr>
        <w:pStyle w:val="1"/>
        <w:jc w:val="both"/>
      </w:pPr>
      <w:r>
        <w:rPr>
          <w:sz w:val="20"/>
        </w:rPr>
        <w:t xml:space="preserve">федеральным  законом.  Согласие  может  быть отозвано мною в любое время на</w:t>
      </w:r>
    </w:p>
    <w:p>
      <w:pPr>
        <w:pStyle w:val="1"/>
        <w:jc w:val="both"/>
      </w:pPr>
      <w:r>
        <w:rPr>
          <w:sz w:val="20"/>
        </w:rPr>
        <w:t xml:space="preserve">основании моего письменного заявления.</w:t>
      </w:r>
    </w:p>
    <w:p>
      <w:pPr>
        <w:pStyle w:val="1"/>
        <w:jc w:val="both"/>
      </w:pPr>
      <w:r>
        <w:rPr>
          <w:sz w:val="20"/>
        </w:rPr>
      </w:r>
    </w:p>
    <w:p>
      <w:pPr>
        <w:pStyle w:val="1"/>
        <w:jc w:val="both"/>
      </w:pPr>
      <w:r>
        <w:rPr>
          <w:sz w:val="20"/>
        </w:rPr>
        <w:t xml:space="preserve">"___" __________ 20___ г.      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лесами Тамбовской области от 08.08.2022 N 413</w:t>
            <w:br/>
            <w:t>"Об утверждении Положения об общественном совете при упр...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124B463BEDAFED969839FF83393079AB7B8604F1541E663453FBA1FF0B29C2066D23F3CA192EC5550247EFB9TFa8H" TargetMode = "External"/>
	<Relationship Id="rId8" Type="http://schemas.openxmlformats.org/officeDocument/2006/relationships/hyperlink" Target="consultantplus://offline/ref=C5124B463BEDAFED969827F295556A70AC71DC01F35717376F0EFDF6A05B2F97542D7DAA9A5565C956145BEEB9E4161EFFTEa0H" TargetMode = "External"/>
	<Relationship Id="rId9" Type="http://schemas.openxmlformats.org/officeDocument/2006/relationships/hyperlink" Target="consultantplus://offline/ref=C5124B463BEDAFED969827F295556A70AC71DC01F3571D396106FDF6A05B2F97542D7DAA9A5565C956145BEEB9E4161EFFTEa0H" TargetMode = "External"/>
	<Relationship Id="rId10" Type="http://schemas.openxmlformats.org/officeDocument/2006/relationships/hyperlink" Target="consultantplus://offline/ref=C5124B463BEDAFED969827F295556A70AC71DC01F3511239610FFDF6A05B2F97542D7DAA9A5565C956145BEEB9E4161EFFTEa0H" TargetMode = "External"/>
	<Relationship Id="rId11" Type="http://schemas.openxmlformats.org/officeDocument/2006/relationships/hyperlink" Target="consultantplus://offline/ref=C5124B463BEDAFED969827F295556A70AC71DC01F35112386A00FDF6A05B2F97542D7DAA9A5565C956145BEEB9E4161EFFTEa0H" TargetMode = "External"/>
	<Relationship Id="rId12" Type="http://schemas.openxmlformats.org/officeDocument/2006/relationships/hyperlink" Target="consultantplus://offline/ref=C5124B463BEDAFED969839FF83393079AB7B8604F1541E663453FBA1FF0B29C2066D23F3CA192EC5550247EFB9TFa8H" TargetMode = "External"/>
	<Relationship Id="rId13" Type="http://schemas.openxmlformats.org/officeDocument/2006/relationships/hyperlink" Target="consultantplus://offline/ref=C5124B463BEDAFED969839FF83393079AA728509F90449646506F5A4F75B73D2022477F6D51032DA551C47TEaDH" TargetMode = "External"/>
	<Relationship Id="rId14" Type="http://schemas.openxmlformats.org/officeDocument/2006/relationships/hyperlink" Target="consultantplus://offline/ref=C5124B463BEDAFED969827F295556A70AC71DC01F3571C396C02FDF6A05B2F97542D7DAA9A5565C956145BEEB9E4161EFFTEa0H" TargetMode = "External"/>
	<Relationship Id="rId15" Type="http://schemas.openxmlformats.org/officeDocument/2006/relationships/hyperlink" Target="consultantplus://offline/ref=C5124B463BEDAFED969827F295556A70AC71DC01F3571D396106FDF6A05B2F97542D7DAA88553DC5571C45EEBEF1404FB9B76625852FCE23D0076D8CT5aCH" TargetMode = "External"/>
	<Relationship Id="rId16" Type="http://schemas.openxmlformats.org/officeDocument/2006/relationships/hyperlink" Target="consultantplus://offline/ref=C5124B463BEDAFED969839FF83393079AB7B8604F1541E663453FBA1FF0B29C2066D23F3CA192EC5550247EFB9TFa8H" TargetMode = "External"/>
	<Relationship Id="rId17" Type="http://schemas.openxmlformats.org/officeDocument/2006/relationships/hyperlink" Target="consultantplus://offline/ref=C5124B463BEDAFED969827F295556A70AC71DC01F35717376F0EFDF6A05B2F97542D7DAA9A5565C956145BEEB9E4161EFFTEa0H" TargetMode = "External"/>
	<Relationship Id="rId18" Type="http://schemas.openxmlformats.org/officeDocument/2006/relationships/hyperlink" Target="consultantplus://offline/ref=C5124B463BEDAFED969839FF83393079AB7B8604F1541E663453FBA1FF0B29C2066D23F3CA192EC5550247EFB9TFa8H" TargetMode = "External"/>
	<Relationship Id="rId19" Type="http://schemas.openxmlformats.org/officeDocument/2006/relationships/hyperlink" Target="consultantplus://offline/ref=C5124B463BEDAFED969827F295556A70AC71DC01F35717376F0EFDF6A05B2F97542D7DAA9A5565C956145BEEB9E4161EFFTEa0H" TargetMode = "External"/>
	<Relationship Id="rId20" Type="http://schemas.openxmlformats.org/officeDocument/2006/relationships/hyperlink" Target="consultantplus://offline/ref=C5124B463BEDAFED969827F295556A70AC71DC01F35717376F0EFDF6A05B2F97542D7DAA88553DC5571C45EEBCF1404FB9B76625852FCE23D0076D8CT5aCH" TargetMode = "External"/>
	<Relationship Id="rId21" Type="http://schemas.openxmlformats.org/officeDocument/2006/relationships/hyperlink" Target="consultantplus://offline/ref=C5124B463BEDAFED969839FF83393079AB72850EF25B1E663453FBA1FF0B29C2066D23F3CA192EC5550247EFB9TFa8H" TargetMode = "External"/>
	<Relationship Id="rId22" Type="http://schemas.openxmlformats.org/officeDocument/2006/relationships/hyperlink" Target="consultantplus://offline/ref=C5124B463BEDAFED969827F295556A70AC71DC01F35416306D05FDF6A05B2F97542D7DAA9A5565C956145BEEB9E4161EFFTEa0H" TargetMode = "External"/>
	<Relationship Id="rId23" Type="http://schemas.openxmlformats.org/officeDocument/2006/relationships/hyperlink" Target="consultantplus://offline/ref=C5124B463BEDAFED969839FF83393079AC7B8109F6561E663453FBA1FF0B29C2146D7BFFC9133B90065810E2BAF20A1FFFFC69248FT3a3H" TargetMode = "External"/>
	<Relationship Id="rId24" Type="http://schemas.openxmlformats.org/officeDocument/2006/relationships/hyperlink" Target="consultantplus://offline/ref=C5124B463BEDAFED969839FF83393079AC7B8109F6561E663453FBA1FF0B29C2146D7BFFC9143B90065810E2BAF20A1FFFFC69248FT3a3H" TargetMode = "External"/>
	<Relationship Id="rId25" Type="http://schemas.openxmlformats.org/officeDocument/2006/relationships/hyperlink" Target="consultantplus://offline/ref=C5124B463BEDAFED969839FF83393079AB7B8604F1541E663453FBA1FF0B29C2066D23F3CA192EC5550247EFB9TFa8H" TargetMode = "External"/>
	<Relationship Id="rId26" Type="http://schemas.openxmlformats.org/officeDocument/2006/relationships/hyperlink" Target="consultantplus://offline/ref=C5124B463BEDAFED969839FF83393079AB728B0DFB511E663453FBA1FF0B29C2066D23F3CA192EC5550247EFB9TFa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лесами Тамбовской области от 08.08.2022 N 413
"Об утверждении Положения об общественном совете при управлении лесами Тамбовской области"</dc:title>
  <dcterms:created xsi:type="dcterms:W3CDTF">2022-12-18T07:26:19Z</dcterms:created>
</cp:coreProperties>
</file>