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Тульской области от 28.02.2022 N 94-р</w:t>
              <w:br/>
              <w:t xml:space="preserve">(ред. от 15.01.2024)</w:t>
              <w:br/>
              <w:t xml:space="preserve">"Об утверждении Плана мероприятий по реализации в Тульской области Стратегии государственной национальной политики Российской Федерации на период до 2025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28 февраля 2022 г. N 94-р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РЕАЛИЗАЦИИ</w:t>
      </w:r>
    </w:p>
    <w:p>
      <w:pPr>
        <w:pStyle w:val="2"/>
        <w:jc w:val="center"/>
      </w:pPr>
      <w:r>
        <w:rPr>
          <w:sz w:val="20"/>
        </w:rPr>
        <w:t xml:space="preserve">В ТУЛЬСКОЙ ОБЛАСТИ СТРАТЕГИИ ГОСУДАРСТВЕННОЙ НАЦИОНАЛЬНОЙ</w:t>
      </w:r>
    </w:p>
    <w:p>
      <w:pPr>
        <w:pStyle w:val="2"/>
        <w:jc w:val="center"/>
      </w:pPr>
      <w:r>
        <w:rPr>
          <w:sz w:val="20"/>
        </w:rPr>
        <w:t xml:space="preserve">ПОЛИТИКИ РОССИЙСКОЙ ФЕДЕРАЦИИ НА ПЕРИОД ДО 2025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Правительства Тульской области от 15.01.2024 N 10-р &quot;О внесении изменений в распоряжение правительства Тульской области от 28.02.2022 N 94-р&quot; (вместе с &quot;Планом мероприятий по реализации в Тульской области Стратегии государственной национальной политики Российской Федерации на период до 2025 года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15.01.2024 N 10-р)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Указ Президента РФ от 19.12.2012 N 1666 (ред. от 06.12.2018) &quot;О Стратегии государственной национальной политики Российской Федерации на период до 2025 года&quot; ------------ Недействующая редакция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в соответствии с </w:t>
      </w:r>
      <w:hyperlink w:history="0" r:id="rId9" w:tooltip="Распоряжение Правительства РФ от 20.12.2021 N 3718-р &lt;О плане мероприятий по реализации в 2022 - 2025 годах Стратегии государственной национальной политики Российской Федерации на период до 2025 года&gt; ------------ Недействующая редакция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20 декабря 2021 года N 3718-р, на основании </w:t>
      </w:r>
      <w:hyperlink w:history="0" r:id="rId10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Тульской области от 15.01.2024 N 10-р &quot;О внесении изменений в распоряжение правительства Тульской области от 28.02.2022 N 94-р&quot; (вместе с &quot;Планом мероприятий по реализации в Тульской области Стратегии государственной национальной политики Российской Федерации на период до 2025 года&quot;)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Тульской области от 15.01.2024 N 10-р)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в Тульской области Стратегии государственной национальной политики Российской Федерации на период до 2025 года (далее - План)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Ответственным исполнителям мероприятий Плана представлять в министерство внутренней политики и развития местного самоуправления в Тульской области итоговые отчеты о ходе выполнения мероприятий за 1 полугодие и 11 месяцев - до 5 числа месяца, следующего за отчетным периодом, и за год - до 13 января года,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администрациям муниципальных образований Тульской области разработать и утвердить муниципальные планы мероприятий по реализации Стратегии государственной национальной политики Российской Федерации на период до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</w:t>
      </w:r>
      <w:hyperlink w:history="0" r:id="rId12" w:tooltip="Распоряжение правительства Тульской области от 09.07.2019 N 456-р &quot;Об утверждении Плана мероприятий по реализации в 2019 - 2021 годах Региональной стратегии государственной национальной политики в Тульской области на период до 2025 года&quot; ------------ Недействующая редакция {КонсультантПлюс}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 - </w:t>
      </w:r>
      <w:hyperlink w:history="0" r:id="rId13" w:tooltip="Распоряжение правительства Тульской области от 09.07.2019 N 456-р &quot;Об утверждении Плана мероприятий по реализации в 2019 - 2021 годах Региональной стратегии государственной национальной политики в Тульской области на период до 2025 года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распоряжения правительства Тульской области от 09.07.2019 N 456-р "Об утверждении Плана мероприятий по реализации в 2019 - 2021 годах Региональной стратегии государственной национальной политики в Тульской области на период до 2025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Распоряжение вступает в силу со дня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В.В.ШЕРИН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28.02.2022 N 94-р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В ТУЛЬСКОЙ ОБЛАСТИ СТРАТЕГИИ</w:t>
      </w:r>
    </w:p>
    <w:p>
      <w:pPr>
        <w:pStyle w:val="2"/>
        <w:jc w:val="center"/>
      </w:pPr>
      <w:r>
        <w:rPr>
          <w:sz w:val="20"/>
        </w:rPr>
        <w:t xml:space="preserve">ГОСУДАРСТВЕННОЙ НАЦИОНАЛЬНОЙ ПОЛИТИКИ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НА ПЕРИОД ДО 2025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Распоряжение Правительства Тульской области от 15.01.2024 N 10-р &quot;О внесении изменений в распоряжение правительства Тульской области от 28.02.2022 N 94-р&quot; (вместе с &quot;Планом мероприятий по реализации в Тульской области Стратегии государственной национальной политики Российской Федерации на период до 2025 года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15.01.2024 N 10-р)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411"/>
        <w:gridCol w:w="2128"/>
        <w:gridCol w:w="1937"/>
        <w:gridCol w:w="2438"/>
        <w:gridCol w:w="1924"/>
        <w:gridCol w:w="1928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направления государственной национальной политики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Индикаторы для контроля исполнения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и информация, подтверждающие исполнение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Обеспечение равноправия граждан, реализации их конституционных прав в сфере государственной национальной политики Российской Федерации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 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Тульской области, подразделения аппарата Правительства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обращений граждан о фактах нарушения принципа равенства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ответственных исполнителей, представляемый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Министерства внутренних дел Российской Федерации по Тульской области (далее - УМВД России по Тульской области)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содействие диалогу между представителями различных этнических общностей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встреч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проведенных встречах,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 Организация проведения рабочих встреч, заседаний и консультаций сотрудников территориальных органов Министерства внутренних дел Российской Федерации на районном уровне с лидерами национальных общественных объединений для обмена информацией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государственной и муниципальной систем мониторинга состояния межэтнических отношений и раннего предупреждения конфликтных ситуаций;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базирующихся на диверсификации источников информации и обеспечивающих возможность оперативного реагирования на возникновение конфликтных и предконфликтных ситуаций в Тульской области и в муниципальных образованиях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рабочих встреч, заседаний и консультаций с лидерами национальных общественных объединений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проведенных рабочих встреч, заседаний и консультаций с лидерами национальных общественных объединений,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 Организация в образовательных организациях высшего образования и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согласованию), Линейный отдел Министерства внутренних дел Российской Федерации на станции Тула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профилактических и разъяснительных бесед с обучающимися, студентами и преподавательским составом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проведенных профилактических и разъяснительных бесед с обучающимися, студентами и преподавательским составом,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правонарушений экстремистской направленности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профилактических мероприятий в образовательных организациях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профилактических мероприятий в образовательных организациях,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материалов, направленных в органы прокуратуры для принятия мер прокурорского реагирования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материалов, направленных в органы прокуратуры,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направленных на выявление, предупреждение, пресечение и раскрытие преступлений экстремистской направленности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мероприятий, направленных на выявление, предупреждение, пресечение и раскрытие преступлений экстремистской направленности,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встреч и инструктажей с организаторами массовых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проведенных встреч и инструктажей с организаторами массовых мероприятий,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профилактических мероприятий, направленных на предупреждение межнациональных и религиозных конфликтов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количестве профилактических мероприятий, направленных на предупреждение межнациональных и религиозных конфликтов, представляемая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 Проведение торжественных мероприятий, приуроченных к праздничным и памятным датам в истории народов России: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культуры Тульской области, министерство молодежной политики Тульской области, 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количество участников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проведенных мероприятиях, размещенная ответственными исполнителями в средствах массовой информации и информационно-телекоммуникационной сети "Интернет" (далее - сеть "Интернет")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мероприятий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10.1. Международному дню родного языка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10.1.1. Проведение недели русского языка в образовательных учреждениях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 Дню Победы советского народа в Великой Отечественной войне 1941 - 1945 годов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по региональной безопасности Тульской области, министерство культуры Тульской области, министерство молодежной политики Тульской области, 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количество участников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10.2.1. Проведение благотворительной акции "В шесть часов вечера после войны"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в Тульской области,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благотворительной акции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10.2.2. Проведение благотворительного концерта "Аккорд Победе!"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в Тульской области,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благотворительного концерта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10.2.3. Проведение онлайн-трансляций записи спектаклей, посвященных Дню Победы советского народа в Великой Отечественной войне 1941 - 1945 годов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в Тульской области,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онлайн-трансляций, количество участников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10.2.4. Проведение региональной военно-патриотической игры "Майские маневры"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 народов Российской Федерации, значимых исторических событий, ставших основой государственных праздников и памятных дат;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патриотических ценностей, воспитание любви к Родине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10.2.5. Проведение областного конкурса учебно-исследовательских и творческих работ обучающихся "Благодарность поколений"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 народов Российской Федерации, значимых исторических событий, ставших основой государственных праздников и памятных дат;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патриотических ценностей, воспитание любви к Родине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10.2.6. Региональный этап Всероссийской патриотической акции "Георгиевская ленточка"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области, министерство внутренней политики и развития местного самоуправления в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у граждан патриотических ценностей, любви к Родине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10.3. День славянской письменности и культуры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области, 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10.3.1. Проведение Кирилло-Мефодиевских чтений, посвященных Дню славянской письменности и культуры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 День России: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культуры Тульской области, министерство молодежной политики Тульской области, 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количество участников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10.4.1. Проведение цикла уроков мужества, встреч с ветеранами, представителями общественных организаций "Мы голосуем за мир!"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10.4.2. Реализация выставочного проекта "Межкультурный диалог в современном мире" (передвижная книжно-иллюстративная выставка)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10.4.3. Проведение праздничных программ в учреждениях культуры Тульской области, посвященных празднованию Дня России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10.4.4. Проведение международного студенческого форума "Моя страна. Моя семья. Моя культура"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10.4.5. Проведение акции, посвященной Дню России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области, министерство внутренней политики и развития местного самоуправления в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гражданской культуры, развитие патриотических чувств к Родине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розданных лент-триколор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 День народного единства: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культуры Тульской области, министерство образования Тульской области, министерство молодежной политики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количество участников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10.5.1. Проведение межрегионального фестиваля национальных культур "Страна в миниатюре"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10.5.2. Проведение заседания Клубного любительского объединения "Диалог культур"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Ежемесячно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10.5.3. Проведение традиционного праздника "Навруз - праздник, объединяющий народы"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10.5.4. Проведение фестиваля национальных игр "Бояре, а мы к вам пришли"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10.5.5. Проведение концертно-игровой программы "Национальный калейдоскоп"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10.5.6. Проведение фестиваля казачьей культуры "День иконы Николы Тульского"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10.5.7. Проведение фестиваля студентов образовательных организаций высшего образования "Возьмемся за руки, друзья!"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Укрепление в молодежной среде атмосферы межэтнического согласия, формирование у целевой аудитории уважения к культуре других народов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10.5.8. Проведение областного конкурса творческих работ обучающихся, посвященного Дню народного единства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Информация о проведении областного конкурса, представляемая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 Участие во Всероссийской просветительской акции "Большой этнографический диктант"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министерство внутренней политики и развития местного самоуправления в Тульской области, администрации муниципальных образований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от Тульской области во Всероссийской просветительской акции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3 дней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 Проведение мероприятия "Туристические маршруты, направленные на развитие диалога культур и укрепление согласия между народами Российской Федерации"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межнационального мира и согласия, гармонизация межнациональных (межэтнических) отношений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 Проведение "круглого стола" с национальными диаспорами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Укрепление в молодежной среде атмосферы межэтнического согласия, формирование у целевой аудитории уважения к культуре других народов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"круглого стола"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 Проведение областного конкурса в сфере воспитания "Традиции и инновации в воспитании"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областного конкурса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 Проведение научно-методических семинаров для педагогов "Организационные формы и технологии формирования общероссийской гражданской идентичности"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профессиональной компетентности педагогических работников по вопросам формирования межэтнического согласия в молодежной среде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научно-методических семинаров для педагогов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 Проведение "круглого стола" по проблемам духовно-нравственного воспитания детей и молодежи на базе государственного образовательного учреждения дополнительного профессионального образования Тульской области "Институт повышения квалификации и профессиональной переподготовки работников образования Тульской области"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профессиональной компетентности педагогических работников по вопросам духовно-нравственного воспитания детей и молодежи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"круглого стола"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 Проведение встреч, "круглых столов",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культуры Тульской области, министерство образования Тульской области, министерство молодежной политики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профессиональной компетентности педагогических работников по вопросам гармонизации межэтнических отношений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встреч, "круглых столов", семинаров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 Подготовка методического пособия, включающего подборку материалов по использованию активных методов в преподавании тем, направленных на профилактику и противодействие национального и религиозного экстремизма, ксенофобии и нетерпимости, в условиях образовательной организации, опыт проведения тренинговых занятий для обучающихся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профессиональной компетентности педагогических работников в сфере сохранения и защиты прав человека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подготовленного методического пособия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об исполнении,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 Проведение совместных мероприятий с национальными диаспорами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молодежной политики Тульской области, министерство культуры Тульской области, 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Укрепление в молодежной среде атмосферы межэтнического согласия, формирование у целевой аудитории уважения к культуре других народов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количество участников мероприятий, количество представителей национальных диаспор, принимавших участие в мероприятиях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 Участие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системы координации деятельности органов исполнительной власти Тульской области и органов местного самоуправления в Тульской области при реализации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конкурса от Тульской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конкурсе, размещенная ответственными исполнителями в сети "Интернет" в течение проведения конкурса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Содействие этнокультурному и духовному развитию народов Российской Федерации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 Организация и проведение творческих конкурсов, конкурсов рисунков, фотографий, посвященных изучению традиций и обрядов народов разных национальностей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конкурсов, количество участников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проведенных мероприятиях,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 Проведение фестиваля "ЭтноКнига"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 Проведение культурно-просветительской интернет-акции "Тульский край - наш общий дом"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акции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 Проведение областной выставки-конкурса творческих работ обучающихся "Тульские промыслы"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межнационального мира и согласия, гармонизация межнациональных (межэтнических) отношений;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сохранение российских народно-художественных промыслов в культуре современного мира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 Проведение регионального форума "Тульский патриотический форум"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области, 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сохранения и приумножения духовного и культурного наследия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культуры межнационального общения;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распространение знаний об истории и культуре народов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форума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 Участие во всероссийских тематических онлайн-уроках, направленных на гражданско-патриотическое воспитание подрастающего поколения, в рамках реализации федерального проекта "Патриотическое воспитание граждан Российской Федерации"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 от Тульской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участии во всероссийских тематических онлайн-уроках, представляемая ответственными исполнителями в министерство внутренней политики и развития местного самоуправления в Тульской области в течение 10 дней после проведения мероприятия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Сохранение и поддержка русского языка как государственного языка Российской Федерации и языков народов Российской Федерации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 Участие в Международной просветительской акции "Пушкинский диктант"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участников, принимавших участие в Международной просветительской акции от Тульской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участии в акции,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 Реализация комплекса мероприятий, посвященных Дню русского языка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мероприятий, количество участников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ответственными исполнителями в сети "Интернет" в течение месяца после проведения мероприятия. 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 Проведение открытого областного конкурса чтецов "Душа живого слова"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конкурса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 Проведение цикла просветительских мероприятий для детей "Удивительное языкознание"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 Формирование системы социальной и культурной адаптации иностранных граждан в Российской Федерации и их интеграции в российское общество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 Проведение праздничного концерта "Территория дружбы" для иностранных учащихся федерального государственного бюджетного образовательного учреждения высшего образования "Тульский государственный педагогический университет им. Л.Н. Толстого"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культуры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Недопущение социальной и территориальной изоляции иностранных граждан в Тульской области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 Проведение социологического исследования "Культурно-языковая и социально-психологическая адаптация детей-мигрантов в образовательной среде"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Учет этнокультурного фактора при обеспечении сбалансированного, комплексного и системного развития Тульской области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Итоговые аналитические материалы о динамике показателей культурно-языковой и социально-психологической адаптации детей-мигрантов в образовательной среде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проведенном мероприятии, размещенная ответственным исполнителем в сети "Интернет" в течение месяца после проведения мероприятия. 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 Реализация мероприятий по оказанию содействия добровольному переселению в Тульскую область соотечественников, проживающих за рубежом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труда и социальной защиты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экономических и социальных условий для добровольного переселения в Российскую Федерацию соотечественников, проживающих за рубежом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соотечественников, прибывших в Тульскую область и поставленных на учет в УМВД России по Тульской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УМВД России по Тульской области, представляемая в министерство труда и социальной защиты Тульской области.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 Совершенствование государственного управления в сфере реализации государственной национальной политики Российской Федерации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 Обеспечение подключения Государственного учреждения Тульской области "Ситуационный центр Губернатора Тульской области" к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(далее - система Мониторинга) и ее функционирование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по информатизации, связи и вопросам открытого управления Тульской области, Государственное учреждение Тульской области "Ситуационный центр Губернатора Тульской области"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Совершенствование государственной информационной системы Мониторинга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межэтнических и межрелигиозных противоречий, выявленных системой Мониторинга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подключении к государственной информационной системе Мониторинга, представляемая ответственными исполнителями в Федеральное агентство по делам национальностей в течение месяца после подключения. Отчет о результатах работы в системе Мониторинга, представляемый ответственным исполнителем в Федеральное агентство по делам национальностей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УМВД России по Тульской области (по согласованию), министерство молодежной политики Тульской области, министерство образования Тульской области, министерство культуры Тульской области, министерство труда и социальной защиты Тульской области, комитет Тульской области по печати и массовым коммуникациям,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Оперативная информация в рамках межведомственного взаимодействия,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года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 Реализация государственной </w:t>
            </w:r>
            <w:hyperlink w:history="0" r:id="rId17" w:tooltip="Постановление правительства Тульской области от 18.01.2018 N 12 (ред. от 29.12.2023) &quot;Об утверждении государственной программы Тульской области &quot;Реализация государственной национальной политики и развитие местного самоуправления в Тульской области&quot; (вместе с &quot;Составом управляющего совета государственной программы Тульской области &quot;Реализация государственной национальной политики и развитие местного самоуправления в Тульской области&quot; по должностям&quot;) {КонсультантПлюс}">
              <w:r>
                <w:rPr>
                  <w:sz w:val="20"/>
                  <w:color w:val="0000ff"/>
                </w:rPr>
                <w:t xml:space="preserve">программы</w:t>
              </w:r>
            </w:hyperlink>
            <w:r>
              <w:rPr>
                <w:sz w:val="20"/>
              </w:rPr>
              <w:t xml:space="preserve"> Тульской области "Реализация государственной национальной политики и развитие местного самоуправления в Тульской области", утвержденной Постановлением правительства Тульской области от 18.01.2018 N 12 (далее - Госпрограмма)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образования Тульской области, министерство культуры Тульской области, министерство молодежной политики Тульской области, комитет Тульской области по печати и массовым коммуникациям, Ассоциация "Совет муниципальных образований Тульской области"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учета и реализации задач государственной национальной политики Российской Федерации в региональных документах государственного стратегического планирования, объединение усилий для укрепления единства российского народа, достижения межнационального мира и согласия;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правовых и материальных условий, способствующих максимальному учету в системе государственного управления национально-культурных интересов народов России и их удовлетворению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Выполнение целевых значений показателей, соблюдение даты наступления контрольных точек, кассовое исполнение по расходам </w:t>
            </w:r>
            <w:hyperlink w:history="0" r:id="rId18" w:tooltip="Постановление правительства Тульской области от 18.01.2018 N 12 (ред. от 29.12.2023) &quot;Об утверждении государственной программы Тульской области &quot;Реализация государственной национальной политики и развитие местного самоуправления в Тульской области&quot; (вместе с &quot;Составом управляющего совета государственной программы Тульской области &quot;Реализация государственной национальной политики и развитие местного самоуправления в Тульской области&quot; по должностям&quot;) {КонсультантПлюс}">
              <w:r>
                <w:rPr>
                  <w:sz w:val="20"/>
                  <w:color w:val="0000ff"/>
                </w:rPr>
                <w:t xml:space="preserve">Госпрограммы</w:t>
              </w:r>
            </w:hyperlink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 ходе выполнения целевых значений показателей, соблюдении даты наступления контрольных точек, кассовом исполнении по расходам </w:t>
            </w:r>
            <w:hyperlink w:history="0" r:id="rId19" w:tooltip="Постановление правительства Тульской области от 18.01.2018 N 12 (ред. от 29.12.2023) &quot;Об утверждении государственной программы Тульской области &quot;Реализация государственной национальной политики и развитие местного самоуправления в Тульской области&quot; (вместе с &quot;Составом управляющего совета государственной программы Тульской области &quot;Реализация государственной национальной политики и развитие местного самоуправления в Тульской области&quot; по должностям&quot;) {КонсультантПлюс}">
              <w:r>
                <w:rPr>
                  <w:sz w:val="20"/>
                  <w:color w:val="0000ff"/>
                </w:rPr>
                <w:t xml:space="preserve">Госпрограммы</w:t>
              </w:r>
            </w:hyperlink>
            <w:r>
              <w:rPr>
                <w:sz w:val="20"/>
              </w:rPr>
              <w:t xml:space="preserve">, представляемый ответственными исполнителями в министерство внутренней политики и развития местного самоуправления в Тульской области до 7 числа месяца, следующего за отчетным периодом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 Участие во Всероссийском форуме "Народы России"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культуры Тульской области, министерство молодежной политики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от Тульской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участии, представляемая ответственными исполнителями в Федеральное агентство по делам национальностей в течение месяца со дня запроса об участии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 Организация проведения и обеспечение участия в обучающих мероприятиях и/или дополнительном профессиональном образовании по дополнительным профессиональным программам по вопросам реализации государственной национальной политики и национальной безопасности Российской Федерации государственных гражданских служащих Тульской области, лиц, замещающих должности, не отнесенные к должностям государственной гражданской службы Тульской области, и/или муниципальных служащих Тульской области, работников органов местного самоуправления в Тульской области, замещающих должности, не отнесенные к должностям муниципальной службы в Тульской области, и лиц, замещающих выборные муниципальные должности в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главное управление государственной службы и кадров аппарата Правительства Тульской области, министерство по региональной безопасности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профессиональной переподготовки и повышения квалификации государственных гражданских служащих Тульской области, лиц, замещающих должности, не отнесенные к должностям государственной гражданской службы Тульской области, и/или муниципальных служащих Тульской области, работников органов местного самоуправления в Тульской области, замещающих должности, не отнесенные к должностям муниципальной службы в Тульской области, и лиц, замещающих выборные муниципальные должности в Тульской области, по типовым дополнительным профессиональным программам, разработанным в целях реализации государственной национальной политики и национальной безопасности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сотрудников, принявших участие в обучающих мероприятиях и/или дополнительном профессиональном образовании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проведенных мероприятиях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 Осуществление межведомственного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молодежной политики Тульской области, министерство образования Тульской области, министерство культуры Тульской области, министерство труда и социальной защиты Тульской области, комитет Тульской области по печати и массовым коммуникациям, администрации муниципальных образований Тульской области (по согласованию), УМВД России по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Оперативная информация в рамках межведомственного взаимодействия,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года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 Совершенствование взаимодействия органов исполнительной власти Тульской области и органов местного самоуправления в Тульской области с институтами гражданского общества при реализации государственной национальной политики Российской Федерации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 Проведение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государственной и муниципальной систем мониторинга состояния межэтнических отношений и раннего предупреждения конфликтных ситуаций, базирующихся на диверсификации источников информации и обеспечивающих возможность оперативного реагирования на возникновение конфликтных и предконфликтных ситуаций в Тульской области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социологических исследований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 проведенных социологических исследованиях, представляемый ответственным исполнителем в Федеральное агентство по делам национальностей в течение месяца после проведения мероприятия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 Участие представителей этнокультурных общественных объединений и религиозных организаций в работе общественных советов, иных экспертно-консультативных органов, действующих при органах исполнительной власти Тульской области и органах местного самоуправления в Тульской области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внутренней политики и развития местного самоуправления в Тульской области, министерство культуры Тульской области, министерство молодежной политики Тульской области, министерство образования Тульской области, министерство труда и социальной защиты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Усиление роли общественных советов и иных консультативных органов при органах исполнительной власти Тульской области и органах местного самоуправления в Тульской области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представителей этнокультурных общественных объединений и религиозных организаций, включенных в состав общественных советов, иных экспертно-консультативных органов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участии,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 Оказание финансовой поддержки социально ориентированным некоммерческим организациям (далее - СОНКО), реализующим проекты и программы, направленные на укрепление межнациональных, межэтнических и межконфессиональных отношений, в том числе по социальной и культурной адаптации иностранных граждан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труда и социальной защиты Тульской области,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Поддержка деятельности общественных объединений, направленной на развитие межнационального и межконфессионального диалога, противодействие экстремизму, национальной и религиозной нетерпимости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организаций, получивших гранты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оказании финансовой поддержки социально ориентированным некоммерческим организациям, размещенная ответственными исполнителями в сети "Интернет" в течение месяца после проведения мероприятия. Распоряжение Правительства Тульской области об итогах конкурса по предоставлению грантов СОНКО, приказы государственного учреждения Тульской области "Аппарат общественной палаты Тульской области".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Отчет, представляемый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gridSpan w:val="7"/>
            <w:tcW w:w="135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 Информационное обеспечение реализации государственной национальной политики Российской Федерации в Тульской области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 Реализация мероприятий медиаплана информационного сопровождения реализации в 2021 - 2025 годах </w:t>
            </w:r>
            <w:hyperlink w:history="0" r:id="rId20" w:tooltip="Указ Президента РФ от 19.12.2012 N 1666 (ред. от 06.12.2018) &quot;О Стратегии государственной национальной политики Российской Федерации на период до 2025 года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Стратегии</w:t>
              </w:r>
            </w:hyperlink>
            <w:r>
              <w:rPr>
                <w:sz w:val="20"/>
              </w:rPr>
      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19 декабря 2012 года N 1666 (далее - Стратегия)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Тульской области по печати и массовым коммуникациям,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Стратегии, а также принятие мер по стимулированию создания ими проектов в этой области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материалов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 Освещение на ресурсах государственных средств массовой информации мероприятий по реализации Стратегии государственной национальной политики Российской Федерации и информационное сопровождение мероприятий, предусмотренных Планом мероприятий по реализации в 2022 - 2025 годах Региональной стратегии государственной национальной политики в Тульской области на период до 2025 года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Тульской области по печати и массовым коммуникациям,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Укрепление общероссийского гражданского единства и гармонизация межнациональных отношений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публикаций и материалов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 Изготовление видеороликов по профилактике экстремизма среди молодежи для размещения в информационно-телекоммуникационной сети "Интернет"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и размещение в информационно-телекоммуникационной сети "Интернет" роликов социальной рекламы и иной видеопродукции, направленных на реализацию целей и задач государственной национальной политики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изготовленных видеороликов по профилактике экстремизма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 количестве изготовленных видеороликов, представляемый ответственным исполнителем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 Продвижение видеороликов по профилактике экстремизма среди молодежи в информационно-телекоммуникационной сети "Интернет"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молодежной политики Тульской области, комитет Тульской области по печати и массовым коммуникациям, администрации муниципальных образований Тульской области (по согласованию)</w:t>
            </w:r>
          </w:p>
        </w:tc>
        <w:tc>
          <w:tcPr>
            <w:tcW w:w="1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пределах средств, предусмотренных в бюджете Тульской области, в бюджетах муниципальных образований Тульской области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у молодежи общероссийского гражданского самосознания, укрепление общероссийской идентичности, уважение к культурам народов Российской Федерации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видеороликов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размещении видеороликов в сети "Интернет", представляемая ответственными исполнителями в министерство внутренней политики и развития местного самоуправления в Тульской области в течение отчетного периода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5"/>
      <w:headerReference w:type="first" r:id="rId15"/>
      <w:footerReference w:type="default" r:id="rId16"/>
      <w:footerReference w:type="first" r:id="rId1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Тульской области от 28.02.2022 N 94-р</w:t>
            <w:br/>
            <w:t>(ред. от 15.01.2024)</w:t>
            <w:br/>
            <w:t>"Об утверждении Плана мероприятий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Тульской области от 28.02.2022 N 94-р</w:t>
            <w:br/>
            <w:t>(ред. от 15.01.2024)</w:t>
            <w:br/>
            <w:t>"Об утверждении Плана мероприятий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67&amp;n=131040&amp;dst=100005" TargetMode = "External"/>
	<Relationship Id="rId8" Type="http://schemas.openxmlformats.org/officeDocument/2006/relationships/hyperlink" Target="https://login.consultant.ru/link/?req=doc&amp;base=LAW&amp;n=312941&amp;dst=100018" TargetMode = "External"/>
	<Relationship Id="rId9" Type="http://schemas.openxmlformats.org/officeDocument/2006/relationships/hyperlink" Target="https://login.consultant.ru/link/?req=doc&amp;base=LAW&amp;n=405273" TargetMode = "External"/>
	<Relationship Id="rId10" Type="http://schemas.openxmlformats.org/officeDocument/2006/relationships/hyperlink" Target="https://login.consultant.ru/link/?req=doc&amp;base=RLAW067&amp;n=117466&amp;dst=100410" TargetMode = "External"/>
	<Relationship Id="rId11" Type="http://schemas.openxmlformats.org/officeDocument/2006/relationships/hyperlink" Target="https://login.consultant.ru/link/?req=doc&amp;base=RLAW067&amp;n=131040&amp;dst=100006" TargetMode = "External"/>
	<Relationship Id="rId12" Type="http://schemas.openxmlformats.org/officeDocument/2006/relationships/hyperlink" Target="https://login.consultant.ru/link/?req=doc&amp;base=RLAW067&amp;n=97348&amp;dst=100005" TargetMode = "External"/>
	<Relationship Id="rId13" Type="http://schemas.openxmlformats.org/officeDocument/2006/relationships/hyperlink" Target="https://login.consultant.ru/link/?req=doc&amp;base=RLAW067&amp;n=97348&amp;dst=100008" TargetMode = "External"/>
	<Relationship Id="rId14" Type="http://schemas.openxmlformats.org/officeDocument/2006/relationships/hyperlink" Target="https://login.consultant.ru/link/?req=doc&amp;base=RLAW067&amp;n=131040&amp;dst=100007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	<Relationship Id="rId17" Type="http://schemas.openxmlformats.org/officeDocument/2006/relationships/hyperlink" Target="https://login.consultant.ru/link/?req=doc&amp;base=RLAW067&amp;n=130967&amp;dst=100939" TargetMode = "External"/>
	<Relationship Id="rId18" Type="http://schemas.openxmlformats.org/officeDocument/2006/relationships/hyperlink" Target="https://login.consultant.ru/link/?req=doc&amp;base=RLAW067&amp;n=130967&amp;dst=100939" TargetMode = "External"/>
	<Relationship Id="rId19" Type="http://schemas.openxmlformats.org/officeDocument/2006/relationships/hyperlink" Target="https://login.consultant.ru/link/?req=doc&amp;base=RLAW067&amp;n=130967&amp;dst=100939" TargetMode = "External"/>
	<Relationship Id="rId20" Type="http://schemas.openxmlformats.org/officeDocument/2006/relationships/hyperlink" Target="https://login.consultant.ru/link/?req=doc&amp;base=LAW&amp;n=312941&amp;dst=100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Тульской области от 28.02.2022 N 94-р
(ред. от 15.01.2024)
"Об утверждении Плана мероприятий по реализации в Тульской области Стратегии государственной национальной политики Российской Федерации на период до 2025 года"</dc:title>
  <dcterms:created xsi:type="dcterms:W3CDTF">2024-06-16T13:50:27Z</dcterms:created>
</cp:coreProperties>
</file>