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Тульской области от 30.11.2011 N 1666-ЗТО</w:t>
              <w:br/>
              <w:t xml:space="preserve">(ред. от 29.11.2024)</w:t>
              <w:br/>
              <w:t xml:space="preserve">"О грантах Тульской области социально ориентированным некоммерческим организациям"</w:t>
              <w:br/>
              <w:t xml:space="preserve">(принят Тульской областной Думой 24.11.2011)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21.12.2024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30 ноября 2011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1666-ЗТО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ТУЛЬСКОЙ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ГРАНТАХ ТУЛЬСКОЙ ОБЛАСТИ СОЦИАЛЬНО ОРИЕНТИРОВАННЫМ</w:t>
      </w:r>
    </w:p>
    <w:p>
      <w:pPr>
        <w:pStyle w:val="2"/>
        <w:jc w:val="center"/>
      </w:pPr>
      <w:r>
        <w:rPr>
          <w:sz w:val="20"/>
        </w:rPr>
        <w:t xml:space="preserve">НЕКОММЕРЧЕСКИМ ОРГАНИЗАЦИЯМ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r>
        <w:rPr>
          <w:sz w:val="20"/>
        </w:rPr>
        <w:t xml:space="preserve">Тульской областной Думой</w:t>
      </w:r>
    </w:p>
    <w:p>
      <w:pPr>
        <w:pStyle w:val="0"/>
        <w:jc w:val="right"/>
      </w:pPr>
      <w:r>
        <w:rPr>
          <w:sz w:val="20"/>
        </w:rPr>
        <w:t xml:space="preserve">24 ноября 2011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Тульской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01.04.2013 </w:t>
            </w:r>
            <w:hyperlink w:history="0" r:id="rId7" w:tooltip="Закон Тульской области от 01.04.2013 N 1924-ЗТО &quot;О внесении изменений в Закон Тульской области &quot;О грантах Тульской области социально ориентированным некоммерческим организациям&quot; (принят Тульской областной Думой 28.03.2013) {КонсультантПлюс}">
              <w:r>
                <w:rPr>
                  <w:sz w:val="20"/>
                  <w:color w:val="0000ff"/>
                </w:rPr>
                <w:t xml:space="preserve">N 1924-ЗТО</w:t>
              </w:r>
            </w:hyperlink>
            <w:r>
              <w:rPr>
                <w:sz w:val="20"/>
                <w:color w:val="392c69"/>
              </w:rPr>
              <w:t xml:space="preserve">, от 31.01.2014 </w:t>
            </w:r>
            <w:hyperlink w:history="0" r:id="rId8" w:tooltip="Закон Тульской области от 31.01.2014 N 2058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30.01.2014) {КонсультантПлюс}">
              <w:r>
                <w:rPr>
                  <w:sz w:val="20"/>
                  <w:color w:val="0000ff"/>
                </w:rPr>
                <w:t xml:space="preserve">N 2058-ЗТО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25.09.2015 </w:t>
            </w:r>
            <w:hyperlink w:history="0" r:id="rId9" w:tooltip="Закон Тульской области от 25.09.2015 N 2355-ЗТО &quot;О внесении изменения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4.09.2015) {КонсультантПлюс}">
              <w:r>
                <w:rPr>
                  <w:sz w:val="20"/>
                  <w:color w:val="0000ff"/>
                </w:rPr>
                <w:t xml:space="preserve">N 2355-ЗТО</w:t>
              </w:r>
            </w:hyperlink>
            <w:r>
              <w:rPr>
                <w:sz w:val="20"/>
                <w:color w:val="392c69"/>
              </w:rPr>
              <w:t xml:space="preserve">, от 31.05.2018 </w:t>
            </w:r>
            <w:hyperlink w:history="0" r:id="rId10" w:tooltip="Закон Тульской области от 31.05.2018 N 30-ЗТО &quot;О внесении изменений в отдельные законодательные акты Тульской области&quot; (принят Тульской областной Думой 31.05.2018) {КонсультантПлюс}">
              <w:r>
                <w:rPr>
                  <w:sz w:val="20"/>
                  <w:color w:val="0000ff"/>
                </w:rPr>
                <w:t xml:space="preserve">N 30-ЗТО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27.06.2024 </w:t>
            </w:r>
            <w:hyperlink w:history="0" r:id="rId11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      <w:r>
                <w:rPr>
                  <w:sz w:val="20"/>
                  <w:color w:val="0000ff"/>
                </w:rPr>
                <w:t xml:space="preserve">N 36-ЗТО</w:t>
              </w:r>
            </w:hyperlink>
            <w:r>
              <w:rPr>
                <w:sz w:val="20"/>
                <w:color w:val="392c69"/>
              </w:rPr>
              <w:t xml:space="preserve">, от 29.11.2024 </w:t>
            </w:r>
            <w:hyperlink w:history="0" r:id="rId12" w:tooltip="Закон Тульской области от 29.11.2024 N 82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8.11.2024) {КонсультантПлюс}">
              <w:r>
                <w:rPr>
                  <w:sz w:val="20"/>
                  <w:color w:val="0000ff"/>
                </w:rPr>
                <w:t xml:space="preserve">N 82-ЗТО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Гранты Тульской области (далее - гранты) являются финансовой формой государственной поддержки социально ориентированных некоммерческих организаций, зарегистрированных в установленном законодательством Российской Федерации порядке на территории Тульской области (далее - некоммерческие организации).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Гранты безвозмездно предоставляются за счет бюджетных ассигнований в </w:t>
      </w:r>
      <w:hyperlink w:history="0" r:id="rId13" w:tooltip="Федеральный закон от 12.01.1996 N 7-ФЗ (ред. от 30.09.2024) &quot;О некоммерческих организациях&quot; {КонсультантПлюс}">
        <w:r>
          <w:rPr>
            <w:sz w:val="20"/>
            <w:color w:val="0000ff"/>
          </w:rPr>
          <w:t xml:space="preserve">форме</w:t>
        </w:r>
      </w:hyperlink>
      <w:r>
        <w:rPr>
          <w:sz w:val="20"/>
        </w:rPr>
        <w:t xml:space="preserve"> субсидий из бюджета Тульской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(в ред. </w:t>
      </w:r>
      <w:hyperlink w:history="0" r:id="rId14" w:tooltip="Закон Тульской области от 01.04.2013 N 1924-ЗТО &quot;О внесении изменений в Закон Тульской области &quot;О грантах Тульской области социально ориентированным некоммерческим организациям&quot; (принят Тульской областной Думой 28.03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01.04.2013 N 1924-ЗТО)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Гранты предоставляются некоммерческим организациям для реализации общественно полезных проектов.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Общественно полезный проект - комплекс взаимосвязанных мероприятий, направленных на достижение конкретных общественно полезных результатов в рамках определенного срока и бюджета.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6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Гранты предоставляются некоммерческим организациям при условии осуществления ими в соответствии с учредительными документами следующих видов деятельности:</w:t>
      </w:r>
    </w:p>
    <w:p>
      <w:pPr>
        <w:pStyle w:val="0"/>
        <w:jc w:val="both"/>
      </w:pPr>
      <w:r>
        <w:rPr>
          <w:sz w:val="20"/>
        </w:rPr>
        <w:t xml:space="preserve">(абзац введен </w:t>
      </w:r>
      <w:hyperlink w:history="0" r:id="rId17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социальное обслуживание, социальная поддержка и защита граждан, деятельность в сфере поддержки семьи, материнства, отцовства и детства, организации и проведения мероприятий, способствующих развитию предусмотренных законодательством Российской Федерации форм устройства детей, оставшихся без попечения родителей, в семью;</w:t>
      </w:r>
    </w:p>
    <w:p>
      <w:pPr>
        <w:pStyle w:val="0"/>
        <w:jc w:val="both"/>
      </w:pPr>
      <w:r>
        <w:rPr>
          <w:sz w:val="20"/>
        </w:rPr>
        <w:t xml:space="preserve">(п. 1 в ред. </w:t>
      </w:r>
      <w:hyperlink w:history="0" r:id="rId18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охрана окружающей среды и защита животных, в том числе содержание животных в приютах для животных;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9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профилактика социально опасных форм поведения граждан, участие в профилактике безнадзорности и правонарушений несовершеннолетних;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0" w:tooltip="Закон Тульской области от 29.11.2024 N 82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8.11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29.11.2024 N 82-ЗТО)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благотворительная деятельность, а также деятельность в области организации и поддержки благотворительности и добровольчества (волонтерства);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1" w:tooltip="Закон Тульской области от 31.05.2018 N 30-ЗТО &quot;О внесении изменений в отдельные законодательные акты Тульской области&quot; (принят Тульской областной Думой 31.05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31.05.2018 N 30-ЗТО)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формирование в обществе нетерпимости к коррупционному поведению;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развитие межнационального сотрудничества, сохранение и защита самобытности, культуры, языков и традиций народов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деятельность в сфере патриотического, в том числе военно-патриотического, воспитания граждан Российской Федерации;</w:t>
      </w:r>
    </w:p>
    <w:p>
      <w:pPr>
        <w:pStyle w:val="0"/>
        <w:jc w:val="both"/>
      </w:pPr>
      <w:r>
        <w:rPr>
          <w:sz w:val="20"/>
        </w:rPr>
        <w:t xml:space="preserve">(п. 12 в ред. </w:t>
      </w:r>
      <w:hyperlink w:history="0" r:id="rId22" w:tooltip="Закон Тульской области от 31.01.2014 N 2058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30.01.201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31.01.2014 N 2058-ЗТО)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12.1) проведение поисковой работы, направленной на выявление неизвестных воинских захоронений и непогребенных останков защитников Отечества, установление имен погибших и пропавших без вести при защите Отечества;</w:t>
      </w:r>
    </w:p>
    <w:p>
      <w:pPr>
        <w:pStyle w:val="0"/>
        <w:jc w:val="both"/>
      </w:pPr>
      <w:r>
        <w:rPr>
          <w:sz w:val="20"/>
        </w:rPr>
        <w:t xml:space="preserve">(п. 12.1 введен </w:t>
      </w:r>
      <w:hyperlink w:history="0" r:id="rId23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12.2) участие в профилактике и (или) тушении пожаров и проведении аварийно-спасательных работ;</w:t>
      </w:r>
    </w:p>
    <w:p>
      <w:pPr>
        <w:pStyle w:val="0"/>
        <w:jc w:val="both"/>
      </w:pPr>
      <w:r>
        <w:rPr>
          <w:sz w:val="20"/>
        </w:rPr>
        <w:t xml:space="preserve">(п. 12.2 введен </w:t>
      </w:r>
      <w:hyperlink w:history="0" r:id="rId24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12.3) мероприятия по медицинской реабилитации и социальной реабилитации, социальной и трудовой реинтеграции лиц, осуществляющих незаконное потребление наркотических средств или психотропных веществ;</w:t>
      </w:r>
    </w:p>
    <w:p>
      <w:pPr>
        <w:pStyle w:val="0"/>
        <w:jc w:val="both"/>
      </w:pPr>
      <w:r>
        <w:rPr>
          <w:sz w:val="20"/>
        </w:rPr>
        <w:t xml:space="preserve">(п. 12.3 введен </w:t>
      </w:r>
      <w:hyperlink w:history="0" r:id="rId25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12.4) содействие повышению мобильности трудовых ресурсов;</w:t>
      </w:r>
    </w:p>
    <w:p>
      <w:pPr>
        <w:pStyle w:val="0"/>
        <w:jc w:val="both"/>
      </w:pPr>
      <w:r>
        <w:rPr>
          <w:sz w:val="20"/>
        </w:rPr>
        <w:t xml:space="preserve">(п. 12.4 введен </w:t>
      </w:r>
      <w:hyperlink w:history="0" r:id="rId26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12.5) увековечение памяти жертв политических репрессий;</w:t>
      </w:r>
    </w:p>
    <w:p>
      <w:pPr>
        <w:pStyle w:val="0"/>
        <w:jc w:val="both"/>
      </w:pPr>
      <w:r>
        <w:rPr>
          <w:sz w:val="20"/>
        </w:rPr>
        <w:t xml:space="preserve">(п. 12.5 введен </w:t>
      </w:r>
      <w:hyperlink w:history="0" r:id="rId27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развитие молодежной политики;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14) формирование гражданской активности у населения Тульской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15) профилактика незаконного потребления наркотических средств и психотропных веществ, наркомании;</w:t>
      </w:r>
    </w:p>
    <w:p>
      <w:pPr>
        <w:pStyle w:val="0"/>
        <w:jc w:val="both"/>
      </w:pPr>
      <w:r>
        <w:rPr>
          <w:sz w:val="20"/>
        </w:rPr>
        <w:t xml:space="preserve">(п. 15 в ред. </w:t>
      </w:r>
      <w:hyperlink w:history="0" r:id="rId28" w:tooltip="Закон Тульской области от 27.06.2024 N 36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7.06.2024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27.06.2024 N 36-ЗТО)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16) укрепление межнациональных, межэтнических и межконфессиональных отношений, профилактика экстремизма;</w:t>
      </w:r>
    </w:p>
    <w:p>
      <w:pPr>
        <w:pStyle w:val="0"/>
        <w:jc w:val="both"/>
      </w:pPr>
      <w:r>
        <w:rPr>
          <w:sz w:val="20"/>
        </w:rPr>
        <w:t xml:space="preserve">(п. 16 введен </w:t>
      </w:r>
      <w:hyperlink w:history="0" r:id="rId29" w:tooltip="Закон Тульской области от 25.09.2015 N 2355-ЗТО &quot;О внесении изменения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4.09.201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25.09.2015 N 2355-ЗТО)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17) развитие межмуниципального сотрудничества;</w:t>
      </w:r>
    </w:p>
    <w:p>
      <w:pPr>
        <w:pStyle w:val="0"/>
        <w:jc w:val="both"/>
      </w:pPr>
      <w:r>
        <w:rPr>
          <w:sz w:val="20"/>
        </w:rPr>
        <w:t xml:space="preserve">(п. 17 введен </w:t>
      </w:r>
      <w:hyperlink w:history="0" r:id="rId30" w:tooltip="Закон Тульской области от 29.11.2024 N 82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8.1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29.11.2024 N 82-ЗТО)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18) благоустройство территории.</w:t>
      </w:r>
    </w:p>
    <w:p>
      <w:pPr>
        <w:pStyle w:val="0"/>
        <w:jc w:val="both"/>
      </w:pPr>
      <w:r>
        <w:rPr>
          <w:sz w:val="20"/>
        </w:rPr>
        <w:t xml:space="preserve">(п. 18 введен </w:t>
      </w:r>
      <w:hyperlink w:history="0" r:id="rId31" w:tooltip="Закон Тульской области от 29.11.2024 N 82-ЗТО &quot;О внесении изменений в статью 3 Закона Тульской области &quot;О грантах Тульской области социально ориентированным некоммерческим организациям&quot; (принят Тульской областной Думой 28.11.2024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Тульской области от 29.11.2024 N 82-ЗТО)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Утратила силу. - </w:t>
      </w:r>
      <w:hyperlink w:history="0" r:id="rId32" w:tooltip="Закон Тульской области от 01.04.2013 N 1924-ЗТО &quot;О внесении изменений в Закон Тульской области &quot;О грантах Тульской области социально ориентированным некоммерческим организациям&quot; (принят Тульской областной Думой 28.03.2013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Тульской области от 01.04.2013 N 1924-ЗТО.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Гранты предоставляются на конкурсной основе.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проведения конкурса и состав конкурсной комиссии по предоставлению грантов устанавливаются правительством Тульской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состав конкурсной комиссии по предоставлению грантов должны входить три представителя от Тульской областной Думы.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Общий объем средств на предоставление грантов устанавливается ежегодно в бюджете Тульской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Тульской области ежегодно предоставляется не менее 10 грантов некоммерческим организациям. Размер одного гранта не может составлять менее 100 тыс. рублей.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Закон Тульской области от 01.04.2013 N 1924-ЗТО &quot;О внесении изменений в Закон Тульской области &quot;О грантах Тульской области социально ориентированным некоммерческим организациям&quot; (принят Тульской областной Думой 28.03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01.04.2013 N 1924-ЗТО)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Порядок предоставления грантов, а также условия, основания и порядок принятия решения о размере грантов устанавливаются правительством Тульской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Закон Тульской области от 01.04.2013 N 1924-ЗТО &quot;О внесении изменений в Закон Тульской области &quot;О грантах Тульской области социально ориентированным некоммерческим организациям&quot; (принят Тульской областной Думой 28.03.2013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Тульской области от 01.04.2013 N 1924-ЗТО)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Контроль за целевым использованием грантов осуществляет уполномоченный правительством Тульской области орган исполнительной власти Тульской области (далее - уполномоченный орган). Получатель гранта обязан представлять в уполномоченный орган отчет об использовании гранта по форме и в сроки, которые устанавливаются уполномоченным органом.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нарушения условий, установленных при предоставлении грантов, порядок их возврата устанавливается уполномоченным органом.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7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с 1 января 2012 года.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Председатель Тульской</w:t>
            </w:r>
          </w:p>
          <w:p>
            <w:pPr>
              <w:pStyle w:val="0"/>
            </w:pPr>
            <w:r>
              <w:rPr>
                <w:sz w:val="20"/>
              </w:rPr>
              <w:t xml:space="preserve">областной Думы</w:t>
            </w:r>
          </w:p>
          <w:p>
            <w:pPr>
              <w:pStyle w:val="0"/>
            </w:pPr>
            <w:r>
              <w:rPr>
                <w:sz w:val="20"/>
              </w:rPr>
              <w:t xml:space="preserve">И.В.ПАНЧЕНКО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Губернатор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Тульской области</w:t>
            </w:r>
          </w:p>
          <w:p>
            <w:pPr>
              <w:pStyle w:val="0"/>
              <w:jc w:val="right"/>
            </w:pPr>
            <w:r>
              <w:rPr>
                <w:sz w:val="20"/>
              </w:rPr>
              <w:t xml:space="preserve">В.С.ГРУЗДЕВ</w:t>
            </w:r>
          </w:p>
        </w:tc>
      </w:tr>
    </w:tbl>
    <w:p>
      <w:pPr>
        <w:pStyle w:val="0"/>
        <w:spacing w:before="200" w:line-rule="auto"/>
      </w:pPr>
      <w:r>
        <w:rPr>
          <w:sz w:val="20"/>
        </w:rPr>
        <w:t xml:space="preserve">г. Тула</w:t>
      </w:r>
    </w:p>
    <w:p>
      <w:pPr>
        <w:pStyle w:val="0"/>
        <w:spacing w:before="200" w:line-rule="auto"/>
      </w:pPr>
      <w:r>
        <w:rPr>
          <w:sz w:val="20"/>
        </w:rPr>
        <w:t xml:space="preserve">30 ноября 2011 года</w:t>
      </w:r>
    </w:p>
    <w:p>
      <w:pPr>
        <w:pStyle w:val="0"/>
        <w:spacing w:before="200" w:line-rule="auto"/>
      </w:pPr>
      <w:r>
        <w:rPr>
          <w:sz w:val="20"/>
        </w:rPr>
        <w:t xml:space="preserve">N 1666-ЗТО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Тульской области от 30.11.2011 N 1666-ЗТО</w:t>
            <w:br/>
            <w:t>(ред. от 29.11.2024)</w:t>
            <w:br/>
            <w:t>"О грантах Тульской области социально ориентированн...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21.12.2024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67&amp;n=50515&amp;dst=100007" TargetMode = "External"/>
	<Relationship Id="rId8" Type="http://schemas.openxmlformats.org/officeDocument/2006/relationships/hyperlink" Target="https://login.consultant.ru/link/?req=doc&amp;base=RLAW067&amp;n=56265&amp;dst=100007" TargetMode = "External"/>
	<Relationship Id="rId9" Type="http://schemas.openxmlformats.org/officeDocument/2006/relationships/hyperlink" Target="https://login.consultant.ru/link/?req=doc&amp;base=RLAW067&amp;n=69094&amp;dst=100007" TargetMode = "External"/>
	<Relationship Id="rId10" Type="http://schemas.openxmlformats.org/officeDocument/2006/relationships/hyperlink" Target="https://login.consultant.ru/link/?req=doc&amp;base=RLAW067&amp;n=90351&amp;dst=100007" TargetMode = "External"/>
	<Relationship Id="rId11" Type="http://schemas.openxmlformats.org/officeDocument/2006/relationships/hyperlink" Target="https://login.consultant.ru/link/?req=doc&amp;base=RLAW067&amp;n=134915&amp;dst=100007" TargetMode = "External"/>
	<Relationship Id="rId12" Type="http://schemas.openxmlformats.org/officeDocument/2006/relationships/hyperlink" Target="https://login.consultant.ru/link/?req=doc&amp;base=RLAW067&amp;n=137745&amp;dst=100007" TargetMode = "External"/>
	<Relationship Id="rId13" Type="http://schemas.openxmlformats.org/officeDocument/2006/relationships/hyperlink" Target="https://login.consultant.ru/link/?req=doc&amp;base=LAW&amp;n=487023&amp;dst=585" TargetMode = "External"/>
	<Relationship Id="rId14" Type="http://schemas.openxmlformats.org/officeDocument/2006/relationships/hyperlink" Target="https://login.consultant.ru/link/?req=doc&amp;base=RLAW067&amp;n=50515&amp;dst=100008" TargetMode = "External"/>
	<Relationship Id="rId15" Type="http://schemas.openxmlformats.org/officeDocument/2006/relationships/hyperlink" Target="https://login.consultant.ru/link/?req=doc&amp;base=RLAW067&amp;n=134915&amp;dst=100008" TargetMode = "External"/>
	<Relationship Id="rId16" Type="http://schemas.openxmlformats.org/officeDocument/2006/relationships/hyperlink" Target="https://login.consultant.ru/link/?req=doc&amp;base=RLAW067&amp;n=134915&amp;dst=100010" TargetMode = "External"/>
	<Relationship Id="rId17" Type="http://schemas.openxmlformats.org/officeDocument/2006/relationships/hyperlink" Target="https://login.consultant.ru/link/?req=doc&amp;base=RLAW067&amp;n=134915&amp;dst=100012" TargetMode = "External"/>
	<Relationship Id="rId18" Type="http://schemas.openxmlformats.org/officeDocument/2006/relationships/hyperlink" Target="https://login.consultant.ru/link/?req=doc&amp;base=RLAW067&amp;n=134915&amp;dst=100013" TargetMode = "External"/>
	<Relationship Id="rId19" Type="http://schemas.openxmlformats.org/officeDocument/2006/relationships/hyperlink" Target="https://login.consultant.ru/link/?req=doc&amp;base=RLAW067&amp;n=134915&amp;dst=100015" TargetMode = "External"/>
	<Relationship Id="rId20" Type="http://schemas.openxmlformats.org/officeDocument/2006/relationships/hyperlink" Target="https://login.consultant.ru/link/?req=doc&amp;base=RLAW067&amp;n=137745&amp;dst=100008" TargetMode = "External"/>
	<Relationship Id="rId21" Type="http://schemas.openxmlformats.org/officeDocument/2006/relationships/hyperlink" Target="https://login.consultant.ru/link/?req=doc&amp;base=RLAW067&amp;n=90351&amp;dst=100007" TargetMode = "External"/>
	<Relationship Id="rId22" Type="http://schemas.openxmlformats.org/officeDocument/2006/relationships/hyperlink" Target="https://login.consultant.ru/link/?req=doc&amp;base=RLAW067&amp;n=56265&amp;dst=100008" TargetMode = "External"/>
	<Relationship Id="rId23" Type="http://schemas.openxmlformats.org/officeDocument/2006/relationships/hyperlink" Target="https://login.consultant.ru/link/?req=doc&amp;base=RLAW067&amp;n=134915&amp;dst=100017" TargetMode = "External"/>
	<Relationship Id="rId24" Type="http://schemas.openxmlformats.org/officeDocument/2006/relationships/hyperlink" Target="https://login.consultant.ru/link/?req=doc&amp;base=RLAW067&amp;n=134915&amp;dst=100019" TargetMode = "External"/>
	<Relationship Id="rId25" Type="http://schemas.openxmlformats.org/officeDocument/2006/relationships/hyperlink" Target="https://login.consultant.ru/link/?req=doc&amp;base=RLAW067&amp;n=134915&amp;dst=100021" TargetMode = "External"/>
	<Relationship Id="rId26" Type="http://schemas.openxmlformats.org/officeDocument/2006/relationships/hyperlink" Target="https://login.consultant.ru/link/?req=doc&amp;base=RLAW067&amp;n=134915&amp;dst=100023" TargetMode = "External"/>
	<Relationship Id="rId27" Type="http://schemas.openxmlformats.org/officeDocument/2006/relationships/hyperlink" Target="https://login.consultant.ru/link/?req=doc&amp;base=RLAW067&amp;n=134915&amp;dst=100025" TargetMode = "External"/>
	<Relationship Id="rId28" Type="http://schemas.openxmlformats.org/officeDocument/2006/relationships/hyperlink" Target="https://login.consultant.ru/link/?req=doc&amp;base=RLAW067&amp;n=134915&amp;dst=100026" TargetMode = "External"/>
	<Relationship Id="rId29" Type="http://schemas.openxmlformats.org/officeDocument/2006/relationships/hyperlink" Target="https://login.consultant.ru/link/?req=doc&amp;base=RLAW067&amp;n=69094&amp;dst=100007" TargetMode = "External"/>
	<Relationship Id="rId30" Type="http://schemas.openxmlformats.org/officeDocument/2006/relationships/hyperlink" Target="https://login.consultant.ru/link/?req=doc&amp;base=RLAW067&amp;n=137745&amp;dst=100009" TargetMode = "External"/>
	<Relationship Id="rId31" Type="http://schemas.openxmlformats.org/officeDocument/2006/relationships/hyperlink" Target="https://login.consultant.ru/link/?req=doc&amp;base=RLAW067&amp;n=137745&amp;dst=100011" TargetMode = "External"/>
	<Relationship Id="rId32" Type="http://schemas.openxmlformats.org/officeDocument/2006/relationships/hyperlink" Target="https://login.consultant.ru/link/?req=doc&amp;base=RLAW067&amp;n=50515&amp;dst=100025" TargetMode = "External"/>
	<Relationship Id="rId33" Type="http://schemas.openxmlformats.org/officeDocument/2006/relationships/hyperlink" Target="https://login.consultant.ru/link/?req=doc&amp;base=RLAW067&amp;n=50515&amp;dst=100027" TargetMode = "External"/>
	<Relationship Id="rId34" Type="http://schemas.openxmlformats.org/officeDocument/2006/relationships/hyperlink" Target="https://login.consultant.ru/link/?req=doc&amp;base=RLAW067&amp;n=50515&amp;dst=10002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Тульской области от 30.11.2011 N 1666-ЗТО
(ред. от 29.11.2024)
"О грантах Тульской области социально ориентированным некоммерческим организациям"
(принят Тульской областной Думой 24.11.2011)</dc:title>
  <dcterms:created xsi:type="dcterms:W3CDTF">2024-12-21T06:00:53Z</dcterms:created>
</cp:coreProperties>
</file>