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Департамента культуры Тюменской области от 24.02.2025 N 035</w:t>
              <w:br/>
              <w:t xml:space="preserve">"Об объявлении конкурса на право получения социально ориентированными некоммерческими организациями в 2025 году субсидий из областного бюджета и утверждении технического задания"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02.06.2025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ДЕПАРТАМЕНТ КУЛЬТУРЫ ТЮМЕНСКОЙ ОБЛАСТИ</w:t>
      </w:r>
    </w:p>
    <w:p>
      <w:pPr>
        <w:pStyle w:val="2"/>
        <w:jc w:val="center"/>
      </w:pPr>
      <w:r>
        <w:rPr>
          <w:sz w:val="20"/>
        </w:rPr>
      </w:r>
    </w:p>
    <w:p>
      <w:pPr>
        <w:pStyle w:val="2"/>
        <w:jc w:val="center"/>
      </w:pPr>
      <w:r>
        <w:rPr>
          <w:sz w:val="20"/>
        </w:rPr>
        <w:t xml:space="preserve">ПРИКАЗ</w:t>
      </w:r>
    </w:p>
    <w:p>
      <w:pPr>
        <w:pStyle w:val="2"/>
        <w:jc w:val="center"/>
      </w:pPr>
      <w:r>
        <w:rPr>
          <w:sz w:val="20"/>
        </w:rPr>
        <w:t xml:space="preserve">от 24 февраля 2025 г. N 035</w:t>
      </w:r>
    </w:p>
    <w:p>
      <w:pPr>
        <w:pStyle w:val="2"/>
        <w:jc w:val="center"/>
      </w:pPr>
      <w:r>
        <w:rPr>
          <w:sz w:val="20"/>
        </w:rPr>
      </w:r>
    </w:p>
    <w:p>
      <w:pPr>
        <w:pStyle w:val="2"/>
        <w:jc w:val="center"/>
      </w:pPr>
      <w:r>
        <w:rPr>
          <w:sz w:val="20"/>
        </w:rPr>
        <w:t xml:space="preserve">ОБ ОБЪЯВЛЕНИИ КОНКУРСА НА ПРАВО ПОЛУЧЕНИЯ СОЦИАЛЬНО</w:t>
      </w:r>
    </w:p>
    <w:p>
      <w:pPr>
        <w:pStyle w:val="2"/>
        <w:jc w:val="center"/>
      </w:pPr>
      <w:r>
        <w:rPr>
          <w:sz w:val="20"/>
        </w:rPr>
        <w:t xml:space="preserve">ОРИЕНТИРОВАННЫМИ НЕКОММЕРЧЕСКИМИ ОРГАНИЗАЦИЯМИ В 2025 ГОДУ</w:t>
      </w:r>
    </w:p>
    <w:p>
      <w:pPr>
        <w:pStyle w:val="2"/>
        <w:jc w:val="center"/>
      </w:pPr>
      <w:r>
        <w:rPr>
          <w:sz w:val="20"/>
        </w:rPr>
        <w:t xml:space="preserve">СУБСИДИЙ ИЗ ОБЛАСТНОГО БЮДЖЕТА И УТВЕРЖДЕНИИ ТЕХНИЧЕСКОГО</w:t>
      </w:r>
    </w:p>
    <w:p>
      <w:pPr>
        <w:pStyle w:val="2"/>
        <w:jc w:val="center"/>
      </w:pPr>
      <w:r>
        <w:rPr>
          <w:sz w:val="20"/>
        </w:rPr>
        <w:t xml:space="preserve">ЗАДАНИЯ</w:t>
      </w:r>
    </w:p>
    <w:p>
      <w:pPr>
        <w:pStyle w:val="0"/>
        <w:jc w:val="both"/>
      </w:pPr>
      <w:r>
        <w:rPr>
          <w:sz w:val="20"/>
        </w:rPr>
      </w:r>
    </w:p>
    <w:p>
      <w:pPr>
        <w:pStyle w:val="0"/>
        <w:ind w:firstLine="540"/>
        <w:jc w:val="both"/>
      </w:pPr>
      <w:r>
        <w:rPr>
          <w:sz w:val="20"/>
        </w:rPr>
        <w:t xml:space="preserve">В соответствии с Федеральным </w:t>
      </w:r>
      <w:hyperlink w:history="0" r:id="rId7" w:tooltip="Федеральный закон от 12.01.1996 N 7-ФЗ (ред. от 30.09.2024) &quot;О некоммерческих организациях&quot; (с изм. и доп., вступ. в силу с 05.02.2025) ------------ Недействующая редакция {КонсультантПлюс}">
        <w:r>
          <w:rPr>
            <w:sz w:val="20"/>
            <w:color w:val="0000ff"/>
          </w:rPr>
          <w:t xml:space="preserve">законом</w:t>
        </w:r>
      </w:hyperlink>
      <w:r>
        <w:rPr>
          <w:sz w:val="20"/>
        </w:rPr>
        <w:t xml:space="preserve"> от 12.01.1996 N 7-ФЗ "О некоммерческих организациях", </w:t>
      </w:r>
      <w:hyperlink w:history="0" r:id="rId8" w:tooltip="Постановление Правительства Тюменской области от 10.09.2021 N 547-п (ред. от 21.03.2024) &quot;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quot; ------------ Недействующая редакция {КонсультантПлюс}">
        <w:r>
          <w:rPr>
            <w:sz w:val="20"/>
            <w:color w:val="0000ff"/>
          </w:rPr>
          <w:t xml:space="preserve">постановлением</w:t>
        </w:r>
      </w:hyperlink>
      <w:r>
        <w:rPr>
          <w:sz w:val="20"/>
        </w:rPr>
        <w:t xml:space="preserve"> Правительства Тюменской области от 10.09.2021 N 547-п "Об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 (далее - Порядок), руководствуясь </w:t>
      </w:r>
      <w:hyperlink w:history="0" r:id="rId9" w:tooltip="Постановление Правительства Тюменской области от 17.01.2011 N 2-п (ред. от 29.07.2024) &quot;Об утверждении Положения о Департаменте культуры Тюменской области&quot; {КонсультантПлюс}">
        <w:r>
          <w:rPr>
            <w:sz w:val="20"/>
            <w:color w:val="0000ff"/>
          </w:rPr>
          <w:t xml:space="preserve">Положением</w:t>
        </w:r>
      </w:hyperlink>
      <w:r>
        <w:rPr>
          <w:sz w:val="20"/>
        </w:rPr>
        <w:t xml:space="preserve"> о Департаменте культуры Тюменской области, утвержденным постановлением Правительства Тюменской области от 17.01.2011 N 2-п, приказываю:</w:t>
      </w:r>
    </w:p>
    <w:p>
      <w:pPr>
        <w:pStyle w:val="0"/>
        <w:spacing w:before="200" w:line-rule="auto"/>
        <w:ind w:firstLine="540"/>
        <w:jc w:val="both"/>
      </w:pPr>
      <w:r>
        <w:rPr>
          <w:sz w:val="20"/>
        </w:rPr>
        <w:t xml:space="preserve">1. Объявить конкурс на право получения социально ориентированными некоммерческими организациями в 2025 году субсидий из областного бюджета на реализацию программ (проектов) по приоритетному направлению "Деятельность в области культуры, искусства и содействия указанной деятельности, а также содействие духовному развитию личности" (далее - Конкурс).</w:t>
      </w:r>
    </w:p>
    <w:p>
      <w:pPr>
        <w:pStyle w:val="0"/>
        <w:spacing w:before="200" w:line-rule="auto"/>
        <w:ind w:firstLine="540"/>
        <w:jc w:val="both"/>
      </w:pPr>
      <w:r>
        <w:rPr>
          <w:sz w:val="20"/>
        </w:rPr>
        <w:t xml:space="preserve">2. Утвердить техническое </w:t>
      </w:r>
      <w:hyperlink w:history="0" w:anchor="P35" w:tooltip="ТЕХНИЧЕСКОЕ ЗАДАНИЕ">
        <w:r>
          <w:rPr>
            <w:sz w:val="20"/>
            <w:color w:val="0000ff"/>
          </w:rPr>
          <w:t xml:space="preserve">задание</w:t>
        </w:r>
      </w:hyperlink>
      <w:r>
        <w:rPr>
          <w:sz w:val="20"/>
        </w:rPr>
        <w:t xml:space="preserve"> Конкурса согласно приложению N 1 к настоящему приказу.</w:t>
      </w:r>
    </w:p>
    <w:p>
      <w:pPr>
        <w:pStyle w:val="0"/>
        <w:spacing w:before="200" w:line-rule="auto"/>
        <w:ind w:firstLine="540"/>
        <w:jc w:val="both"/>
      </w:pPr>
      <w:r>
        <w:rPr>
          <w:sz w:val="20"/>
        </w:rPr>
        <w:t xml:space="preserve">3. Главному специалисту отдела развития отрасли управления финансов и развития отрасли Департамента культуры Тюменской области (Носырева О.А.):</w:t>
      </w:r>
    </w:p>
    <w:p>
      <w:pPr>
        <w:pStyle w:val="0"/>
        <w:spacing w:before="200" w:line-rule="auto"/>
        <w:ind w:firstLine="540"/>
        <w:jc w:val="both"/>
      </w:pPr>
      <w:r>
        <w:rPr>
          <w:sz w:val="20"/>
        </w:rPr>
        <w:t xml:space="preserve">3.1. Организовать и провести Конкурс в соответствии с Порядком и </w:t>
      </w:r>
      <w:hyperlink w:history="0" w:anchor="P130" w:tooltip="ОБЪЯВЛЕНИЕ">
        <w:r>
          <w:rPr>
            <w:sz w:val="20"/>
            <w:color w:val="0000ff"/>
          </w:rPr>
          <w:t xml:space="preserve">объявлением</w:t>
        </w:r>
      </w:hyperlink>
      <w:r>
        <w:rPr>
          <w:sz w:val="20"/>
        </w:rPr>
        <w:t xml:space="preserve"> о проведении Конкурса согласно приложению N 2 к настоящему приказу.</w:t>
      </w:r>
    </w:p>
    <w:p>
      <w:pPr>
        <w:pStyle w:val="0"/>
        <w:spacing w:before="200" w:line-rule="auto"/>
        <w:ind w:firstLine="540"/>
        <w:jc w:val="both"/>
      </w:pPr>
      <w:r>
        <w:rPr>
          <w:sz w:val="20"/>
        </w:rPr>
        <w:t xml:space="preserve">3.2. Обеспечить работу конкурсной комиссии по проведению Конкурса в соответствии с Порядком.</w:t>
      </w:r>
    </w:p>
    <w:p>
      <w:pPr>
        <w:pStyle w:val="0"/>
        <w:spacing w:before="200" w:line-rule="auto"/>
        <w:ind w:firstLine="540"/>
        <w:jc w:val="both"/>
      </w:pPr>
      <w:r>
        <w:rPr>
          <w:sz w:val="20"/>
        </w:rPr>
        <w:t xml:space="preserve">3.3. Организовать консультирование по вопросам подготовки заявок на участие в Конкурсе, прием, регистрацию и рассмотрение заявок на участие в Конкурсе, обеспечить сохранность поданных заявок на участие в Конкурсе в соответствии с Порядком.</w:t>
      </w:r>
    </w:p>
    <w:p>
      <w:pPr>
        <w:pStyle w:val="0"/>
        <w:spacing w:before="200" w:line-rule="auto"/>
        <w:ind w:firstLine="540"/>
        <w:jc w:val="both"/>
      </w:pPr>
      <w:r>
        <w:rPr>
          <w:sz w:val="20"/>
        </w:rPr>
        <w:t xml:space="preserve">3.4. Организовать распространение информации о проведении конкурса, в том числе через средства массовой информации и информационно-телекоммуникационной сети Интернет.</w:t>
      </w:r>
    </w:p>
    <w:p>
      <w:pPr>
        <w:pStyle w:val="0"/>
        <w:spacing w:before="200" w:line-rule="auto"/>
        <w:ind w:firstLine="540"/>
        <w:jc w:val="both"/>
      </w:pPr>
      <w:r>
        <w:rPr>
          <w:sz w:val="20"/>
        </w:rPr>
        <w:t xml:space="preserve">3.5. Разместить </w:t>
      </w:r>
      <w:hyperlink w:history="0" w:anchor="P130" w:tooltip="ОБЪЯВЛЕНИЕ">
        <w:r>
          <w:rPr>
            <w:sz w:val="20"/>
            <w:color w:val="0000ff"/>
          </w:rPr>
          <w:t xml:space="preserve">объявление</w:t>
        </w:r>
      </w:hyperlink>
      <w:r>
        <w:rPr>
          <w:sz w:val="20"/>
        </w:rPr>
        <w:t xml:space="preserve"> о проведении Конкурса на официальном сайте в информационно-телекоммуникационной сети "Интернет" </w:t>
      </w:r>
      <w:hyperlink w:history="0" r:id="rId10">
        <w:r>
          <w:rPr>
            <w:sz w:val="20"/>
            <w:color w:val="0000ff"/>
          </w:rPr>
          <w:t xml:space="preserve">https://тюменьгранты.72to.ru/</w:t>
        </w:r>
      </w:hyperlink>
      <w:r>
        <w:rPr>
          <w:sz w:val="20"/>
        </w:rPr>
        <w:t xml:space="preserve"> в соответствии с приложением N 2 к настоящему приказу не позднее чем за 3 рабочих дня до начала срока приема заявок на участие в Конкурсе.</w:t>
      </w:r>
    </w:p>
    <w:p>
      <w:pPr>
        <w:pStyle w:val="0"/>
        <w:spacing w:before="200" w:line-rule="auto"/>
        <w:ind w:firstLine="540"/>
        <w:jc w:val="both"/>
      </w:pPr>
      <w:r>
        <w:rPr>
          <w:sz w:val="20"/>
        </w:rPr>
        <w:t xml:space="preserve">4. Директору Государственного автономного учреждения культуры Тюменской области "Информационно-аналитический центр культуры и искусства" (Пареха А.Б.) обеспечить размещение </w:t>
      </w:r>
      <w:hyperlink w:history="0" w:anchor="P130" w:tooltip="ОБЪЯВЛЕНИЕ">
        <w:r>
          <w:rPr>
            <w:sz w:val="20"/>
            <w:color w:val="0000ff"/>
          </w:rPr>
          <w:t xml:space="preserve">объявления</w:t>
        </w:r>
      </w:hyperlink>
      <w:r>
        <w:rPr>
          <w:sz w:val="20"/>
        </w:rPr>
        <w:t xml:space="preserve"> о проведении Конкурса на Официальном портале органов государственной власти Тюменской области </w:t>
      </w:r>
      <w:hyperlink w:history="0" r:id="rId11">
        <w:r>
          <w:rPr>
            <w:sz w:val="20"/>
            <w:color w:val="0000ff"/>
          </w:rPr>
          <w:t xml:space="preserve">https://admtyumen.ru/</w:t>
        </w:r>
      </w:hyperlink>
      <w:r>
        <w:rPr>
          <w:sz w:val="20"/>
        </w:rPr>
        <w:t xml:space="preserve"> в соответствии с приложением N 2 к настоящему приказу не позднее чем за 3 рабочих дня до начала срока приема заявок на участие в Конкурсе.</w:t>
      </w:r>
    </w:p>
    <w:p>
      <w:pPr>
        <w:pStyle w:val="0"/>
        <w:spacing w:before="200" w:line-rule="auto"/>
        <w:ind w:firstLine="540"/>
        <w:jc w:val="both"/>
      </w:pPr>
      <w:r>
        <w:rPr>
          <w:sz w:val="20"/>
        </w:rPr>
        <w:t xml:space="preserve">5. Контроль за исполнением настоящего приказа возлагаю на заместителя директора Департамента культуры Тюменской области (Кривоносова А.З.).</w:t>
      </w:r>
    </w:p>
    <w:p>
      <w:pPr>
        <w:pStyle w:val="0"/>
        <w:jc w:val="both"/>
      </w:pPr>
      <w:r>
        <w:rPr>
          <w:sz w:val="20"/>
        </w:rPr>
      </w:r>
    </w:p>
    <w:p>
      <w:pPr>
        <w:pStyle w:val="0"/>
        <w:jc w:val="right"/>
      </w:pPr>
      <w:r>
        <w:rPr>
          <w:sz w:val="20"/>
        </w:rPr>
        <w:t xml:space="preserve">Директор</w:t>
      </w:r>
    </w:p>
    <w:p>
      <w:pPr>
        <w:pStyle w:val="0"/>
        <w:jc w:val="right"/>
      </w:pPr>
      <w:r>
        <w:rPr>
          <w:sz w:val="20"/>
        </w:rPr>
        <w:t xml:space="preserve">А.А.СИДОРОВ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1</w:t>
      </w:r>
    </w:p>
    <w:p>
      <w:pPr>
        <w:pStyle w:val="0"/>
        <w:jc w:val="right"/>
      </w:pPr>
      <w:r>
        <w:rPr>
          <w:sz w:val="20"/>
        </w:rPr>
        <w:t xml:space="preserve">к приказу Департамента культуры</w:t>
      </w:r>
    </w:p>
    <w:p>
      <w:pPr>
        <w:pStyle w:val="0"/>
        <w:jc w:val="right"/>
      </w:pPr>
      <w:r>
        <w:rPr>
          <w:sz w:val="20"/>
        </w:rPr>
        <w:t xml:space="preserve">Тюменской области</w:t>
      </w:r>
    </w:p>
    <w:p>
      <w:pPr>
        <w:pStyle w:val="0"/>
        <w:jc w:val="right"/>
      </w:pPr>
      <w:r>
        <w:rPr>
          <w:sz w:val="20"/>
        </w:rPr>
        <w:t xml:space="preserve">от 24.02.2025 N 035</w:t>
      </w:r>
    </w:p>
    <w:p>
      <w:pPr>
        <w:pStyle w:val="0"/>
        <w:jc w:val="both"/>
      </w:pPr>
      <w:r>
        <w:rPr>
          <w:sz w:val="20"/>
        </w:rPr>
      </w:r>
    </w:p>
    <w:bookmarkStart w:id="35" w:name="P35"/>
    <w:bookmarkEnd w:id="35"/>
    <w:p>
      <w:pPr>
        <w:pStyle w:val="2"/>
        <w:jc w:val="center"/>
      </w:pPr>
      <w:r>
        <w:rPr>
          <w:sz w:val="20"/>
        </w:rPr>
        <w:t xml:space="preserve">ТЕХНИЧЕСКОЕ ЗАДАНИЕ</w:t>
      </w:r>
    </w:p>
    <w:p>
      <w:pPr>
        <w:pStyle w:val="2"/>
        <w:jc w:val="center"/>
      </w:pPr>
      <w:r>
        <w:rPr>
          <w:sz w:val="20"/>
        </w:rPr>
        <w:t xml:space="preserve">НА РЕАЛИЗАЦИЮ ПРОГРАММ (ПРОЕКТОВ) ПО ПРИОРИТЕТНОМУ</w:t>
      </w:r>
    </w:p>
    <w:p>
      <w:pPr>
        <w:pStyle w:val="2"/>
        <w:jc w:val="center"/>
      </w:pPr>
      <w:r>
        <w:rPr>
          <w:sz w:val="20"/>
        </w:rPr>
        <w:t xml:space="preserve">НАПРАВЛЕНИЮ: "ДЕЯТЕЛЬНОСТЬ В ОБЛАСТИ КУЛЬТУРЫ, ИСКУССТВА</w:t>
      </w:r>
    </w:p>
    <w:p>
      <w:pPr>
        <w:pStyle w:val="2"/>
        <w:jc w:val="center"/>
      </w:pPr>
      <w:r>
        <w:rPr>
          <w:sz w:val="20"/>
        </w:rPr>
        <w:t xml:space="preserve">И СОДЕЙСТВИЯ УКАЗАННОЙ ДЕЯТЕЛЬНОСТИ, А ТАКЖЕ СОДЕЙСТВИЕ</w:t>
      </w:r>
    </w:p>
    <w:p>
      <w:pPr>
        <w:pStyle w:val="2"/>
        <w:jc w:val="center"/>
      </w:pPr>
      <w:r>
        <w:rPr>
          <w:sz w:val="20"/>
        </w:rPr>
        <w:t xml:space="preserve">ДУХОВНОМУ РАЗВИТИЮ ЛИЧНОСТИ"</w:t>
      </w:r>
    </w:p>
    <w:p>
      <w:pPr>
        <w:pStyle w:val="0"/>
        <w:jc w:val="both"/>
      </w:pPr>
      <w:r>
        <w:rPr>
          <w:sz w:val="20"/>
        </w:rPr>
      </w:r>
    </w:p>
    <w:p>
      <w:pPr>
        <w:pStyle w:val="0"/>
        <w:jc w:val="center"/>
      </w:pPr>
      <w:r>
        <w:rPr>
          <w:sz w:val="20"/>
        </w:rPr>
        <w:t xml:space="preserve">Главный распорядитель средств: Департамент культуры</w:t>
      </w:r>
    </w:p>
    <w:p>
      <w:pPr>
        <w:pStyle w:val="0"/>
        <w:jc w:val="center"/>
      </w:pPr>
      <w:r>
        <w:rPr>
          <w:sz w:val="20"/>
        </w:rPr>
        <w:t xml:space="preserve">Тюменской области (далее - Департамент)</w:t>
      </w:r>
    </w:p>
    <w:p>
      <w:pPr>
        <w:pStyle w:val="0"/>
        <w:jc w:val="both"/>
      </w:pPr>
      <w:r>
        <w:rPr>
          <w:sz w:val="20"/>
        </w:rPr>
      </w:r>
    </w:p>
    <w:p>
      <w:pPr>
        <w:pStyle w:val="0"/>
        <w:jc w:val="center"/>
      </w:pPr>
      <w:r>
        <w:rPr>
          <w:sz w:val="20"/>
        </w:rPr>
        <w:t xml:space="preserve">Источник финансирования: областной бюджет, государственная</w:t>
      </w:r>
    </w:p>
    <w:p>
      <w:pPr>
        <w:pStyle w:val="0"/>
        <w:jc w:val="center"/>
      </w:pPr>
      <w:r>
        <w:rPr>
          <w:sz w:val="20"/>
        </w:rPr>
        <w:t xml:space="preserve">программа Тюменской области "Развитие культуры"</w:t>
      </w:r>
    </w:p>
    <w:p>
      <w:pPr>
        <w:pStyle w:val="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40"/>
        <w:gridCol w:w="3061"/>
        <w:gridCol w:w="4932"/>
        <w:gridCol w:w="1699"/>
        <w:gridCol w:w="1309"/>
        <w:gridCol w:w="3847"/>
      </w:tblGrid>
      <w:tr>
        <w:tc>
          <w:tcPr>
            <w:tcW w:w="340" w:type="dxa"/>
          </w:tcPr>
          <w:p>
            <w:pPr>
              <w:pStyle w:val="0"/>
              <w:jc w:val="center"/>
            </w:pPr>
            <w:r>
              <w:rPr>
                <w:sz w:val="20"/>
              </w:rPr>
              <w:t xml:space="preserve">N</w:t>
            </w:r>
          </w:p>
        </w:tc>
        <w:tc>
          <w:tcPr>
            <w:tcW w:w="3061" w:type="dxa"/>
          </w:tcPr>
          <w:p>
            <w:pPr>
              <w:pStyle w:val="0"/>
              <w:jc w:val="center"/>
            </w:pPr>
            <w:r>
              <w:rPr>
                <w:sz w:val="20"/>
              </w:rPr>
              <w:t xml:space="preserve">Цель программы (проекта)</w:t>
            </w:r>
          </w:p>
        </w:tc>
        <w:tc>
          <w:tcPr>
            <w:tcW w:w="4932" w:type="dxa"/>
          </w:tcPr>
          <w:p>
            <w:pPr>
              <w:pStyle w:val="0"/>
              <w:jc w:val="center"/>
            </w:pPr>
            <w:r>
              <w:rPr>
                <w:sz w:val="20"/>
              </w:rPr>
              <w:t xml:space="preserve">Значение результатов реализации программных мероприятий</w:t>
            </w:r>
          </w:p>
        </w:tc>
        <w:tc>
          <w:tcPr>
            <w:tcW w:w="1699" w:type="dxa"/>
          </w:tcPr>
          <w:p>
            <w:pPr>
              <w:pStyle w:val="0"/>
              <w:jc w:val="center"/>
            </w:pPr>
            <w:r>
              <w:rPr>
                <w:sz w:val="20"/>
              </w:rPr>
              <w:t xml:space="preserve">Максимальный размер субсидии на финансовое обеспечение цели программы (проекта)</w:t>
            </w:r>
          </w:p>
        </w:tc>
        <w:tc>
          <w:tcPr>
            <w:tcW w:w="1309" w:type="dxa"/>
          </w:tcPr>
          <w:p>
            <w:pPr>
              <w:pStyle w:val="0"/>
              <w:jc w:val="center"/>
            </w:pPr>
            <w:r>
              <w:rPr>
                <w:sz w:val="20"/>
              </w:rPr>
              <w:t xml:space="preserve">Сроки реализации программы (проекта)</w:t>
            </w:r>
          </w:p>
        </w:tc>
        <w:tc>
          <w:tcPr>
            <w:tcW w:w="3847" w:type="dxa"/>
          </w:tcPr>
          <w:p>
            <w:pPr>
              <w:pStyle w:val="0"/>
              <w:jc w:val="center"/>
            </w:pPr>
            <w:r>
              <w:rPr>
                <w:sz w:val="20"/>
              </w:rPr>
              <w:t xml:space="preserve">Требования к реализации программы (проекта)</w:t>
            </w:r>
          </w:p>
        </w:tc>
      </w:tr>
      <w:tr>
        <w:tc>
          <w:tcPr>
            <w:tcW w:w="340" w:type="dxa"/>
          </w:tcPr>
          <w:p>
            <w:pPr>
              <w:pStyle w:val="0"/>
            </w:pPr>
            <w:r>
              <w:rPr>
                <w:sz w:val="20"/>
              </w:rPr>
              <w:t xml:space="preserve">1</w:t>
            </w:r>
          </w:p>
        </w:tc>
        <w:tc>
          <w:tcPr>
            <w:tcW w:w="3061" w:type="dxa"/>
          </w:tcPr>
          <w:p>
            <w:pPr>
              <w:pStyle w:val="0"/>
            </w:pPr>
            <w:r>
              <w:rPr>
                <w:sz w:val="20"/>
              </w:rPr>
              <w:t xml:space="preserve">Формирование у населения мировоззрения, которое основано на традиционных российских духовно-нравственных ценностях, в том числе на единстве народов России</w:t>
            </w:r>
          </w:p>
        </w:tc>
        <w:tc>
          <w:tcPr>
            <w:tcW w:w="4932" w:type="dxa"/>
          </w:tcPr>
          <w:p>
            <w:pPr>
              <w:pStyle w:val="0"/>
            </w:pPr>
            <w:r>
              <w:rPr>
                <w:sz w:val="20"/>
              </w:rPr>
              <w:t xml:space="preserve">Результат:</w:t>
            </w:r>
          </w:p>
          <w:p>
            <w:pPr>
              <w:pStyle w:val="0"/>
            </w:pPr>
            <w:r>
              <w:rPr>
                <w:sz w:val="20"/>
              </w:rPr>
              <w:t xml:space="preserve">Реализация некоммерческой организацией не менее одного творческого проекта, направленного на формирование у населения мировоззрения, основанного на традиционных российских духовно-нравственных ценностях, в том числе на единстве народов России.</w:t>
            </w:r>
          </w:p>
          <w:p>
            <w:pPr>
              <w:pStyle w:val="0"/>
            </w:pPr>
            <w:r>
              <w:rPr>
                <w:sz w:val="20"/>
              </w:rPr>
              <w:t xml:space="preserve">Характеристики:</w:t>
            </w:r>
          </w:p>
          <w:p>
            <w:pPr>
              <w:pStyle w:val="0"/>
            </w:pPr>
            <w:r>
              <w:rPr>
                <w:sz w:val="20"/>
              </w:rPr>
              <w:t xml:space="preserve">1. Количество мероприятий, реализованных в рамках программы (проекта) - не менее двух культурно-досуговых и (или) информационно-просветительских мероприятий.</w:t>
            </w:r>
          </w:p>
          <w:p>
            <w:pPr>
              <w:pStyle w:val="0"/>
            </w:pPr>
            <w:r>
              <w:rPr>
                <w:sz w:val="20"/>
              </w:rPr>
              <w:t xml:space="preserve">2. Количество участников реализованных в рамках программы (проекта) мероприятий - не менее пятидесяти человек.</w:t>
            </w:r>
          </w:p>
        </w:tc>
        <w:tc>
          <w:tcPr>
            <w:tcW w:w="1699" w:type="dxa"/>
          </w:tcPr>
          <w:p>
            <w:pPr>
              <w:pStyle w:val="0"/>
              <w:jc w:val="center"/>
            </w:pPr>
            <w:r>
              <w:rPr>
                <w:sz w:val="20"/>
              </w:rPr>
              <w:t xml:space="preserve">625 000,00</w:t>
            </w:r>
          </w:p>
        </w:tc>
        <w:tc>
          <w:tcPr>
            <w:tcW w:w="1309" w:type="dxa"/>
            <w:vMerge w:val="restart"/>
          </w:tcPr>
          <w:p>
            <w:pPr>
              <w:pStyle w:val="0"/>
              <w:jc w:val="center"/>
            </w:pPr>
            <w:r>
              <w:rPr>
                <w:sz w:val="20"/>
              </w:rPr>
              <w:t xml:space="preserve">Май 2025 года - май 2026 года</w:t>
            </w:r>
          </w:p>
        </w:tc>
        <w:tc>
          <w:tcPr>
            <w:tcW w:w="3847" w:type="dxa"/>
            <w:vMerge w:val="restart"/>
          </w:tcPr>
          <w:p>
            <w:pPr>
              <w:pStyle w:val="0"/>
            </w:pPr>
            <w:r>
              <w:rPr>
                <w:sz w:val="20"/>
              </w:rPr>
              <w:t xml:space="preserve">1. Обеспечение реализации мероприятий программы (проекта) на территории юга Тюменской области.</w:t>
            </w:r>
          </w:p>
          <w:p>
            <w:pPr>
              <w:pStyle w:val="0"/>
            </w:pPr>
            <w:r>
              <w:rPr>
                <w:sz w:val="20"/>
              </w:rPr>
              <w:t xml:space="preserve">2. Обеспечение программы (проекта) опытными и компетентными специалистами, необходимыми для реализации программных мероприятий; привлечение к реализации программы (проекта) волонтеров (добровольцев) культуры.</w:t>
            </w:r>
          </w:p>
          <w:p>
            <w:pPr>
              <w:pStyle w:val="0"/>
            </w:pPr>
            <w:r>
              <w:rPr>
                <w:sz w:val="20"/>
              </w:rPr>
              <w:t xml:space="preserve">3. Обеспечение программы (проекта) зрительской аудиторией (онлайн и офлайн).</w:t>
            </w:r>
          </w:p>
          <w:p>
            <w:pPr>
              <w:pStyle w:val="0"/>
            </w:pPr>
            <w:r>
              <w:rPr>
                <w:sz w:val="20"/>
              </w:rPr>
              <w:t xml:space="preserve">4. Расходы на реализацию программы (проекта) должны быть обоснованы и непосредственно связаны с мероприятиями программы (проекта).</w:t>
            </w:r>
          </w:p>
          <w:p>
            <w:pPr>
              <w:pStyle w:val="0"/>
            </w:pPr>
            <w:r>
              <w:rPr>
                <w:sz w:val="20"/>
              </w:rPr>
              <w:t xml:space="preserve">5. Мероприятия программы (проекта) должны обеспечивать достижение результатов предоставления субсидии в установленные сроки реализации программы (проекта).</w:t>
            </w:r>
          </w:p>
          <w:p>
            <w:pPr>
              <w:pStyle w:val="0"/>
            </w:pPr>
            <w:r>
              <w:rPr>
                <w:sz w:val="20"/>
              </w:rPr>
              <w:t xml:space="preserve">6. В случае проведения мероприятий программы (проекта) на открытых площадках данные площадки должны соответствовать требованиям безопасности; о проведении мероприятий на данных площадках должны быть своевременно и в установленном порядке уведомлены соответствующие органы местного самоуправления и правоохранительные органы; площадки должны быть оснащены необходимым свето- и звукотехническим оборудованием, художественно-декорационным оформлением, посадочными местами для участников, зрителей (при необходимости).</w:t>
            </w:r>
          </w:p>
          <w:p>
            <w:pPr>
              <w:pStyle w:val="0"/>
            </w:pPr>
            <w:r>
              <w:rPr>
                <w:sz w:val="20"/>
              </w:rPr>
              <w:t xml:space="preserve">7. В случае проведения мероприятий программы (проекта) в помещениях данные помещения должны быть оснащены необходимым свето- и звукотехническим оборудованием, художественно-декорационным оформлением, посадочными местами для участников, зрителей (при необходимости).</w:t>
            </w:r>
          </w:p>
          <w:p>
            <w:pPr>
              <w:pStyle w:val="0"/>
            </w:pPr>
            <w:r>
              <w:rPr>
                <w:sz w:val="20"/>
              </w:rPr>
              <w:t xml:space="preserve">8. Обеспечение программы (проекта) фото- и видеосъемкой.</w:t>
            </w:r>
          </w:p>
          <w:p>
            <w:pPr>
              <w:pStyle w:val="0"/>
            </w:pPr>
            <w:r>
              <w:rPr>
                <w:sz w:val="20"/>
              </w:rPr>
              <w:t xml:space="preserve">9. Обеспечение предоставления в Департамент культуры Тюменской области пресс(пост)-релизов о программе (проекте) с фотоматериалами для размещения на информационных ресурсах.</w:t>
            </w:r>
          </w:p>
          <w:p>
            <w:pPr>
              <w:pStyle w:val="0"/>
            </w:pPr>
            <w:r>
              <w:rPr>
                <w:sz w:val="20"/>
              </w:rPr>
              <w:t xml:space="preserve">10. Обеспечение информационного сопровождения программы (проекта): не менее 3 публикаций о программе (проекте) в зарегистрированных СМИ и не менее 10 на иных информационных ресурсах, в том числе социальных сетях, с обязательным указанием в СМИ, интернет-ресурсах, полиграфической / печатной продукции, что программа (проект) реализована при поддержке Департамента культуры Тюменской области с использованием средств областного бюджета.</w:t>
            </w:r>
          </w:p>
        </w:tc>
      </w:tr>
      <w:tr>
        <w:tc>
          <w:tcPr>
            <w:tcW w:w="340" w:type="dxa"/>
          </w:tcPr>
          <w:p>
            <w:pPr>
              <w:pStyle w:val="0"/>
            </w:pPr>
            <w:r>
              <w:rPr>
                <w:sz w:val="20"/>
              </w:rPr>
              <w:t xml:space="preserve">2</w:t>
            </w:r>
          </w:p>
        </w:tc>
        <w:tc>
          <w:tcPr>
            <w:tcW w:w="3061" w:type="dxa"/>
          </w:tcPr>
          <w:p>
            <w:pPr>
              <w:pStyle w:val="0"/>
            </w:pPr>
            <w:r>
              <w:rPr>
                <w:sz w:val="20"/>
              </w:rPr>
              <w:t xml:space="preserve">Формирование у населения мировоззрения, которое основано на традиционных российских духовно-нравственных ценностях, в том числе на исторической памяти и преемственности поколений</w:t>
            </w:r>
          </w:p>
        </w:tc>
        <w:tc>
          <w:tcPr>
            <w:tcW w:w="4932" w:type="dxa"/>
          </w:tcPr>
          <w:p>
            <w:pPr>
              <w:pStyle w:val="0"/>
            </w:pPr>
            <w:r>
              <w:rPr>
                <w:sz w:val="20"/>
              </w:rPr>
              <w:t xml:space="preserve">Результат:</w:t>
            </w:r>
          </w:p>
          <w:p>
            <w:pPr>
              <w:pStyle w:val="0"/>
            </w:pPr>
            <w:r>
              <w:rPr>
                <w:sz w:val="20"/>
              </w:rPr>
              <w:t xml:space="preserve">Реализация некоммерческой организацией не менее одного творческого проекта, направленного на формирование у населения мировоззрения, основанного на традиционных российских духовно-нравственных ценностях, в том числе на исторической памяти и преемственности поколений.</w:t>
            </w:r>
          </w:p>
          <w:p>
            <w:pPr>
              <w:pStyle w:val="0"/>
            </w:pPr>
            <w:r>
              <w:rPr>
                <w:sz w:val="20"/>
              </w:rPr>
              <w:t xml:space="preserve">Характеристики:</w:t>
            </w:r>
          </w:p>
          <w:p>
            <w:pPr>
              <w:pStyle w:val="0"/>
            </w:pPr>
            <w:r>
              <w:rPr>
                <w:sz w:val="20"/>
              </w:rPr>
              <w:t xml:space="preserve">1. Количество мероприятий, реализованных в рамках программы (проекта) - не менее двух культурно-досуговых и (или) информационно-просветительских мероприятий.</w:t>
            </w:r>
          </w:p>
          <w:p>
            <w:pPr>
              <w:pStyle w:val="0"/>
            </w:pPr>
            <w:r>
              <w:rPr>
                <w:sz w:val="20"/>
              </w:rPr>
              <w:t xml:space="preserve">2. Количество участников реализованных в рамках программы (проекта) мероприятий - не менее пятидесяти человек.</w:t>
            </w:r>
          </w:p>
        </w:tc>
        <w:tc>
          <w:tcPr>
            <w:tcW w:w="1699" w:type="dxa"/>
          </w:tcPr>
          <w:p>
            <w:pPr>
              <w:pStyle w:val="0"/>
              <w:jc w:val="center"/>
            </w:pPr>
            <w:r>
              <w:rPr>
                <w:sz w:val="20"/>
              </w:rPr>
              <w:t xml:space="preserve">625 000,00</w:t>
            </w:r>
          </w:p>
        </w:tc>
        <w:tc>
          <w:tcPr>
            <w:vMerge w:val="continue"/>
          </w:tcPr>
          <w:p/>
        </w:tc>
        <w:tc>
          <w:tcPr>
            <w:vMerge w:val="continue"/>
          </w:tcPr>
          <w:p/>
        </w:tc>
      </w:tr>
      <w:tr>
        <w:tc>
          <w:tcPr>
            <w:tcW w:w="340" w:type="dxa"/>
          </w:tcPr>
          <w:p>
            <w:pPr>
              <w:pStyle w:val="0"/>
            </w:pPr>
            <w:r>
              <w:rPr>
                <w:sz w:val="20"/>
              </w:rPr>
              <w:t xml:space="preserve">3</w:t>
            </w:r>
          </w:p>
        </w:tc>
        <w:tc>
          <w:tcPr>
            <w:tcW w:w="3061" w:type="dxa"/>
          </w:tcPr>
          <w:p>
            <w:pPr>
              <w:pStyle w:val="0"/>
            </w:pPr>
            <w:r>
              <w:rPr>
                <w:sz w:val="20"/>
              </w:rPr>
              <w:t xml:space="preserve">Формирование у населения мировоззрения, которое основано на традиционных российских духовно-нравственных ценностях, в том числе на семейных традициях и крепкой семье</w:t>
            </w:r>
          </w:p>
        </w:tc>
        <w:tc>
          <w:tcPr>
            <w:tcW w:w="4932" w:type="dxa"/>
          </w:tcPr>
          <w:p>
            <w:pPr>
              <w:pStyle w:val="0"/>
            </w:pPr>
            <w:r>
              <w:rPr>
                <w:sz w:val="20"/>
              </w:rPr>
              <w:t xml:space="preserve">Результат:</w:t>
            </w:r>
          </w:p>
          <w:p>
            <w:pPr>
              <w:pStyle w:val="0"/>
            </w:pPr>
            <w:r>
              <w:rPr>
                <w:sz w:val="20"/>
              </w:rPr>
              <w:t xml:space="preserve">Реализация некоммерческой организацией не менее одного творческого проекта, направленного на формирование у населения мировоззрения, основанного на традиционных российских духовно-нравственных ценностях, в том числе на семейных традициях и крепкой семье.</w:t>
            </w:r>
          </w:p>
          <w:p>
            <w:pPr>
              <w:pStyle w:val="0"/>
            </w:pPr>
            <w:r>
              <w:rPr>
                <w:sz w:val="20"/>
              </w:rPr>
              <w:t xml:space="preserve">Характеристики:</w:t>
            </w:r>
          </w:p>
          <w:p>
            <w:pPr>
              <w:pStyle w:val="0"/>
            </w:pPr>
            <w:r>
              <w:rPr>
                <w:sz w:val="20"/>
              </w:rPr>
              <w:t xml:space="preserve">1. Количество мероприятий, реализованных в рамках программы (проекта) - не менее двух культурно-досуговых и (или) информационно-просветительских мероприятий.</w:t>
            </w:r>
          </w:p>
          <w:p>
            <w:pPr>
              <w:pStyle w:val="0"/>
            </w:pPr>
            <w:r>
              <w:rPr>
                <w:sz w:val="20"/>
              </w:rPr>
              <w:t xml:space="preserve">2. Количество участников реализованных в рамках программы (проекта) мероприятий - не менее пятидесяти человек.</w:t>
            </w:r>
          </w:p>
        </w:tc>
        <w:tc>
          <w:tcPr>
            <w:tcW w:w="1699" w:type="dxa"/>
          </w:tcPr>
          <w:p>
            <w:pPr>
              <w:pStyle w:val="0"/>
              <w:jc w:val="center"/>
            </w:pPr>
            <w:r>
              <w:rPr>
                <w:sz w:val="20"/>
              </w:rPr>
              <w:t xml:space="preserve">625 000,00</w:t>
            </w:r>
          </w:p>
        </w:tc>
        <w:tc>
          <w:tcPr>
            <w:vMerge w:val="continue"/>
          </w:tcPr>
          <w:p/>
        </w:tc>
        <w:tc>
          <w:tcPr>
            <w:vMerge w:val="continue"/>
          </w:tcPr>
          <w:p/>
        </w:tc>
      </w:tr>
      <w:tr>
        <w:tc>
          <w:tcPr>
            <w:tcW w:w="340" w:type="dxa"/>
          </w:tcPr>
          <w:p>
            <w:pPr>
              <w:pStyle w:val="0"/>
            </w:pPr>
            <w:r>
              <w:rPr>
                <w:sz w:val="20"/>
              </w:rPr>
              <w:t xml:space="preserve">4</w:t>
            </w:r>
          </w:p>
        </w:tc>
        <w:tc>
          <w:tcPr>
            <w:tcW w:w="3061" w:type="dxa"/>
          </w:tcPr>
          <w:p>
            <w:pPr>
              <w:pStyle w:val="0"/>
            </w:pPr>
            <w:r>
              <w:rPr>
                <w:sz w:val="20"/>
              </w:rPr>
              <w:t xml:space="preserve">Развитие и поддержка музыкального, театрального, изобразительного искусства, создание условий для творческой самореализации населения</w:t>
            </w:r>
          </w:p>
        </w:tc>
        <w:tc>
          <w:tcPr>
            <w:tcW w:w="4932" w:type="dxa"/>
          </w:tcPr>
          <w:p>
            <w:pPr>
              <w:pStyle w:val="0"/>
            </w:pPr>
            <w:r>
              <w:rPr>
                <w:sz w:val="20"/>
              </w:rPr>
              <w:t xml:space="preserve">Результат:</w:t>
            </w:r>
          </w:p>
          <w:p>
            <w:pPr>
              <w:pStyle w:val="0"/>
            </w:pPr>
            <w:r>
              <w:rPr>
                <w:sz w:val="20"/>
              </w:rPr>
              <w:t xml:space="preserve">Реализация некоммерческой организацией не менее одного творческого проекта в области музыкального или театрального, или изобразительного искусства, создание условий для творческой самореализации населения.</w:t>
            </w:r>
          </w:p>
          <w:p>
            <w:pPr>
              <w:pStyle w:val="0"/>
            </w:pPr>
            <w:r>
              <w:rPr>
                <w:sz w:val="20"/>
              </w:rPr>
              <w:t xml:space="preserve">Характеристики:</w:t>
            </w:r>
          </w:p>
          <w:p>
            <w:pPr>
              <w:pStyle w:val="0"/>
            </w:pPr>
            <w:r>
              <w:rPr>
                <w:sz w:val="20"/>
              </w:rPr>
              <w:t xml:space="preserve">1. Количество мероприятий, реализованных в рамках программы (проекта) - не менее двух культурно-досуговых и (или) информационно-просветительских мероприятий.</w:t>
            </w:r>
          </w:p>
          <w:p>
            <w:pPr>
              <w:pStyle w:val="0"/>
            </w:pPr>
            <w:r>
              <w:rPr>
                <w:sz w:val="20"/>
              </w:rPr>
              <w:t xml:space="preserve">2. Количество участников реализованных в рамках программы (проекта) мероприятий - не менее пятидесяти человек.</w:t>
            </w:r>
          </w:p>
        </w:tc>
        <w:tc>
          <w:tcPr>
            <w:tcW w:w="1699" w:type="dxa"/>
          </w:tcPr>
          <w:p>
            <w:pPr>
              <w:pStyle w:val="0"/>
              <w:jc w:val="center"/>
            </w:pPr>
            <w:r>
              <w:rPr>
                <w:sz w:val="20"/>
              </w:rPr>
              <w:t xml:space="preserve">625 000,00</w:t>
            </w:r>
          </w:p>
        </w:tc>
        <w:tc>
          <w:tcPr>
            <w:vMerge w:val="continue"/>
          </w:tcPr>
          <w:p/>
        </w:tc>
        <w:tc>
          <w:tcPr>
            <w:vMerge w:val="continue"/>
          </w:tcPr>
          <w:p/>
        </w:tc>
      </w:tr>
      <w:tr>
        <w:tc>
          <w:tcPr>
            <w:tcW w:w="340" w:type="dxa"/>
          </w:tcPr>
          <w:p>
            <w:pPr>
              <w:pStyle w:val="0"/>
            </w:pPr>
            <w:r>
              <w:rPr>
                <w:sz w:val="20"/>
              </w:rPr>
              <w:t xml:space="preserve">5</w:t>
            </w:r>
          </w:p>
        </w:tc>
        <w:tc>
          <w:tcPr>
            <w:tcW w:w="3061" w:type="dxa"/>
          </w:tcPr>
          <w:p>
            <w:pPr>
              <w:pStyle w:val="0"/>
            </w:pPr>
            <w:r>
              <w:rPr>
                <w:sz w:val="20"/>
              </w:rPr>
              <w:t xml:space="preserve">Социокультурная реабилитация людей с ограниченными возможностями средствами культуры и искусства</w:t>
            </w:r>
          </w:p>
        </w:tc>
        <w:tc>
          <w:tcPr>
            <w:tcW w:w="4932" w:type="dxa"/>
          </w:tcPr>
          <w:p>
            <w:pPr>
              <w:pStyle w:val="0"/>
            </w:pPr>
            <w:r>
              <w:rPr>
                <w:sz w:val="20"/>
              </w:rPr>
              <w:t xml:space="preserve">Результат:</w:t>
            </w:r>
          </w:p>
          <w:p>
            <w:pPr>
              <w:pStyle w:val="0"/>
            </w:pPr>
            <w:r>
              <w:rPr>
                <w:sz w:val="20"/>
              </w:rPr>
              <w:t xml:space="preserve">Реализация некоммерческой организацией не менее одного творческого проекта, направленного на социокультурную реабилитацию людей с ограниченными возможностями здоровья посредством включения их в творческую и (или) креативную деятельность.</w:t>
            </w:r>
          </w:p>
          <w:p>
            <w:pPr>
              <w:pStyle w:val="0"/>
            </w:pPr>
            <w:r>
              <w:rPr>
                <w:sz w:val="20"/>
              </w:rPr>
              <w:t xml:space="preserve">Характеристики:</w:t>
            </w:r>
          </w:p>
          <w:p>
            <w:pPr>
              <w:pStyle w:val="0"/>
            </w:pPr>
            <w:r>
              <w:rPr>
                <w:sz w:val="20"/>
              </w:rPr>
              <w:t xml:space="preserve">1. Количество мероприятий, реализованных в рамках программы (проекта) - не менее двух культурно-досуговых и (или) информационно-просветительских мероприятий.</w:t>
            </w:r>
          </w:p>
          <w:p>
            <w:pPr>
              <w:pStyle w:val="0"/>
            </w:pPr>
            <w:r>
              <w:rPr>
                <w:sz w:val="20"/>
              </w:rPr>
              <w:t xml:space="preserve">2. Количество участников реализованных в рамках программы (проекта) мероприятий - не менее двадцати человек.</w:t>
            </w:r>
          </w:p>
        </w:tc>
        <w:tc>
          <w:tcPr>
            <w:tcW w:w="1699" w:type="dxa"/>
          </w:tcPr>
          <w:p>
            <w:pPr>
              <w:pStyle w:val="0"/>
              <w:jc w:val="center"/>
            </w:pPr>
            <w:r>
              <w:rPr>
                <w:sz w:val="20"/>
              </w:rPr>
              <w:t xml:space="preserve">650 000,00</w:t>
            </w:r>
          </w:p>
        </w:tc>
        <w:tc>
          <w:tcPr>
            <w:vMerge w:val="continue"/>
          </w:tcPr>
          <w:p/>
        </w:tc>
        <w:tc>
          <w:tcPr>
            <w:vMerge w:val="continue"/>
          </w:tcPr>
          <w:p/>
        </w:tc>
      </w:tr>
      <w:tr>
        <w:tc>
          <w:tcPr>
            <w:tcW w:w="340" w:type="dxa"/>
          </w:tcPr>
          <w:p>
            <w:pPr>
              <w:pStyle w:val="0"/>
            </w:pPr>
            <w:r>
              <w:rPr>
                <w:sz w:val="20"/>
              </w:rPr>
              <w:t xml:space="preserve">6</w:t>
            </w:r>
          </w:p>
        </w:tc>
        <w:tc>
          <w:tcPr>
            <w:tcW w:w="3061" w:type="dxa"/>
          </w:tcPr>
          <w:p>
            <w:pPr>
              <w:pStyle w:val="0"/>
            </w:pPr>
            <w:r>
              <w:rPr>
                <w:sz w:val="20"/>
              </w:rPr>
              <w:t xml:space="preserve">Создание условий для развития креативных индустрий в культуре</w:t>
            </w:r>
          </w:p>
        </w:tc>
        <w:tc>
          <w:tcPr>
            <w:tcW w:w="4932" w:type="dxa"/>
          </w:tcPr>
          <w:p>
            <w:pPr>
              <w:pStyle w:val="0"/>
            </w:pPr>
            <w:r>
              <w:rPr>
                <w:sz w:val="20"/>
              </w:rPr>
              <w:t xml:space="preserve">1. Реализация некоммерческой организацией не менее одного творческого проекта, направленного на создание условий для развития креативных индустрий в культуре.</w:t>
            </w:r>
          </w:p>
          <w:p>
            <w:pPr>
              <w:pStyle w:val="0"/>
            </w:pPr>
            <w:r>
              <w:rPr>
                <w:sz w:val="20"/>
              </w:rPr>
              <w:t xml:space="preserve">Характеристики:</w:t>
            </w:r>
          </w:p>
          <w:p>
            <w:pPr>
              <w:pStyle w:val="0"/>
            </w:pPr>
            <w:r>
              <w:rPr>
                <w:sz w:val="20"/>
              </w:rPr>
              <w:t xml:space="preserve">1. Количество мероприятий, реализованных в рамках программы (проекта) - не менее двух культурно-досуговых и (или) информационно-просветительских мероприятий.</w:t>
            </w:r>
          </w:p>
          <w:p>
            <w:pPr>
              <w:pStyle w:val="0"/>
            </w:pPr>
            <w:r>
              <w:rPr>
                <w:sz w:val="20"/>
              </w:rPr>
              <w:t xml:space="preserve">2. Количество участников реализованных в рамках программы (проекта) мероприятий - не менее пятидесяти человек.</w:t>
            </w:r>
          </w:p>
        </w:tc>
        <w:tc>
          <w:tcPr>
            <w:tcW w:w="1699" w:type="dxa"/>
          </w:tcPr>
          <w:p>
            <w:pPr>
              <w:pStyle w:val="0"/>
              <w:jc w:val="center"/>
            </w:pPr>
            <w:r>
              <w:rPr>
                <w:sz w:val="20"/>
              </w:rPr>
              <w:t xml:space="preserve">625 000,00</w:t>
            </w:r>
          </w:p>
        </w:tc>
        <w:tc>
          <w:tcPr>
            <w:vMerge w:val="continue"/>
          </w:tcPr>
          <w:p/>
        </w:tc>
        <w:tc>
          <w:tcPr>
            <w:vMerge w:val="continue"/>
          </w:tcPr>
          <w:p/>
        </w:tc>
      </w:tr>
      <w:tr>
        <w:tc>
          <w:tcPr>
            <w:tcW w:w="340" w:type="dxa"/>
          </w:tcPr>
          <w:p>
            <w:pPr>
              <w:pStyle w:val="0"/>
            </w:pPr>
            <w:r>
              <w:rPr>
                <w:sz w:val="20"/>
              </w:rPr>
              <w:t xml:space="preserve">7</w:t>
            </w:r>
          </w:p>
        </w:tc>
        <w:tc>
          <w:tcPr>
            <w:tcW w:w="3061" w:type="dxa"/>
          </w:tcPr>
          <w:p>
            <w:pPr>
              <w:pStyle w:val="0"/>
            </w:pPr>
            <w:r>
              <w:rPr>
                <w:sz w:val="20"/>
              </w:rPr>
              <w:t xml:space="preserve">Поддержка и популяризация народных художественных промыслов и ремесел</w:t>
            </w:r>
          </w:p>
        </w:tc>
        <w:tc>
          <w:tcPr>
            <w:tcW w:w="4932" w:type="dxa"/>
          </w:tcPr>
          <w:p>
            <w:pPr>
              <w:pStyle w:val="0"/>
            </w:pPr>
            <w:r>
              <w:rPr>
                <w:sz w:val="20"/>
              </w:rPr>
              <w:t xml:space="preserve">1. Реализация некоммерческой организацией не менее одного творческого проекта, направленного на поддержку и популяризацию народных художественных промыслов и ремесел.</w:t>
            </w:r>
          </w:p>
          <w:p>
            <w:pPr>
              <w:pStyle w:val="0"/>
            </w:pPr>
            <w:r>
              <w:rPr>
                <w:sz w:val="20"/>
              </w:rPr>
              <w:t xml:space="preserve">Характеристики:</w:t>
            </w:r>
          </w:p>
          <w:p>
            <w:pPr>
              <w:pStyle w:val="0"/>
            </w:pPr>
            <w:r>
              <w:rPr>
                <w:sz w:val="20"/>
              </w:rPr>
              <w:t xml:space="preserve">1. Количество мероприятий, реализованных в рамках программы (проекта) - не менее двух культурно-досуговых и (или) информационно-просветительских мероприятий.</w:t>
            </w:r>
          </w:p>
          <w:p>
            <w:pPr>
              <w:pStyle w:val="0"/>
            </w:pPr>
            <w:r>
              <w:rPr>
                <w:sz w:val="20"/>
              </w:rPr>
              <w:t xml:space="preserve">2. Количество участников реализованных в рамках программы (проекта) мероприятий - не менее пятидесяти человек.</w:t>
            </w:r>
          </w:p>
        </w:tc>
        <w:tc>
          <w:tcPr>
            <w:tcW w:w="1699" w:type="dxa"/>
          </w:tcPr>
          <w:p>
            <w:pPr>
              <w:pStyle w:val="0"/>
              <w:jc w:val="center"/>
            </w:pPr>
            <w:r>
              <w:rPr>
                <w:sz w:val="20"/>
              </w:rPr>
              <w:t xml:space="preserve">625 000,00</w:t>
            </w:r>
          </w:p>
        </w:tc>
        <w:tc>
          <w:tcPr>
            <w:vMerge w:val="continue"/>
          </w:tcPr>
          <w:p/>
        </w:tc>
        <w:tc>
          <w:tcPr>
            <w:vMerge w:val="continue"/>
          </w:tcPr>
          <w:p/>
        </w:tc>
      </w:tr>
      <w:tr>
        <w:tc>
          <w:tcPr>
            <w:gridSpan w:val="3"/>
            <w:tcW w:w="8333" w:type="dxa"/>
            <w:vAlign w:val="center"/>
          </w:tcPr>
          <w:p>
            <w:pPr>
              <w:pStyle w:val="0"/>
              <w:jc w:val="center"/>
            </w:pPr>
            <w:r>
              <w:rPr>
                <w:sz w:val="20"/>
              </w:rPr>
              <w:t xml:space="preserve">7 проектов</w:t>
            </w:r>
          </w:p>
        </w:tc>
        <w:tc>
          <w:tcPr>
            <w:gridSpan w:val="3"/>
            <w:tcW w:w="6855" w:type="dxa"/>
            <w:vAlign w:val="center"/>
          </w:tcPr>
          <w:p>
            <w:pPr>
              <w:pStyle w:val="0"/>
              <w:jc w:val="center"/>
            </w:pPr>
            <w:r>
              <w:rPr>
                <w:sz w:val="20"/>
              </w:rPr>
              <w:t xml:space="preserve">4 400 000 рублей</w:t>
            </w:r>
          </w:p>
        </w:tc>
      </w:tr>
    </w:tbl>
    <w:p>
      <w:pPr>
        <w:sectPr>
          <w:headerReference w:type="default" r:id="rId12"/>
          <w:headerReference w:type="first" r:id="rId12"/>
          <w:footerReference w:type="default" r:id="rId13"/>
          <w:footerReference w:type="first" r:id="rId13"/>
          <w:pgSz w:w="16838" w:h="11906" w:orient="landscape"/>
          <w:pgMar w:top="1133" w:right="397" w:bottom="566" w:left="397" w:header="0" w:footer="0" w:gutter="0"/>
          <w:titlePg/>
        </w:sectPr>
      </w:pP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2</w:t>
      </w:r>
    </w:p>
    <w:p>
      <w:pPr>
        <w:pStyle w:val="0"/>
        <w:jc w:val="right"/>
      </w:pPr>
      <w:r>
        <w:rPr>
          <w:sz w:val="20"/>
        </w:rPr>
        <w:t xml:space="preserve">к приказу Департамента культуры</w:t>
      </w:r>
    </w:p>
    <w:p>
      <w:pPr>
        <w:pStyle w:val="0"/>
        <w:jc w:val="right"/>
      </w:pPr>
      <w:r>
        <w:rPr>
          <w:sz w:val="20"/>
        </w:rPr>
        <w:t xml:space="preserve">Тюменской области</w:t>
      </w:r>
    </w:p>
    <w:p>
      <w:pPr>
        <w:pStyle w:val="0"/>
        <w:jc w:val="right"/>
      </w:pPr>
      <w:r>
        <w:rPr>
          <w:sz w:val="20"/>
        </w:rPr>
        <w:t xml:space="preserve">от 24.02.2025 N 035</w:t>
      </w:r>
    </w:p>
    <w:p>
      <w:pPr>
        <w:pStyle w:val="0"/>
        <w:jc w:val="both"/>
      </w:pPr>
      <w:r>
        <w:rPr>
          <w:sz w:val="20"/>
        </w:rPr>
      </w:r>
    </w:p>
    <w:bookmarkStart w:id="130" w:name="P130"/>
    <w:bookmarkEnd w:id="130"/>
    <w:p>
      <w:pPr>
        <w:pStyle w:val="2"/>
        <w:jc w:val="center"/>
      </w:pPr>
      <w:r>
        <w:rPr>
          <w:sz w:val="20"/>
        </w:rPr>
        <w:t xml:space="preserve">ОБЪЯВЛЕНИЕ</w:t>
      </w:r>
    </w:p>
    <w:p>
      <w:pPr>
        <w:pStyle w:val="2"/>
        <w:jc w:val="center"/>
      </w:pPr>
      <w:r>
        <w:rPr>
          <w:sz w:val="20"/>
        </w:rPr>
        <w:t xml:space="preserve">О ПРОВЕДЕНИИ КОНКУРСА НА ПРАВО ПОЛУЧЕНИЯ СОЦИАЛЬНО</w:t>
      </w:r>
    </w:p>
    <w:p>
      <w:pPr>
        <w:pStyle w:val="2"/>
        <w:jc w:val="center"/>
      </w:pPr>
      <w:r>
        <w:rPr>
          <w:sz w:val="20"/>
        </w:rPr>
        <w:t xml:space="preserve">ОРИЕНТИРОВАННЫМИ НЕКОММЕРЧЕСКИМИ ОРГАНИЗАЦИЯМИ В 2025 ГОДУ</w:t>
      </w:r>
    </w:p>
    <w:p>
      <w:pPr>
        <w:pStyle w:val="2"/>
        <w:jc w:val="center"/>
      </w:pPr>
      <w:r>
        <w:rPr>
          <w:sz w:val="20"/>
        </w:rPr>
        <w:t xml:space="preserve">СУБСИДИЙ ИЗ ОБЛАСТНОГО БЮДЖЕТА НА РЕАЛИЗАЦИЮ ПРОГРАММ</w:t>
      </w:r>
    </w:p>
    <w:p>
      <w:pPr>
        <w:pStyle w:val="2"/>
        <w:jc w:val="center"/>
      </w:pPr>
      <w:r>
        <w:rPr>
          <w:sz w:val="20"/>
        </w:rPr>
        <w:t xml:space="preserve">(ПРОЕКТОВ) ПО ПРИОРИТЕТНОМУ НАПРАВЛЕНИЮ "ДЕЯТЕЛЬНОСТЬ</w:t>
      </w:r>
    </w:p>
    <w:p>
      <w:pPr>
        <w:pStyle w:val="2"/>
        <w:jc w:val="center"/>
      </w:pPr>
      <w:r>
        <w:rPr>
          <w:sz w:val="20"/>
        </w:rPr>
        <w:t xml:space="preserve">В ОБЛАСТИ КУЛЬТУРЫ, ИСКУССТВА И СОДЕЙСТВИЯ УКАЗАННОЙ</w:t>
      </w:r>
    </w:p>
    <w:p>
      <w:pPr>
        <w:pStyle w:val="2"/>
        <w:jc w:val="center"/>
      </w:pPr>
      <w:r>
        <w:rPr>
          <w:sz w:val="20"/>
        </w:rPr>
        <w:t xml:space="preserve">ДЕЯТЕЛЬНОСТИ, А ТАКЖЕ СОДЕЙСТВИЕ ДУХОВНОМУ РАЗВИТИЮ</w:t>
      </w:r>
    </w:p>
    <w:p>
      <w:pPr>
        <w:pStyle w:val="2"/>
        <w:jc w:val="center"/>
      </w:pPr>
      <w:r>
        <w:rPr>
          <w:sz w:val="20"/>
        </w:rPr>
        <w:t xml:space="preserve">ЛИЧНОСТИ"</w:t>
      </w:r>
    </w:p>
    <w:p>
      <w:pPr>
        <w:pStyle w:val="0"/>
        <w:jc w:val="both"/>
      </w:pPr>
      <w:r>
        <w:rPr>
          <w:sz w:val="20"/>
        </w:rPr>
      </w:r>
    </w:p>
    <w:p>
      <w:pPr>
        <w:pStyle w:val="0"/>
        <w:ind w:firstLine="540"/>
        <w:jc w:val="both"/>
      </w:pPr>
      <w:r>
        <w:rPr>
          <w:sz w:val="20"/>
        </w:rPr>
        <w:t xml:space="preserve">В соответствии с </w:t>
      </w:r>
      <w:hyperlink w:history="0" r:id="rId14" w:tooltip="Постановление Правительства Тюменской области от 10.09.2021 N 547-п (ред. от 21.03.2024) &quot;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quot; ------------ Недействующая редакция {КонсультантПлюс}">
        <w:r>
          <w:rPr>
            <w:sz w:val="20"/>
            <w:color w:val="0000ff"/>
          </w:rPr>
          <w:t xml:space="preserve">Порядком</w:t>
        </w:r>
      </w:hyperlink>
      <w:r>
        <w:rPr>
          <w:sz w:val="20"/>
        </w:rPr>
        <w:t xml:space="preserve"> предоставления субсидий из областного бюджета социально ориентированным некоммерческим организациям, утвержденным постановлением Правительства Тюменской области от 10.09.2021 N 547-п (далее - Порядок), Департамент культуры Тюменской области объявляет о проведении конкурса на право получения социально ориентированными некоммерческими организациями в 2025 году субсидий из областного бюджета на реализацию программ (проектов) по приоритетному направлению "Деятельность в области культуры, искусства и содействия указанной деятельности, а также содействие духовному развитию личности" по следующим целям:</w:t>
      </w:r>
    </w:p>
    <w:p>
      <w:pPr>
        <w:pStyle w:val="0"/>
        <w:spacing w:before="200" w:line-rule="auto"/>
        <w:ind w:firstLine="540"/>
        <w:jc w:val="both"/>
      </w:pPr>
      <w:r>
        <w:rPr>
          <w:sz w:val="20"/>
        </w:rPr>
        <w:t xml:space="preserve">1. Формирование у населения мировоззрения, которое основано на традиционных российских духовно-нравственных ценностях, в том числе на единстве народов России (максимальный размер субсидии 625 000 рублей).</w:t>
      </w:r>
    </w:p>
    <w:p>
      <w:pPr>
        <w:pStyle w:val="0"/>
        <w:spacing w:before="200" w:line-rule="auto"/>
        <w:ind w:firstLine="540"/>
        <w:jc w:val="both"/>
      </w:pPr>
      <w:r>
        <w:rPr>
          <w:sz w:val="20"/>
        </w:rPr>
        <w:t xml:space="preserve">2. Формирование у населения мировоззрения, которое основано на традиционных российских духовно-нравственных ценностях, в том числе на исторической памяти и преемственности поколений (максимальный размер субсидии 625 000 рублей).</w:t>
      </w:r>
    </w:p>
    <w:p>
      <w:pPr>
        <w:pStyle w:val="0"/>
        <w:spacing w:before="200" w:line-rule="auto"/>
        <w:ind w:firstLine="540"/>
        <w:jc w:val="both"/>
      </w:pPr>
      <w:r>
        <w:rPr>
          <w:sz w:val="20"/>
        </w:rPr>
        <w:t xml:space="preserve">3. Формирование у населения мировоззрения, которое основано на традиционных российских духовно-нравственных ценностях, в том числе на семейных традициях и крепкой семье (максимальный размер субсидии 625 000 рублей).</w:t>
      </w:r>
    </w:p>
    <w:p>
      <w:pPr>
        <w:pStyle w:val="0"/>
        <w:spacing w:before="200" w:line-rule="auto"/>
        <w:ind w:firstLine="540"/>
        <w:jc w:val="both"/>
      </w:pPr>
      <w:r>
        <w:rPr>
          <w:sz w:val="20"/>
        </w:rPr>
        <w:t xml:space="preserve">4. Развитие и поддержка музыкального, театрального, изобразительного искусства, создание условий для творческой самореализации населения (максимальный размер субсидии 625 000 рублей).</w:t>
      </w:r>
    </w:p>
    <w:p>
      <w:pPr>
        <w:pStyle w:val="0"/>
        <w:spacing w:before="200" w:line-rule="auto"/>
        <w:ind w:firstLine="540"/>
        <w:jc w:val="both"/>
      </w:pPr>
      <w:r>
        <w:rPr>
          <w:sz w:val="20"/>
        </w:rPr>
        <w:t xml:space="preserve">5. Социокультурная реабилитация людей с ограниченными возможностями средствами культуры и искусства (максимальный размер субсидии 650 000 рублей).</w:t>
      </w:r>
    </w:p>
    <w:p>
      <w:pPr>
        <w:pStyle w:val="0"/>
        <w:spacing w:before="200" w:line-rule="auto"/>
        <w:ind w:firstLine="540"/>
        <w:jc w:val="both"/>
      </w:pPr>
      <w:r>
        <w:rPr>
          <w:sz w:val="20"/>
        </w:rPr>
        <w:t xml:space="preserve">6. Создание условий для развития креативных индустрий в культуре (максимальный размер субсидии 625 000 рублей).</w:t>
      </w:r>
    </w:p>
    <w:p>
      <w:pPr>
        <w:pStyle w:val="0"/>
        <w:spacing w:before="200" w:line-rule="auto"/>
        <w:ind w:firstLine="540"/>
        <w:jc w:val="both"/>
      </w:pPr>
      <w:r>
        <w:rPr>
          <w:sz w:val="20"/>
        </w:rPr>
        <w:t xml:space="preserve">7. Поддержка и популяризация народных художественных промыслов и ремесел (максимальный размер субсидии 625 000 рублей).</w:t>
      </w:r>
    </w:p>
    <w:p>
      <w:pPr>
        <w:pStyle w:val="0"/>
        <w:jc w:val="both"/>
      </w:pPr>
      <w:r>
        <w:rPr>
          <w:sz w:val="20"/>
        </w:rPr>
      </w:r>
    </w:p>
    <w:p>
      <w:pPr>
        <w:pStyle w:val="0"/>
        <w:ind w:firstLine="540"/>
        <w:jc w:val="both"/>
      </w:pPr>
      <w:r>
        <w:rPr>
          <w:sz w:val="20"/>
        </w:rPr>
        <w:t xml:space="preserve">Срок проведения конкурса:</w:t>
      </w:r>
    </w:p>
    <w:p>
      <w:pPr>
        <w:pStyle w:val="0"/>
        <w:spacing w:before="200" w:line-rule="auto"/>
        <w:ind w:firstLine="540"/>
        <w:jc w:val="both"/>
      </w:pPr>
      <w:r>
        <w:rPr>
          <w:sz w:val="20"/>
        </w:rPr>
        <w:t xml:space="preserve">Дата размещения объявления о конкурсе - 24.02.2025</w:t>
      </w:r>
    </w:p>
    <w:p>
      <w:pPr>
        <w:pStyle w:val="0"/>
        <w:spacing w:before="200" w:line-rule="auto"/>
        <w:ind w:firstLine="540"/>
        <w:jc w:val="both"/>
      </w:pPr>
      <w:r>
        <w:rPr>
          <w:sz w:val="20"/>
        </w:rPr>
        <w:t xml:space="preserve">Дата начала подачи заявок участников конкурса - 27.02.2025, дата окончания приема заявок - 28.03.2025</w:t>
      </w:r>
    </w:p>
    <w:p>
      <w:pPr>
        <w:pStyle w:val="0"/>
        <w:spacing w:before="200" w:line-rule="auto"/>
        <w:ind w:firstLine="540"/>
        <w:jc w:val="both"/>
      </w:pPr>
      <w:r>
        <w:rPr>
          <w:sz w:val="20"/>
        </w:rPr>
        <w:t xml:space="preserve">Срок проверки заявок участников конкурса, направления заявок и документов участников конкурса, допущенных к участию в конкурсе, в конкурсную комиссию - до 10.04.2025</w:t>
      </w:r>
    </w:p>
    <w:p>
      <w:pPr>
        <w:pStyle w:val="0"/>
        <w:spacing w:before="200" w:line-rule="auto"/>
        <w:ind w:firstLine="540"/>
        <w:jc w:val="both"/>
      </w:pPr>
      <w:r>
        <w:rPr>
          <w:sz w:val="20"/>
        </w:rPr>
        <w:t xml:space="preserve">Срок рассмотрения и проведения независимой экспертизы заявок конкурсной комиссией - до 30.04.2025</w:t>
      </w:r>
    </w:p>
    <w:p>
      <w:pPr>
        <w:pStyle w:val="0"/>
        <w:spacing w:before="200" w:line-rule="auto"/>
        <w:ind w:firstLine="540"/>
        <w:jc w:val="both"/>
      </w:pPr>
      <w:r>
        <w:rPr>
          <w:sz w:val="20"/>
        </w:rPr>
        <w:t xml:space="preserve">Срок определения победителей, размещения информации о результатах конкурса - до 19.05.2025</w:t>
      </w:r>
    </w:p>
    <w:p>
      <w:pPr>
        <w:pStyle w:val="0"/>
        <w:jc w:val="both"/>
      </w:pPr>
      <w:r>
        <w:rPr>
          <w:sz w:val="20"/>
        </w:rPr>
      </w:r>
    </w:p>
    <w:p>
      <w:pPr>
        <w:pStyle w:val="0"/>
        <w:ind w:firstLine="540"/>
        <w:jc w:val="both"/>
      </w:pPr>
      <w:r>
        <w:rPr>
          <w:sz w:val="20"/>
        </w:rPr>
        <w:t xml:space="preserve">Заявки подаются через личный кабинет на официальном сайте конкурса </w:t>
      </w:r>
      <w:hyperlink w:history="0" r:id="rId15">
        <w:r>
          <w:rPr>
            <w:sz w:val="20"/>
            <w:color w:val="0000ff"/>
          </w:rPr>
          <w:t xml:space="preserve">https://тюменьгранты.72to.ru/</w:t>
        </w:r>
      </w:hyperlink>
      <w:r>
        <w:rPr>
          <w:sz w:val="20"/>
        </w:rPr>
        <w:t xml:space="preserve"> (далее - сайт конкурса) в форме электронных документов посредством заполнения соответствующих электронных форм, размещенных на сайте конкурса, в сроки, указанные в объявлении о проведении конкурса.</w:t>
      </w:r>
    </w:p>
    <w:p>
      <w:pPr>
        <w:pStyle w:val="0"/>
        <w:jc w:val="both"/>
      </w:pPr>
      <w:r>
        <w:rPr>
          <w:sz w:val="20"/>
        </w:rPr>
      </w:r>
    </w:p>
    <w:p>
      <w:pPr>
        <w:pStyle w:val="0"/>
        <w:ind w:firstLine="540"/>
        <w:jc w:val="both"/>
      </w:pPr>
      <w:r>
        <w:rPr>
          <w:sz w:val="20"/>
        </w:rPr>
        <w:t xml:space="preserve">Ознакомиться с Порядком, требованиями к участникам конкурса и перечнем документов, предоставляемых участниками конкурса для участия в конкурсе, техническим заданием, составом конкурсной комиссии можно на сайте конкурса в разделах "Документы". </w:t>
      </w:r>
      <w:hyperlink w:history="0" w:anchor="P170" w:tooltip="ИЗВЛЕЧЕНИЯ">
        <w:r>
          <w:rPr>
            <w:sz w:val="20"/>
            <w:color w:val="0000ff"/>
          </w:rPr>
          <w:t xml:space="preserve">Извлечения</w:t>
        </w:r>
      </w:hyperlink>
      <w:r>
        <w:rPr>
          <w:sz w:val="20"/>
        </w:rPr>
        <w:t xml:space="preserve"> из Порядка, а также информация, необходимая для указания в объявлении о проведении конкурса в соответствии с требованиями </w:t>
      </w:r>
      <w:hyperlink w:history="0" r:id="rId16" w:tooltip="Постановление Правительства Тюменской области от 10.09.2021 N 547-п (ред. от 21.03.2024) &quot;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quot; ------------ Недействующая редакция {КонсультантПлюс}">
        <w:r>
          <w:rPr>
            <w:sz w:val="20"/>
            <w:color w:val="0000ff"/>
          </w:rPr>
          <w:t xml:space="preserve">пунктом 2.4</w:t>
        </w:r>
      </w:hyperlink>
      <w:r>
        <w:rPr>
          <w:sz w:val="20"/>
        </w:rPr>
        <w:t xml:space="preserve"> Порядка, прилагаются к настоящему объявлению.</w:t>
      </w:r>
    </w:p>
    <w:p>
      <w:pPr>
        <w:pStyle w:val="0"/>
        <w:jc w:val="both"/>
      </w:pPr>
      <w:r>
        <w:rPr>
          <w:sz w:val="20"/>
        </w:rPr>
      </w:r>
    </w:p>
    <w:p>
      <w:pPr>
        <w:pStyle w:val="0"/>
        <w:ind w:firstLine="540"/>
        <w:jc w:val="both"/>
      </w:pPr>
      <w:r>
        <w:rPr>
          <w:sz w:val="20"/>
        </w:rPr>
        <w:t xml:space="preserve">Консультирование участников конкурса по вопросам подготовки заявок на участие в конкурсе осуществляет главный специалист отдела развития отрасли управления финансов и развития отрасли Департамента культуры Тюменской области Носырева Ольга Александровна по телефону 8(345)242-74-29.</w:t>
      </w:r>
    </w:p>
    <w:p>
      <w:pPr>
        <w:pStyle w:val="0"/>
        <w:jc w:val="both"/>
      </w:pPr>
      <w:r>
        <w:rPr>
          <w:sz w:val="20"/>
        </w:rPr>
      </w:r>
    </w:p>
    <w:p>
      <w:pPr>
        <w:pStyle w:val="0"/>
        <w:ind w:firstLine="540"/>
        <w:jc w:val="both"/>
      </w:pPr>
      <w:r>
        <w:rPr>
          <w:sz w:val="20"/>
        </w:rPr>
        <w:t xml:space="preserve">Информация об организаторе конкурса (Главном распорядителе бюджетных средств): Департамент культуры Тюменской области; место нахождения: Тюменская область, г. Тюмень, ул. Водопроводная 35; часы работы: пн. - чт.: 08.45-18.00 час., пт: 09.00-17.00, обед: 13.00-14.00 час.; почтовый адрес: 625000, Тюменская область, г. Тюмень, ул. Водопроводная, д. 35, адрес электронной почты: dkto@72to.ru; телефон для получения консультаций по вопросам подготовки заявок на участие в конкурсе: 8(345)242-74-29.</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w:t>
      </w:r>
    </w:p>
    <w:p>
      <w:pPr>
        <w:pStyle w:val="0"/>
        <w:jc w:val="right"/>
      </w:pPr>
      <w:r>
        <w:rPr>
          <w:sz w:val="20"/>
        </w:rPr>
        <w:t xml:space="preserve">к объявлению</w:t>
      </w:r>
    </w:p>
    <w:p>
      <w:pPr>
        <w:pStyle w:val="0"/>
        <w:jc w:val="both"/>
      </w:pPr>
      <w:r>
        <w:rPr>
          <w:sz w:val="20"/>
        </w:rPr>
      </w:r>
    </w:p>
    <w:bookmarkStart w:id="170" w:name="P170"/>
    <w:bookmarkEnd w:id="170"/>
    <w:p>
      <w:pPr>
        <w:pStyle w:val="2"/>
        <w:jc w:val="center"/>
      </w:pPr>
      <w:r>
        <w:rPr>
          <w:sz w:val="20"/>
        </w:rPr>
        <w:t xml:space="preserve">ИЗВЛЕЧЕНИЯ</w:t>
      </w:r>
    </w:p>
    <w:p>
      <w:pPr>
        <w:pStyle w:val="2"/>
        <w:jc w:val="center"/>
      </w:pPr>
      <w:r>
        <w:rPr>
          <w:sz w:val="20"/>
        </w:rPr>
        <w:t xml:space="preserve">ИЗ ПОРЯДКА ПРЕДОСТАВЛЕНИЯ СУБСИДИЙ ИЗ ОБЛАСТНОГО БЮДЖЕТА</w:t>
      </w:r>
    </w:p>
    <w:p>
      <w:pPr>
        <w:pStyle w:val="2"/>
        <w:jc w:val="center"/>
      </w:pPr>
      <w:r>
        <w:rPr>
          <w:sz w:val="20"/>
        </w:rPr>
        <w:t xml:space="preserve">СОЦИАЛЬНО ОРИЕНТИРОВАННЫМ НЕКОММЕРЧЕСКИМ ОРГАНИЗАЦИЯМ,</w:t>
      </w:r>
    </w:p>
    <w:p>
      <w:pPr>
        <w:pStyle w:val="2"/>
        <w:jc w:val="center"/>
      </w:pPr>
      <w:r>
        <w:rPr>
          <w:sz w:val="20"/>
        </w:rPr>
        <w:t xml:space="preserve">УТВЕРЖДЕННОГО ПОСТАНОВЛЕНИЕМ ПРАВИТЕЛЬСТВА ТЮМЕНСКОЙ ОБЛАСТИ</w:t>
      </w:r>
    </w:p>
    <w:p>
      <w:pPr>
        <w:pStyle w:val="2"/>
        <w:jc w:val="center"/>
      </w:pPr>
      <w:r>
        <w:rPr>
          <w:sz w:val="20"/>
        </w:rPr>
        <w:t xml:space="preserve">ОТ 10.09.2021 N 547-П (ДАЛЕЕ - ПОРЯДОК)</w:t>
      </w:r>
    </w:p>
    <w:p>
      <w:pPr>
        <w:pStyle w:val="0"/>
        <w:jc w:val="both"/>
      </w:pPr>
      <w:r>
        <w:rPr>
          <w:sz w:val="20"/>
        </w:rPr>
      </w:r>
    </w:p>
    <w:p>
      <w:pPr>
        <w:pStyle w:val="0"/>
        <w:ind w:firstLine="540"/>
        <w:jc w:val="both"/>
      </w:pPr>
      <w:r>
        <w:rPr>
          <w:sz w:val="20"/>
        </w:rPr>
        <w:t xml:space="preserve">Срок проведения конкурса: указывается в конкретном объявлении о проведении конкурса.</w:t>
      </w:r>
    </w:p>
    <w:p>
      <w:pPr>
        <w:pStyle w:val="0"/>
        <w:jc w:val="both"/>
      </w:pPr>
      <w:r>
        <w:rPr>
          <w:sz w:val="20"/>
        </w:rPr>
      </w:r>
    </w:p>
    <w:p>
      <w:pPr>
        <w:pStyle w:val="0"/>
        <w:ind w:firstLine="540"/>
        <w:jc w:val="both"/>
      </w:pPr>
      <w:r>
        <w:rPr>
          <w:sz w:val="20"/>
        </w:rPr>
        <w:t xml:space="preserve">Дата начала подачи или окончания приема заявок участников конкурса, которая не может быть ранее 30-го календарного дня, следующего за днем размещения объявления о проведении отбора: указывается в конкретном объявлении о проведении конкурса.</w:t>
      </w:r>
    </w:p>
    <w:p>
      <w:pPr>
        <w:pStyle w:val="0"/>
        <w:jc w:val="both"/>
      </w:pPr>
      <w:r>
        <w:rPr>
          <w:sz w:val="20"/>
        </w:rPr>
      </w:r>
    </w:p>
    <w:p>
      <w:pPr>
        <w:pStyle w:val="0"/>
        <w:ind w:firstLine="540"/>
        <w:jc w:val="both"/>
      </w:pPr>
      <w:r>
        <w:rPr>
          <w:sz w:val="20"/>
        </w:rPr>
        <w:t xml:space="preserve">Наименование, место нахождения, почтовый адрес, адрес электронной почты Главного распорядителя средств, номер телефона для получения консультаций по вопросам подготовки заявок на участие в конкурсе:</w:t>
      </w:r>
    </w:p>
    <w:p>
      <w:pPr>
        <w:pStyle w:val="0"/>
        <w:spacing w:before="200" w:line-rule="auto"/>
        <w:ind w:firstLine="540"/>
        <w:jc w:val="both"/>
      </w:pPr>
      <w:r>
        <w:rPr>
          <w:sz w:val="20"/>
        </w:rPr>
        <w:t xml:space="preserve">Департамент культуры Тюменской области; Тюменская область, г. Тюмень, ул. Водопроводная 35; 625000, Тюменская область, г. Тюмень, ул. Водопроводная, д. 35; dkto@72to.ru; телефон для получения консультаций по вопросам подготовки заявок на участие в конкурсе: 8(345)242-74-29.</w:t>
      </w:r>
    </w:p>
    <w:p>
      <w:pPr>
        <w:pStyle w:val="0"/>
        <w:jc w:val="both"/>
      </w:pPr>
      <w:r>
        <w:rPr>
          <w:sz w:val="20"/>
        </w:rPr>
      </w:r>
    </w:p>
    <w:p>
      <w:pPr>
        <w:pStyle w:val="0"/>
        <w:ind w:firstLine="540"/>
        <w:jc w:val="both"/>
      </w:pPr>
      <w:r>
        <w:rPr>
          <w:sz w:val="20"/>
        </w:rPr>
        <w:t xml:space="preserve">Результат предоставления субсидии, а также характеристика (характеристики) результата в соответствии с Порядком:</w:t>
      </w:r>
    </w:p>
    <w:p>
      <w:pPr>
        <w:pStyle w:val="0"/>
        <w:spacing w:before="200" w:line-rule="auto"/>
        <w:ind w:firstLine="540"/>
        <w:jc w:val="both"/>
      </w:pPr>
      <w:r>
        <w:rPr>
          <w:sz w:val="20"/>
        </w:rPr>
        <w:t xml:space="preserve">3.6. В случае предоставления субсидии в целях реализации государственных программ Тюменской области результатом ее предоставления является реализация программы (проекта) по приоритетным направлениям, указанным в </w:t>
      </w:r>
      <w:hyperlink w:history="0" r:id="rId17" w:tooltip="Постановление Правительства Тюменской области от 10.09.2021 N 547-п (ред. от 21.03.2024) &quot;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quot; ------------ Недействующая редакция {КонсультантПлюс}">
        <w:r>
          <w:rPr>
            <w:sz w:val="20"/>
            <w:color w:val="0000ff"/>
          </w:rPr>
          <w:t xml:space="preserve">пункте 1.3</w:t>
        </w:r>
      </w:hyperlink>
      <w:r>
        <w:rPr>
          <w:sz w:val="20"/>
        </w:rPr>
        <w:t xml:space="preserve"> Порядка, в полном объеме на дату, указанную в соглашении.</w:t>
      </w:r>
    </w:p>
    <w:p>
      <w:pPr>
        <w:pStyle w:val="0"/>
        <w:spacing w:before="200" w:line-rule="auto"/>
        <w:ind w:firstLine="540"/>
        <w:jc w:val="both"/>
      </w:pPr>
      <w:r>
        <w:rPr>
          <w:sz w:val="20"/>
        </w:rPr>
        <w:t xml:space="preserve">Характеристикой (показателем необходимым для достижения результата предоставления субсидии) (далее - характеристика) является количество оказанных услуг и (или) выполненных работ в рамках реализации программы (проекта) и (или) количество мероприятий, реализованных в рамках программы (проекта), и (или) количество получателей оказанных услуг (участников реализованных мероприятий).</w:t>
      </w:r>
    </w:p>
    <w:p>
      <w:pPr>
        <w:pStyle w:val="0"/>
        <w:jc w:val="both"/>
      </w:pPr>
      <w:r>
        <w:rPr>
          <w:sz w:val="20"/>
        </w:rPr>
      </w:r>
    </w:p>
    <w:p>
      <w:pPr>
        <w:pStyle w:val="0"/>
        <w:ind w:firstLine="540"/>
        <w:jc w:val="both"/>
      </w:pPr>
      <w:r>
        <w:rPr>
          <w:sz w:val="20"/>
        </w:rPr>
        <w:t xml:space="preserve">Доменное имя и (или) указатель страницы официального сайта конкурса: </w:t>
      </w:r>
      <w:hyperlink w:history="0" r:id="rId18">
        <w:r>
          <w:rPr>
            <w:sz w:val="20"/>
            <w:color w:val="0000ff"/>
          </w:rPr>
          <w:t xml:space="preserve">https://тюменьгранты.72to.ru/</w:t>
        </w:r>
      </w:hyperlink>
    </w:p>
    <w:p>
      <w:pPr>
        <w:pStyle w:val="0"/>
        <w:jc w:val="both"/>
      </w:pPr>
      <w:r>
        <w:rPr>
          <w:sz w:val="20"/>
        </w:rPr>
      </w:r>
    </w:p>
    <w:p>
      <w:pPr>
        <w:pStyle w:val="0"/>
        <w:ind w:firstLine="540"/>
        <w:jc w:val="both"/>
      </w:pPr>
      <w:r>
        <w:rPr>
          <w:sz w:val="20"/>
        </w:rPr>
        <w:t xml:space="preserve">Требования к участникам конкурса и перечню документов, предоставляемых участниками конкурса для участия в конкурсе:</w:t>
      </w:r>
    </w:p>
    <w:p>
      <w:pPr>
        <w:pStyle w:val="0"/>
        <w:spacing w:before="200" w:line-rule="auto"/>
        <w:ind w:firstLine="540"/>
        <w:jc w:val="both"/>
      </w:pPr>
      <w:r>
        <w:rPr>
          <w:sz w:val="20"/>
        </w:rPr>
        <w:t xml:space="preserve">2.5. Участник конкурса должен одновременно соответствовать следующим требованиям на дату не ранее чем за 30 календарных дней до дня подачи заявки:</w:t>
      </w:r>
    </w:p>
    <w:p>
      <w:pPr>
        <w:pStyle w:val="0"/>
        <w:spacing w:before="200" w:line-rule="auto"/>
        <w:ind w:firstLine="540"/>
        <w:jc w:val="both"/>
      </w:pPr>
      <w:r>
        <w:rPr>
          <w:sz w:val="20"/>
        </w:rPr>
        <w:t xml:space="preserve">2.5.1. У участника конкурса на едином налоговом счете отсутствует или не превышает размер, определенный </w:t>
      </w:r>
      <w:hyperlink w:history="0" r:id="rId19" w:tooltip="&quot;Налоговый кодекс Российской Федерации (часть первая)&quot; от 31.07.1998 N 146-ФЗ (ред. от 29.11.2024, с изм. от 21.01.2025) (с изм. и доп., вступ. в силу с 05.02.2025) {КонсультантПлюс}">
        <w:r>
          <w:rPr>
            <w:sz w:val="20"/>
            <w:color w:val="0000ff"/>
          </w:rPr>
          <w:t xml:space="preserve">пунктом 3 статьи 47</w:t>
        </w:r>
      </w:hyperlink>
      <w:r>
        <w:rPr>
          <w:sz w:val="20"/>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00" w:line-rule="auto"/>
        <w:ind w:firstLine="540"/>
        <w:jc w:val="both"/>
      </w:pPr>
      <w:r>
        <w:rPr>
          <w:sz w:val="20"/>
        </w:rPr>
        <w:t xml:space="preserve">2.5.2. У участника конкурса отсутствует просроченная задолженность по возврату в областной бюджет иных субсидий, бюджетных инвестиций, а также иная просроченная (неурегулированная) задолженность по денежным обязательствам перед Тюменской областью.</w:t>
      </w:r>
    </w:p>
    <w:p>
      <w:pPr>
        <w:pStyle w:val="0"/>
        <w:spacing w:before="200" w:line-rule="auto"/>
        <w:ind w:firstLine="540"/>
        <w:jc w:val="both"/>
      </w:pPr>
      <w:r>
        <w:rPr>
          <w:sz w:val="20"/>
        </w:rPr>
        <w:t xml:space="preserve">2.5.3. Участник конкурса не находится в процессе реорганизации (за исключением реорганизации в форме присоединения к другому участнику конкурса, другому юридическому лицу), ликвидации, в отношении него не введена процедура банкротства, деятельность участника конкурса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2.5.4.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конкурса.</w:t>
      </w:r>
    </w:p>
    <w:p>
      <w:pPr>
        <w:pStyle w:val="0"/>
        <w:spacing w:before="200" w:line-rule="auto"/>
        <w:ind w:firstLine="540"/>
        <w:jc w:val="both"/>
      </w:pPr>
      <w:r>
        <w:rPr>
          <w:sz w:val="20"/>
        </w:rPr>
        <w:t xml:space="preserve">2.5.5. Получатель субсидии (Участник конкурса)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 (данное требование предъявляется к получателю субсидии - юридическому лицу).</w:t>
      </w:r>
    </w:p>
    <w:p>
      <w:pPr>
        <w:pStyle w:val="0"/>
        <w:spacing w:before="200" w:line-rule="auto"/>
        <w:ind w:firstLine="540"/>
        <w:jc w:val="both"/>
      </w:pPr>
      <w:r>
        <w:rPr>
          <w:sz w:val="20"/>
        </w:rPr>
        <w:t xml:space="preserve">2.5.6. Участник конкурса не получает средств из областного бюджета на основании иных нормативных правовых актов Тюменской области на цели, установленные в </w:t>
      </w:r>
      <w:hyperlink w:history="0" r:id="rId20" w:tooltip="Постановление Правительства Тюменской области от 10.09.2021 N 547-п (ред. от 21.03.2024) &quot;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quot; ------------ Недействующая редакция {КонсультантПлюс}">
        <w:r>
          <w:rPr>
            <w:sz w:val="20"/>
            <w:color w:val="0000ff"/>
          </w:rPr>
          <w:t xml:space="preserve">пункте 1.2</w:t>
        </w:r>
      </w:hyperlink>
      <w:r>
        <w:rPr>
          <w:sz w:val="20"/>
        </w:rPr>
        <w:t xml:space="preserve"> настоящего Порядка.</w:t>
      </w:r>
    </w:p>
    <w:p>
      <w:pPr>
        <w:pStyle w:val="0"/>
        <w:spacing w:before="200" w:line-rule="auto"/>
        <w:ind w:firstLine="540"/>
        <w:jc w:val="both"/>
      </w:pPr>
      <w:r>
        <w:rPr>
          <w:sz w:val="20"/>
        </w:rPr>
        <w:t xml:space="preserve">2.5.7. У участника конкурса отсутствует задолженность по возврату в областной бюджет предоставленных ранее Главным распорядителем бюджетных средств субсидий, грантов в части их нецелевого использования, и непредставления участником конкурса Главному распорядителю бюджетных средств отчетности об осуществлении расходов, источником финансового обеспечения которых является субсидия, грант и о достижении значений результатов предоставления субсидии и характеристик, необходимых для достижения значений результатов предоставления субсидии, гранта и (или) иной отчетности в связи с использованием ранее предоставленной субсидии, гранта указанной в настоящем подпункте, в случае если срок отчетности уже наступил, за исключением участников конкурса, которые обращаются за получением субсидии, гранта впервые.</w:t>
      </w:r>
    </w:p>
    <w:p>
      <w:pPr>
        <w:pStyle w:val="0"/>
        <w:spacing w:before="200" w:line-rule="auto"/>
        <w:ind w:firstLine="540"/>
        <w:jc w:val="both"/>
      </w:pPr>
      <w:r>
        <w:rPr>
          <w:sz w:val="20"/>
        </w:rPr>
        <w:t xml:space="preserve">2.5.8. Участник конкурса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2.5.9. Участник конкурса не находится в составляемых в рамках реализации полномочий, предусмотренных </w:t>
      </w:r>
      <w:hyperlink w:history="0" r:id="rId21"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2.5.10. Участник конкурса не является иностранным агентом в соответствии с Федеральным </w:t>
      </w:r>
      <w:hyperlink w:history="0" r:id="rId22" w:tooltip="Федеральный закон от 14.07.2022 N 255-ФЗ (ред. от 13.12.2024) &quot;О контроле за деятельностью лиц, находящихся под иностранным влиянием&quot; (с изм. и доп., вступ. в силу с 05.02.2025) ------------ Недействующая редакция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w:t>
      </w:r>
    </w:p>
    <w:p>
      <w:pPr>
        <w:pStyle w:val="0"/>
        <w:jc w:val="both"/>
      </w:pPr>
      <w:r>
        <w:rPr>
          <w:sz w:val="20"/>
        </w:rPr>
      </w:r>
    </w:p>
    <w:p>
      <w:pPr>
        <w:pStyle w:val="0"/>
        <w:ind w:firstLine="540"/>
        <w:jc w:val="both"/>
      </w:pPr>
      <w:r>
        <w:rPr>
          <w:sz w:val="20"/>
        </w:rPr>
        <w:t xml:space="preserve">Категории получателей субсидии:</w:t>
      </w:r>
    </w:p>
    <w:p>
      <w:pPr>
        <w:pStyle w:val="0"/>
        <w:spacing w:before="200" w:line-rule="auto"/>
        <w:ind w:firstLine="540"/>
        <w:jc w:val="both"/>
      </w:pPr>
      <w:r>
        <w:rPr>
          <w:sz w:val="20"/>
        </w:rPr>
        <w:t xml:space="preserve">2.6. Право на получение субсидии в соответствии с Порядком имеет социально ориентированная некоммерческая организация:</w:t>
      </w:r>
    </w:p>
    <w:p>
      <w:pPr>
        <w:pStyle w:val="0"/>
        <w:spacing w:before="200" w:line-rule="auto"/>
        <w:ind w:firstLine="540"/>
        <w:jc w:val="both"/>
      </w:pPr>
      <w:r>
        <w:rPr>
          <w:sz w:val="20"/>
        </w:rPr>
        <w:t xml:space="preserve">- созданная в организационно-правовой форме общественной организации (за исключением политической партии), общественного движения, фонда (за исключением личного фонда), частного (общественного) учреждения, автономной некоммерческой организации, ассоциации (союза), религиозной организации, казачьего общества или общины коренных малочисленных народов Российской Федерации;</w:t>
      </w:r>
    </w:p>
    <w:p>
      <w:pPr>
        <w:pStyle w:val="0"/>
        <w:spacing w:before="200" w:line-rule="auto"/>
        <w:ind w:firstLine="540"/>
        <w:jc w:val="both"/>
      </w:pPr>
      <w:r>
        <w:rPr>
          <w:sz w:val="20"/>
        </w:rPr>
        <w:t xml:space="preserve">- не имеющая учредителя, являющегося государственным органом, органом местного самоуправления или публично-правовым образованием;</w:t>
      </w:r>
    </w:p>
    <w:p>
      <w:pPr>
        <w:pStyle w:val="0"/>
        <w:spacing w:before="200" w:line-rule="auto"/>
        <w:ind w:firstLine="540"/>
        <w:jc w:val="both"/>
      </w:pPr>
      <w:r>
        <w:rPr>
          <w:sz w:val="20"/>
        </w:rPr>
        <w:t xml:space="preserve">- зарегистрированная в Тюменской области и осуществляющая в Тюменской области в соответствии со своими учредительными документами виды деятельности, предусмотренные </w:t>
      </w:r>
      <w:hyperlink w:history="0" r:id="rId23" w:tooltip="Федеральный закон от 12.01.1996 N 7-ФЗ (ред. от 30.09.2024) &quot;О некоммерческих организациях&quot; (с изм. и доп., вступ. в силу с 05.02.2025) ------------ Недействующая редакция {КонсультантПлюс}">
        <w:r>
          <w:rPr>
            <w:sz w:val="20"/>
            <w:color w:val="0000ff"/>
          </w:rPr>
          <w:t xml:space="preserve">пунктом 1 статьи 31.1</w:t>
        </w:r>
      </w:hyperlink>
      <w:r>
        <w:rPr>
          <w:sz w:val="20"/>
        </w:rPr>
        <w:t xml:space="preserve"> Федерального закона "О некоммерческих организациях" и (или) </w:t>
      </w:r>
      <w:hyperlink w:history="0" r:id="rId24" w:tooltip="Закон Тюменской области от 18.02.2016 N 2 (ред. от 20.09.2024) &quot;О поддержке социально ориентированных некоммерческих организаций в Тюменской области&quot; (принят Тюменской областной Думой 11.02.2016) ------------ Недействующая редакция {КонсультантПлюс}">
        <w:r>
          <w:rPr>
            <w:sz w:val="20"/>
            <w:color w:val="0000ff"/>
          </w:rPr>
          <w:t xml:space="preserve">частью 2 статьи 3</w:t>
        </w:r>
      </w:hyperlink>
      <w:r>
        <w:rPr>
          <w:sz w:val="20"/>
        </w:rPr>
        <w:t xml:space="preserve"> Закона Тюменской области "О поддержке социально ориентированных некоммерческих организаций в Тюменской области";</w:t>
      </w:r>
    </w:p>
    <w:p>
      <w:pPr>
        <w:pStyle w:val="0"/>
        <w:spacing w:before="200" w:line-rule="auto"/>
        <w:ind w:firstLine="540"/>
        <w:jc w:val="both"/>
      </w:pPr>
      <w:r>
        <w:rPr>
          <w:sz w:val="20"/>
        </w:rPr>
        <w:t xml:space="preserve">- реализующая в Тюменской области проекты в соответствии с целью, указанной в </w:t>
      </w:r>
      <w:hyperlink w:history="0" r:id="rId25" w:tooltip="Постановление Правительства Тюменской области от 10.09.2021 N 547-п (ред. от 21.03.2024) &quot;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quot; ------------ Недействующая редакция {КонсультантПлюс}">
        <w:r>
          <w:rPr>
            <w:sz w:val="20"/>
            <w:color w:val="0000ff"/>
          </w:rPr>
          <w:t xml:space="preserve">пункте 1.2</w:t>
        </w:r>
      </w:hyperlink>
      <w:r>
        <w:rPr>
          <w:sz w:val="20"/>
        </w:rPr>
        <w:t xml:space="preserve"> настоящего Порядка.</w:t>
      </w:r>
    </w:p>
    <w:p>
      <w:pPr>
        <w:pStyle w:val="0"/>
        <w:jc w:val="both"/>
      </w:pPr>
      <w:r>
        <w:rPr>
          <w:sz w:val="20"/>
        </w:rPr>
      </w:r>
    </w:p>
    <w:p>
      <w:pPr>
        <w:pStyle w:val="0"/>
        <w:ind w:firstLine="540"/>
        <w:jc w:val="both"/>
      </w:pPr>
      <w:r>
        <w:rPr>
          <w:sz w:val="20"/>
        </w:rPr>
        <w:t xml:space="preserve">Порядок подачи заявок и требований, предъявляемых к форме и содержанию заявок; порядок отзыва заявок, порядок возврата заявок, определяющий в том числе основания для возврата заявок, порядок внесения изменений в заявки, порядок возврата заявок на доработку; правила рассмотрения и оценки заявок, порядок отклонения заявок, а также информация об основаниях их отклонения; условия и порядок проведения конкурса в соответствии с Порядком:</w:t>
      </w:r>
    </w:p>
    <w:p>
      <w:pPr>
        <w:pStyle w:val="0"/>
        <w:spacing w:before="200" w:line-rule="auto"/>
        <w:ind w:firstLine="540"/>
        <w:jc w:val="both"/>
      </w:pPr>
      <w:r>
        <w:rPr>
          <w:sz w:val="20"/>
        </w:rPr>
        <w:t xml:space="preserve">2.7. Заявки подаются через личный кабинет на официальном сайте конкурса в форме электронных документов посредством заполнения соответствующих электронных форм, размещенных на официальном сайте конкурса, в сроки, указанные в объявлении о проведении конкурса.</w:t>
      </w:r>
    </w:p>
    <w:p>
      <w:pPr>
        <w:pStyle w:val="0"/>
        <w:spacing w:before="200" w:line-rule="auto"/>
        <w:ind w:firstLine="540"/>
        <w:jc w:val="both"/>
      </w:pPr>
      <w:r>
        <w:rPr>
          <w:sz w:val="20"/>
        </w:rPr>
        <w:t xml:space="preserve">2.8. Заявка содержит следующую информацию:</w:t>
      </w:r>
    </w:p>
    <w:p>
      <w:pPr>
        <w:pStyle w:val="0"/>
        <w:spacing w:before="200" w:line-rule="auto"/>
        <w:ind w:firstLine="540"/>
        <w:jc w:val="both"/>
      </w:pPr>
      <w:r>
        <w:rPr>
          <w:sz w:val="20"/>
        </w:rPr>
        <w:t xml:space="preserve">2.8.1. Информацию об участнике конкурса:</w:t>
      </w:r>
    </w:p>
    <w:p>
      <w:pPr>
        <w:pStyle w:val="0"/>
        <w:spacing w:before="200" w:line-rule="auto"/>
        <w:ind w:firstLine="540"/>
        <w:jc w:val="both"/>
      </w:pPr>
      <w:r>
        <w:rPr>
          <w:sz w:val="20"/>
        </w:rPr>
        <w:t xml:space="preserve">полное и сокращенное (при наличии) наименование, основной государственный регистрационный номер, идентификационный номер налогоплательщика, место нахождения; основные виды деятельности, контактный телефон, адрес электронной почты (при наличии), веб-сайт (при наличии), группы в социальных сетях (при наличии).</w:t>
      </w:r>
    </w:p>
    <w:p>
      <w:pPr>
        <w:pStyle w:val="0"/>
        <w:spacing w:before="200" w:line-rule="auto"/>
        <w:ind w:firstLine="540"/>
        <w:jc w:val="both"/>
      </w:pPr>
      <w:r>
        <w:rPr>
          <w:sz w:val="20"/>
        </w:rPr>
        <w:t xml:space="preserve">2.8.2. Информацию о программе (проекте) в рамках приоритетных направлений, указанных в </w:t>
      </w:r>
      <w:hyperlink w:history="0" r:id="rId26" w:tooltip="Постановление Правительства Тюменской области от 10.09.2021 N 547-п (ред. от 21.03.2024) &quot;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quot; ------------ Недействующая редакция {КонсультантПлюс}">
        <w:r>
          <w:rPr>
            <w:sz w:val="20"/>
            <w:color w:val="0000ff"/>
          </w:rPr>
          <w:t xml:space="preserve">пункте 1.3</w:t>
        </w:r>
      </w:hyperlink>
      <w:r>
        <w:rPr>
          <w:sz w:val="20"/>
        </w:rPr>
        <w:t xml:space="preserve"> настоящего Порядка: направление программы (проекта), название программы (проекта); описание программы (проекта); территория программы (проекта); срок реализации программы (проекта);</w:t>
      </w:r>
    </w:p>
    <w:p>
      <w:pPr>
        <w:pStyle w:val="0"/>
        <w:spacing w:before="200" w:line-rule="auto"/>
        <w:ind w:firstLine="540"/>
        <w:jc w:val="both"/>
      </w:pPr>
      <w:r>
        <w:rPr>
          <w:sz w:val="20"/>
        </w:rPr>
        <w:t xml:space="preserve">обоснование социальной значимости программы (проекта); цель (цели) и задачи программы (проекта); ожидаемые количественные и качественные показатели, необходимые для достижения результата программы (проекта); бюджет программы (проекта), содержащий в том числе сведения о потребности в осуществлении расходов на его реализацию с финансово-экономическим обоснованием указанной потребности, а также с указанием доли и суммы собственного вклада участника конкурса и (или) ресурсов, привлеченных в реализацию мероприятий, предусмотренных программой (проектом); запрашиваемая сумма субсидии;</w:t>
      </w:r>
    </w:p>
    <w:p>
      <w:pPr>
        <w:pStyle w:val="0"/>
        <w:spacing w:before="200" w:line-rule="auto"/>
        <w:ind w:firstLine="540"/>
        <w:jc w:val="both"/>
      </w:pPr>
      <w:r>
        <w:rPr>
          <w:sz w:val="20"/>
        </w:rPr>
        <w:t xml:space="preserve">календарный план программы (проекта); информация о руководителе программы (проекта); информация о команде программы (проекта).</w:t>
      </w:r>
    </w:p>
    <w:p>
      <w:pPr>
        <w:pStyle w:val="0"/>
        <w:spacing w:before="200" w:line-rule="auto"/>
        <w:ind w:firstLine="540"/>
        <w:jc w:val="both"/>
      </w:pPr>
      <w:r>
        <w:rPr>
          <w:sz w:val="20"/>
        </w:rPr>
        <w:t xml:space="preserve">2.8.3. Согласие на публикацию (размещение) в информационно-телекоммуникационной сети "Интернет" информации об участнике конкурса, о заявке, иной информации об участнике конкурса, связанной с конкурсом.</w:t>
      </w:r>
    </w:p>
    <w:p>
      <w:pPr>
        <w:pStyle w:val="0"/>
        <w:spacing w:before="200" w:line-rule="auto"/>
        <w:ind w:firstLine="540"/>
        <w:jc w:val="both"/>
      </w:pPr>
      <w:r>
        <w:rPr>
          <w:sz w:val="20"/>
        </w:rPr>
        <w:t xml:space="preserve">2.8.4. Заверение о соответствии участника конкурса требованиям, установленным </w:t>
      </w:r>
      <w:hyperlink w:history="0" r:id="rId27" w:tooltip="Постановление Правительства Тюменской области от 10.09.2021 N 547-п (ред. от 21.03.2024) &quot;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quot; ------------ Недействующая редакция {КонсультантПлюс}">
        <w:r>
          <w:rPr>
            <w:sz w:val="20"/>
            <w:color w:val="0000ff"/>
          </w:rPr>
          <w:t xml:space="preserve">пунктом 2.6</w:t>
        </w:r>
      </w:hyperlink>
      <w:r>
        <w:rPr>
          <w:sz w:val="20"/>
        </w:rPr>
        <w:t xml:space="preserve"> и </w:t>
      </w:r>
      <w:hyperlink w:history="0" r:id="rId28" w:tooltip="Постановление Правительства Тюменской области от 10.09.2021 N 547-п (ред. от 21.03.2024) &quot;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quot; ------------ Недействующая редакция {КонсультантПлюс}">
        <w:r>
          <w:rPr>
            <w:sz w:val="20"/>
            <w:color w:val="0000ff"/>
          </w:rPr>
          <w:t xml:space="preserve">пунктом 2.5</w:t>
        </w:r>
      </w:hyperlink>
      <w:r>
        <w:rPr>
          <w:sz w:val="20"/>
        </w:rPr>
        <w:t xml:space="preserve"> настоящего Порядка, и о достоверности сведений, содержащихся в заявке и прилагаемых к ней документов.</w:t>
      </w:r>
    </w:p>
    <w:p>
      <w:pPr>
        <w:pStyle w:val="0"/>
        <w:spacing w:before="200" w:line-rule="auto"/>
        <w:ind w:firstLine="540"/>
        <w:jc w:val="both"/>
      </w:pPr>
      <w:r>
        <w:rPr>
          <w:sz w:val="20"/>
        </w:rPr>
        <w:t xml:space="preserve">2.8.5. Согласие получателя субсидии, лиц, получающих средства на основании договоров, заключенных с получателем субсидии, на осуществление в отношении их проверки Главным распорядителем бюджетных средств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порядка и условий предоставления субсидии в соответствии со </w:t>
      </w:r>
      <w:hyperlink w:history="0" r:id="rId29" w:tooltip="&quot;Бюджетный кодекс Российской Федерации&quot; от 31.07.1998 N 145-ФЗ (ред. от 26.12.2024) (с изм. и доп., вступ. в силу с 01.01.2025) ------------ Недействующая редакция {КонсультантПлюс}">
        <w:r>
          <w:rPr>
            <w:sz w:val="20"/>
            <w:color w:val="0000ff"/>
          </w:rPr>
          <w:t xml:space="preserve">статьями 268.1</w:t>
        </w:r>
      </w:hyperlink>
      <w:r>
        <w:rPr>
          <w:sz w:val="20"/>
        </w:rPr>
        <w:t xml:space="preserve"> и </w:t>
      </w:r>
      <w:hyperlink w:history="0" r:id="rId30" w:tooltip="&quot;Бюджетный кодекс Российской Федерации&quot; от 31.07.1998 N 145-ФЗ (ред. от 26.12.2024) (с изм. и доп., вступ. в силу с 01.0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 и на включение таких положений в соглашение.</w:t>
      </w:r>
    </w:p>
    <w:p>
      <w:pPr>
        <w:pStyle w:val="0"/>
        <w:spacing w:before="200" w:line-rule="auto"/>
        <w:ind w:firstLine="540"/>
        <w:jc w:val="both"/>
      </w:pPr>
      <w:r>
        <w:rPr>
          <w:sz w:val="20"/>
        </w:rPr>
        <w:t xml:space="preserve">2.9. К заявке прилагаются следующие документы:</w:t>
      </w:r>
    </w:p>
    <w:p>
      <w:pPr>
        <w:pStyle w:val="0"/>
        <w:spacing w:before="200" w:line-rule="auto"/>
        <w:ind w:firstLine="540"/>
        <w:jc w:val="both"/>
      </w:pPr>
      <w:r>
        <w:rPr>
          <w:sz w:val="20"/>
        </w:rPr>
        <w:t xml:space="preserve">2.9.1. Электронная (отсканированная) копия действующей редакции устава организации на день подачи заявки с отметкой регистрирующего органа (со всеми внесенными изменениями) в виде электронной копии - одного многостраничного файла в формате pdf.</w:t>
      </w:r>
    </w:p>
    <w:p>
      <w:pPr>
        <w:pStyle w:val="0"/>
        <w:spacing w:before="200" w:line-rule="auto"/>
        <w:ind w:firstLine="540"/>
        <w:jc w:val="both"/>
      </w:pPr>
      <w:r>
        <w:rPr>
          <w:sz w:val="20"/>
        </w:rPr>
        <w:t xml:space="preserve">2.9.2. </w:t>
      </w:r>
      <w:hyperlink w:history="0" r:id="rId31" w:tooltip="Постановление Правительства Тюменской области от 10.09.2021 N 547-п (ред. от 21.03.2024) &quot;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quot; ------------ Недействующая редакция {КонсультантПлюс}">
        <w:r>
          <w:rPr>
            <w:sz w:val="20"/>
            <w:color w:val="0000ff"/>
          </w:rPr>
          <w:t xml:space="preserve">Согласие</w:t>
        </w:r>
      </w:hyperlink>
      <w:r>
        <w:rPr>
          <w:sz w:val="20"/>
        </w:rPr>
        <w:t xml:space="preserve"> субъекта на обработку персональных данных по форме в соответствии с приложением N 2 к Порядку.</w:t>
      </w:r>
    </w:p>
    <w:p>
      <w:pPr>
        <w:pStyle w:val="0"/>
        <w:spacing w:before="200" w:line-rule="auto"/>
        <w:ind w:firstLine="540"/>
        <w:jc w:val="both"/>
      </w:pPr>
      <w:r>
        <w:rPr>
          <w:sz w:val="20"/>
        </w:rPr>
        <w:t xml:space="preserve">Предоставляются Согласия субъектов персональных данных, чьи персональные данные были отражены в информационной системе при подаче заявки: руководителя программы (проекта); представителей команды программы (проекта) - при наличии.</w:t>
      </w:r>
    </w:p>
    <w:p>
      <w:pPr>
        <w:pStyle w:val="0"/>
        <w:spacing w:before="200" w:line-rule="auto"/>
        <w:ind w:firstLine="540"/>
        <w:jc w:val="both"/>
      </w:pPr>
      <w:r>
        <w:rPr>
          <w:sz w:val="20"/>
        </w:rPr>
        <w:t xml:space="preserve">2.9.3. При наличии у Участника отбора задолженности размер которой не превышает размер, определенный </w:t>
      </w:r>
      <w:hyperlink w:history="0" r:id="rId32" w:tooltip="&quot;Налоговый кодекс Российской Федерации (часть первая)&quot; от 31.07.1998 N 146-ФЗ (ред. от 29.11.2024, с изм. от 21.01.2025) (с изм. и доп., вступ. в силу с 05.02.2025) {КонсультантПлюс}">
        <w:r>
          <w:rPr>
            <w:sz w:val="20"/>
            <w:color w:val="0000ff"/>
          </w:rPr>
          <w:t xml:space="preserve">пунктом 3 статьи 47</w:t>
        </w:r>
      </w:hyperlink>
      <w:r>
        <w:rPr>
          <w:sz w:val="20"/>
        </w:rPr>
        <w:t xml:space="preserve"> Налогового кодекса Российской Федерации, - справку о наличии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выданная территориальным органом Федеральной налоговой службы по состоянию на дату не ранее чем за 30 календарных дней до дня подачи заявки.</w:t>
      </w:r>
    </w:p>
    <w:p>
      <w:pPr>
        <w:pStyle w:val="0"/>
        <w:spacing w:before="200" w:line-rule="auto"/>
        <w:ind w:firstLine="540"/>
        <w:jc w:val="both"/>
      </w:pPr>
      <w:r>
        <w:rPr>
          <w:sz w:val="20"/>
        </w:rPr>
        <w:t xml:space="preserve">2.10. Участник конкурса в дополнение к заявке и документам, указанным в </w:t>
      </w:r>
      <w:hyperlink w:history="0" r:id="rId33" w:tooltip="Постановление Правительства Тюменской области от 10.09.2021 N 547-п (ред. от 21.03.2024) &quot;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quot; ------------ Недействующая редакция {КонсультантПлюс}">
        <w:r>
          <w:rPr>
            <w:sz w:val="20"/>
            <w:color w:val="0000ff"/>
          </w:rPr>
          <w:t xml:space="preserve">пунктах 2.8</w:t>
        </w:r>
      </w:hyperlink>
      <w:r>
        <w:rPr>
          <w:sz w:val="20"/>
        </w:rPr>
        <w:t xml:space="preserve"> и </w:t>
      </w:r>
      <w:hyperlink w:history="0" r:id="rId34" w:tooltip="Постановление Правительства Тюменской области от 10.09.2021 N 547-п (ред. от 21.03.2024) &quot;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quot; ------------ Недействующая редакция {КонсультантПлюс}">
        <w:r>
          <w:rPr>
            <w:sz w:val="20"/>
            <w:color w:val="0000ff"/>
          </w:rPr>
          <w:t xml:space="preserve">2.9</w:t>
        </w:r>
      </w:hyperlink>
      <w:r>
        <w:rPr>
          <w:sz w:val="20"/>
        </w:rPr>
        <w:t xml:space="preserve"> настоящего Порядка, вправе по собственной инициативе представить следующие документы:</w:t>
      </w:r>
    </w:p>
    <w:p>
      <w:pPr>
        <w:pStyle w:val="0"/>
        <w:spacing w:before="200" w:line-rule="auto"/>
        <w:ind w:firstLine="540"/>
        <w:jc w:val="both"/>
      </w:pPr>
      <w:r>
        <w:rPr>
          <w:sz w:val="20"/>
        </w:rPr>
        <w:t xml:space="preserve">2.10.1. Справку территориального органа Федеральной налоговой службы об исполнении налогоплательщиком (плательщиком сбора, плательщиком страховых взносов, налоговым агентом) - участником отбора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не ранее чем за 30 календарных дней до дня подачи заявки.</w:t>
      </w:r>
    </w:p>
    <w:p>
      <w:pPr>
        <w:pStyle w:val="0"/>
        <w:spacing w:before="200" w:line-rule="auto"/>
        <w:ind w:firstLine="540"/>
        <w:jc w:val="both"/>
      </w:pPr>
      <w:r>
        <w:rPr>
          <w:sz w:val="20"/>
        </w:rPr>
        <w:t xml:space="preserve">2.10.2. Выписку из Единого государственного реестра юридических лиц, выданную не ранее чем за 30 календарных дней до дня подачи заявки.</w:t>
      </w:r>
    </w:p>
    <w:p>
      <w:pPr>
        <w:pStyle w:val="0"/>
        <w:spacing w:before="200" w:line-rule="auto"/>
        <w:ind w:firstLine="540"/>
        <w:jc w:val="both"/>
      </w:pPr>
      <w:r>
        <w:rPr>
          <w:sz w:val="20"/>
        </w:rPr>
        <w:t xml:space="preserve">2.10.3. Справку, подтверждающую отсутствие просроченной задолженности по возврату в областной бюджет субсидий, бюджетных инвестиций, предоставленных в том числе в соответствии с иными правовыми актами, а также иной просроченной (неурегулированной) задолженности по денежным обязательствам перед Тюменской областью на дату не ранее чем за 30 календарных дней до дня подачи заявки, подписанную главным бухгалтером (при наличии) и руководителем (иным уполномоченным лицом) организации и скрепленную печатью (при наличии печати у организации в соответствии с учредительными документами). По </w:t>
      </w:r>
      <w:hyperlink w:history="0" r:id="rId35" w:tooltip="Постановление Правительства Тюменской области от 10.09.2021 N 547-п (ред. от 21.03.2024) &quot;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quot; ------------ Недействующая редакция {КонсультантПлюс}">
        <w:r>
          <w:rPr>
            <w:sz w:val="20"/>
            <w:color w:val="0000ff"/>
          </w:rPr>
          <w:t xml:space="preserve">форме</w:t>
        </w:r>
      </w:hyperlink>
      <w:r>
        <w:rPr>
          <w:sz w:val="20"/>
        </w:rPr>
        <w:t xml:space="preserve"> в соответствии с приложением N 1 к Порядку.</w:t>
      </w:r>
    </w:p>
    <w:p>
      <w:pPr>
        <w:pStyle w:val="0"/>
        <w:spacing w:before="200" w:line-rule="auto"/>
        <w:ind w:firstLine="540"/>
        <w:jc w:val="both"/>
      </w:pPr>
      <w:r>
        <w:rPr>
          <w:sz w:val="20"/>
        </w:rPr>
        <w:t xml:space="preserve">2.11. Участник конкурса вправе включать иную информацию (в том числе документы) о деятельности заявителя (информацию об основных мероприятиях некоммерческой организации за последний год, материалы, содержащие и (или) подтверждающие информацию о деятельности некоммерческой организации, размещенную в средствах массовой информации (пресса, телевидение, радио, Интернет) за прошедший год, коммерческие предложения на приобретение товаров, выполнение работ (оказание услуг) либо ссылки на них для обоснования планируемых расходов на реализацию программы (проекта).</w:t>
      </w:r>
    </w:p>
    <w:p>
      <w:pPr>
        <w:pStyle w:val="0"/>
        <w:spacing w:before="200" w:line-rule="auto"/>
        <w:ind w:firstLine="540"/>
        <w:jc w:val="both"/>
      </w:pPr>
      <w:r>
        <w:rPr>
          <w:sz w:val="20"/>
        </w:rPr>
        <w:t xml:space="preserve">2.12. Заявка, распечатанная через личный кабинет на официальном сайте конкурса, подписывается руководителем участника конкурса (иным уполномоченным лицом), скрепляется печатью (при наличии у организации печати в соответствии с учредительными документами) и представляется на официальный сайт конкурса в электронной форме в виде одного файла.</w:t>
      </w:r>
    </w:p>
    <w:p>
      <w:pPr>
        <w:pStyle w:val="0"/>
        <w:spacing w:before="200" w:line-rule="auto"/>
        <w:ind w:firstLine="540"/>
        <w:jc w:val="both"/>
      </w:pPr>
      <w:r>
        <w:rPr>
          <w:sz w:val="20"/>
        </w:rPr>
        <w:t xml:space="preserve">2.13. Некоммерческая организация несет ответственность за правильность оформления, достоверность, полноту и актуальность представленной участником конкурса информации на получение субсидии, в соответствии с действующим законодательством Российской Федерации.</w:t>
      </w:r>
    </w:p>
    <w:p>
      <w:pPr>
        <w:pStyle w:val="0"/>
        <w:spacing w:before="200" w:line-rule="auto"/>
        <w:ind w:firstLine="540"/>
        <w:jc w:val="both"/>
      </w:pPr>
      <w:r>
        <w:rPr>
          <w:sz w:val="20"/>
        </w:rPr>
        <w:t xml:space="preserve">2.15. Днем и временем подачи заявки является запись даты, времени и присвоения заявке статуса "подана" в личном кабинете участника конкурса.</w:t>
      </w:r>
    </w:p>
    <w:p>
      <w:pPr>
        <w:pStyle w:val="0"/>
        <w:spacing w:before="200" w:line-rule="auto"/>
        <w:ind w:firstLine="540"/>
        <w:jc w:val="both"/>
      </w:pPr>
      <w:r>
        <w:rPr>
          <w:sz w:val="20"/>
        </w:rPr>
        <w:t xml:space="preserve">2.16. Рассмотрение и оценка заявок осуществляется в следующем порядке:</w:t>
      </w:r>
    </w:p>
    <w:p>
      <w:pPr>
        <w:pStyle w:val="0"/>
        <w:spacing w:before="200" w:line-rule="auto"/>
        <w:ind w:firstLine="540"/>
        <w:jc w:val="both"/>
      </w:pPr>
      <w:r>
        <w:rPr>
          <w:sz w:val="20"/>
        </w:rPr>
        <w:t xml:space="preserve">Главный распорядитель бюджетных средств в срок не более 5 рабочих дней со дня присвоения заявке статуса "подана" осуществляет валидацию заявки на предмет соответствия требованиям, установленным </w:t>
      </w:r>
      <w:hyperlink w:history="0" r:id="rId36" w:tooltip="Постановление Правительства Тюменской области от 10.09.2021 N 547-п (ред. от 21.03.2024) &quot;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quot; ------------ Недействующая редакция {КонсультантПлюс}">
        <w:r>
          <w:rPr>
            <w:sz w:val="20"/>
            <w:color w:val="0000ff"/>
          </w:rPr>
          <w:t xml:space="preserve">пунктом 2.6</w:t>
        </w:r>
      </w:hyperlink>
      <w:r>
        <w:rPr>
          <w:sz w:val="20"/>
        </w:rPr>
        <w:t xml:space="preserve"> Порядка, наличия указанных в </w:t>
      </w:r>
      <w:hyperlink w:history="0" r:id="rId37" w:tooltip="Постановление Правительства Тюменской области от 10.09.2021 N 547-п (ред. от 21.03.2024) &quot;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quot; ------------ Недействующая редакция {КонсультантПлюс}">
        <w:r>
          <w:rPr>
            <w:sz w:val="20"/>
            <w:color w:val="0000ff"/>
          </w:rPr>
          <w:t xml:space="preserve">пункте 2.9</w:t>
        </w:r>
      </w:hyperlink>
      <w:r>
        <w:rPr>
          <w:sz w:val="20"/>
        </w:rPr>
        <w:t xml:space="preserve"> Порядка документов, соответствия заявки требованиям </w:t>
      </w:r>
      <w:hyperlink w:history="0" r:id="rId38" w:tooltip="Постановление Правительства Тюменской области от 10.09.2021 N 547-п (ред. от 21.03.2024) &quot;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quot; ------------ Недействующая редакция {КонсультантПлюс}">
        <w:r>
          <w:rPr>
            <w:sz w:val="20"/>
            <w:color w:val="0000ff"/>
          </w:rPr>
          <w:t xml:space="preserve">пункта 2.12</w:t>
        </w:r>
      </w:hyperlink>
      <w:r>
        <w:rPr>
          <w:sz w:val="20"/>
        </w:rPr>
        <w:t xml:space="preserve"> Порядка.</w:t>
      </w:r>
    </w:p>
    <w:p>
      <w:pPr>
        <w:pStyle w:val="0"/>
        <w:spacing w:before="200" w:line-rule="auto"/>
        <w:ind w:firstLine="540"/>
        <w:jc w:val="both"/>
      </w:pPr>
      <w:r>
        <w:rPr>
          <w:sz w:val="20"/>
        </w:rPr>
        <w:t xml:space="preserve">2.17. По итогам валидации заявке может быть присвоен статус "возвращена на доработку", в случае если срок приема заявок, указанный в объявлении о проведении конкурса, еще не завершен, или "зарегистрирована".</w:t>
      </w:r>
    </w:p>
    <w:p>
      <w:pPr>
        <w:pStyle w:val="0"/>
        <w:spacing w:before="200" w:line-rule="auto"/>
        <w:ind w:firstLine="540"/>
        <w:jc w:val="both"/>
      </w:pPr>
      <w:r>
        <w:rPr>
          <w:sz w:val="20"/>
        </w:rPr>
        <w:t xml:space="preserve">2.18. Основаниями для присвоения заявке статуса "возвращена на доработку" являются:</w:t>
      </w:r>
    </w:p>
    <w:p>
      <w:pPr>
        <w:pStyle w:val="0"/>
        <w:spacing w:before="200" w:line-rule="auto"/>
        <w:ind w:firstLine="540"/>
        <w:jc w:val="both"/>
      </w:pPr>
      <w:r>
        <w:rPr>
          <w:sz w:val="20"/>
        </w:rPr>
        <w:t xml:space="preserve">2.18.1. Невключение в состав заявки документов, указанных в </w:t>
      </w:r>
      <w:hyperlink w:history="0" r:id="rId39" w:tooltip="Постановление Правительства Тюменской области от 10.09.2021 N 547-п (ред. от 21.03.2024) &quot;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quot; ------------ Недействующая редакция {КонсультантПлюс}">
        <w:r>
          <w:rPr>
            <w:sz w:val="20"/>
            <w:color w:val="0000ff"/>
          </w:rPr>
          <w:t xml:space="preserve">пункте 2.9</w:t>
        </w:r>
      </w:hyperlink>
      <w:r>
        <w:rPr>
          <w:sz w:val="20"/>
        </w:rPr>
        <w:t xml:space="preserve"> Порядка.</w:t>
      </w:r>
    </w:p>
    <w:p>
      <w:pPr>
        <w:pStyle w:val="0"/>
        <w:spacing w:before="200" w:line-rule="auto"/>
        <w:ind w:firstLine="540"/>
        <w:jc w:val="both"/>
      </w:pPr>
      <w:r>
        <w:rPr>
          <w:sz w:val="20"/>
        </w:rPr>
        <w:t xml:space="preserve">2.18.2. Несоответствие заявки </w:t>
      </w:r>
      <w:hyperlink w:history="0" r:id="rId40" w:tooltip="Постановление Правительства Тюменской области от 10.09.2021 N 547-п (ред. от 21.03.2024) &quot;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quot; ------------ Недействующая редакция {КонсультантПлюс}">
        <w:r>
          <w:rPr>
            <w:sz w:val="20"/>
            <w:color w:val="0000ff"/>
          </w:rPr>
          <w:t xml:space="preserve">пункту 2.12</w:t>
        </w:r>
      </w:hyperlink>
      <w:r>
        <w:rPr>
          <w:sz w:val="20"/>
        </w:rPr>
        <w:t xml:space="preserve"> в том числе: отсутствие в заявке подписи руководителя, отсутствие печати организации (при наличии у организации печати в соответствии с учредительными документами), заявка подписана не уполномоченным лицом.</w:t>
      </w:r>
    </w:p>
    <w:p>
      <w:pPr>
        <w:pStyle w:val="0"/>
        <w:spacing w:before="200" w:line-rule="auto"/>
        <w:ind w:firstLine="540"/>
        <w:jc w:val="both"/>
      </w:pPr>
      <w:r>
        <w:rPr>
          <w:sz w:val="20"/>
        </w:rPr>
        <w:t xml:space="preserve">2.18.3. Несоответствие заявки техническому заданию, которое устанавливает параметры программы (проекта) в соответствии с </w:t>
      </w:r>
      <w:hyperlink w:history="0" r:id="rId41" w:tooltip="Постановление Правительства Тюменской области от 10.09.2021 N 547-п (ред. от 21.03.2024) &quot;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quot; ------------ Недействующая редакция {КонсультантПлюс}">
        <w:r>
          <w:rPr>
            <w:sz w:val="20"/>
            <w:color w:val="0000ff"/>
          </w:rPr>
          <w:t xml:space="preserve">абзацем третьим пункта 2.1</w:t>
        </w:r>
      </w:hyperlink>
      <w:r>
        <w:rPr>
          <w:sz w:val="20"/>
        </w:rPr>
        <w:t xml:space="preserve"> настоящего Порядка.</w:t>
      </w:r>
    </w:p>
    <w:p>
      <w:pPr>
        <w:pStyle w:val="0"/>
        <w:spacing w:before="200" w:line-rule="auto"/>
        <w:ind w:firstLine="540"/>
        <w:jc w:val="both"/>
      </w:pPr>
      <w:r>
        <w:rPr>
          <w:sz w:val="20"/>
        </w:rPr>
        <w:t xml:space="preserve">2.19. При наличии оснований для отправления заявки на доработку Главный распорядитель бюджетных средств в срок, установленный </w:t>
      </w:r>
      <w:hyperlink w:history="0" r:id="rId42" w:tooltip="Постановление Правительства Тюменской области от 10.09.2021 N 547-п (ред. от 21.03.2024) &quot;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quot; ------------ Недействующая редакция {КонсультантПлюс}">
        <w:r>
          <w:rPr>
            <w:sz w:val="20"/>
            <w:color w:val="0000ff"/>
          </w:rPr>
          <w:t xml:space="preserve">пунктом 2.16</w:t>
        </w:r>
      </w:hyperlink>
      <w:r>
        <w:rPr>
          <w:sz w:val="20"/>
        </w:rPr>
        <w:t xml:space="preserve"> Порядка, направляет на официальном сайте конкурса заявку на доработку, изменяя статус заявки с "подана" на "возвращена на доработку".</w:t>
      </w:r>
    </w:p>
    <w:p>
      <w:pPr>
        <w:pStyle w:val="0"/>
        <w:spacing w:before="200" w:line-rule="auto"/>
        <w:ind w:firstLine="540"/>
        <w:jc w:val="both"/>
      </w:pPr>
      <w:r>
        <w:rPr>
          <w:sz w:val="20"/>
        </w:rPr>
        <w:t xml:space="preserve">2.20. Участник конкурса, заявка которого получила статус "возвращена на доработку", вправе повторно направить заявку после устранения замечаний по итогам валидации в пределах срока, указанного в объявлении о проведении конкурса.</w:t>
      </w:r>
    </w:p>
    <w:p>
      <w:pPr>
        <w:pStyle w:val="0"/>
        <w:spacing w:before="200" w:line-rule="auto"/>
        <w:ind w:firstLine="540"/>
        <w:jc w:val="both"/>
      </w:pPr>
      <w:r>
        <w:rPr>
          <w:sz w:val="20"/>
        </w:rPr>
        <w:t xml:space="preserve">Днем и временем повторной подачи заявки является запись даты, времени присвоения заявке статуса "подано" в личном кабинете участника конкурса.</w:t>
      </w:r>
    </w:p>
    <w:p>
      <w:pPr>
        <w:pStyle w:val="0"/>
        <w:spacing w:before="200" w:line-rule="auto"/>
        <w:ind w:firstLine="540"/>
        <w:jc w:val="both"/>
      </w:pPr>
      <w:r>
        <w:rPr>
          <w:sz w:val="20"/>
        </w:rPr>
        <w:t xml:space="preserve">2.21. Заявкам, которые соответствуют требованиям </w:t>
      </w:r>
      <w:hyperlink w:history="0" r:id="rId43" w:tooltip="Постановление Правительства Тюменской области от 10.09.2021 N 547-п (ред. от 21.03.2024) &quot;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quot; ------------ Недействующая редакция {КонсультантПлюс}">
        <w:r>
          <w:rPr>
            <w:sz w:val="20"/>
            <w:color w:val="0000ff"/>
          </w:rPr>
          <w:t xml:space="preserve">пункта 2.6</w:t>
        </w:r>
      </w:hyperlink>
      <w:r>
        <w:rPr>
          <w:sz w:val="20"/>
        </w:rPr>
        <w:t xml:space="preserve">, </w:t>
      </w:r>
      <w:hyperlink w:history="0" r:id="rId44" w:tooltip="Постановление Правительства Тюменской области от 10.09.2021 N 547-п (ред. от 21.03.2024) &quot;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quot; ------------ Недействующая редакция {КонсультантПлюс}">
        <w:r>
          <w:rPr>
            <w:sz w:val="20"/>
            <w:color w:val="0000ff"/>
          </w:rPr>
          <w:t xml:space="preserve">пункта 2.9</w:t>
        </w:r>
      </w:hyperlink>
      <w:r>
        <w:rPr>
          <w:sz w:val="20"/>
        </w:rPr>
        <w:t xml:space="preserve">, </w:t>
      </w:r>
      <w:hyperlink w:history="0" r:id="rId45" w:tooltip="Постановление Правительства Тюменской области от 10.09.2021 N 547-п (ред. от 21.03.2024) &quot;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quot; ------------ Недействующая редакция {КонсультантПлюс}">
        <w:r>
          <w:rPr>
            <w:sz w:val="20"/>
            <w:color w:val="0000ff"/>
          </w:rPr>
          <w:t xml:space="preserve">пункта 2.12</w:t>
        </w:r>
      </w:hyperlink>
      <w:r>
        <w:rPr>
          <w:sz w:val="20"/>
        </w:rPr>
        <w:t xml:space="preserve"> Порядка, по итогам валидации присваивается статус "зарегистрирована".</w:t>
      </w:r>
    </w:p>
    <w:p>
      <w:pPr>
        <w:pStyle w:val="0"/>
        <w:spacing w:before="200" w:line-rule="auto"/>
        <w:ind w:firstLine="540"/>
        <w:jc w:val="both"/>
      </w:pPr>
      <w:r>
        <w:rPr>
          <w:sz w:val="20"/>
        </w:rPr>
        <w:t xml:space="preserve">Днем и временем регистрации заявки является запись даты, времени и присвоения заявке статуса "зарегистрирована" на официальном сайте конкурса.</w:t>
      </w:r>
    </w:p>
    <w:p>
      <w:pPr>
        <w:pStyle w:val="0"/>
        <w:spacing w:before="200" w:line-rule="auto"/>
        <w:ind w:firstLine="540"/>
        <w:jc w:val="both"/>
      </w:pPr>
      <w:r>
        <w:rPr>
          <w:sz w:val="20"/>
        </w:rPr>
        <w:t xml:space="preserve">2.22. Одна социально ориентированная некоммерческая организация может подать только одну заявку. В случае если в соответствии с техническим заданием конкурс проводится одновременно по нескольким целям программ (проектов), одна социально ориентированная некоммерческая организация может подать заявки по нескольким целям программ (проектов), при этом по одной цели программы (проекта) подается только одна заявка.</w:t>
      </w:r>
    </w:p>
    <w:p>
      <w:pPr>
        <w:pStyle w:val="0"/>
        <w:spacing w:before="200" w:line-rule="auto"/>
        <w:ind w:firstLine="540"/>
        <w:jc w:val="both"/>
      </w:pPr>
      <w:r>
        <w:rPr>
          <w:sz w:val="20"/>
        </w:rPr>
        <w:t xml:space="preserve">Участник конкурса вправе отказаться от участия в конкурсе до окончания срока приема заявок, указанного в объявлении о проведении конкурса, после подачи и присвоения заявке статуса "подана" путем выбора статуса "Отозвать заявку" в личном кабинете участника конкурса с указанием комментария отзыва заявки на официальном сайте конкурса исполнителю региональной программы конкурса.</w:t>
      </w:r>
    </w:p>
    <w:p>
      <w:pPr>
        <w:pStyle w:val="0"/>
        <w:spacing w:before="200" w:line-rule="auto"/>
        <w:ind w:firstLine="540"/>
        <w:jc w:val="both"/>
      </w:pPr>
      <w:r>
        <w:rPr>
          <w:sz w:val="20"/>
        </w:rPr>
        <w:t xml:space="preserve">Возврат заявки выполняется автоматически на официальном сайте конкурса путем изменения статуса заявки на "Отозвана заявителем".</w:t>
      </w:r>
    </w:p>
    <w:p>
      <w:pPr>
        <w:pStyle w:val="0"/>
        <w:spacing w:before="200" w:line-rule="auto"/>
        <w:ind w:firstLine="540"/>
        <w:jc w:val="both"/>
      </w:pPr>
      <w:r>
        <w:rPr>
          <w:sz w:val="20"/>
        </w:rPr>
        <w:t xml:space="preserve">Порядок внесения изменений в заявки участников отбора допускается только путем представления для включения в ее состав дополнительной информации (в том числе документов) в статусе "возвращена на доработку".</w:t>
      </w:r>
    </w:p>
    <w:p>
      <w:pPr>
        <w:pStyle w:val="0"/>
        <w:spacing w:before="200" w:line-rule="auto"/>
        <w:ind w:firstLine="540"/>
        <w:jc w:val="both"/>
      </w:pPr>
      <w:r>
        <w:rPr>
          <w:sz w:val="20"/>
        </w:rPr>
        <w:t xml:space="preserve">2.23. Главный распорядитель бюджетных средств в течение 10 рабочих дней со дня присвоения заявке статуса "зарегистрирована":</w:t>
      </w:r>
    </w:p>
    <w:p>
      <w:pPr>
        <w:pStyle w:val="0"/>
        <w:spacing w:before="200" w:line-rule="auto"/>
        <w:ind w:firstLine="540"/>
        <w:jc w:val="both"/>
      </w:pPr>
      <w:r>
        <w:rPr>
          <w:sz w:val="20"/>
        </w:rPr>
        <w:t xml:space="preserve">- осуществляет проверку на предмет соответствия участника конкурса требованиям, установленным </w:t>
      </w:r>
      <w:hyperlink w:history="0" r:id="rId46" w:tooltip="Постановление Правительства Тюменской области от 10.09.2021 N 547-п (ред. от 21.03.2024) &quot;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quot; ------------ Недействующая редакция {КонсультантПлюс}">
        <w:r>
          <w:rPr>
            <w:sz w:val="20"/>
            <w:color w:val="0000ff"/>
          </w:rPr>
          <w:t xml:space="preserve">пунктами 2.5</w:t>
        </w:r>
      </w:hyperlink>
      <w:r>
        <w:rPr>
          <w:sz w:val="20"/>
        </w:rPr>
        <w:t xml:space="preserve"> и </w:t>
      </w:r>
      <w:hyperlink w:history="0" r:id="rId47" w:tooltip="Постановление Правительства Тюменской области от 10.09.2021 N 547-п (ред. от 21.03.2024) &quot;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quot; ------------ Недействующая редакция {КонсультантПлюс}">
        <w:r>
          <w:rPr>
            <w:sz w:val="20"/>
            <w:color w:val="0000ff"/>
          </w:rPr>
          <w:t xml:space="preserve">2.6</w:t>
        </w:r>
      </w:hyperlink>
      <w:r>
        <w:rPr>
          <w:sz w:val="20"/>
        </w:rPr>
        <w:t xml:space="preserve"> настоящего Порядка;</w:t>
      </w:r>
    </w:p>
    <w:p>
      <w:pPr>
        <w:pStyle w:val="0"/>
        <w:spacing w:before="200" w:line-rule="auto"/>
        <w:ind w:firstLine="540"/>
        <w:jc w:val="both"/>
      </w:pPr>
      <w:r>
        <w:rPr>
          <w:sz w:val="20"/>
        </w:rPr>
        <w:t xml:space="preserve">- осуществляет проверку заявки и приложенных к ней документов на предмет их соответствия требованиям, установленным в объявлении о проведении конкурса, а также на соответствие заявки техническому заданию;</w:t>
      </w:r>
    </w:p>
    <w:p>
      <w:pPr>
        <w:pStyle w:val="0"/>
        <w:spacing w:before="200" w:line-rule="auto"/>
        <w:ind w:firstLine="540"/>
        <w:jc w:val="both"/>
      </w:pPr>
      <w:r>
        <w:rPr>
          <w:sz w:val="20"/>
        </w:rPr>
        <w:t xml:space="preserve">- осуществляет проверку достоверности представленной участником конкурса информации путем проверки наличия в ней противоречивых сведений и (или) направления официальных запросов в соответствующие организации, в распоряжении которых находится такая информация, и (или) сверки с открытыми данными, представленными на официальных сайтах данных организаций в информационно-телекоммуникационной сети "Интернет";</w:t>
      </w:r>
    </w:p>
    <w:p>
      <w:pPr>
        <w:pStyle w:val="0"/>
        <w:spacing w:before="200" w:line-rule="auto"/>
        <w:ind w:firstLine="540"/>
        <w:jc w:val="both"/>
      </w:pPr>
      <w:r>
        <w:rPr>
          <w:sz w:val="20"/>
        </w:rPr>
        <w:t xml:space="preserve">- осуществляет проверку подачи участником конкурса заявки по дате и (или) времени, определенного для подачи заявок;</w:t>
      </w:r>
    </w:p>
    <w:p>
      <w:pPr>
        <w:pStyle w:val="0"/>
        <w:spacing w:before="200" w:line-rule="auto"/>
        <w:ind w:firstLine="540"/>
        <w:jc w:val="both"/>
      </w:pPr>
      <w:r>
        <w:rPr>
          <w:sz w:val="20"/>
        </w:rPr>
        <w:t xml:space="preserve">- осуществляет проверку на непредставление (представление не в полном объеме), обязательных для предоставления документов, указанных в объявлении о конкурсе.</w:t>
      </w:r>
    </w:p>
    <w:p>
      <w:pPr>
        <w:pStyle w:val="0"/>
        <w:spacing w:before="200" w:line-rule="auto"/>
        <w:ind w:firstLine="540"/>
        <w:jc w:val="both"/>
      </w:pPr>
      <w:r>
        <w:rPr>
          <w:sz w:val="20"/>
        </w:rPr>
        <w:t xml:space="preserve">2.24. Основаниями для отклонения заявки являются:</w:t>
      </w:r>
    </w:p>
    <w:p>
      <w:pPr>
        <w:pStyle w:val="0"/>
        <w:spacing w:before="200" w:line-rule="auto"/>
        <w:ind w:firstLine="540"/>
        <w:jc w:val="both"/>
      </w:pPr>
      <w:r>
        <w:rPr>
          <w:sz w:val="20"/>
        </w:rPr>
        <w:t xml:space="preserve">2.24.1. Несоответствие участника конкурса требованиям, установленным </w:t>
      </w:r>
      <w:hyperlink w:history="0" r:id="rId48" w:tooltip="Постановление Правительства Тюменской области от 10.09.2021 N 547-п (ред. от 21.03.2024) &quot;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quot; ------------ Недействующая редакция {КонсультантПлюс}">
        <w:r>
          <w:rPr>
            <w:sz w:val="20"/>
            <w:color w:val="0000ff"/>
          </w:rPr>
          <w:t xml:space="preserve">пунктом 2.6</w:t>
        </w:r>
      </w:hyperlink>
      <w:r>
        <w:rPr>
          <w:sz w:val="20"/>
        </w:rPr>
        <w:t xml:space="preserve"> и </w:t>
      </w:r>
      <w:hyperlink w:history="0" r:id="rId49" w:tooltip="Постановление Правительства Тюменской области от 10.09.2021 N 547-п (ред. от 21.03.2024) &quot;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quot; ------------ Недействующая редакция {КонсультантПлюс}">
        <w:r>
          <w:rPr>
            <w:sz w:val="20"/>
            <w:color w:val="0000ff"/>
          </w:rPr>
          <w:t xml:space="preserve">пунктом 2.5</w:t>
        </w:r>
      </w:hyperlink>
      <w:r>
        <w:rPr>
          <w:sz w:val="20"/>
        </w:rPr>
        <w:t xml:space="preserve"> настоящего Порядка.</w:t>
      </w:r>
    </w:p>
    <w:p>
      <w:pPr>
        <w:pStyle w:val="0"/>
        <w:spacing w:before="200" w:line-rule="auto"/>
        <w:ind w:firstLine="540"/>
        <w:jc w:val="both"/>
      </w:pPr>
      <w:r>
        <w:rPr>
          <w:sz w:val="20"/>
        </w:rPr>
        <w:t xml:space="preserve">2.24.2. Несоответствие представленных участником конкурса заявок и (или) документов требованиям, установленным в объявлении о проведении конкурса, предусмотренных настоящим Порядком.</w:t>
      </w:r>
    </w:p>
    <w:p>
      <w:pPr>
        <w:pStyle w:val="0"/>
        <w:spacing w:before="200" w:line-rule="auto"/>
        <w:ind w:firstLine="540"/>
        <w:jc w:val="both"/>
      </w:pPr>
      <w:r>
        <w:rPr>
          <w:sz w:val="20"/>
        </w:rPr>
        <w:t xml:space="preserve">2.24.3. Недостоверность информации, содержащейся в документах, представленных участником конкурса в целях подтверждения соответствия установленным настоящим Порядком требованиям.</w:t>
      </w:r>
    </w:p>
    <w:p>
      <w:pPr>
        <w:pStyle w:val="0"/>
        <w:spacing w:before="200" w:line-rule="auto"/>
        <w:ind w:firstLine="540"/>
        <w:jc w:val="both"/>
      </w:pPr>
      <w:r>
        <w:rPr>
          <w:sz w:val="20"/>
        </w:rPr>
        <w:t xml:space="preserve">Под недостоверной информацией понимается наличие в содержании представленных документов сведений, не соответствующих действительности.</w:t>
      </w:r>
    </w:p>
    <w:p>
      <w:pPr>
        <w:pStyle w:val="0"/>
        <w:spacing w:before="200" w:line-rule="auto"/>
        <w:ind w:firstLine="540"/>
        <w:jc w:val="both"/>
      </w:pPr>
      <w:r>
        <w:rPr>
          <w:sz w:val="20"/>
        </w:rPr>
        <w:t xml:space="preserve">2.24.4. Подача участником конкурса заявки после даты и (или) времени, определенных для подачи заявок.</w:t>
      </w:r>
    </w:p>
    <w:p>
      <w:pPr>
        <w:pStyle w:val="0"/>
        <w:spacing w:before="200" w:line-rule="auto"/>
        <w:ind w:firstLine="540"/>
        <w:jc w:val="both"/>
      </w:pPr>
      <w:r>
        <w:rPr>
          <w:sz w:val="20"/>
        </w:rPr>
        <w:t xml:space="preserve">2.24.5. Непредставление (представление не в полном объеме) обязательных для предоставления документов, указанных в объявлении о конкурсе, предусмотренных </w:t>
      </w:r>
      <w:hyperlink w:history="0" r:id="rId50" w:tooltip="Постановление Правительства Тюменской области от 10.09.2021 N 547-п (ред. от 21.03.2024) &quot;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quot; ------------ Недействующая редакция {КонсультантПлюс}">
        <w:r>
          <w:rPr>
            <w:sz w:val="20"/>
            <w:color w:val="0000ff"/>
          </w:rPr>
          <w:t xml:space="preserve">пунктом 2.9</w:t>
        </w:r>
      </w:hyperlink>
      <w:r>
        <w:rPr>
          <w:sz w:val="20"/>
        </w:rPr>
        <w:t xml:space="preserve"> настоящего Порядка.</w:t>
      </w:r>
    </w:p>
    <w:p>
      <w:pPr>
        <w:pStyle w:val="0"/>
        <w:spacing w:before="200" w:line-rule="auto"/>
        <w:ind w:firstLine="540"/>
        <w:jc w:val="both"/>
      </w:pPr>
      <w:r>
        <w:rPr>
          <w:sz w:val="20"/>
        </w:rPr>
        <w:t xml:space="preserve">2.24.6. Несоответствие представленной заявки техническому заданию.</w:t>
      </w:r>
    </w:p>
    <w:p>
      <w:pPr>
        <w:pStyle w:val="0"/>
        <w:spacing w:before="200" w:line-rule="auto"/>
        <w:ind w:firstLine="540"/>
        <w:jc w:val="both"/>
      </w:pPr>
      <w:r>
        <w:rPr>
          <w:sz w:val="20"/>
        </w:rPr>
        <w:t xml:space="preserve">2.25. При наличии оснований для отклонения заявки, указанных в </w:t>
      </w:r>
      <w:hyperlink w:history="0" r:id="rId51" w:tooltip="Постановление Правительства Тюменской области от 10.09.2021 N 547-п (ред. от 21.03.2024) &quot;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quot; ------------ Недействующая редакция {КонсультантПлюс}">
        <w:r>
          <w:rPr>
            <w:sz w:val="20"/>
            <w:color w:val="0000ff"/>
          </w:rPr>
          <w:t xml:space="preserve">пункте 2.24</w:t>
        </w:r>
      </w:hyperlink>
      <w:r>
        <w:rPr>
          <w:sz w:val="20"/>
        </w:rPr>
        <w:t xml:space="preserve"> настоящего Порядка, Главный распорядитель бюджетных средств после окончания даты (или) времени, указанного в объявлении о проведении конкурса приема заявок, в срок 10 рабочих дней принимает решение об отклонении заявки и в течение двух рабочих дней со дня принятия решения размещает соответствующую информацию на официальном сайте конкурса с указанием полного наименования организации - участника конкурса, ее основного государственного регистрационного номера и (или) идентификационного номера налогоплательщика, названия проекта (программы).</w:t>
      </w:r>
    </w:p>
    <w:p>
      <w:pPr>
        <w:pStyle w:val="0"/>
        <w:spacing w:before="200" w:line-rule="auto"/>
        <w:ind w:firstLine="540"/>
        <w:jc w:val="both"/>
      </w:pPr>
      <w:r>
        <w:rPr>
          <w:sz w:val="20"/>
        </w:rPr>
        <w:t xml:space="preserve">В случае отсутствия оснований для отклонения заявки Главный распорядитель бюджетных средств после окончания даты (или) времени, указанного в объявлении о проведении конкурса приема заявок, в срок 10 рабочих дней размещает соответствующую информацию на официальном сайте конкурса с указанием полного наименования организации - участника конкурса, ее основного государственного регистрационного номера и (или) идентификационного номера налогоплательщика, названия проекта (программы).</w:t>
      </w:r>
    </w:p>
    <w:p>
      <w:pPr>
        <w:pStyle w:val="0"/>
        <w:spacing w:before="200" w:line-rule="auto"/>
        <w:ind w:firstLine="540"/>
        <w:jc w:val="both"/>
      </w:pPr>
      <w:r>
        <w:rPr>
          <w:sz w:val="20"/>
        </w:rPr>
        <w:t xml:space="preserve">Допущенным заявкам присваивается статус "экспертиза".</w:t>
      </w:r>
    </w:p>
    <w:p>
      <w:pPr>
        <w:pStyle w:val="0"/>
        <w:jc w:val="both"/>
      </w:pPr>
      <w:r>
        <w:rPr>
          <w:sz w:val="20"/>
        </w:rPr>
      </w:r>
    </w:p>
    <w:p>
      <w:pPr>
        <w:pStyle w:val="0"/>
        <w:ind w:firstLine="540"/>
        <w:jc w:val="both"/>
      </w:pPr>
      <w:r>
        <w:rPr>
          <w:sz w:val="20"/>
        </w:rPr>
        <w:t xml:space="preserve">Порядок оценки заявок, включающий критерии оценки, показатели критериев оценки, и их весовое значение в общей оценке, необходимую для представления участником конкурса информацию по каждому критерию оценки, показателя критерия оценки, сведений, документов и материалов, подтверждающих такую информацию, сроков оценки заявок, а также информацию об участии комиссии и экспертов (экспертных организаций) в оценке заявок:</w:t>
      </w:r>
    </w:p>
    <w:p>
      <w:pPr>
        <w:pStyle w:val="0"/>
        <w:spacing w:before="200" w:line-rule="auto"/>
        <w:ind w:firstLine="540"/>
        <w:jc w:val="both"/>
      </w:pPr>
      <w:r>
        <w:rPr>
          <w:sz w:val="20"/>
        </w:rPr>
        <w:t xml:space="preserve">Критерии и показатели критериев оценки определены методикой оценки заявок на участие в конкурсе на предоставление субсидий из областного бюджета социально ориентированным некоммерческим организациям и утверждены </w:t>
      </w:r>
      <w:hyperlink w:history="0" r:id="rId52" w:tooltip="Постановление Правительства Тюменской области от 10.09.2021 N 547-п (ред. от 21.03.2024) &quot;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quot; ------------ Недействующая редакция {КонсультантПлюс}">
        <w:r>
          <w:rPr>
            <w:sz w:val="20"/>
            <w:color w:val="0000ff"/>
          </w:rPr>
          <w:t xml:space="preserve">приложением N 3</w:t>
        </w:r>
      </w:hyperlink>
      <w:r>
        <w:rPr>
          <w:sz w:val="20"/>
        </w:rPr>
        <w:t xml:space="preserve"> к Порядку: актуальность и социальная значимость программы (проекта); логическая связность и реализуемость программы (проекта), соответствие мероприятий программы (проекта) его целям, задачам и ожидаемым результатам; инновационность, уникальность программы (проекта); соотношение планируемых расходов на реализацию мероприятий программы (проекта) и его ожидаемых результатов, адекватность, измеримость и достижимость таких результатов; реалистичность сметы программы (проекта) и обоснованность планируемых расходов на реализацию программы (проекта); масштабность реализации программы (проекта); собственный вклад участника конкурса и дополнительные ресурсы, привлекаемые на реализацию программы (проекта), перспективы его дальнейшего развития; опыт участника конкурса по успешной реализации программ (проектов), по соответствующему направлению деятельности; соответствие опыта и компетенций команды программы (проекта) планируемой деятельности; информационная открытость участника конкурса.</w:t>
      </w:r>
    </w:p>
    <w:p>
      <w:pPr>
        <w:pStyle w:val="0"/>
        <w:spacing w:before="200" w:line-rule="auto"/>
        <w:ind w:firstLine="540"/>
        <w:jc w:val="both"/>
      </w:pPr>
      <w:r>
        <w:rPr>
          <w:sz w:val="20"/>
        </w:rPr>
        <w:t xml:space="preserve">2.26. Для проведения оценки заявок, допущенных к участию в конкурсе, Главным распорядителем бюджетных средств формируется конкурсная комиссия.</w:t>
      </w:r>
    </w:p>
    <w:p>
      <w:pPr>
        <w:pStyle w:val="0"/>
        <w:spacing w:before="200" w:line-rule="auto"/>
        <w:ind w:firstLine="540"/>
        <w:jc w:val="both"/>
      </w:pPr>
      <w:r>
        <w:rPr>
          <w:sz w:val="20"/>
        </w:rPr>
        <w:t xml:space="preserve">Составы конкурсных комиссий формируются из представителей органов исполнительной власти Тюменской области, Общественной палаты Тюменской области, общественных советов, созданных при Главных распорядителях бюджетных средств, средств массовой информации, представителей научных, образовательных и других организаций, привлекаемых в качестве независимых экспертов по видам деятельности, предусмотренным </w:t>
      </w:r>
      <w:hyperlink w:history="0" r:id="rId53" w:tooltip="Федеральный закон от 12.01.1996 N 7-ФЗ (ред. от 30.09.2024) &quot;О некоммерческих организациях&quot; (с изм. и доп., вступ. в силу с 05.02.2025) ------------ Недействующая редакция {КонсультантПлюс}">
        <w:r>
          <w:rPr>
            <w:sz w:val="20"/>
            <w:color w:val="0000ff"/>
          </w:rPr>
          <w:t xml:space="preserve">пунктом 1 статьи 31.1</w:t>
        </w:r>
      </w:hyperlink>
      <w:r>
        <w:rPr>
          <w:sz w:val="20"/>
        </w:rPr>
        <w:t xml:space="preserve"> Федерального закона "О некоммерческих организациях" и (или) </w:t>
      </w:r>
      <w:hyperlink w:history="0" r:id="rId54" w:tooltip="Закон Тюменской области от 18.02.2016 N 2 (ред. от 20.09.2024) &quot;О поддержке социально ориентированных некоммерческих организаций в Тюменской области&quot; (принят Тюменской областной Думой 11.02.2016) ------------ Недействующая редакция {КонсультантПлюс}">
        <w:r>
          <w:rPr>
            <w:sz w:val="20"/>
            <w:color w:val="0000ff"/>
          </w:rPr>
          <w:t xml:space="preserve">Законом</w:t>
        </w:r>
      </w:hyperlink>
      <w:r>
        <w:rPr>
          <w:sz w:val="20"/>
        </w:rPr>
        <w:t xml:space="preserve"> Тюменской области "О поддержке социально ориентированных некоммерческих организаций в Тюменской области".</w:t>
      </w:r>
    </w:p>
    <w:p>
      <w:pPr>
        <w:pStyle w:val="0"/>
        <w:spacing w:before="200" w:line-rule="auto"/>
        <w:ind w:firstLine="540"/>
        <w:jc w:val="both"/>
      </w:pPr>
      <w:r>
        <w:rPr>
          <w:sz w:val="20"/>
        </w:rPr>
        <w:t xml:space="preserve">Конкурсная комиссия формируются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pPr>
        <w:pStyle w:val="0"/>
        <w:spacing w:before="200" w:line-rule="auto"/>
        <w:ind w:firstLine="540"/>
        <w:jc w:val="both"/>
      </w:pPr>
      <w:r>
        <w:rPr>
          <w:sz w:val="20"/>
        </w:rPr>
        <w:t xml:space="preserve">Число членов конкурсной комиссии должно быть нечетным и составлять не менее 9 человек.</w:t>
      </w:r>
    </w:p>
    <w:p>
      <w:pPr>
        <w:pStyle w:val="0"/>
        <w:spacing w:before="200" w:line-rule="auto"/>
        <w:ind w:firstLine="540"/>
        <w:jc w:val="both"/>
      </w:pPr>
      <w:r>
        <w:rPr>
          <w:sz w:val="20"/>
        </w:rPr>
        <w:t xml:space="preserve">Состав конкурсной комиссии и положение о конкурсной комиссии утверждаются приказом Главного распорядителя бюджетных средств до проведения экспертизы программ (проектов) и размещаются на официальном сайте конкурса после объявления информации о конкурсе.</w:t>
      </w:r>
    </w:p>
    <w:p>
      <w:pPr>
        <w:pStyle w:val="0"/>
        <w:spacing w:before="200" w:line-rule="auto"/>
        <w:ind w:firstLine="540"/>
        <w:jc w:val="both"/>
      </w:pPr>
      <w:r>
        <w:rPr>
          <w:sz w:val="20"/>
        </w:rPr>
        <w:t xml:space="preserve">Оценка программ (проектов), представленных на конкурс, осуществляется в электронной форме на сайте конкурса.</w:t>
      </w:r>
    </w:p>
    <w:p>
      <w:pPr>
        <w:pStyle w:val="0"/>
        <w:spacing w:before="200" w:line-rule="auto"/>
        <w:ind w:firstLine="540"/>
        <w:jc w:val="both"/>
      </w:pPr>
      <w:r>
        <w:rPr>
          <w:sz w:val="20"/>
        </w:rPr>
        <w:t xml:space="preserve">Для проведения оценки всем членам конкурсной комиссии необходимо зарегистрироваться на официальном сайте конкурса.</w:t>
      </w:r>
    </w:p>
    <w:p>
      <w:pPr>
        <w:pStyle w:val="0"/>
        <w:spacing w:before="200" w:line-rule="auto"/>
        <w:ind w:firstLine="540"/>
        <w:jc w:val="both"/>
      </w:pPr>
      <w:r>
        <w:rPr>
          <w:sz w:val="20"/>
        </w:rPr>
        <w:t xml:space="preserve">Изменения в состав конкурсной комиссии вносятся Главным распорядителем бюджетных средств.</w:t>
      </w:r>
    </w:p>
    <w:p>
      <w:pPr>
        <w:pStyle w:val="0"/>
        <w:spacing w:before="200" w:line-rule="auto"/>
        <w:ind w:firstLine="540"/>
        <w:jc w:val="both"/>
      </w:pPr>
      <w:r>
        <w:rPr>
          <w:sz w:val="20"/>
        </w:rPr>
        <w:t xml:space="preserve">2.27. В течение 10 рабочих дней со дня окончания срока приема заявок:</w:t>
      </w:r>
    </w:p>
    <w:p>
      <w:pPr>
        <w:pStyle w:val="0"/>
        <w:spacing w:before="200" w:line-rule="auto"/>
        <w:ind w:firstLine="540"/>
        <w:jc w:val="both"/>
      </w:pPr>
      <w:r>
        <w:rPr>
          <w:sz w:val="20"/>
        </w:rPr>
        <w:t xml:space="preserve">Главный распорядитель бюджетных средств направляет заявки и документы участников конкурса, допущенных к участию в конкурсе, в конкурсную комиссию для проведения независимой экспертизы заявок.</w:t>
      </w:r>
    </w:p>
    <w:p>
      <w:pPr>
        <w:pStyle w:val="0"/>
        <w:spacing w:before="200" w:line-rule="auto"/>
        <w:ind w:firstLine="540"/>
        <w:jc w:val="both"/>
      </w:pPr>
      <w:r>
        <w:rPr>
          <w:sz w:val="20"/>
        </w:rPr>
        <w:t xml:space="preserve">2.28. Заявки рассматриваются членами конкурсной комиссии в течение 15 рабочих дней со дня их поступления в конкурсную комиссию.</w:t>
      </w:r>
    </w:p>
    <w:p>
      <w:pPr>
        <w:pStyle w:val="0"/>
        <w:spacing w:before="200" w:line-rule="auto"/>
        <w:ind w:firstLine="540"/>
        <w:jc w:val="both"/>
      </w:pPr>
      <w:r>
        <w:rPr>
          <w:sz w:val="20"/>
        </w:rPr>
        <w:t xml:space="preserve">Оценка заявок, допущенных к участию в конкурсе, осуществляется в соответствии с </w:t>
      </w:r>
      <w:hyperlink w:history="0" r:id="rId55" w:tooltip="Постановление Правительства Тюменской области от 10.09.2021 N 547-п (ред. от 21.03.2024) &quot;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quot; ------------ Недействующая редакция {КонсультантПлюс}">
        <w:r>
          <w:rPr>
            <w:sz w:val="20"/>
            <w:color w:val="0000ff"/>
          </w:rPr>
          <w:t xml:space="preserve">Методикой</w:t>
        </w:r>
      </w:hyperlink>
      <w:r>
        <w:rPr>
          <w:sz w:val="20"/>
        </w:rPr>
        <w:t xml:space="preserve"> оценки заявок на участие в конкурсе на предоставление субсидий из областного бюджета, утвержденной приложением N 3 к настоящему Порядку (далее - Методика).</w:t>
      </w:r>
    </w:p>
    <w:p>
      <w:pPr>
        <w:pStyle w:val="0"/>
        <w:spacing w:before="200" w:line-rule="auto"/>
        <w:ind w:firstLine="540"/>
        <w:jc w:val="both"/>
      </w:pPr>
      <w:r>
        <w:rPr>
          <w:sz w:val="20"/>
        </w:rPr>
        <w:t xml:space="preserve">Итоговый балл заявки определяется как сумма средних баллов, присвоенных оценившими заявку членами конкурсной комиссии по каждому критерию, умноженных на соответствующий коэффициент значимости критерия (с округлением полученных чисел до сотых).</w:t>
      </w:r>
    </w:p>
    <w:p>
      <w:pPr>
        <w:pStyle w:val="0"/>
        <w:spacing w:before="200" w:line-rule="auto"/>
        <w:ind w:firstLine="540"/>
        <w:jc w:val="both"/>
      </w:pPr>
      <w:r>
        <w:rPr>
          <w:sz w:val="20"/>
        </w:rPr>
        <w:t xml:space="preserve">Методикой установлен повышающий коэффициент для расчета итогового балла заявки. Повышающий коэффициент, установленный Методикой, применяется для некоммерческих организаций, имеющих статус исполнителя общественно полезных услуг.</w:t>
      </w:r>
    </w:p>
    <w:p>
      <w:pPr>
        <w:pStyle w:val="0"/>
        <w:spacing w:before="200" w:line-rule="auto"/>
        <w:ind w:firstLine="540"/>
        <w:jc w:val="both"/>
      </w:pPr>
      <w:r>
        <w:rPr>
          <w:sz w:val="20"/>
        </w:rPr>
        <w:t xml:space="preserve">Повышающий коэффициент применяется только в отношении тех программ (проектов) организации, которые соответствуют услуге, на основании которой организации присвоен статус "Исполнитель общественно полезных услуг".</w:t>
      </w:r>
    </w:p>
    <w:p>
      <w:pPr>
        <w:pStyle w:val="0"/>
        <w:spacing w:before="200" w:line-rule="auto"/>
        <w:ind w:firstLine="540"/>
        <w:jc w:val="both"/>
      </w:pPr>
      <w:r>
        <w:rPr>
          <w:sz w:val="20"/>
        </w:rPr>
        <w:t xml:space="preserve">Объем распределяемых субсидий в рамках конкурса, порядок расчета размера субсидии, установленный настоящим Порядком, правила распределения субсидий по результатам конкурса, которые могут включать максимальный, минимальный размер субсидии, предоставляемый победителю (победителям) конкурса, а также предельное количество победителей конкурса:</w:t>
      </w:r>
    </w:p>
    <w:p>
      <w:pPr>
        <w:pStyle w:val="0"/>
        <w:spacing w:before="200" w:line-rule="auto"/>
        <w:ind w:firstLine="540"/>
        <w:jc w:val="both"/>
      </w:pPr>
      <w:r>
        <w:rPr>
          <w:sz w:val="20"/>
        </w:rPr>
        <w:t xml:space="preserve">3.3. Размер субсидии определяется исходя из максимального размера субсидии, установленного в техническом задании, по формуле:</w:t>
      </w:r>
    </w:p>
    <w:p>
      <w:pPr>
        <w:pStyle w:val="0"/>
        <w:jc w:val="both"/>
      </w:pPr>
      <w:r>
        <w:rPr>
          <w:sz w:val="20"/>
        </w:rPr>
      </w:r>
    </w:p>
    <w:p>
      <w:pPr>
        <w:pStyle w:val="0"/>
        <w:jc w:val="center"/>
      </w:pPr>
      <w:r>
        <w:rPr>
          <w:sz w:val="20"/>
        </w:rPr>
        <w:t xml:space="preserve">РПС = Робщ. - Рсоф, где:</w:t>
      </w:r>
    </w:p>
    <w:p>
      <w:pPr>
        <w:pStyle w:val="0"/>
        <w:jc w:val="both"/>
      </w:pPr>
      <w:r>
        <w:rPr>
          <w:sz w:val="20"/>
        </w:rPr>
      </w:r>
    </w:p>
    <w:p>
      <w:pPr>
        <w:pStyle w:val="0"/>
        <w:ind w:firstLine="540"/>
        <w:jc w:val="both"/>
      </w:pPr>
      <w:r>
        <w:rPr>
          <w:sz w:val="20"/>
        </w:rPr>
        <w:t xml:space="preserve">РПС - размер предоставляемой субсидии;</w:t>
      </w:r>
    </w:p>
    <w:p>
      <w:pPr>
        <w:pStyle w:val="0"/>
        <w:spacing w:before="200" w:line-rule="auto"/>
        <w:ind w:firstLine="540"/>
        <w:jc w:val="both"/>
      </w:pPr>
      <w:r>
        <w:rPr>
          <w:sz w:val="20"/>
        </w:rPr>
        <w:t xml:space="preserve">Робщ. - общий планируемый бюджет проекта (программы);</w:t>
      </w:r>
    </w:p>
    <w:p>
      <w:pPr>
        <w:pStyle w:val="0"/>
        <w:spacing w:before="200" w:line-rule="auto"/>
        <w:ind w:firstLine="540"/>
        <w:jc w:val="both"/>
      </w:pPr>
      <w:r>
        <w:rPr>
          <w:sz w:val="20"/>
        </w:rPr>
        <w:t xml:space="preserve">Рсоф - размер затрат на реализацию проекта (программы), покрываемых собственными средствами участника конкурса или партнерами проекта (программы).</w:t>
      </w:r>
    </w:p>
    <w:p>
      <w:pPr>
        <w:pStyle w:val="0"/>
        <w:jc w:val="both"/>
      </w:pPr>
      <w:r>
        <w:rPr>
          <w:sz w:val="20"/>
        </w:rPr>
      </w:r>
    </w:p>
    <w:p>
      <w:pPr>
        <w:pStyle w:val="0"/>
        <w:ind w:firstLine="540"/>
        <w:jc w:val="both"/>
      </w:pPr>
      <w:r>
        <w:rPr>
          <w:sz w:val="20"/>
        </w:rPr>
        <w:t xml:space="preserve">Максимальный размер субсидии, приоритетное направление конкурса, параметры технического задания по видам деятельности, предусмотренным </w:t>
      </w:r>
      <w:hyperlink w:history="0" r:id="rId56" w:tooltip="Федеральный закон от 12.01.1996 N 7-ФЗ (ред. от 30.09.2024) &quot;О некоммерческих организациях&quot; (с изм. и доп., вступ. в силу с 05.02.2025) ------------ Недействующая редакция {КонсультантПлюс}">
        <w:r>
          <w:rPr>
            <w:sz w:val="20"/>
            <w:color w:val="0000ff"/>
          </w:rPr>
          <w:t xml:space="preserve">пунктом 1 статьи 31.1</w:t>
        </w:r>
      </w:hyperlink>
      <w:r>
        <w:rPr>
          <w:sz w:val="20"/>
        </w:rPr>
        <w:t xml:space="preserve"> Федерального закона "О некоммерческих организациях" и (или) </w:t>
      </w:r>
      <w:hyperlink w:history="0" r:id="rId57" w:tooltip="Закон Тюменской области от 18.02.2016 N 2 (ред. от 20.09.2024) &quot;О поддержке социально ориентированных некоммерческих организаций в Тюменской области&quot; (принят Тюменской областной Думой 11.02.2016) ------------ Недействующая редакция {КонсультантПлюс}">
        <w:r>
          <w:rPr>
            <w:sz w:val="20"/>
            <w:color w:val="0000ff"/>
          </w:rPr>
          <w:t xml:space="preserve">частью 2 статьи 3</w:t>
        </w:r>
      </w:hyperlink>
      <w:r>
        <w:rPr>
          <w:sz w:val="20"/>
        </w:rPr>
        <w:t xml:space="preserve"> Закона Тюменской области "О поддержке социально ориентированных некоммерческих организаций в Тюменской области" и (или) приоритетным направлениям, установленным в </w:t>
      </w:r>
      <w:hyperlink w:history="0" r:id="rId58" w:tooltip="Постановление Правительства Тюменской области от 10.09.2021 N 547-п (ред. от 21.03.2024) &quot;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quot; ------------ Недействующая редакция {КонсультантПлюс}">
        <w:r>
          <w:rPr>
            <w:sz w:val="20"/>
            <w:color w:val="0000ff"/>
          </w:rPr>
          <w:t xml:space="preserve">пункте 1.3</w:t>
        </w:r>
      </w:hyperlink>
      <w:r>
        <w:rPr>
          <w:sz w:val="20"/>
        </w:rPr>
        <w:t xml:space="preserve"> Порядка.</w:t>
      </w:r>
    </w:p>
    <w:p>
      <w:pPr>
        <w:pStyle w:val="0"/>
        <w:spacing w:before="200" w:line-rule="auto"/>
        <w:ind w:firstLine="540"/>
        <w:jc w:val="both"/>
      </w:pPr>
      <w:r>
        <w:rPr>
          <w:sz w:val="20"/>
        </w:rPr>
        <w:t xml:space="preserve">2.1. Конкурс проводится на основании технических заданий, утвержденных приказом Главного распорядителя бюджетных средств, исходя из наилучших условий достижения результата и соответствия участника конкурса требованиям и (или) критериям конкурса, на основании заявок, направленных участниками для участия в конкурсе. Техническое задание устанавливает следующие параметры программы (проекта): приоритетное направление, цель программы (проекта), значения результатов реализации программных мероприятий, максимальный размер субсидии на финансовое обеспечение цели программы (проекта), сроки реализации программы (проекта), требования к реализации программы (проекта).</w:t>
      </w:r>
    </w:p>
    <w:p>
      <w:pPr>
        <w:pStyle w:val="0"/>
        <w:jc w:val="both"/>
      </w:pPr>
      <w:r>
        <w:rPr>
          <w:sz w:val="20"/>
        </w:rPr>
      </w:r>
    </w:p>
    <w:p>
      <w:pPr>
        <w:pStyle w:val="0"/>
        <w:ind w:firstLine="540"/>
        <w:jc w:val="both"/>
      </w:pPr>
      <w:r>
        <w:rPr>
          <w:sz w:val="20"/>
        </w:rPr>
        <w:t xml:space="preserve">Срок, в течение которого победитель (победители) конкурса должны подписать соглашение о предоставлении субсидии; условия признания победителя (победителей) конкурса уклонившимся (уклонившимися) от заключения соглашения о предоставлении субсидии:</w:t>
      </w:r>
    </w:p>
    <w:p>
      <w:pPr>
        <w:pStyle w:val="0"/>
        <w:spacing w:before="200" w:line-rule="auto"/>
        <w:ind w:firstLine="540"/>
        <w:jc w:val="both"/>
      </w:pPr>
      <w:r>
        <w:rPr>
          <w:sz w:val="20"/>
        </w:rPr>
        <w:t xml:space="preserve">3.5. Субсидии предоставляются на основании соглашения о предоставлении субсидии, заключаемого между Главным распорядителем бюджетных средств и получателем субсидии (далее - соглашение), в соответствии с типовой формой, установленной Департаментом финансов Тюменской области.</w:t>
      </w:r>
    </w:p>
    <w:p>
      <w:pPr>
        <w:pStyle w:val="0"/>
        <w:spacing w:before="200" w:line-rule="auto"/>
        <w:ind w:firstLine="540"/>
        <w:jc w:val="both"/>
      </w:pPr>
      <w:r>
        <w:rPr>
          <w:sz w:val="20"/>
        </w:rPr>
        <w:t xml:space="preserve">Соглашение заключается в течение 20 рабочих дней со дня принятия решения о предоставлении субсидии, конкретно для данного конкурса - не позднее 17.06.2025.</w:t>
      </w:r>
    </w:p>
    <w:p>
      <w:pPr>
        <w:pStyle w:val="0"/>
        <w:spacing w:before="200" w:line-rule="auto"/>
        <w:ind w:firstLine="540"/>
        <w:jc w:val="both"/>
      </w:pPr>
      <w:r>
        <w:rPr>
          <w:sz w:val="20"/>
        </w:rPr>
        <w:t xml:space="preserve">В случае незаключения победителем конкурса соглашения в течение срока, указанного в </w:t>
      </w:r>
      <w:hyperlink w:history="0" r:id="rId59" w:tooltip="Постановление Правительства Тюменской области от 10.09.2021 N 547-п (ред. от 21.03.2024) &quot;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quot; ------------ Недействующая редакция {КонсультантПлюс}">
        <w:r>
          <w:rPr>
            <w:sz w:val="20"/>
            <w:color w:val="0000ff"/>
          </w:rPr>
          <w:t xml:space="preserve">абзаце третьем</w:t>
        </w:r>
      </w:hyperlink>
      <w:r>
        <w:rPr>
          <w:sz w:val="20"/>
        </w:rPr>
        <w:t xml:space="preserve"> настоящего пункта, данный участник конкурса признается уклонившимся от заключения соглашения. Субсидия уклонившемуся от заключения соглашения победителю конкурса не предоставляется. Решение о признании участника конкурса уклонившимся от заключения соглашения оформляется приказом Главного распорядителя бюджетных средств в течение 3 рабочих дней после истечения срока, указанного в </w:t>
      </w:r>
      <w:hyperlink w:history="0" r:id="rId60" w:tooltip="Постановление Правительства Тюменской области от 10.09.2021 N 547-п (ред. от 21.03.2024) &quot;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quot; ------------ Недействующая редакция {КонсультантПлюс}">
        <w:r>
          <w:rPr>
            <w:sz w:val="20"/>
            <w:color w:val="0000ff"/>
          </w:rPr>
          <w:t xml:space="preserve">абзаце третьем</w:t>
        </w:r>
      </w:hyperlink>
      <w:r>
        <w:rPr>
          <w:sz w:val="20"/>
        </w:rPr>
        <w:t xml:space="preserve"> настоящего пункта.</w:t>
      </w:r>
    </w:p>
    <w:p>
      <w:pPr>
        <w:pStyle w:val="0"/>
        <w:jc w:val="both"/>
      </w:pPr>
      <w:r>
        <w:rPr>
          <w:sz w:val="20"/>
        </w:rPr>
      </w:r>
    </w:p>
    <w:p>
      <w:pPr>
        <w:pStyle w:val="0"/>
        <w:ind w:firstLine="540"/>
        <w:jc w:val="both"/>
      </w:pPr>
      <w:r>
        <w:rPr>
          <w:sz w:val="20"/>
        </w:rPr>
        <w:t xml:space="preserve">Срок размещения протокола подведения итогов конкурса (документа об итогах проведения конкурса) на официальном сайте конкурса, с размещением указателя страницы сайта на едином портале, а также на официальном портале, который не может быть позднее 14-го календарного дня, следующего за днем определения победителя (-ей) конкурса:</w:t>
      </w:r>
    </w:p>
    <w:p>
      <w:pPr>
        <w:pStyle w:val="0"/>
        <w:spacing w:before="200" w:line-rule="auto"/>
        <w:ind w:firstLine="540"/>
        <w:jc w:val="both"/>
      </w:pPr>
      <w:r>
        <w:rPr>
          <w:sz w:val="20"/>
        </w:rPr>
        <w:t xml:space="preserve">2.29. По результатам независимой экспертизы заявок в срок, установленный </w:t>
      </w:r>
      <w:hyperlink w:history="0" r:id="rId61" w:tooltip="Постановление Правительства Тюменской области от 10.09.2021 N 547-п (ред. от 21.03.2024) &quot;Об утверждении порядка предоставления субсидий из областного бюджета социально ориентированным некоммерческим организациям и признании утратившими силу некоторых нормативных правовых актов&quot; ------------ Недействующая редакция {КонсультантПлюс}">
        <w:r>
          <w:rPr>
            <w:sz w:val="20"/>
            <w:color w:val="0000ff"/>
          </w:rPr>
          <w:t xml:space="preserve">абзацем первым пункта 2.28</w:t>
        </w:r>
      </w:hyperlink>
      <w:r>
        <w:rPr>
          <w:sz w:val="20"/>
        </w:rPr>
        <w:t xml:space="preserve"> Порядка, Главный распорядитель бюджетных средств в течение 10 рабочих дней со дня получения оценочных листов от членов конкурсной комиссии:</w:t>
      </w:r>
    </w:p>
    <w:p>
      <w:pPr>
        <w:pStyle w:val="0"/>
        <w:spacing w:before="200" w:line-rule="auto"/>
        <w:ind w:firstLine="540"/>
        <w:jc w:val="both"/>
      </w:pPr>
      <w:r>
        <w:rPr>
          <w:sz w:val="20"/>
        </w:rPr>
        <w:t xml:space="preserve">2.29.5. Размещает на официальном сайте конкурса, а также на официальном портале информацию о результатах проведения конкурса, в том числе протокол подведения итогов конкурса, которым оформлено решение, связанное с проведением конкурса, и который содержит сведения об участниках заседания, результатах голосования (в том числе о лицах, голосовавших против принятия решения и потребовавших внести запись об этом в протокол), об особом мнении участников заседания, которое они потребовали внести в протокол, о наличии у участников заседания конфликта интересов в отношении рассматриваемых вопросов.</w:t>
      </w:r>
    </w:p>
    <w:p>
      <w:pPr>
        <w:pStyle w:val="0"/>
        <w:jc w:val="both"/>
      </w:pPr>
      <w:r>
        <w:rPr>
          <w:sz w:val="20"/>
        </w:rPr>
      </w:r>
    </w:p>
    <w:p>
      <w:pPr>
        <w:pStyle w:val="0"/>
        <w:ind w:firstLine="540"/>
        <w:jc w:val="both"/>
      </w:pPr>
      <w:r>
        <w:rPr>
          <w:sz w:val="20"/>
        </w:rPr>
        <w:t xml:space="preserve">Порядок предоставления разъяснений положений объявления о проведении конкурса, даты начала и окончания срока предоставления такого разъяснения, а также консультации по вопросам подготовки заявок на участие в конкурсе в период начала подачи и окончания приема заявок проводит главный специалист отдела развития отрасли управления финансов и развития отрасли Департамента культуры Тюменской области Носырева Ольга Александровна по телефону: 8(345)242-74-29.</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Департамента культуры Тюменской области от 24.02.2025 N 035</w:t>
            <w:br/>
            <w:t>"Об объявлении конкурса на право получения социально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02.06.2025</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Департамента культуры Тюменской области от 24.02.2025 N 035</w:t>
            <w:br/>
            <w:t>"Об объявлении конкурса на право получения социально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02.06.2025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83229" TargetMode = "External"/>
	<Relationship Id="rId8" Type="http://schemas.openxmlformats.org/officeDocument/2006/relationships/hyperlink" Target="https://login.consultant.ru/link/?req=doc&amp;base=RLAW026&amp;n=212273" TargetMode = "External"/>
	<Relationship Id="rId9" Type="http://schemas.openxmlformats.org/officeDocument/2006/relationships/hyperlink" Target="https://login.consultant.ru/link/?req=doc&amp;base=RLAW026&amp;n=217223&amp;dst=100154" TargetMode = "External"/>
	<Relationship Id="rId10" Type="http://schemas.openxmlformats.org/officeDocument/2006/relationships/hyperlink" Target="https://&#1090;&#1102;&#1084;&#1077;&#1085;&#1100;&#1075;&#1088;&#1072;&#1085;&#1090;&#1099;.72to.ru/" TargetMode = "External"/>
	<Relationship Id="rId11" Type="http://schemas.openxmlformats.org/officeDocument/2006/relationships/hyperlink" Target="https://admtyumen.ru/" TargetMode = "External"/>
	<Relationship Id="rId12" Type="http://schemas.openxmlformats.org/officeDocument/2006/relationships/header" Target="header2.xml"/>
	<Relationship Id="rId13" Type="http://schemas.openxmlformats.org/officeDocument/2006/relationships/footer" Target="footer2.xml"/>
	<Relationship Id="rId14" Type="http://schemas.openxmlformats.org/officeDocument/2006/relationships/hyperlink" Target="https://login.consultant.ru/link/?req=doc&amp;base=RLAW026&amp;n=212273&amp;dst=101594" TargetMode = "External"/>
	<Relationship Id="rId15" Type="http://schemas.openxmlformats.org/officeDocument/2006/relationships/hyperlink" Target="https://&#1090;&#1102;&#1084;&#1077;&#1085;&#1100;&#1075;&#1088;&#1072;&#1085;&#1090;&#1099;.72to.ru/" TargetMode = "External"/>
	<Relationship Id="rId16" Type="http://schemas.openxmlformats.org/officeDocument/2006/relationships/hyperlink" Target="https://login.consultant.ru/link/?req=doc&amp;base=RLAW026&amp;n=212273&amp;dst=101654" TargetMode = "External"/>
	<Relationship Id="rId17" Type="http://schemas.openxmlformats.org/officeDocument/2006/relationships/hyperlink" Target="https://login.consultant.ru/link/?req=doc&amp;base=RLAW026&amp;n=212273&amp;dst=101604" TargetMode = "External"/>
	<Relationship Id="rId18" Type="http://schemas.openxmlformats.org/officeDocument/2006/relationships/hyperlink" Target="https://&#1090;&#1102;&#1084;&#1077;&#1085;&#1100;&#1075;&#1088;&#1072;&#1085;&#1090;&#1099;.72to.ru/" TargetMode = "External"/>
	<Relationship Id="rId19" Type="http://schemas.openxmlformats.org/officeDocument/2006/relationships/hyperlink" Target="https://login.consultant.ru/link/?req=doc&amp;base=LAW&amp;n=483130&amp;dst=5769" TargetMode = "External"/>
	<Relationship Id="rId20" Type="http://schemas.openxmlformats.org/officeDocument/2006/relationships/hyperlink" Target="https://login.consultant.ru/link/?req=doc&amp;base=RLAW026&amp;n=212273&amp;dst=101600" TargetMode = "External"/>
	<Relationship Id="rId21" Type="http://schemas.openxmlformats.org/officeDocument/2006/relationships/hyperlink" Target="https://login.consultant.ru/link/?req=doc&amp;base=LAW&amp;n=121087&amp;dst=100142" TargetMode = "External"/>
	<Relationship Id="rId22" Type="http://schemas.openxmlformats.org/officeDocument/2006/relationships/hyperlink" Target="https://login.consultant.ru/link/?req=doc&amp;base=LAW&amp;n=483137" TargetMode = "External"/>
	<Relationship Id="rId23" Type="http://schemas.openxmlformats.org/officeDocument/2006/relationships/hyperlink" Target="https://login.consultant.ru/link/?req=doc&amp;base=LAW&amp;n=483229&amp;dst=583" TargetMode = "External"/>
	<Relationship Id="rId24" Type="http://schemas.openxmlformats.org/officeDocument/2006/relationships/hyperlink" Target="https://login.consultant.ru/link/?req=doc&amp;base=RLAW026&amp;n=218995&amp;dst=100045" TargetMode = "External"/>
	<Relationship Id="rId25" Type="http://schemas.openxmlformats.org/officeDocument/2006/relationships/hyperlink" Target="https://login.consultant.ru/link/?req=doc&amp;base=RLAW026&amp;n=212273&amp;dst=101600" TargetMode = "External"/>
	<Relationship Id="rId26" Type="http://schemas.openxmlformats.org/officeDocument/2006/relationships/hyperlink" Target="https://login.consultant.ru/link/?req=doc&amp;base=RLAW026&amp;n=212273&amp;dst=101604" TargetMode = "External"/>
	<Relationship Id="rId27" Type="http://schemas.openxmlformats.org/officeDocument/2006/relationships/hyperlink" Target="https://login.consultant.ru/link/?req=doc&amp;base=RLAW026&amp;n=212273&amp;dst=101690" TargetMode = "External"/>
	<Relationship Id="rId28" Type="http://schemas.openxmlformats.org/officeDocument/2006/relationships/hyperlink" Target="https://login.consultant.ru/link/?req=doc&amp;base=RLAW026&amp;n=212273&amp;dst=101679" TargetMode = "External"/>
	<Relationship Id="rId29" Type="http://schemas.openxmlformats.org/officeDocument/2006/relationships/hyperlink" Target="https://login.consultant.ru/link/?req=doc&amp;base=LAW&amp;n=466790&amp;dst=3704" TargetMode = "External"/>
	<Relationship Id="rId30" Type="http://schemas.openxmlformats.org/officeDocument/2006/relationships/hyperlink" Target="https://login.consultant.ru/link/?req=doc&amp;base=LAW&amp;n=466790&amp;dst=3722" TargetMode = "External"/>
	<Relationship Id="rId31" Type="http://schemas.openxmlformats.org/officeDocument/2006/relationships/hyperlink" Target="https://login.consultant.ru/link/?req=doc&amp;base=RLAW026&amp;n=212273&amp;dst=101981" TargetMode = "External"/>
	<Relationship Id="rId32" Type="http://schemas.openxmlformats.org/officeDocument/2006/relationships/hyperlink" Target="https://login.consultant.ru/link/?req=doc&amp;base=LAW&amp;n=483130&amp;dst=5769" TargetMode = "External"/>
	<Relationship Id="rId33" Type="http://schemas.openxmlformats.org/officeDocument/2006/relationships/hyperlink" Target="https://login.consultant.ru/link/?req=doc&amp;base=RLAW026&amp;n=212273&amp;dst=101696" TargetMode = "External"/>
	<Relationship Id="rId34" Type="http://schemas.openxmlformats.org/officeDocument/2006/relationships/hyperlink" Target="https://login.consultant.ru/link/?req=doc&amp;base=RLAW026&amp;n=212273&amp;dst=101718" TargetMode = "External"/>
	<Relationship Id="rId35" Type="http://schemas.openxmlformats.org/officeDocument/2006/relationships/hyperlink" Target="https://login.consultant.ru/link/?req=doc&amp;base=RLAW026&amp;n=212273&amp;dst=101967" TargetMode = "External"/>
	<Relationship Id="rId36" Type="http://schemas.openxmlformats.org/officeDocument/2006/relationships/hyperlink" Target="https://login.consultant.ru/link/?req=doc&amp;base=RLAW026&amp;n=212273&amp;dst=101690" TargetMode = "External"/>
	<Relationship Id="rId37" Type="http://schemas.openxmlformats.org/officeDocument/2006/relationships/hyperlink" Target="https://login.consultant.ru/link/?req=doc&amp;base=RLAW026&amp;n=212273&amp;dst=101718" TargetMode = "External"/>
	<Relationship Id="rId38" Type="http://schemas.openxmlformats.org/officeDocument/2006/relationships/hyperlink" Target="https://login.consultant.ru/link/?req=doc&amp;base=RLAW026&amp;n=212273&amp;dst=101745" TargetMode = "External"/>
	<Relationship Id="rId39" Type="http://schemas.openxmlformats.org/officeDocument/2006/relationships/hyperlink" Target="https://login.consultant.ru/link/?req=doc&amp;base=RLAW026&amp;n=212273&amp;dst=101718" TargetMode = "External"/>
	<Relationship Id="rId40" Type="http://schemas.openxmlformats.org/officeDocument/2006/relationships/hyperlink" Target="https://login.consultant.ru/link/?req=doc&amp;base=RLAW026&amp;n=212273&amp;dst=101745" TargetMode = "External"/>
	<Relationship Id="rId41" Type="http://schemas.openxmlformats.org/officeDocument/2006/relationships/hyperlink" Target="https://login.consultant.ru/link/?req=doc&amp;base=RLAW026&amp;n=212273&amp;dst=101651" TargetMode = "External"/>
	<Relationship Id="rId42" Type="http://schemas.openxmlformats.org/officeDocument/2006/relationships/hyperlink" Target="https://login.consultant.ru/link/?req=doc&amp;base=RLAW026&amp;n=212273&amp;dst=101749" TargetMode = "External"/>
	<Relationship Id="rId43" Type="http://schemas.openxmlformats.org/officeDocument/2006/relationships/hyperlink" Target="https://login.consultant.ru/link/?req=doc&amp;base=RLAW026&amp;n=212273&amp;dst=101690" TargetMode = "External"/>
	<Relationship Id="rId44" Type="http://schemas.openxmlformats.org/officeDocument/2006/relationships/hyperlink" Target="https://login.consultant.ru/link/?req=doc&amp;base=RLAW026&amp;n=212273&amp;dst=101718" TargetMode = "External"/>
	<Relationship Id="rId45" Type="http://schemas.openxmlformats.org/officeDocument/2006/relationships/hyperlink" Target="https://login.consultant.ru/link/?req=doc&amp;base=RLAW026&amp;n=212273&amp;dst=101745" TargetMode = "External"/>
	<Relationship Id="rId46" Type="http://schemas.openxmlformats.org/officeDocument/2006/relationships/hyperlink" Target="https://login.consultant.ru/link/?req=doc&amp;base=RLAW026&amp;n=212273&amp;dst=101679" TargetMode = "External"/>
	<Relationship Id="rId47" Type="http://schemas.openxmlformats.org/officeDocument/2006/relationships/hyperlink" Target="https://login.consultant.ru/link/?req=doc&amp;base=RLAW026&amp;n=212273&amp;dst=101690" TargetMode = "External"/>
	<Relationship Id="rId48" Type="http://schemas.openxmlformats.org/officeDocument/2006/relationships/hyperlink" Target="https://login.consultant.ru/link/?req=doc&amp;base=RLAW026&amp;n=212273&amp;dst=101690" TargetMode = "External"/>
	<Relationship Id="rId49" Type="http://schemas.openxmlformats.org/officeDocument/2006/relationships/hyperlink" Target="https://login.consultant.ru/link/?req=doc&amp;base=RLAW026&amp;n=212273&amp;dst=101679" TargetMode = "External"/>
	<Relationship Id="rId50" Type="http://schemas.openxmlformats.org/officeDocument/2006/relationships/hyperlink" Target="https://login.consultant.ru/link/?req=doc&amp;base=RLAW026&amp;n=212273&amp;dst=101718" TargetMode = "External"/>
	<Relationship Id="rId51" Type="http://schemas.openxmlformats.org/officeDocument/2006/relationships/hyperlink" Target="https://login.consultant.ru/link/?req=doc&amp;base=RLAW026&amp;n=212273&amp;dst=101772" TargetMode = "External"/>
	<Relationship Id="rId52" Type="http://schemas.openxmlformats.org/officeDocument/2006/relationships/hyperlink" Target="https://login.consultant.ru/link/?req=doc&amp;base=RLAW026&amp;n=212273&amp;dst=101983" TargetMode = "External"/>
	<Relationship Id="rId53" Type="http://schemas.openxmlformats.org/officeDocument/2006/relationships/hyperlink" Target="https://login.consultant.ru/link/?req=doc&amp;base=LAW&amp;n=483229&amp;dst=583" TargetMode = "External"/>
	<Relationship Id="rId54" Type="http://schemas.openxmlformats.org/officeDocument/2006/relationships/hyperlink" Target="https://login.consultant.ru/link/?req=doc&amp;base=RLAW026&amp;n=218995" TargetMode = "External"/>
	<Relationship Id="rId55" Type="http://schemas.openxmlformats.org/officeDocument/2006/relationships/hyperlink" Target="https://login.consultant.ru/link/?req=doc&amp;base=RLAW026&amp;n=212273&amp;dst=101983" TargetMode = "External"/>
	<Relationship Id="rId56" Type="http://schemas.openxmlformats.org/officeDocument/2006/relationships/hyperlink" Target="https://login.consultant.ru/link/?req=doc&amp;base=LAW&amp;n=483229&amp;dst=583" TargetMode = "External"/>
	<Relationship Id="rId57" Type="http://schemas.openxmlformats.org/officeDocument/2006/relationships/hyperlink" Target="https://login.consultant.ru/link/?req=doc&amp;base=RLAW026&amp;n=218995&amp;dst=100045" TargetMode = "External"/>
	<Relationship Id="rId58" Type="http://schemas.openxmlformats.org/officeDocument/2006/relationships/hyperlink" Target="https://login.consultant.ru/link/?req=doc&amp;base=RLAW026&amp;n=212273&amp;dst=101604" TargetMode = "External"/>
	<Relationship Id="rId59" Type="http://schemas.openxmlformats.org/officeDocument/2006/relationships/hyperlink" Target="https://login.consultant.ru/link/?req=doc&amp;base=RLAW026&amp;n=212273&amp;dst=101843" TargetMode = "External"/>
	<Relationship Id="rId60" Type="http://schemas.openxmlformats.org/officeDocument/2006/relationships/hyperlink" Target="https://login.consultant.ru/link/?req=doc&amp;base=RLAW026&amp;n=212273&amp;dst=101843" TargetMode = "External"/>
	<Relationship Id="rId61" Type="http://schemas.openxmlformats.org/officeDocument/2006/relationships/hyperlink" Target="https://login.consultant.ru/link/?req=doc&amp;base=RLAW026&amp;n=212273&amp;dst=101793"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Департамента культуры Тюменской области от 24.02.2025 N 035
"Об объявлении конкурса на право получения социально ориентированными некоммерческими организациями в 2025 году субсидий из областного бюджета и утверждении технического задания"</dc:title>
  <dcterms:created xsi:type="dcterms:W3CDTF">2025-06-02T16:36:17Z</dcterms:created>
</cp:coreProperties>
</file>