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труда и занятости населения Тюменской области от 22.08.2025 N 199</w:t>
              <w:br/>
              <w:t xml:space="preserve">"Об объявлении конкурса социально ориентированных некоммерческих организаций на право получения в текущем финансовом году субсидий из областного бюджета"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ТРУДА И ЗАНЯТОСТИ НАСЕЛЕНИЯ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августа 2025 г. N 199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ОБЪЯВЛЕНИИ КОНКУРСА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НА ПРАВО ПОЛУЧЕНИЯ В ТЕКУЩЕМ</w:t>
      </w:r>
    </w:p>
    <w:p>
      <w:pPr>
        <w:pStyle w:val="2"/>
        <w:jc w:val="center"/>
      </w:pPr>
      <w:r>
        <w:rPr>
          <w:sz w:val="20"/>
        </w:rPr>
        <w:t xml:space="preserve">ФИНАНСОВОМ ГОДУ СУБСИДИЙ ИЗ ОБЛАСТНОГО БЮДЖЕТА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2.01.1996 N 7-ФЗ (ред. от 24.06.2025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</w:t>
      </w:r>
      <w:hyperlink w:history="0" r:id="rId9" w:tooltip="Закон Тюменской области от 18.02.2016 N 2 (ред. от 25.03.2025) &quot;О поддержке социально ориентированных некоммерческих организаций в Тюменской области&quot; (принят Тюменской областной Думой 11.0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18.02.2016 N 2 "О поддержке социально ориентированных некоммерческих организаций в Тюменской области", </w:t>
      </w:r>
      <w:hyperlink w:history="0" r:id="rId10" w:tooltip="Постановление Правительства Тюменской области от 10.09.2021 N 547-п (ред. от 17.07.2025) &quot;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10.09.2021 N 547-п "Об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Организовать проведение конкурса социально ориентированных некоммерческих организаций на право получения в текущем финансовом году субсидий из областного бюджета по виду деятельности "Трудоустройство и подбор персонала", приоритетное направление "Оказание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свободы, подбора персонала", общественно полезная услуга "Содействие занятости и профессиональной ориентации населения" (далее - Конкурс).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техническое </w:t>
      </w:r>
      <w:hyperlink w:history="0" w:anchor="P31" w:tooltip="ТЕХНИЧЕСКОЕ ЗАДАНИЕ">
        <w:r>
          <w:rPr>
            <w:sz w:val="20"/>
            <w:color w:val="0000ff"/>
          </w:rPr>
          <w:t xml:space="preserve">задание</w:t>
        </w:r>
      </w:hyperlink>
      <w:r>
        <w:rPr>
          <w:sz w:val="20"/>
        </w:rPr>
        <w:t xml:space="preserve"> по виду деятельности "Трудоустройство и подбор персонала", приоритетное направление "Оказание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свободы, подбора персонала", общественно полезная услуга "Содействие занятости и профессиональной ориентации населения",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Отделу организационной работы и информационного обеспечения управления по развитию трудового потенциала (Кочнев В.Н.) разместить в сети Интернет на официальном Портале органов государственной власти Тюменской области (</w:t>
      </w:r>
      <w:hyperlink w:history="0" r:id="rId11">
        <w:r>
          <w:rPr>
            <w:sz w:val="20"/>
            <w:color w:val="0000ff"/>
          </w:rPr>
          <w:t xml:space="preserve">https://www.admtyumen.ru</w:t>
        </w:r>
      </w:hyperlink>
      <w:r>
        <w:rPr>
          <w:sz w:val="20"/>
        </w:rPr>
        <w:t xml:space="preserve">) объявление о проведении Конкурса в течение двух рабочих дней со дня подписания настоящего приказа.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Отделу трудоустройства, специальных программ и профориентации управления занятости населения (Шевелев А.С.) обеспечить проведение консультаций по вопросам подготовки заявок на участие в Конкурсе.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Управлению юридической и контрольной работы (Калинина Ю.В.) разместить на официальном сайте конкурса в информационно-коммуникационной сети "Интернет" (</w:t>
      </w:r>
      <w:hyperlink w:history="0" r:id="rId12">
        <w:r>
          <w:rPr>
            <w:sz w:val="20"/>
            <w:color w:val="0000ff"/>
          </w:rPr>
          <w:t xml:space="preserve">https://тюменьгранты.72to.ru</w:t>
        </w:r>
      </w:hyperlink>
      <w:r>
        <w:rPr>
          <w:sz w:val="20"/>
        </w:rPr>
        <w:t xml:space="preserve">) (далее - сайт конкурса) объявление о проведении Конкурса в течение двух рабочих дней со дня подписания настоящего приказа, осуществлять прием и регистрацию заявок на участие в Конкурсе посредством сайта конкурса.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</w:t>
      </w:r>
    </w:p>
    <w:p>
      <w:pPr>
        <w:pStyle w:val="0"/>
        <w:jc w:val="right"/>
      </w:pPr>
      <w:r>
        <w:rPr>
          <w:sz w:val="20"/>
        </w:rPr>
        <w:t xml:space="preserve">В.В.ЕФРЕМОВА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Департамента труда и занятости</w:t>
      </w:r>
    </w:p>
    <w:p>
      <w:pPr>
        <w:pStyle w:val="0"/>
        <w:jc w:val="right"/>
      </w:pPr>
      <w:r>
        <w:rPr>
          <w:sz w:val="20"/>
        </w:rPr>
        <w:t xml:space="preserve">населения Тюменской области</w:t>
      </w:r>
    </w:p>
    <w:p>
      <w:pPr>
        <w:pStyle w:val="0"/>
        <w:jc w:val="right"/>
      </w:pPr>
      <w:r>
        <w:rPr>
          <w:sz w:val="20"/>
        </w:rPr>
        <w:t xml:space="preserve">от 22.08.2025 N 199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ТЕХНИЧЕСКОЕ ЗАДАНИЕ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Вид деятельности: "Трудоустройство и подбор персонала"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Приоритетное направление: "Оказание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свободы, подбора персонала"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Общественно полезная услуга: "Содействие занятости и профессиональной ориентации населения"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Заказчик: Департамент труда и занятости населения Тюменской области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 финансирования: областной бюджет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59"/>
        <w:gridCol w:w="3798"/>
        <w:gridCol w:w="1699"/>
        <w:gridCol w:w="1309"/>
        <w:gridCol w:w="4706"/>
      </w:tblGrid>
      <w:tr>
        <w:tc>
          <w:tcPr>
            <w:tcW w:w="20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программы (проекта)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результатов реализации программных мероприятий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Максимальный размер субсидии на финансовое обеспечение цели программы (проекта) (руб.)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программы (проекта)</w:t>
            </w:r>
          </w:p>
        </w:tc>
        <w:tc>
          <w:tcPr>
            <w:tcW w:w="4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Требования к реализации программы (проекта)</w:t>
            </w:r>
          </w:p>
        </w:tc>
      </w:tr>
      <w:tr>
        <w:tc>
          <w:tcPr>
            <w:tcW w:w="20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205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занятости и профессиональной ориентации населения</w:t>
            </w:r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1. Организация мероприятий по профессиональной ориентации несовершеннолетних граждан - не менее 160 человек, обратившихся в органы службы занятости Тюменской области в целях профессиональной ориентации, в целях временного трудоустройства в свободное от учебы время либо зарегистрированных в органах службы занятости Тюменской области в целях поиска подходящей работы, в том числе не менее 40 человек из числа несовершеннолетних граждан, признанных находящимися в социально опасном положении, детей-инвалидов.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2. Организация не менее 30 профессиональных проб участников мероприятий по профессиональной ориентации длительностью не менее 2 часов, количество участников 1 профессиональной пробы - не более 15 человек.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3. Участие в профессиональных пробах 100% численности несовершеннолетних граждан, указанных в пункте 1.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4. Организация проведения тестирования по методикам, позволяющим оценить склонность участника проекта к тому или иному виду профессиональной деятельности, подготовка рекомендаций по итогам тестирования, содержащих перечень видов профессиональной деятельности, занятости и компетенций, позволяющих вести профессиональную деятельность в определенной сфере и (или) выполнять работу по конкретным профессиям, специальностям, возможных направлений прохождения профессионального обучения и (или) получения профессионального образования, дополнительного профессионального образования, при осуществлении которых возможно достижение участником успешности в профессиональной или предпринимательской деятельности - 100% численности несовершеннолетних граждан, указанных в пункте 1.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5. Проведение индивидуальных консультаций по итогам тестирования и подготовки рекомендаций - 100% численности несовершеннолетних граждан, указанных в пункте 1.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6. Продолжительность проведения тестирования, предусмотренного п. 5 настоящего раздела, и индивидуальной консультации, предусмотренной п. 6 настоящего раздела, в совокупности должна составлять не менее 2 часов.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2 156 800,0</w:t>
            </w:r>
          </w:p>
        </w:tc>
        <w:tc>
          <w:tcPr>
            <w:tcW w:w="1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01.12.2026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  <w:t xml:space="preserve">1. Наличие профессионально подготовленных кадров, в том числе обладающих знаниями в сфере трудового законодательства и имеющих опыт работы по организации профессиональной ориентации, а также ресурсов для реализации мероприятий проекта.</w:t>
            </w:r>
          </w:p>
          <w:p>
            <w:pPr>
              <w:pStyle w:val="0"/>
            </w:pPr>
            <w:r>
              <w:rPr>
                <w:sz w:val="20"/>
              </w:rPr>
              <w:t xml:space="preserve">Квалификация специалиста по профориентационной работе должна быть подтверждена документально, стаж работы специалиста по профориентационной работе в части профориентационной работы с несовершеннолетними гражданами должен составлять не менее 3 лет.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Профессиональные пробы осуществляет эксперт в направлении (виде деятельности), имеющий опыт работы в соответствующем направлении (виде деятельности) не менее 3 лет.</w:t>
            </w:r>
          </w:p>
          <w:p>
            <w:pPr>
              <w:pStyle w:val="0"/>
            </w:pPr>
            <w:r>
              <w:rPr>
                <w:sz w:val="20"/>
              </w:rPr>
              <w:t xml:space="preserve">2. Мероприятия, предусмотренные проектом, должны соответствовать его целям и задачам.</w:t>
            </w:r>
          </w:p>
          <w:p>
            <w:pPr>
              <w:pStyle w:val="0"/>
            </w:pPr>
            <w:r>
              <w:rPr>
                <w:sz w:val="20"/>
              </w:rPr>
              <w:t xml:space="preserve">Мероприятия по профессиональной ориентации включают в себя организацию комплекса профориентационных мероприятий:</w:t>
            </w:r>
          </w:p>
          <w:p>
            <w:pPr>
              <w:pStyle w:val="0"/>
            </w:pPr>
            <w:r>
              <w:rPr>
                <w:sz w:val="20"/>
              </w:rPr>
              <w:t xml:space="preserve">- лекции;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- беседы;</w:t>
            </w:r>
          </w:p>
          <w:p>
            <w:pPr>
              <w:pStyle w:val="0"/>
            </w:pPr>
            <w:r>
              <w:rPr>
                <w:sz w:val="20"/>
              </w:rPr>
              <w:t xml:space="preserve">- тестирование;</w:t>
            </w:r>
          </w:p>
          <w:p>
            <w:pPr>
              <w:pStyle w:val="0"/>
            </w:pPr>
            <w:r>
              <w:rPr>
                <w:sz w:val="20"/>
              </w:rPr>
              <w:t xml:space="preserve">- проектный интенсив.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Профессиональные пробы включают в себя комплекс мероприятий, направленных на испытание интересов, способностей и личностных особенностей участников в реальных условиях профессиональной деятельности.</w:t>
            </w:r>
          </w:p>
          <w:p>
            <w:pPr>
              <w:pStyle w:val="0"/>
            </w:pPr>
            <w:r>
              <w:rPr>
                <w:sz w:val="20"/>
              </w:rPr>
              <w:t xml:space="preserve">3. Предусмотренные проектом мероприятия должны обеспечивать достижение ожидаемых результатов в установленный период реализации.</w:t>
            </w:r>
          </w:p>
          <w:p>
            <w:pPr>
              <w:pStyle w:val="0"/>
            </w:pPr>
            <w:r>
              <w:rPr>
                <w:sz w:val="20"/>
              </w:rPr>
              <w:t xml:space="preserve">4. Расходы на реализацию проекта должны быть экономически обоснованными.</w:t>
            </w:r>
          </w:p>
          <w:p>
            <w:pPr>
              <w:pStyle w:val="0"/>
            </w:pPr>
            <w:r>
              <w:rPr>
                <w:sz w:val="20"/>
              </w:rPr>
              <w:t xml:space="preserve">5. Возможность мониторинга реализации проекта, в том числе для внешних экспертов.</w:t>
            </w:r>
          </w:p>
          <w:p>
            <w:pPr>
              <w:pStyle w:val="0"/>
            </w:pPr>
            <w:r>
              <w:rPr>
                <w:sz w:val="20"/>
              </w:rPr>
              <w:t xml:space="preserve">6. Обеспечение программы (проекта) фотосъемкой (фотоотчёт на электронном носителе не менее 50 фотографий, формат JPEG) и видеосъемкой (видеоматериал на электронном носителе до 3 мин., формат MPEG).</w:t>
            </w:r>
          </w:p>
          <w:p>
            <w:pPr>
              <w:pStyle w:val="0"/>
            </w:pPr>
            <w:r>
              <w:rPr>
                <w:sz w:val="20"/>
              </w:rPr>
              <w:t xml:space="preserve">7. Обеспечение предоставления в Департамент труда и занятости населения Тюменской области не менее 4 пресс(пост)-релизов о программе (проекте) с фотоматериалом для размещения на информационных ресурсах.</w:t>
            </w:r>
          </w:p>
          <w:p>
            <w:pPr>
              <w:pStyle w:val="0"/>
            </w:pPr>
            <w:r>
              <w:rPr>
                <w:sz w:val="20"/>
              </w:rPr>
              <w:t xml:space="preserve">8. Профессиональные пробы должны быть организованы не менее чем по 7 направлениям (видам деятельности). Каждый несовершеннолетний гражданин должен принять участие не менее чем в 2 профессиональных пробах.</w:t>
            </w:r>
          </w:p>
          <w:p>
            <w:pPr>
              <w:pStyle w:val="0"/>
            </w:pPr>
            <w:r>
              <w:rPr>
                <w:sz w:val="20"/>
              </w:rPr>
              <w:t xml:space="preserve">9. Обеспечение в результате проведения мероприятий по профессиональной ориентации подготовки рекомендаций по итогам тестирования, содержащих перечень видов профессиональной деятельности, занятости и компетенций, позволяющих вести профессиональную деятельность в определенной сфере и (или) выполнять работу по конкретным профессиям, специальностям, возможных направлений прохождения профессионального обучения и (или) получения профессионального образования, дополнительного профессионального образования, при осуществлении которых возможно достижение участником успешности в профессиональной или предпринимательской деятельности.</w:t>
            </w:r>
          </w:p>
          <w:p>
            <w:pPr>
              <w:pStyle w:val="0"/>
            </w:pPr>
            <w:r>
              <w:rPr>
                <w:sz w:val="20"/>
              </w:rPr>
              <w:t xml:space="preserve">10. Изготовленная в рамках реализации проекта продукция должна содержать элементы фирменного стиля бренда "Работа России".</w:t>
            </w:r>
          </w:p>
          <w:p>
            <w:pPr>
              <w:pStyle w:val="0"/>
            </w:pPr>
            <w:r>
              <w:rPr>
                <w:sz w:val="20"/>
              </w:rPr>
              <w:t xml:space="preserve">11. При реализации проекта допускается привлечение третьих лиц.</w:t>
            </w:r>
          </w:p>
          <w:p>
            <w:pPr>
              <w:pStyle w:val="0"/>
            </w:pPr>
            <w:r>
              <w:rPr>
                <w:sz w:val="20"/>
              </w:rPr>
              <w:t xml:space="preserve">12. Проект реализуется на территории г. Тюмени.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3"/>
      <w:headerReference w:type="first" r:id="rId13"/>
      <w:footerReference w:type="default" r:id="rId14"/>
      <w:footerReference w:type="first" r:id="rId14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труда и занятости населения Тюменской области от 22.08.2025 N 199</w:t>
            <w:br/>
            <w:t>"Об объявлении конкурса социально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труда и занятости населения Тюменской области от 22.08.2025 N 199</w:t>
            <w:br/>
            <w:t>"Об объявлении конкурса социально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8381" TargetMode = "External"/><Relationship Id="rId9" Type="http://schemas.openxmlformats.org/officeDocument/2006/relationships/hyperlink" Target="https://login.consultant.ru/link/?req=doc&amp;base=RLAW026&amp;n=227369" TargetMode = "External"/><Relationship Id="rId10" Type="http://schemas.openxmlformats.org/officeDocument/2006/relationships/hyperlink" Target="https://login.consultant.ru/link/?req=doc&amp;base=RLAW026&amp;n=231529" TargetMode = "External"/><Relationship Id="rId11" Type="http://schemas.openxmlformats.org/officeDocument/2006/relationships/hyperlink" Target="https://www.admtyumen.ru" TargetMode = "External"/><Relationship Id="rId12" Type="http://schemas.openxmlformats.org/officeDocument/2006/relationships/hyperlink" Target="https://&#1090;&#1102;&#1084;&#1077;&#1085;&#1100;&#1075;&#1088;&#1072;&#1085;&#1090;&#1099;.72to.ru" TargetMode = "External"/><Relationship Id="rId13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труда и занятости населения Тюменской области от 22.08.2025 N 199
"Об объявлении конкурса социально ориентированных некоммерческих организаций на право получения в текущем финансовом году субсидий из областного бюджета"</dc:title>
  <dcterms:created xsi:type="dcterms:W3CDTF">2026-01-10T11:35:57Z</dcterms:created>
</cp:coreProperties>
</file>