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социального развития Тюменской области от 15.11.2023 N 497-п</w:t>
              <w:br/>
              <w:t xml:space="preserve">"О проведении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СОЦИАЛЬНОГО РАЗВИТИЯ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2023 г. N 497-п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ВТОРОГО ЭТАПА СПЕЦИАЛЬНОГО (ДОПОЛНИТЕЛЬНОГО)</w:t>
      </w:r>
    </w:p>
    <w:p>
      <w:pPr>
        <w:pStyle w:val="2"/>
        <w:jc w:val="center"/>
      </w:pPr>
      <w:r>
        <w:rPr>
          <w:sz w:val="20"/>
        </w:rPr>
        <w:t xml:space="preserve">КОНКУРСА НА ПРЕДОСТАВЛЕНИЕ ГРАНТОВ ГУБЕРНАТОРА ТЮМЕНСКОЙ</w:t>
      </w:r>
    </w:p>
    <w:p>
      <w:pPr>
        <w:pStyle w:val="2"/>
        <w:jc w:val="center"/>
      </w:pPr>
      <w:r>
        <w:rPr>
          <w:sz w:val="20"/>
        </w:rPr>
        <w:t xml:space="preserve">ОБЛАСТИ В ФОРМЕ СУБСИДИИ ДЛЯ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31.07.2023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8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 (далее - Порядок), распоряжением Правительства Тюменской области от 11.08.2023 N 719-рп "О выделении средств", руководствуясь </w:t>
      </w:r>
      <w:hyperlink w:history="0" r:id="rId9" w:tooltip="Постановление Правительства Тюменской области от 28.12.2010 N 385-п (ред. от 10.11.2023) &quot;Об утверждении Положения о Департаменте социального развития Тюм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социального развития Тюменской области, утвержденным постановлением Правительства Тюменской области от 28.12.2010 N 385-п, приказываю: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"Социальное обслуживание, социальная поддержка участников специальной военной операции (СВО) и членов их семей" (приоритетное направление "Деятельность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техническое </w:t>
      </w:r>
      <w:hyperlink w:history="0" w:anchor="P33" w:tooltip="ТЕХНИЧЕСКОЕ ЗАДАНИЕ">
        <w:r>
          <w:rPr>
            <w:sz w:val="20"/>
            <w:color w:val="0000ff"/>
          </w:rPr>
          <w:t xml:space="preserve">задание</w:t>
        </w:r>
      </w:hyperlink>
      <w:r>
        <w:rPr>
          <w:sz w:val="20"/>
        </w:rPr>
        <w:t xml:space="preserve"> по направлению, указанному в </w:t>
      </w:r>
      <w:hyperlink w:history="0" w:anchor="P12" w:tooltip="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поддержки и развития негосударственных организаций и общественных связей (Мясникова Ю.Г.):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консультации по вопросам подготовки заявок на участие во втором этапе Спецконкурса и организовать прием заявок на участие в Конкурсе в установленные Порядком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организовать размещение в информационно-телекоммуникационной сети "Интернет" на Официальном портале органов государственной власти Тюменской области </w:t>
      </w:r>
      <w:r>
        <w:rPr>
          <w:sz w:val="20"/>
        </w:rPr>
        <w:t xml:space="preserve">https://admtyumen.ru/</w:t>
      </w:r>
      <w:r>
        <w:rPr>
          <w:sz w:val="20"/>
        </w:rPr>
        <w:t xml:space="preserve">, на официальном сайте в информационно-телекоммуникационной сети "Интернет" </w:t>
      </w:r>
      <w:r>
        <w:rPr>
          <w:sz w:val="20"/>
        </w:rPr>
        <w:t xml:space="preserve">https://тюменьгранты.72to.ru/</w:t>
      </w:r>
      <w:r>
        <w:rPr>
          <w:sz w:val="20"/>
        </w:rPr>
        <w:t xml:space="preserve"> объявления о проведении Спецконкурса по приоритетному направлению, указанному в </w:t>
      </w:r>
      <w:hyperlink w:history="0" w:anchor="P12" w:tooltip="1. Организовать проведение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 (далее - Спецконкурс) по направлению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в течение двух рабочих дней со дня подписания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Д.В.ГРАМОТИН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15.11.2023 N 497-п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Заказчик: Департамент социального развития Тюменской области</w:t>
      </w:r>
    </w:p>
    <w:p>
      <w:pPr>
        <w:pStyle w:val="0"/>
        <w:jc w:val="center"/>
      </w:pPr>
      <w:r>
        <w:rPr>
          <w:sz w:val="20"/>
        </w:rPr>
        <w:t xml:space="preserve">Источник финансирования: областной бюджет (региональная</w:t>
      </w:r>
    </w:p>
    <w:p>
      <w:pPr>
        <w:pStyle w:val="0"/>
        <w:jc w:val="center"/>
      </w:pPr>
      <w:r>
        <w:rPr>
          <w:sz w:val="20"/>
        </w:rPr>
        <w:t xml:space="preserve">программа "Поддержка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в Тюменской области" до 2020 года</w:t>
      </w:r>
    </w:p>
    <w:p>
      <w:pPr>
        <w:pStyle w:val="0"/>
        <w:jc w:val="center"/>
      </w:pPr>
      <w:r>
        <w:rPr>
          <w:sz w:val="20"/>
        </w:rPr>
        <w:t xml:space="preserve">и на плановый период до 2023 года)</w:t>
      </w:r>
    </w:p>
    <w:p>
      <w:pPr>
        <w:pStyle w:val="0"/>
        <w:jc w:val="center"/>
      </w:pPr>
      <w:r>
        <w:rPr>
          <w:sz w:val="20"/>
        </w:rPr>
        <w:t xml:space="preserve">Государственная программа Тюменской области "Развитие</w:t>
      </w:r>
    </w:p>
    <w:p>
      <w:pPr>
        <w:pStyle w:val="0"/>
        <w:jc w:val="center"/>
      </w:pPr>
      <w:r>
        <w:rPr>
          <w:sz w:val="20"/>
        </w:rPr>
        <w:t xml:space="preserve">отрасли "Социальная политика"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Приоритетное направление: деятельность в области</w:t>
      </w:r>
    </w:p>
    <w:p>
      <w:pPr>
        <w:pStyle w:val="0"/>
        <w:jc w:val="center"/>
      </w:pPr>
      <w:r>
        <w:rPr>
          <w:sz w:val="20"/>
        </w:rPr>
        <w:t xml:space="preserve">образования, просвещения, науки, культуры, искусства,</w:t>
      </w:r>
    </w:p>
    <w:p>
      <w:pPr>
        <w:pStyle w:val="0"/>
        <w:jc w:val="center"/>
      </w:pPr>
      <w:r>
        <w:rPr>
          <w:sz w:val="20"/>
        </w:rPr>
        <w:t xml:space="preserve">здравоохранения, профилактики и охраны здоровья граждан,</w:t>
      </w:r>
    </w:p>
    <w:p>
      <w:pPr>
        <w:pStyle w:val="0"/>
        <w:jc w:val="center"/>
      </w:pPr>
      <w:r>
        <w:rPr>
          <w:sz w:val="20"/>
        </w:rPr>
        <w:t xml:space="preserve">пропаганды здорового образа жизни, улучшения</w:t>
      </w:r>
    </w:p>
    <w:p>
      <w:pPr>
        <w:pStyle w:val="0"/>
        <w:jc w:val="center"/>
      </w:pPr>
      <w:r>
        <w:rPr>
          <w:sz w:val="20"/>
        </w:rPr>
        <w:t xml:space="preserve">морально-психологического состояния граждан,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спорта и содействие указанной деятельности,</w:t>
      </w:r>
    </w:p>
    <w:p>
      <w:pPr>
        <w:pStyle w:val="0"/>
        <w:jc w:val="center"/>
      </w:pPr>
      <w:r>
        <w:rPr>
          <w:sz w:val="20"/>
        </w:rPr>
        <w:t xml:space="preserve">а также содействие 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1. Развитие институтов гражданского общества Тюменской области, формирование благоприятных условий для социально ориентированных некоммерческих организаций, осуществляющих деятельность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28"/>
        <w:gridCol w:w="1928"/>
        <w:gridCol w:w="1531"/>
        <w:gridCol w:w="4025"/>
      </w:tblGrid>
      <w:tr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 (проекта)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результатов реализации программных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размер субсидии на финансовое обеспечение цели программы (проекта), руб.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реализации программы (проекта)</w:t>
            </w:r>
          </w:p>
        </w:tc>
      </w:tr>
      <w:tr>
        <w:tc>
          <w:tcPr>
            <w:gridSpan w:val="5"/>
            <w:tcW w:w="142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Направление: Социальное обслуживание, социальная поддержка участников специальной военной операции (СВО)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членов их семей.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Обучение социальных координаторов, представителей общественных организаций, психологов навыкам общения, поддержки, снятия стрессовой ситуации с членами семей участников СВО, погибших в ходе боевых действий.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50 социальных координаторов, представителей общественных организаций, психологов.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Охват не менее 26 семей участников СВО, погибших в ходе боевых действий.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3 информационных материалов по проекту.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512 482,96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члены семей участников СВО, погибших в ходе боевых действий, социальные координаторы, психологи, общественные организации; организаций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Проект должен включать этап обучения и этап сопровождения после обучения социальными координаторами, представителями общественных организаций, психологами семей участников СВО, погибших в ходе боевых действий.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15.11.2023 N 497-п</w:t>
            <w:br/>
            <w:t>"О проведении второго этапа Специальног...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15.11.2023 N 497-п</w:t>
            <w:br/>
            <w:t>"О проведении второго этапа Специальног...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316" TargetMode = "External"/>
	<Relationship Id="rId8" Type="http://schemas.openxmlformats.org/officeDocument/2006/relationships/hyperlink" Target="https://login.consultant.ru/link/?req=doc&amp;base=RLAW026&amp;n=195813" TargetMode = "External"/>
	<Relationship Id="rId9" Type="http://schemas.openxmlformats.org/officeDocument/2006/relationships/hyperlink" Target="https://login.consultant.ru/link/?req=doc&amp;base=RLAW026&amp;n=206940&amp;dst=100504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Тюменской области от 15.11.2023 N 497-п
"О проведении второго этапа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dc:title>
  <dcterms:created xsi:type="dcterms:W3CDTF">2024-06-11T16:35:31Z</dcterms:created>
</cp:coreProperties>
</file>