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Закон Тюменской области от 24.03.2020 N 23</w:t>
              <w:br/>
              <w:t xml:space="preserve">(ред. от 27.03.2024)</w:t>
              <w:br/>
              <w:t xml:space="preserve">"Об утверждении Стратегии социально-экономического развития Тюменской области до 2030 года"</w:t>
              <w:br/>
              <w:t xml:space="preserve">(принят Тюменской областной Думой 12.03.2020)</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10.06.2024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outlineLvl w:val="0"/>
            </w:pPr>
            <w:r>
              <w:rPr>
                <w:sz w:val="20"/>
              </w:rPr>
              <w:t xml:space="preserve">24 марта 2020 года</w:t>
            </w:r>
          </w:p>
        </w:tc>
        <w:tc>
          <w:tcPr>
            <w:tcW w:w="5103" w:type="dxa"/>
            <w:tcBorders>
              <w:top w:val="nil"/>
              <w:left w:val="nil"/>
              <w:bottom w:val="nil"/>
              <w:right w:val="nil"/>
            </w:tcBorders>
          </w:tcPr>
          <w:p>
            <w:pPr>
              <w:pStyle w:val="0"/>
              <w:outlineLvl w:val="0"/>
              <w:jc w:val="right"/>
            </w:pPr>
            <w:r>
              <w:rPr>
                <w:sz w:val="20"/>
              </w:rPr>
              <w:t xml:space="preserve">N 23</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t xml:space="preserve">ТЮМЕНСКАЯ ОБЛАСТЬ</w:t>
      </w:r>
    </w:p>
    <w:p>
      <w:pPr>
        <w:pStyle w:val="2"/>
        <w:jc w:val="center"/>
      </w:pPr>
      <w:r>
        <w:rPr>
          <w:sz w:val="20"/>
        </w:rPr>
      </w:r>
    </w:p>
    <w:p>
      <w:pPr>
        <w:pStyle w:val="2"/>
        <w:jc w:val="center"/>
      </w:pPr>
      <w:r>
        <w:rPr>
          <w:sz w:val="20"/>
        </w:rPr>
        <w:t xml:space="preserve">ЗАКОН ТЮМЕНСКОЙ ОБЛАСТИ</w:t>
      </w:r>
    </w:p>
    <w:p>
      <w:pPr>
        <w:pStyle w:val="2"/>
        <w:jc w:val="center"/>
      </w:pPr>
      <w:r>
        <w:rPr>
          <w:sz w:val="20"/>
        </w:rPr>
      </w:r>
    </w:p>
    <w:p>
      <w:pPr>
        <w:pStyle w:val="2"/>
        <w:jc w:val="center"/>
      </w:pPr>
      <w:r>
        <w:rPr>
          <w:sz w:val="20"/>
        </w:rPr>
        <w:t xml:space="preserve">ОБ УТВЕРЖДЕНИИ СТРАТЕГИИ СОЦИАЛЬНО-ЭКОНОМИЧЕСКОГО РАЗВИТИЯ</w:t>
      </w:r>
    </w:p>
    <w:p>
      <w:pPr>
        <w:pStyle w:val="2"/>
        <w:jc w:val="center"/>
      </w:pPr>
      <w:r>
        <w:rPr>
          <w:sz w:val="20"/>
        </w:rPr>
        <w:t xml:space="preserve">ТЮМЕНСКОЙ ОБЛАСТИ ДО 2030 ГОДА</w:t>
      </w:r>
    </w:p>
    <w:p>
      <w:pPr>
        <w:pStyle w:val="0"/>
        <w:jc w:val="both"/>
      </w:pPr>
      <w:r>
        <w:rPr>
          <w:sz w:val="20"/>
        </w:rPr>
      </w:r>
    </w:p>
    <w:p>
      <w:pPr>
        <w:pStyle w:val="0"/>
        <w:jc w:val="center"/>
      </w:pPr>
      <w:r>
        <w:rPr>
          <w:sz w:val="20"/>
        </w:rPr>
        <w:t xml:space="preserve">Принят областной Думой 12 марта 2020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7" w:tooltip="Закон Тюменской области от 27.03.2024 N 11 &quot;О признании утратившим силу абзаца четырнадцатого подраздела &quot;Пространственное развитие&quot; раздела 1.1 &quot;Оценка достигнутых целей и уровня социально-экономического развития Тюменской области&quot; части 1 &quot;Анализ социально-экономического развития Тюменской области&quot; приложения к Закону Тюменской области &quot;Об утверждении Стратегии социально-экономического развития Тюменской области до 2030 года&quot; (принят Тюменской областной Думой 21.03.2024) {КонсультантПлюс}">
              <w:r>
                <w:rPr>
                  <w:sz w:val="20"/>
                  <w:color w:val="0000ff"/>
                </w:rPr>
                <w:t xml:space="preserve">Закона</w:t>
              </w:r>
            </w:hyperlink>
            <w:r>
              <w:rPr>
                <w:sz w:val="20"/>
                <w:color w:val="392c69"/>
              </w:rPr>
              <w:t xml:space="preserve"> Тюменской области от 27.03.2024 N 11)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ind w:firstLine="540"/>
        <w:jc w:val="both"/>
      </w:pPr>
      <w:r>
        <w:rPr>
          <w:sz w:val="20"/>
        </w:rPr>
        <w:t xml:space="preserve">Статья 1</w:t>
      </w:r>
    </w:p>
    <w:p>
      <w:pPr>
        <w:pStyle w:val="0"/>
        <w:jc w:val="both"/>
      </w:pPr>
      <w:r>
        <w:rPr>
          <w:sz w:val="20"/>
        </w:rPr>
      </w:r>
    </w:p>
    <w:p>
      <w:pPr>
        <w:pStyle w:val="0"/>
        <w:ind w:firstLine="540"/>
        <w:jc w:val="both"/>
      </w:pPr>
      <w:r>
        <w:rPr>
          <w:sz w:val="20"/>
        </w:rPr>
        <w:t xml:space="preserve">Утвердить </w:t>
      </w:r>
      <w:hyperlink w:history="0" w:anchor="P39" w:tooltip="СТРАТЕГИЯ">
        <w:r>
          <w:rPr>
            <w:sz w:val="20"/>
            <w:color w:val="0000ff"/>
          </w:rPr>
          <w:t xml:space="preserve">Стратегию</w:t>
        </w:r>
      </w:hyperlink>
      <w:r>
        <w:rPr>
          <w:sz w:val="20"/>
        </w:rPr>
        <w:t xml:space="preserve"> социально-экономического развития Тюменской области до 2030 года согласно приложению к настоящему Закону.</w:t>
      </w:r>
    </w:p>
    <w:p>
      <w:pPr>
        <w:pStyle w:val="0"/>
        <w:jc w:val="both"/>
      </w:pPr>
      <w:r>
        <w:rPr>
          <w:sz w:val="20"/>
        </w:rPr>
      </w:r>
    </w:p>
    <w:p>
      <w:pPr>
        <w:pStyle w:val="2"/>
        <w:outlineLvl w:val="1"/>
        <w:ind w:firstLine="540"/>
        <w:jc w:val="both"/>
      </w:pPr>
      <w:r>
        <w:rPr>
          <w:sz w:val="20"/>
        </w:rPr>
        <w:t xml:space="preserve">Статья 2</w:t>
      </w:r>
    </w:p>
    <w:p>
      <w:pPr>
        <w:pStyle w:val="0"/>
        <w:jc w:val="both"/>
      </w:pPr>
      <w:r>
        <w:rPr>
          <w:sz w:val="20"/>
        </w:rPr>
      </w:r>
    </w:p>
    <w:p>
      <w:pPr>
        <w:pStyle w:val="0"/>
        <w:ind w:firstLine="540"/>
        <w:jc w:val="both"/>
      </w:pPr>
      <w:r>
        <w:rPr>
          <w:sz w:val="20"/>
        </w:rPr>
        <w:t xml:space="preserve">Настоящий Закон вступает в силу со дня его официального опубликования.</w:t>
      </w:r>
    </w:p>
    <w:p>
      <w:pPr>
        <w:pStyle w:val="0"/>
        <w:jc w:val="both"/>
      </w:pPr>
      <w:r>
        <w:rPr>
          <w:sz w:val="20"/>
        </w:rPr>
      </w:r>
    </w:p>
    <w:p>
      <w:pPr>
        <w:pStyle w:val="0"/>
        <w:jc w:val="right"/>
      </w:pPr>
      <w:r>
        <w:rPr>
          <w:sz w:val="20"/>
        </w:rPr>
        <w:t xml:space="preserve">Губернатор Тюменской области</w:t>
      </w:r>
    </w:p>
    <w:p>
      <w:pPr>
        <w:pStyle w:val="0"/>
        <w:jc w:val="right"/>
      </w:pPr>
      <w:r>
        <w:rPr>
          <w:sz w:val="20"/>
        </w:rPr>
        <w:t xml:space="preserve">А.В.МООР</w:t>
      </w:r>
    </w:p>
    <w:p>
      <w:pPr>
        <w:pStyle w:val="0"/>
      </w:pPr>
      <w:r>
        <w:rPr>
          <w:sz w:val="20"/>
        </w:rPr>
        <w:t xml:space="preserve">г. Тюмень</w:t>
      </w:r>
    </w:p>
    <w:p>
      <w:pPr>
        <w:pStyle w:val="0"/>
        <w:spacing w:before="200" w:line-rule="auto"/>
      </w:pPr>
      <w:r>
        <w:rPr>
          <w:sz w:val="20"/>
        </w:rPr>
        <w:t xml:space="preserve">24 марта 2020 года</w:t>
      </w:r>
    </w:p>
    <w:p>
      <w:pPr>
        <w:pStyle w:val="0"/>
        <w:spacing w:before="200" w:line-rule="auto"/>
      </w:pPr>
      <w:r>
        <w:rPr>
          <w:sz w:val="20"/>
        </w:rPr>
        <w:t xml:space="preserve">N 23</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w:t>
      </w:r>
    </w:p>
    <w:p>
      <w:pPr>
        <w:pStyle w:val="0"/>
        <w:jc w:val="right"/>
      </w:pPr>
      <w:r>
        <w:rPr>
          <w:sz w:val="20"/>
        </w:rPr>
        <w:t xml:space="preserve">к Закону Тюменской области "Об утверждении Стратегии</w:t>
      </w:r>
    </w:p>
    <w:p>
      <w:pPr>
        <w:pStyle w:val="0"/>
        <w:jc w:val="right"/>
      </w:pPr>
      <w:r>
        <w:rPr>
          <w:sz w:val="20"/>
        </w:rPr>
        <w:t xml:space="preserve">социально-экономического развития Тюменской области</w:t>
      </w:r>
    </w:p>
    <w:p>
      <w:pPr>
        <w:pStyle w:val="0"/>
        <w:jc w:val="right"/>
      </w:pPr>
      <w:r>
        <w:rPr>
          <w:sz w:val="20"/>
        </w:rPr>
        <w:t xml:space="preserve">до 2030 года"</w:t>
      </w:r>
    </w:p>
    <w:p>
      <w:pPr>
        <w:pStyle w:val="0"/>
        <w:jc w:val="both"/>
      </w:pPr>
      <w:r>
        <w:rPr>
          <w:sz w:val="20"/>
        </w:rPr>
      </w:r>
    </w:p>
    <w:bookmarkStart w:id="39" w:name="P39"/>
    <w:bookmarkEnd w:id="39"/>
    <w:p>
      <w:pPr>
        <w:pStyle w:val="2"/>
        <w:jc w:val="center"/>
      </w:pPr>
      <w:r>
        <w:rPr>
          <w:sz w:val="20"/>
        </w:rPr>
        <w:t xml:space="preserve">СТРАТЕГИЯ</w:t>
      </w:r>
    </w:p>
    <w:p>
      <w:pPr>
        <w:pStyle w:val="2"/>
        <w:jc w:val="center"/>
      </w:pPr>
      <w:r>
        <w:rPr>
          <w:sz w:val="20"/>
        </w:rPr>
        <w:t xml:space="preserve">СОЦИАЛЬНО-ЭКОНОМИЧЕСКОГО РАЗВИТИЯ ТЮМЕНСКОЙ ОБЛАСТИ</w:t>
      </w:r>
    </w:p>
    <w:p>
      <w:pPr>
        <w:pStyle w:val="2"/>
        <w:jc w:val="center"/>
      </w:pPr>
      <w:r>
        <w:rPr>
          <w:sz w:val="20"/>
        </w:rPr>
        <w:t xml:space="preserve">ДО 2030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 w:tooltip="Закон Тюменской области от 27.03.2024 N 11 &quot;О признании утратившим силу абзаца четырнадцатого подраздела &quot;Пространственное развитие&quot; раздела 1.1 &quot;Оценка достигнутых целей и уровня социально-экономического развития Тюменской области&quot; части 1 &quot;Анализ социально-экономического развития Тюменской области&quot; приложения к Закону Тюменской области &quot;Об утверждении Стратегии социально-экономического развития Тюменской области до 2030 года&quot; (принят Тюменской областной Думой 21.03.2024) {КонсультантПлюс}">
              <w:r>
                <w:rPr>
                  <w:sz w:val="20"/>
                  <w:color w:val="0000ff"/>
                </w:rPr>
                <w:t xml:space="preserve">Закона</w:t>
              </w:r>
            </w:hyperlink>
            <w:r>
              <w:rPr>
                <w:sz w:val="20"/>
                <w:color w:val="392c69"/>
              </w:rPr>
              <w:t xml:space="preserve"> Тюменской области от 27.03.2024 N 11)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Основные положения</w:t>
      </w:r>
    </w:p>
    <w:p>
      <w:pPr>
        <w:pStyle w:val="0"/>
        <w:jc w:val="both"/>
      </w:pPr>
      <w:r>
        <w:rPr>
          <w:sz w:val="20"/>
        </w:rPr>
      </w:r>
    </w:p>
    <w:p>
      <w:pPr>
        <w:pStyle w:val="0"/>
        <w:ind w:firstLine="540"/>
        <w:jc w:val="both"/>
      </w:pPr>
      <w:r>
        <w:rPr>
          <w:sz w:val="20"/>
        </w:rPr>
        <w:t xml:space="preserve">Стратегия социально-экономического развития Тюменской области до 2030 года (далее - Стратегия) является документом стратегического планирования, в котором определены приоритеты, цели и задачи государственного управления в Тюменской области на долгосрочный период, согласованные с приоритетами и целями социально-экономического развития Российской Федерации, Уральского федерального округа, а также сформулированы меры и механизмы их достижения на основе эффективного использования потенциала, ресурсов и конкурентных преимуществ Тюменской области.</w:t>
      </w:r>
    </w:p>
    <w:p>
      <w:pPr>
        <w:pStyle w:val="0"/>
        <w:spacing w:before="200" w:line-rule="auto"/>
        <w:ind w:firstLine="540"/>
        <w:jc w:val="both"/>
      </w:pPr>
      <w:r>
        <w:rPr>
          <w:sz w:val="20"/>
        </w:rPr>
        <w:t xml:space="preserve">Стратегия разработана на основании </w:t>
      </w:r>
      <w:hyperlink w:history="0" r:id="rId9" w:tooltip="Закон Тюменской области от 25.02.2015 N 13 (ред. от 23.03.2018) &quot;О стратегическом планировании социально-экономического развития Тюменской области&quot; (принят Тюменской областной Думой 12.02.2015) {КонсультантПлюс}">
        <w:r>
          <w:rPr>
            <w:sz w:val="20"/>
            <w:color w:val="0000ff"/>
          </w:rPr>
          <w:t xml:space="preserve">Закона</w:t>
        </w:r>
      </w:hyperlink>
      <w:r>
        <w:rPr>
          <w:sz w:val="20"/>
        </w:rPr>
        <w:t xml:space="preserve"> Тюменской области от 25.02.2015 N 13 "О стратегическом планировании социально-экономического развития Тюменской области", </w:t>
      </w:r>
      <w:hyperlink w:history="0" r:id="rId10" w:tooltip="Постановление Правительства Тюменской области от 17.08.2015 N 384-п (ред. от 07.08.2020) &quot;О Порядке разработки, корректировки, осуществления мониторинга и контроля реализации стратегии социально-экономического развития Тюменской области&quot; {КонсультантПлюс}">
        <w:r>
          <w:rPr>
            <w:sz w:val="20"/>
            <w:color w:val="0000ff"/>
          </w:rPr>
          <w:t xml:space="preserve">постановления</w:t>
        </w:r>
      </w:hyperlink>
      <w:r>
        <w:rPr>
          <w:sz w:val="20"/>
        </w:rPr>
        <w:t xml:space="preserve"> Правительства Тюменской области от 17.08.2015 N 384-п "О Порядке разработки, корректировки, осуществления мониторинга и контроля реализации стратегии социально-экономического развития Тюменской области" и во исполнение </w:t>
      </w:r>
      <w:hyperlink w:history="0" r:id="rId11" w:tooltip="Постановление Правительства Тюменской области от 10.10.2014 N 517-п (ред. от 03.12.2018) &quot;Об утверждении плана подготовки документов стратегического планирования Тюменской области&quot; {КонсультантПлюс}">
        <w:r>
          <w:rPr>
            <w:sz w:val="20"/>
            <w:color w:val="0000ff"/>
          </w:rPr>
          <w:t xml:space="preserve">плана</w:t>
        </w:r>
      </w:hyperlink>
      <w:r>
        <w:rPr>
          <w:sz w:val="20"/>
        </w:rPr>
        <w:t xml:space="preserve"> подготовки документов стратегического планирования Тюменской области, утвержденного постановлением Правительства Тюменской области от 10.10.2014 N 517-п, с учетом следующих нормативных правовых актов:</w:t>
      </w:r>
    </w:p>
    <w:p>
      <w:pPr>
        <w:pStyle w:val="0"/>
        <w:spacing w:before="200" w:line-rule="auto"/>
        <w:ind w:firstLine="540"/>
        <w:jc w:val="both"/>
      </w:pPr>
      <w:r>
        <w:rPr>
          <w:sz w:val="20"/>
        </w:rPr>
        <w:t xml:space="preserve">Федерального </w:t>
      </w:r>
      <w:hyperlink w:history="0" r:id="rId12" w:tooltip="Федеральный закон от 28.06.2014 N 172-ФЗ (ред. от 17.02.2023) &quot;О стратегическом планировании в Российской Федерации&quot; {КонсультантПлюс}">
        <w:r>
          <w:rPr>
            <w:sz w:val="20"/>
            <w:color w:val="0000ff"/>
          </w:rPr>
          <w:t xml:space="preserve">закона</w:t>
        </w:r>
      </w:hyperlink>
      <w:r>
        <w:rPr>
          <w:sz w:val="20"/>
        </w:rPr>
        <w:t xml:space="preserve"> от 28.06.2014 N 172-ФЗ "О стратегическом планировании в Российской Федерации";</w:t>
      </w:r>
    </w:p>
    <w:p>
      <w:pPr>
        <w:pStyle w:val="0"/>
        <w:spacing w:before="200" w:line-rule="auto"/>
        <w:ind w:firstLine="540"/>
        <w:jc w:val="both"/>
      </w:pPr>
      <w:hyperlink w:history="0" r:id="rId13" w:tooltip="Указ Президента РФ от 31.12.2015 N 683 &quot;О Стратегии национальной безопасности Российской Федерации&quot; ------------ Утратил силу или отменен {КонсультантПлюс}">
        <w:r>
          <w:rPr>
            <w:sz w:val="20"/>
            <w:color w:val="0000ff"/>
          </w:rPr>
          <w:t xml:space="preserve">Стратегии</w:t>
        </w:r>
      </w:hyperlink>
      <w:r>
        <w:rPr>
          <w:sz w:val="20"/>
        </w:rPr>
        <w:t xml:space="preserve"> национальной безопасности Российской Федерации (Указ Президента Российской Федерации от 31.12.2015 N 683);</w:t>
      </w:r>
    </w:p>
    <w:p>
      <w:pPr>
        <w:pStyle w:val="0"/>
        <w:spacing w:before="200" w:line-rule="auto"/>
        <w:ind w:firstLine="540"/>
        <w:jc w:val="both"/>
      </w:pPr>
      <w:r>
        <w:rPr>
          <w:sz w:val="20"/>
        </w:rPr>
        <w:t xml:space="preserve">Указов Президента Российской Федерации от 07.05.2012 </w:t>
      </w:r>
      <w:r>
        <w:rPr>
          <w:sz w:val="20"/>
        </w:rPr>
        <w:t xml:space="preserve">N 596 - 606</w:t>
      </w:r>
      <w:r>
        <w:rPr>
          <w:sz w:val="20"/>
        </w:rPr>
        <w:t xml:space="preserve">, от 07.05.2018 </w:t>
      </w:r>
      <w:hyperlink w:history="0" r:id="rId14"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N 204</w:t>
        </w:r>
      </w:hyperlink>
      <w:r>
        <w:rPr>
          <w:sz w:val="20"/>
        </w:rPr>
        <w:t xml:space="preserve">;</w:t>
      </w:r>
    </w:p>
    <w:p>
      <w:pPr>
        <w:pStyle w:val="0"/>
        <w:spacing w:before="200" w:line-rule="auto"/>
        <w:ind w:firstLine="540"/>
        <w:jc w:val="both"/>
      </w:pPr>
      <w:hyperlink w:history="0" r:id="rId15" w:tooltip="Распоряжение Правительства РФ от 17.11.2008 N 1662-р (ред. от 28.09.2018) &lt;О Концепции долгосрочного социально-экономического развития Российской Федерации на период до 2020 года&gt; (вместе с &quot;Концепцией долгосрочного социально-экономического развития Российской Федерации на период до 2020 года&quot;) {КонсультантПлюс}">
        <w:r>
          <w:rPr>
            <w:sz w:val="20"/>
            <w:color w:val="0000ff"/>
          </w:rPr>
          <w:t xml:space="preserve">Концепции</w:t>
        </w:r>
      </w:hyperlink>
      <w:r>
        <w:rPr>
          <w:sz w:val="20"/>
        </w:rPr>
        <w:t xml:space="preserve"> долгосрочного социально-экономического развития Российской Федерации на период до 2020 года (распоряжение Правительства Российской Федерации от 17.11.2008 N 1662-р);</w:t>
      </w:r>
    </w:p>
    <w:p>
      <w:pPr>
        <w:pStyle w:val="0"/>
        <w:spacing w:before="200" w:line-rule="auto"/>
        <w:ind w:firstLine="540"/>
        <w:jc w:val="both"/>
      </w:pPr>
      <w:hyperlink w:history="0" r:id="rId16"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Стратегии</w:t>
        </w:r>
      </w:hyperlink>
      <w:r>
        <w:rPr>
          <w:sz w:val="20"/>
        </w:rPr>
        <w:t xml:space="preserve"> пространственного развития Российской Федерации на период до 2025 года (распоряжение Правительства Российской Федерации от 13.02.2019 N 207-р);</w:t>
      </w:r>
    </w:p>
    <w:p>
      <w:pPr>
        <w:pStyle w:val="0"/>
        <w:spacing w:before="200" w:line-rule="auto"/>
        <w:ind w:firstLine="540"/>
        <w:jc w:val="both"/>
      </w:pPr>
      <w:hyperlink w:history="0" r:id="rId17" w:tooltip="Распоряжение Правительства РФ от 06.10.2011 N 1757-р (ред. от 26.12.2014) &lt;Об утверждении Стратегии социально-экономического развития Уральского федерального округа до 2020 года&gt; {КонсультантПлюс}">
        <w:r>
          <w:rPr>
            <w:sz w:val="20"/>
            <w:color w:val="0000ff"/>
          </w:rPr>
          <w:t xml:space="preserve">Стратегии</w:t>
        </w:r>
      </w:hyperlink>
      <w:r>
        <w:rPr>
          <w:sz w:val="20"/>
        </w:rPr>
        <w:t xml:space="preserve"> социально-экономического развития Уральского федерального округа до 2020 года (распоряжение Правительства Российской Федерации от 06.10.2011 N 1757-р);</w:t>
      </w:r>
    </w:p>
    <w:p>
      <w:pPr>
        <w:pStyle w:val="0"/>
        <w:spacing w:before="200" w:line-rule="auto"/>
        <w:ind w:firstLine="540"/>
        <w:jc w:val="both"/>
      </w:pPr>
      <w:r>
        <w:rPr>
          <w:sz w:val="20"/>
        </w:rPr>
        <w:t xml:space="preserve">Концепции долгосрочного социально-экономического развития Тюменской области до 2020 года и на перспективу до 2030 года (распоряжение Правительства Тюменской области от 25.05.2009 N 652-рп);</w:t>
      </w:r>
    </w:p>
    <w:p>
      <w:pPr>
        <w:pStyle w:val="0"/>
        <w:spacing w:before="200" w:line-rule="auto"/>
        <w:ind w:firstLine="540"/>
        <w:jc w:val="both"/>
      </w:pPr>
      <w:r>
        <w:rPr>
          <w:sz w:val="20"/>
        </w:rPr>
        <w:t xml:space="preserve">других документов федерального уровня (перечень приведен в </w:t>
      </w:r>
      <w:hyperlink w:history="0" w:anchor="P5361" w:tooltip="ДОКУМЕНТЫ">
        <w:r>
          <w:rPr>
            <w:sz w:val="20"/>
            <w:color w:val="0000ff"/>
          </w:rPr>
          <w:t xml:space="preserve">приложении 7</w:t>
        </w:r>
      </w:hyperlink>
      <w:r>
        <w:rPr>
          <w:sz w:val="20"/>
        </w:rPr>
        <w:t xml:space="preserve">).</w:t>
      </w:r>
    </w:p>
    <w:p>
      <w:pPr>
        <w:pStyle w:val="0"/>
        <w:spacing w:before="200" w:line-rule="auto"/>
        <w:ind w:firstLine="540"/>
        <w:jc w:val="both"/>
      </w:pPr>
      <w:r>
        <w:rPr>
          <w:sz w:val="20"/>
        </w:rPr>
        <w:t xml:space="preserve">Стратегия является основой для разработки государственных программ Тюменской области, схемы территориального планирования Тюменской области, плана мероприятий по реализации Стратегии социально-экономического развития Тюменской области.</w:t>
      </w:r>
    </w:p>
    <w:p>
      <w:pPr>
        <w:pStyle w:val="0"/>
        <w:jc w:val="both"/>
      </w:pPr>
      <w:r>
        <w:rPr>
          <w:sz w:val="20"/>
        </w:rPr>
      </w:r>
    </w:p>
    <w:p>
      <w:pPr>
        <w:pStyle w:val="2"/>
        <w:outlineLvl w:val="1"/>
        <w:jc w:val="center"/>
      </w:pPr>
      <w:r>
        <w:rPr>
          <w:sz w:val="20"/>
        </w:rPr>
        <w:t xml:space="preserve">1. Анализ социально-экономического развития</w:t>
      </w:r>
    </w:p>
    <w:p>
      <w:pPr>
        <w:pStyle w:val="2"/>
        <w:jc w:val="center"/>
      </w:pPr>
      <w:r>
        <w:rPr>
          <w:sz w:val="20"/>
        </w:rPr>
        <w:t xml:space="preserve">Тюменской области</w:t>
      </w:r>
    </w:p>
    <w:p>
      <w:pPr>
        <w:pStyle w:val="0"/>
        <w:jc w:val="both"/>
      </w:pPr>
      <w:r>
        <w:rPr>
          <w:sz w:val="20"/>
        </w:rPr>
      </w:r>
    </w:p>
    <w:p>
      <w:pPr>
        <w:pStyle w:val="2"/>
        <w:outlineLvl w:val="2"/>
        <w:jc w:val="center"/>
      </w:pPr>
      <w:r>
        <w:rPr>
          <w:sz w:val="20"/>
        </w:rPr>
        <w:t xml:space="preserve">1.1. Оценка достигнутых целей и уровня</w:t>
      </w:r>
    </w:p>
    <w:p>
      <w:pPr>
        <w:pStyle w:val="2"/>
        <w:jc w:val="center"/>
      </w:pPr>
      <w:r>
        <w:rPr>
          <w:sz w:val="20"/>
        </w:rPr>
        <w:t xml:space="preserve">социально-экономического развития Тюменской области</w:t>
      </w:r>
    </w:p>
    <w:p>
      <w:pPr>
        <w:pStyle w:val="0"/>
        <w:jc w:val="both"/>
      </w:pPr>
      <w:r>
        <w:rPr>
          <w:sz w:val="20"/>
        </w:rPr>
      </w:r>
    </w:p>
    <w:p>
      <w:pPr>
        <w:pStyle w:val="0"/>
        <w:ind w:firstLine="540"/>
        <w:jc w:val="both"/>
      </w:pPr>
      <w:r>
        <w:rPr>
          <w:sz w:val="20"/>
        </w:rPr>
        <w:t xml:space="preserve">Тюменская область входит в состав Уральского федерального округа (УФО). Площадь территории Тюменской области &lt;1&gt; составляет 160,1 тыс. кв. километров, что сопоставимо с площадями Пермского, Приморского, Алтайского краев, в 1,9 раза превышает площадь Австрии, в 4 раза - площадь Швейцарии, Нидерландов.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Здесь и далее данные приводятся по Тюменской области без автономных округов.</w:t>
      </w:r>
    </w:p>
    <w:p>
      <w:pPr>
        <w:pStyle w:val="0"/>
        <w:jc w:val="both"/>
      </w:pPr>
      <w:r>
        <w:rPr>
          <w:sz w:val="20"/>
        </w:rPr>
      </w:r>
    </w:p>
    <w:p>
      <w:pPr>
        <w:pStyle w:val="0"/>
        <w:ind w:firstLine="540"/>
        <w:jc w:val="both"/>
      </w:pPr>
      <w:r>
        <w:rPr>
          <w:sz w:val="20"/>
        </w:rPr>
        <w:t xml:space="preserve">Численность населения области на начало 2019 года составила 1 518,7 тыс. человек (4 место по УФО и 30 место среди субъектов Российской Федерации соответственно). Средняя плотность населения на 01.01.2019 - 9,5 человека на кв. км.</w:t>
      </w:r>
    </w:p>
    <w:p>
      <w:pPr>
        <w:pStyle w:val="0"/>
        <w:spacing w:before="200" w:line-rule="auto"/>
        <w:ind w:firstLine="540"/>
        <w:jc w:val="both"/>
      </w:pPr>
      <w:r>
        <w:rPr>
          <w:sz w:val="20"/>
        </w:rPr>
        <w:t xml:space="preserve">Решение задач, определенных Концепцией долгосрочного социально-экономического развития Тюменской области до 2020 года и на перспективу до 2030 года, утвержденной распоряжением Правительства Тюменской области от 25.05.2009 N 652-рп, способствовало росту экономики Тюменской области.</w:t>
      </w:r>
    </w:p>
    <w:p>
      <w:pPr>
        <w:pStyle w:val="0"/>
        <w:spacing w:before="200" w:line-rule="auto"/>
        <w:ind w:firstLine="540"/>
        <w:jc w:val="both"/>
      </w:pPr>
      <w:r>
        <w:rPr>
          <w:sz w:val="20"/>
        </w:rPr>
        <w:t xml:space="preserve">По итогам 2017 года валовой региональный продукт (ВРП) вырос в 1,3 раза к уровню 2007 года в сопоставимых ценах. По итогам 2018 года инвестиции в основной капитал в сопоставимых ценах увеличились в 1,7 раза к уровню 2007 года, индекс промышленного производства за аналогичный период увеличился в 3,1 раза.</w:t>
      </w:r>
    </w:p>
    <w:p>
      <w:pPr>
        <w:pStyle w:val="0"/>
        <w:spacing w:before="200" w:line-rule="auto"/>
        <w:ind w:firstLine="540"/>
        <w:jc w:val="both"/>
      </w:pPr>
      <w:r>
        <w:rPr>
          <w:sz w:val="20"/>
        </w:rPr>
        <w:t xml:space="preserve">В структуре ВРП Тюменской области наибольшая доля добавленной стоимости приходится на промышленность, ключевую роль в которой играют обрабатывающие производства и добыча полезных ископаемых. Существенный вклад в формирование ВРП области вносят оптовая и розничная торговля, деятельность профессиональная, научная и техническая, транспортировка и хранение, строительство, сельское хозяйство (</w:t>
      </w:r>
      <w:hyperlink w:history="0" w:anchor="P76" w:tooltip="Таблица 1 - Структура валового регионального продукта Тюменской области по видам экономической деятельности в 2007 и 2015 годах, % к итогу за соответствующий год">
        <w:r>
          <w:rPr>
            <w:sz w:val="20"/>
            <w:color w:val="0000ff"/>
          </w:rPr>
          <w:t xml:space="preserve">табл. 1</w:t>
        </w:r>
      </w:hyperlink>
      <w:r>
        <w:rPr>
          <w:sz w:val="20"/>
        </w:rPr>
        <w:t xml:space="preserve"> и </w:t>
      </w:r>
      <w:hyperlink w:history="0" w:anchor="P131" w:tooltip="Таблица 2 - Структура валового регионального продукта Тюменской области по видам экономической деятельности в 2016 и 2017 годах, % к итогу за соответствующий год">
        <w:r>
          <w:rPr>
            <w:sz w:val="20"/>
            <w:color w:val="0000ff"/>
          </w:rPr>
          <w:t xml:space="preserve">табл. 2</w:t>
        </w:r>
      </w:hyperlink>
      <w:r>
        <w:rPr>
          <w:sz w:val="20"/>
        </w:rPr>
        <w:t xml:space="preserve">). Развитие высокотехнологичного производства, кластеров &lt;2&gt; и усиление сервисных видов экономической деятельности в перспективе позволит обеспечить более углубленную диверсификацию экономики региона.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Кластер - группа географически соседствующих взаимосвязанных компаний и связанных с ними организаций, действующих в определенной сфере, характеризующихся общностью деятельности и взаимодополняющих друг друга (Портер М., Конкуренция: Пер. с англ. - М.: Издательский дом "Вильямс", 2005. - 608 с.: ил.).</w:t>
      </w:r>
    </w:p>
    <w:p>
      <w:pPr>
        <w:pStyle w:val="0"/>
        <w:jc w:val="both"/>
      </w:pPr>
      <w:r>
        <w:rPr>
          <w:sz w:val="20"/>
        </w:rPr>
      </w:r>
    </w:p>
    <w:bookmarkStart w:id="76" w:name="P76"/>
    <w:bookmarkEnd w:id="76"/>
    <w:p>
      <w:pPr>
        <w:pStyle w:val="2"/>
        <w:outlineLvl w:val="3"/>
        <w:ind w:firstLine="540"/>
        <w:jc w:val="both"/>
      </w:pPr>
      <w:r>
        <w:rPr>
          <w:sz w:val="20"/>
        </w:rPr>
        <w:t xml:space="preserve">Таблица 1 - Структура валового регионального продукта Тюменской области по видам экономической деятельности в 2007 и 2015 годах, % к итогу за соответствующий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33"/>
        <w:gridCol w:w="1276"/>
        <w:gridCol w:w="1131"/>
      </w:tblGrid>
      <w:tr>
        <w:tc>
          <w:tcPr>
            <w:tcW w:w="6633" w:type="dxa"/>
          </w:tcPr>
          <w:p>
            <w:pPr>
              <w:pStyle w:val="0"/>
              <w:jc w:val="center"/>
            </w:pPr>
            <w:r>
              <w:rPr>
                <w:sz w:val="20"/>
              </w:rPr>
              <w:t xml:space="preserve">Вид экономической деятельности</w:t>
            </w:r>
          </w:p>
          <w:p>
            <w:pPr>
              <w:pStyle w:val="0"/>
              <w:jc w:val="center"/>
            </w:pPr>
            <w:r>
              <w:rPr>
                <w:sz w:val="20"/>
              </w:rPr>
              <w:t xml:space="preserve">(в соответствии с </w:t>
            </w:r>
            <w:hyperlink w:history="0" r:id="rId1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ОКВЭД</w:t>
              </w:r>
            </w:hyperlink>
            <w:r>
              <w:rPr>
                <w:sz w:val="20"/>
              </w:rPr>
              <w:t xml:space="preserve">)</w:t>
            </w:r>
          </w:p>
        </w:tc>
        <w:tc>
          <w:tcPr>
            <w:tcW w:w="1276" w:type="dxa"/>
          </w:tcPr>
          <w:p>
            <w:pPr>
              <w:pStyle w:val="0"/>
              <w:jc w:val="center"/>
            </w:pPr>
            <w:r>
              <w:rPr>
                <w:sz w:val="20"/>
              </w:rPr>
              <w:t xml:space="preserve">2007 год</w:t>
            </w:r>
          </w:p>
        </w:tc>
        <w:tc>
          <w:tcPr>
            <w:tcW w:w="1131" w:type="dxa"/>
          </w:tcPr>
          <w:p>
            <w:pPr>
              <w:pStyle w:val="0"/>
              <w:jc w:val="center"/>
            </w:pPr>
            <w:r>
              <w:rPr>
                <w:sz w:val="20"/>
              </w:rPr>
              <w:t xml:space="preserve">2015 год</w:t>
            </w:r>
          </w:p>
        </w:tc>
      </w:tr>
      <w:tr>
        <w:tc>
          <w:tcPr>
            <w:tcW w:w="6633" w:type="dxa"/>
          </w:tcPr>
          <w:p>
            <w:pPr>
              <w:pStyle w:val="0"/>
              <w:jc w:val="both"/>
            </w:pPr>
            <w:r>
              <w:rPr>
                <w:sz w:val="20"/>
              </w:rPr>
              <w:t xml:space="preserve">Сельское хозяйство, охота и лесное хозяйство</w:t>
            </w:r>
          </w:p>
        </w:tc>
        <w:tc>
          <w:tcPr>
            <w:tcW w:w="1276" w:type="dxa"/>
          </w:tcPr>
          <w:p>
            <w:pPr>
              <w:pStyle w:val="0"/>
              <w:jc w:val="center"/>
            </w:pPr>
            <w:r>
              <w:rPr>
                <w:sz w:val="20"/>
              </w:rPr>
              <w:t xml:space="preserve">4,6</w:t>
            </w:r>
          </w:p>
        </w:tc>
        <w:tc>
          <w:tcPr>
            <w:tcW w:w="1131" w:type="dxa"/>
          </w:tcPr>
          <w:p>
            <w:pPr>
              <w:pStyle w:val="0"/>
              <w:jc w:val="center"/>
            </w:pPr>
            <w:r>
              <w:rPr>
                <w:sz w:val="20"/>
              </w:rPr>
              <w:t xml:space="preserve">4,9</w:t>
            </w:r>
          </w:p>
        </w:tc>
      </w:tr>
      <w:tr>
        <w:tc>
          <w:tcPr>
            <w:tcW w:w="6633" w:type="dxa"/>
          </w:tcPr>
          <w:p>
            <w:pPr>
              <w:pStyle w:val="0"/>
              <w:jc w:val="both"/>
            </w:pPr>
            <w:r>
              <w:rPr>
                <w:sz w:val="20"/>
              </w:rPr>
              <w:t xml:space="preserve">Промышленность</w:t>
            </w:r>
          </w:p>
        </w:tc>
        <w:tc>
          <w:tcPr>
            <w:tcW w:w="1276" w:type="dxa"/>
          </w:tcPr>
          <w:p>
            <w:pPr>
              <w:pStyle w:val="0"/>
              <w:jc w:val="center"/>
            </w:pPr>
            <w:r>
              <w:rPr>
                <w:sz w:val="20"/>
              </w:rPr>
              <w:t xml:space="preserve">9,0</w:t>
            </w:r>
          </w:p>
        </w:tc>
        <w:tc>
          <w:tcPr>
            <w:tcW w:w="1131" w:type="dxa"/>
          </w:tcPr>
          <w:p>
            <w:pPr>
              <w:pStyle w:val="0"/>
              <w:jc w:val="center"/>
            </w:pPr>
            <w:r>
              <w:rPr>
                <w:sz w:val="20"/>
              </w:rPr>
              <w:t xml:space="preserve">32,2</w:t>
            </w:r>
          </w:p>
        </w:tc>
      </w:tr>
      <w:tr>
        <w:tc>
          <w:tcPr>
            <w:tcW w:w="6633" w:type="dxa"/>
          </w:tcPr>
          <w:p>
            <w:pPr>
              <w:pStyle w:val="0"/>
              <w:jc w:val="both"/>
            </w:pPr>
            <w:r>
              <w:rPr>
                <w:sz w:val="20"/>
              </w:rPr>
              <w:t xml:space="preserve">в том числе:</w:t>
            </w:r>
          </w:p>
        </w:tc>
        <w:tc>
          <w:tcPr>
            <w:tcW w:w="1276" w:type="dxa"/>
          </w:tcPr>
          <w:p>
            <w:pPr>
              <w:pStyle w:val="0"/>
            </w:pPr>
            <w:r>
              <w:rPr>
                <w:sz w:val="20"/>
              </w:rPr>
            </w:r>
          </w:p>
        </w:tc>
        <w:tc>
          <w:tcPr>
            <w:tcW w:w="1131" w:type="dxa"/>
          </w:tcPr>
          <w:p>
            <w:pPr>
              <w:pStyle w:val="0"/>
            </w:pPr>
            <w:r>
              <w:rPr>
                <w:sz w:val="20"/>
              </w:rPr>
            </w:r>
          </w:p>
        </w:tc>
      </w:tr>
      <w:tr>
        <w:tc>
          <w:tcPr>
            <w:tcW w:w="6633" w:type="dxa"/>
          </w:tcPr>
          <w:p>
            <w:pPr>
              <w:pStyle w:val="0"/>
              <w:ind w:left="283"/>
              <w:jc w:val="both"/>
            </w:pPr>
            <w:r>
              <w:rPr>
                <w:sz w:val="20"/>
              </w:rPr>
              <w:t xml:space="preserve">добыча полезных ископаемых</w:t>
            </w:r>
          </w:p>
        </w:tc>
        <w:tc>
          <w:tcPr>
            <w:tcW w:w="1276" w:type="dxa"/>
          </w:tcPr>
          <w:p>
            <w:pPr>
              <w:pStyle w:val="0"/>
              <w:jc w:val="center"/>
            </w:pPr>
            <w:r>
              <w:rPr>
                <w:sz w:val="20"/>
              </w:rPr>
              <w:t xml:space="preserve">1,4</w:t>
            </w:r>
          </w:p>
        </w:tc>
        <w:tc>
          <w:tcPr>
            <w:tcW w:w="1131" w:type="dxa"/>
          </w:tcPr>
          <w:p>
            <w:pPr>
              <w:pStyle w:val="0"/>
              <w:jc w:val="center"/>
            </w:pPr>
            <w:r>
              <w:rPr>
                <w:sz w:val="20"/>
              </w:rPr>
              <w:t xml:space="preserve">14,4</w:t>
            </w:r>
          </w:p>
        </w:tc>
      </w:tr>
      <w:tr>
        <w:tc>
          <w:tcPr>
            <w:tcW w:w="6633" w:type="dxa"/>
          </w:tcPr>
          <w:p>
            <w:pPr>
              <w:pStyle w:val="0"/>
              <w:ind w:left="283"/>
              <w:jc w:val="both"/>
            </w:pPr>
            <w:r>
              <w:rPr>
                <w:sz w:val="20"/>
              </w:rPr>
              <w:t xml:space="preserve">обрабатывающие производства</w:t>
            </w:r>
          </w:p>
        </w:tc>
        <w:tc>
          <w:tcPr>
            <w:tcW w:w="1276" w:type="dxa"/>
          </w:tcPr>
          <w:p>
            <w:pPr>
              <w:pStyle w:val="0"/>
              <w:jc w:val="center"/>
            </w:pPr>
            <w:r>
              <w:rPr>
                <w:sz w:val="20"/>
              </w:rPr>
              <w:t xml:space="preserve">5,2</w:t>
            </w:r>
          </w:p>
        </w:tc>
        <w:tc>
          <w:tcPr>
            <w:tcW w:w="1131" w:type="dxa"/>
          </w:tcPr>
          <w:p>
            <w:pPr>
              <w:pStyle w:val="0"/>
              <w:jc w:val="center"/>
            </w:pPr>
            <w:r>
              <w:rPr>
                <w:sz w:val="20"/>
              </w:rPr>
              <w:t xml:space="preserve">14,7</w:t>
            </w:r>
          </w:p>
        </w:tc>
      </w:tr>
      <w:tr>
        <w:tc>
          <w:tcPr>
            <w:tcW w:w="6633" w:type="dxa"/>
          </w:tcPr>
          <w:p>
            <w:pPr>
              <w:pStyle w:val="0"/>
              <w:ind w:left="283"/>
              <w:jc w:val="both"/>
            </w:pPr>
            <w:r>
              <w:rPr>
                <w:sz w:val="20"/>
              </w:rPr>
              <w:t xml:space="preserve">производство и распределение электроэнергии, газа и воды</w:t>
            </w:r>
          </w:p>
        </w:tc>
        <w:tc>
          <w:tcPr>
            <w:tcW w:w="1276" w:type="dxa"/>
          </w:tcPr>
          <w:p>
            <w:pPr>
              <w:pStyle w:val="0"/>
              <w:jc w:val="center"/>
            </w:pPr>
            <w:r>
              <w:rPr>
                <w:sz w:val="20"/>
              </w:rPr>
              <w:t xml:space="preserve">2,4</w:t>
            </w:r>
          </w:p>
        </w:tc>
        <w:tc>
          <w:tcPr>
            <w:tcW w:w="1131" w:type="dxa"/>
          </w:tcPr>
          <w:p>
            <w:pPr>
              <w:pStyle w:val="0"/>
              <w:jc w:val="center"/>
            </w:pPr>
            <w:r>
              <w:rPr>
                <w:sz w:val="20"/>
              </w:rPr>
              <w:t xml:space="preserve">3,1</w:t>
            </w:r>
          </w:p>
        </w:tc>
      </w:tr>
      <w:tr>
        <w:tc>
          <w:tcPr>
            <w:tcW w:w="6633" w:type="dxa"/>
          </w:tcPr>
          <w:p>
            <w:pPr>
              <w:pStyle w:val="0"/>
              <w:jc w:val="both"/>
            </w:pPr>
            <w:r>
              <w:rPr>
                <w:sz w:val="20"/>
              </w:rPr>
              <w:t xml:space="preserve">Строительство</w:t>
            </w:r>
          </w:p>
        </w:tc>
        <w:tc>
          <w:tcPr>
            <w:tcW w:w="1276" w:type="dxa"/>
          </w:tcPr>
          <w:p>
            <w:pPr>
              <w:pStyle w:val="0"/>
              <w:jc w:val="center"/>
            </w:pPr>
            <w:r>
              <w:rPr>
                <w:sz w:val="20"/>
              </w:rPr>
              <w:t xml:space="preserve">5,9</w:t>
            </w:r>
          </w:p>
        </w:tc>
        <w:tc>
          <w:tcPr>
            <w:tcW w:w="1131" w:type="dxa"/>
          </w:tcPr>
          <w:p>
            <w:pPr>
              <w:pStyle w:val="0"/>
              <w:jc w:val="center"/>
            </w:pPr>
            <w:r>
              <w:rPr>
                <w:sz w:val="20"/>
              </w:rPr>
              <w:t xml:space="preserve">7,0</w:t>
            </w:r>
          </w:p>
        </w:tc>
      </w:tr>
      <w:tr>
        <w:tc>
          <w:tcPr>
            <w:tcW w:w="6633" w:type="dxa"/>
          </w:tcPr>
          <w:p>
            <w:pPr>
              <w:pStyle w:val="0"/>
              <w:jc w:val="both"/>
            </w:pPr>
            <w:r>
              <w:rPr>
                <w:sz w:val="20"/>
              </w:rPr>
              <w:t xml:space="preserve">Оптовая и розничная торговля; ремонт автотранспортных средств, мотоциклов, бытовых изделий и предметов личного пользования</w:t>
            </w:r>
          </w:p>
        </w:tc>
        <w:tc>
          <w:tcPr>
            <w:tcW w:w="1276" w:type="dxa"/>
          </w:tcPr>
          <w:p>
            <w:pPr>
              <w:pStyle w:val="0"/>
              <w:jc w:val="center"/>
            </w:pPr>
            <w:r>
              <w:rPr>
                <w:sz w:val="20"/>
              </w:rPr>
              <w:t xml:space="preserve">53,4</w:t>
            </w:r>
          </w:p>
        </w:tc>
        <w:tc>
          <w:tcPr>
            <w:tcW w:w="1131" w:type="dxa"/>
          </w:tcPr>
          <w:p>
            <w:pPr>
              <w:pStyle w:val="0"/>
              <w:jc w:val="center"/>
            </w:pPr>
            <w:r>
              <w:rPr>
                <w:sz w:val="20"/>
              </w:rPr>
              <w:t xml:space="preserve">14,7</w:t>
            </w:r>
          </w:p>
        </w:tc>
      </w:tr>
      <w:tr>
        <w:tc>
          <w:tcPr>
            <w:tcW w:w="6633" w:type="dxa"/>
          </w:tcPr>
          <w:p>
            <w:pPr>
              <w:pStyle w:val="0"/>
              <w:jc w:val="both"/>
            </w:pPr>
            <w:r>
              <w:rPr>
                <w:sz w:val="20"/>
              </w:rPr>
              <w:t xml:space="preserve">Гостиницы и рестораны</w:t>
            </w:r>
          </w:p>
        </w:tc>
        <w:tc>
          <w:tcPr>
            <w:tcW w:w="1276" w:type="dxa"/>
          </w:tcPr>
          <w:p>
            <w:pPr>
              <w:pStyle w:val="0"/>
              <w:jc w:val="center"/>
            </w:pPr>
            <w:r>
              <w:rPr>
                <w:sz w:val="20"/>
              </w:rPr>
              <w:t xml:space="preserve">1,2</w:t>
            </w:r>
          </w:p>
        </w:tc>
        <w:tc>
          <w:tcPr>
            <w:tcW w:w="1131" w:type="dxa"/>
          </w:tcPr>
          <w:p>
            <w:pPr>
              <w:pStyle w:val="0"/>
              <w:jc w:val="center"/>
            </w:pPr>
            <w:r>
              <w:rPr>
                <w:sz w:val="20"/>
              </w:rPr>
              <w:t xml:space="preserve">1,2</w:t>
            </w:r>
          </w:p>
        </w:tc>
      </w:tr>
      <w:tr>
        <w:tc>
          <w:tcPr>
            <w:tcW w:w="6633" w:type="dxa"/>
          </w:tcPr>
          <w:p>
            <w:pPr>
              <w:pStyle w:val="0"/>
              <w:jc w:val="both"/>
            </w:pPr>
            <w:r>
              <w:rPr>
                <w:sz w:val="20"/>
              </w:rPr>
              <w:t xml:space="preserve">Транспорт и связь</w:t>
            </w:r>
          </w:p>
        </w:tc>
        <w:tc>
          <w:tcPr>
            <w:tcW w:w="1276" w:type="dxa"/>
          </w:tcPr>
          <w:p>
            <w:pPr>
              <w:pStyle w:val="0"/>
              <w:jc w:val="center"/>
            </w:pPr>
            <w:r>
              <w:rPr>
                <w:sz w:val="20"/>
              </w:rPr>
              <w:t xml:space="preserve">11,8</w:t>
            </w:r>
          </w:p>
        </w:tc>
        <w:tc>
          <w:tcPr>
            <w:tcW w:w="1131" w:type="dxa"/>
          </w:tcPr>
          <w:p>
            <w:pPr>
              <w:pStyle w:val="0"/>
              <w:jc w:val="center"/>
            </w:pPr>
            <w:r>
              <w:rPr>
                <w:sz w:val="20"/>
              </w:rPr>
              <w:t xml:space="preserve">11,1</w:t>
            </w:r>
          </w:p>
        </w:tc>
      </w:tr>
      <w:tr>
        <w:tc>
          <w:tcPr>
            <w:tcW w:w="6633" w:type="dxa"/>
          </w:tcPr>
          <w:p>
            <w:pPr>
              <w:pStyle w:val="0"/>
              <w:jc w:val="both"/>
            </w:pPr>
            <w:r>
              <w:rPr>
                <w:sz w:val="20"/>
              </w:rPr>
              <w:t xml:space="preserve">Финансовая деятельность</w:t>
            </w:r>
          </w:p>
        </w:tc>
        <w:tc>
          <w:tcPr>
            <w:tcW w:w="1276" w:type="dxa"/>
          </w:tcPr>
          <w:p>
            <w:pPr>
              <w:pStyle w:val="0"/>
              <w:jc w:val="center"/>
            </w:pPr>
            <w:r>
              <w:rPr>
                <w:sz w:val="20"/>
              </w:rPr>
              <w:t xml:space="preserve">0,5</w:t>
            </w:r>
          </w:p>
        </w:tc>
        <w:tc>
          <w:tcPr>
            <w:tcW w:w="1131" w:type="dxa"/>
          </w:tcPr>
          <w:p>
            <w:pPr>
              <w:pStyle w:val="0"/>
              <w:jc w:val="center"/>
            </w:pPr>
            <w:r>
              <w:rPr>
                <w:sz w:val="20"/>
              </w:rPr>
              <w:t xml:space="preserve">0,3</w:t>
            </w:r>
          </w:p>
        </w:tc>
      </w:tr>
      <w:tr>
        <w:tc>
          <w:tcPr>
            <w:tcW w:w="6633" w:type="dxa"/>
          </w:tcPr>
          <w:p>
            <w:pPr>
              <w:pStyle w:val="0"/>
              <w:jc w:val="both"/>
            </w:pPr>
            <w:r>
              <w:rPr>
                <w:sz w:val="20"/>
              </w:rPr>
              <w:t xml:space="preserve">Операции с недвижимым имуществом, аренда и предоставление услуг</w:t>
            </w:r>
          </w:p>
        </w:tc>
        <w:tc>
          <w:tcPr>
            <w:tcW w:w="1276" w:type="dxa"/>
          </w:tcPr>
          <w:p>
            <w:pPr>
              <w:pStyle w:val="0"/>
              <w:jc w:val="center"/>
            </w:pPr>
            <w:r>
              <w:rPr>
                <w:sz w:val="20"/>
              </w:rPr>
              <w:t xml:space="preserve">6,0</w:t>
            </w:r>
          </w:p>
        </w:tc>
        <w:tc>
          <w:tcPr>
            <w:tcW w:w="1131" w:type="dxa"/>
          </w:tcPr>
          <w:p>
            <w:pPr>
              <w:pStyle w:val="0"/>
              <w:jc w:val="center"/>
            </w:pPr>
            <w:r>
              <w:rPr>
                <w:sz w:val="20"/>
              </w:rPr>
              <w:t xml:space="preserve">18,6</w:t>
            </w:r>
          </w:p>
        </w:tc>
      </w:tr>
      <w:tr>
        <w:tc>
          <w:tcPr>
            <w:tcW w:w="6633" w:type="dxa"/>
          </w:tcPr>
          <w:p>
            <w:pPr>
              <w:pStyle w:val="0"/>
              <w:jc w:val="both"/>
            </w:pPr>
            <w:r>
              <w:rPr>
                <w:sz w:val="20"/>
              </w:rPr>
              <w:t xml:space="preserve">Государственное управление и обеспечение военной безопасности; социальное страхование</w:t>
            </w:r>
          </w:p>
        </w:tc>
        <w:tc>
          <w:tcPr>
            <w:tcW w:w="1276" w:type="dxa"/>
          </w:tcPr>
          <w:p>
            <w:pPr>
              <w:pStyle w:val="0"/>
              <w:jc w:val="center"/>
            </w:pPr>
            <w:r>
              <w:rPr>
                <w:sz w:val="20"/>
              </w:rPr>
              <w:t xml:space="preserve">2,9</w:t>
            </w:r>
          </w:p>
        </w:tc>
        <w:tc>
          <w:tcPr>
            <w:tcW w:w="1131" w:type="dxa"/>
          </w:tcPr>
          <w:p>
            <w:pPr>
              <w:pStyle w:val="0"/>
              <w:jc w:val="center"/>
            </w:pPr>
            <w:r>
              <w:rPr>
                <w:sz w:val="20"/>
              </w:rPr>
              <w:t xml:space="preserve">3,4</w:t>
            </w:r>
          </w:p>
        </w:tc>
      </w:tr>
      <w:tr>
        <w:tc>
          <w:tcPr>
            <w:tcW w:w="6633" w:type="dxa"/>
          </w:tcPr>
          <w:p>
            <w:pPr>
              <w:pStyle w:val="0"/>
              <w:jc w:val="both"/>
            </w:pPr>
            <w:r>
              <w:rPr>
                <w:sz w:val="20"/>
              </w:rPr>
              <w:t xml:space="preserve">Образование</w:t>
            </w:r>
          </w:p>
        </w:tc>
        <w:tc>
          <w:tcPr>
            <w:tcW w:w="1276" w:type="dxa"/>
          </w:tcPr>
          <w:p>
            <w:pPr>
              <w:pStyle w:val="0"/>
              <w:jc w:val="center"/>
            </w:pPr>
            <w:r>
              <w:rPr>
                <w:sz w:val="20"/>
              </w:rPr>
              <w:t xml:space="preserve">1,8</w:t>
            </w:r>
          </w:p>
        </w:tc>
        <w:tc>
          <w:tcPr>
            <w:tcW w:w="1131" w:type="dxa"/>
          </w:tcPr>
          <w:p>
            <w:pPr>
              <w:pStyle w:val="0"/>
              <w:jc w:val="center"/>
            </w:pPr>
            <w:r>
              <w:rPr>
                <w:sz w:val="20"/>
              </w:rPr>
              <w:t xml:space="preserve">3,2</w:t>
            </w:r>
          </w:p>
        </w:tc>
      </w:tr>
      <w:tr>
        <w:tc>
          <w:tcPr>
            <w:tcW w:w="6633" w:type="dxa"/>
          </w:tcPr>
          <w:p>
            <w:pPr>
              <w:pStyle w:val="0"/>
              <w:jc w:val="both"/>
            </w:pPr>
            <w:r>
              <w:rPr>
                <w:sz w:val="20"/>
              </w:rPr>
              <w:t xml:space="preserve">Здравоохранение и предоставление социальных услуг</w:t>
            </w:r>
          </w:p>
        </w:tc>
        <w:tc>
          <w:tcPr>
            <w:tcW w:w="1276" w:type="dxa"/>
          </w:tcPr>
          <w:p>
            <w:pPr>
              <w:pStyle w:val="0"/>
              <w:jc w:val="center"/>
            </w:pPr>
            <w:r>
              <w:rPr>
                <w:sz w:val="20"/>
              </w:rPr>
              <w:t xml:space="preserve">2,2</w:t>
            </w:r>
          </w:p>
        </w:tc>
        <w:tc>
          <w:tcPr>
            <w:tcW w:w="1131" w:type="dxa"/>
          </w:tcPr>
          <w:p>
            <w:pPr>
              <w:pStyle w:val="0"/>
              <w:jc w:val="center"/>
            </w:pPr>
            <w:r>
              <w:rPr>
                <w:sz w:val="20"/>
              </w:rPr>
              <w:t xml:space="preserve">2,7</w:t>
            </w:r>
          </w:p>
        </w:tc>
      </w:tr>
      <w:tr>
        <w:tc>
          <w:tcPr>
            <w:tcW w:w="6633" w:type="dxa"/>
          </w:tcPr>
          <w:p>
            <w:pPr>
              <w:pStyle w:val="0"/>
              <w:jc w:val="both"/>
            </w:pPr>
            <w:r>
              <w:rPr>
                <w:sz w:val="20"/>
              </w:rPr>
              <w:t xml:space="preserve">Предоставление прочих коммунальных, социальных и персональных услуг</w:t>
            </w:r>
          </w:p>
        </w:tc>
        <w:tc>
          <w:tcPr>
            <w:tcW w:w="1276" w:type="dxa"/>
          </w:tcPr>
          <w:p>
            <w:pPr>
              <w:pStyle w:val="0"/>
              <w:jc w:val="center"/>
            </w:pPr>
            <w:r>
              <w:rPr>
                <w:sz w:val="20"/>
              </w:rPr>
              <w:t xml:space="preserve">0,7</w:t>
            </w:r>
          </w:p>
        </w:tc>
        <w:tc>
          <w:tcPr>
            <w:tcW w:w="1131" w:type="dxa"/>
          </w:tcPr>
          <w:p>
            <w:pPr>
              <w:pStyle w:val="0"/>
              <w:jc w:val="center"/>
            </w:pPr>
            <w:r>
              <w:rPr>
                <w:sz w:val="20"/>
              </w:rPr>
              <w:t xml:space="preserve">0,7</w:t>
            </w:r>
          </w:p>
        </w:tc>
      </w:tr>
    </w:tbl>
    <w:p>
      <w:pPr>
        <w:pStyle w:val="0"/>
        <w:jc w:val="both"/>
      </w:pPr>
      <w:r>
        <w:rPr>
          <w:sz w:val="20"/>
        </w:rPr>
      </w:r>
    </w:p>
    <w:bookmarkStart w:id="131" w:name="P131"/>
    <w:bookmarkEnd w:id="131"/>
    <w:p>
      <w:pPr>
        <w:pStyle w:val="2"/>
        <w:outlineLvl w:val="3"/>
        <w:ind w:firstLine="540"/>
        <w:jc w:val="both"/>
      </w:pPr>
      <w:r>
        <w:rPr>
          <w:sz w:val="20"/>
        </w:rPr>
        <w:t xml:space="preserve">Таблица 2 - Структура валового регионального продукта Тюменской области по видам экономической деятельности в 2016 и 2017 годах, % к итогу за соответствующий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33"/>
        <w:gridCol w:w="1276"/>
        <w:gridCol w:w="1131"/>
      </w:tblGrid>
      <w:tr>
        <w:tc>
          <w:tcPr>
            <w:tcW w:w="6633" w:type="dxa"/>
            <w:vAlign w:val="center"/>
          </w:tcPr>
          <w:p>
            <w:pPr>
              <w:pStyle w:val="0"/>
              <w:jc w:val="center"/>
            </w:pPr>
            <w:r>
              <w:rPr>
                <w:sz w:val="20"/>
              </w:rPr>
              <w:t xml:space="preserve">Вид экономической деятельности</w:t>
            </w:r>
          </w:p>
          <w:p>
            <w:pPr>
              <w:pStyle w:val="0"/>
              <w:jc w:val="center"/>
            </w:pPr>
            <w:r>
              <w:rPr>
                <w:sz w:val="20"/>
              </w:rPr>
              <w:t xml:space="preserve">(в соответствии с </w:t>
            </w:r>
            <w:hyperlink w:history="0" r:id="rId19" w:tooltip="&quot;ОК 029-2014 (КДЕС Ред. 2). Общероссийский классификатор видов экономической деятельности&quot; (утв. Приказом Росстандарта от 31.01.2014 N 14-ст) (ред. от 31.01.2024) {КонсультантПлюс}">
              <w:r>
                <w:rPr>
                  <w:sz w:val="20"/>
                  <w:color w:val="0000ff"/>
                </w:rPr>
                <w:t xml:space="preserve">ОКВЭД2</w:t>
              </w:r>
            </w:hyperlink>
            <w:r>
              <w:rPr>
                <w:sz w:val="20"/>
              </w:rPr>
              <w:t xml:space="preserve">)</w:t>
            </w:r>
          </w:p>
        </w:tc>
        <w:tc>
          <w:tcPr>
            <w:tcW w:w="1276" w:type="dxa"/>
            <w:vAlign w:val="center"/>
          </w:tcPr>
          <w:p>
            <w:pPr>
              <w:pStyle w:val="0"/>
              <w:jc w:val="center"/>
            </w:pPr>
            <w:r>
              <w:rPr>
                <w:sz w:val="20"/>
              </w:rPr>
              <w:t xml:space="preserve">2016 год</w:t>
            </w:r>
          </w:p>
        </w:tc>
        <w:tc>
          <w:tcPr>
            <w:tcW w:w="1131" w:type="dxa"/>
            <w:vAlign w:val="center"/>
          </w:tcPr>
          <w:p>
            <w:pPr>
              <w:pStyle w:val="0"/>
              <w:jc w:val="center"/>
            </w:pPr>
            <w:r>
              <w:rPr>
                <w:sz w:val="20"/>
              </w:rPr>
              <w:t xml:space="preserve">2017 год</w:t>
            </w:r>
          </w:p>
        </w:tc>
      </w:tr>
      <w:tr>
        <w:tc>
          <w:tcPr>
            <w:tcW w:w="6633" w:type="dxa"/>
            <w:vAlign w:val="center"/>
          </w:tcPr>
          <w:p>
            <w:pPr>
              <w:pStyle w:val="0"/>
            </w:pPr>
            <w:r>
              <w:rPr>
                <w:sz w:val="20"/>
              </w:rPr>
              <w:t xml:space="preserve">Сельское, лесное хозяйство, охота, рыболовство и рыбоводство</w:t>
            </w:r>
          </w:p>
        </w:tc>
        <w:tc>
          <w:tcPr>
            <w:tcW w:w="1276" w:type="dxa"/>
            <w:vAlign w:val="center"/>
          </w:tcPr>
          <w:p>
            <w:pPr>
              <w:pStyle w:val="0"/>
              <w:jc w:val="center"/>
            </w:pPr>
            <w:r>
              <w:rPr>
                <w:sz w:val="20"/>
              </w:rPr>
              <w:t xml:space="preserve">4,1</w:t>
            </w:r>
          </w:p>
        </w:tc>
        <w:tc>
          <w:tcPr>
            <w:tcW w:w="1131" w:type="dxa"/>
            <w:vAlign w:val="center"/>
          </w:tcPr>
          <w:p>
            <w:pPr>
              <w:pStyle w:val="0"/>
              <w:jc w:val="center"/>
            </w:pPr>
            <w:r>
              <w:rPr>
                <w:sz w:val="20"/>
              </w:rPr>
              <w:t xml:space="preserve">3,7</w:t>
            </w:r>
          </w:p>
        </w:tc>
      </w:tr>
      <w:tr>
        <w:tc>
          <w:tcPr>
            <w:tcW w:w="6633" w:type="dxa"/>
            <w:vAlign w:val="center"/>
          </w:tcPr>
          <w:p>
            <w:pPr>
              <w:pStyle w:val="0"/>
            </w:pPr>
            <w:r>
              <w:rPr>
                <w:sz w:val="20"/>
              </w:rPr>
              <w:t xml:space="preserve">Промышленность</w:t>
            </w:r>
          </w:p>
        </w:tc>
        <w:tc>
          <w:tcPr>
            <w:tcW w:w="1276" w:type="dxa"/>
            <w:vAlign w:val="center"/>
          </w:tcPr>
          <w:p>
            <w:pPr>
              <w:pStyle w:val="0"/>
              <w:jc w:val="center"/>
            </w:pPr>
            <w:r>
              <w:rPr>
                <w:sz w:val="20"/>
              </w:rPr>
              <w:t xml:space="preserve">31,7</w:t>
            </w:r>
          </w:p>
        </w:tc>
        <w:tc>
          <w:tcPr>
            <w:tcW w:w="1131" w:type="dxa"/>
            <w:vAlign w:val="center"/>
          </w:tcPr>
          <w:p>
            <w:pPr>
              <w:pStyle w:val="0"/>
              <w:jc w:val="center"/>
            </w:pPr>
            <w:r>
              <w:rPr>
                <w:sz w:val="20"/>
              </w:rPr>
              <w:t xml:space="preserve">35,3</w:t>
            </w:r>
          </w:p>
        </w:tc>
      </w:tr>
      <w:tr>
        <w:tc>
          <w:tcPr>
            <w:tcW w:w="6633" w:type="dxa"/>
            <w:vAlign w:val="center"/>
          </w:tcPr>
          <w:p>
            <w:pPr>
              <w:pStyle w:val="0"/>
            </w:pPr>
            <w:r>
              <w:rPr>
                <w:sz w:val="20"/>
              </w:rPr>
              <w:t xml:space="preserve">в том числе:</w:t>
            </w:r>
          </w:p>
        </w:tc>
        <w:tc>
          <w:tcPr>
            <w:tcW w:w="1276" w:type="dxa"/>
            <w:vAlign w:val="center"/>
          </w:tcPr>
          <w:p>
            <w:pPr>
              <w:pStyle w:val="0"/>
            </w:pPr>
            <w:r>
              <w:rPr>
                <w:sz w:val="20"/>
              </w:rPr>
            </w:r>
          </w:p>
        </w:tc>
        <w:tc>
          <w:tcPr>
            <w:tcW w:w="1131" w:type="dxa"/>
            <w:vAlign w:val="center"/>
          </w:tcPr>
          <w:p>
            <w:pPr>
              <w:pStyle w:val="0"/>
            </w:pPr>
            <w:r>
              <w:rPr>
                <w:sz w:val="20"/>
              </w:rPr>
            </w:r>
          </w:p>
        </w:tc>
      </w:tr>
      <w:tr>
        <w:tc>
          <w:tcPr>
            <w:tcW w:w="6633" w:type="dxa"/>
            <w:vAlign w:val="center"/>
          </w:tcPr>
          <w:p>
            <w:pPr>
              <w:pStyle w:val="0"/>
              <w:ind w:left="283"/>
            </w:pPr>
            <w:r>
              <w:rPr>
                <w:sz w:val="20"/>
              </w:rPr>
              <w:t xml:space="preserve">добыча полезных ископаемых</w:t>
            </w:r>
          </w:p>
        </w:tc>
        <w:tc>
          <w:tcPr>
            <w:tcW w:w="1276" w:type="dxa"/>
            <w:vAlign w:val="center"/>
          </w:tcPr>
          <w:p>
            <w:pPr>
              <w:pStyle w:val="0"/>
              <w:jc w:val="center"/>
            </w:pPr>
            <w:r>
              <w:rPr>
                <w:sz w:val="20"/>
              </w:rPr>
              <w:t xml:space="preserve">14,6</w:t>
            </w:r>
          </w:p>
        </w:tc>
        <w:tc>
          <w:tcPr>
            <w:tcW w:w="1131" w:type="dxa"/>
            <w:vAlign w:val="center"/>
          </w:tcPr>
          <w:p>
            <w:pPr>
              <w:pStyle w:val="0"/>
              <w:jc w:val="center"/>
            </w:pPr>
            <w:r>
              <w:rPr>
                <w:sz w:val="20"/>
              </w:rPr>
              <w:t xml:space="preserve">15,4</w:t>
            </w:r>
          </w:p>
        </w:tc>
      </w:tr>
      <w:tr>
        <w:tc>
          <w:tcPr>
            <w:tcW w:w="6633" w:type="dxa"/>
            <w:vAlign w:val="center"/>
          </w:tcPr>
          <w:p>
            <w:pPr>
              <w:pStyle w:val="0"/>
              <w:ind w:left="283"/>
            </w:pPr>
            <w:r>
              <w:rPr>
                <w:sz w:val="20"/>
              </w:rPr>
              <w:t xml:space="preserve">обрабатывающие производства</w:t>
            </w:r>
          </w:p>
        </w:tc>
        <w:tc>
          <w:tcPr>
            <w:tcW w:w="1276" w:type="dxa"/>
            <w:vAlign w:val="center"/>
          </w:tcPr>
          <w:p>
            <w:pPr>
              <w:pStyle w:val="0"/>
              <w:jc w:val="center"/>
            </w:pPr>
            <w:r>
              <w:rPr>
                <w:sz w:val="20"/>
              </w:rPr>
              <w:t xml:space="preserve">13,9</w:t>
            </w:r>
          </w:p>
        </w:tc>
        <w:tc>
          <w:tcPr>
            <w:tcW w:w="1131" w:type="dxa"/>
            <w:vAlign w:val="center"/>
          </w:tcPr>
          <w:p>
            <w:pPr>
              <w:pStyle w:val="0"/>
              <w:jc w:val="center"/>
            </w:pPr>
            <w:r>
              <w:rPr>
                <w:sz w:val="20"/>
              </w:rPr>
              <w:t xml:space="preserve">16,9</w:t>
            </w:r>
          </w:p>
        </w:tc>
      </w:tr>
      <w:tr>
        <w:tc>
          <w:tcPr>
            <w:tcW w:w="6633" w:type="dxa"/>
            <w:vAlign w:val="center"/>
          </w:tcPr>
          <w:p>
            <w:pPr>
              <w:pStyle w:val="0"/>
              <w:ind w:left="283"/>
            </w:pPr>
            <w:r>
              <w:rPr>
                <w:sz w:val="20"/>
              </w:rPr>
              <w:t xml:space="preserve">обеспечение электрической энергией, газом и паром; кондиционирование воздуха</w:t>
            </w:r>
          </w:p>
        </w:tc>
        <w:tc>
          <w:tcPr>
            <w:tcW w:w="1276" w:type="dxa"/>
            <w:vAlign w:val="center"/>
          </w:tcPr>
          <w:p>
            <w:pPr>
              <w:pStyle w:val="0"/>
              <w:jc w:val="center"/>
            </w:pPr>
            <w:r>
              <w:rPr>
                <w:sz w:val="20"/>
              </w:rPr>
              <w:t xml:space="preserve">2,8</w:t>
            </w:r>
          </w:p>
        </w:tc>
        <w:tc>
          <w:tcPr>
            <w:tcW w:w="1131" w:type="dxa"/>
            <w:vAlign w:val="center"/>
          </w:tcPr>
          <w:p>
            <w:pPr>
              <w:pStyle w:val="0"/>
              <w:jc w:val="center"/>
            </w:pPr>
            <w:r>
              <w:rPr>
                <w:sz w:val="20"/>
              </w:rPr>
              <w:t xml:space="preserve">2,6</w:t>
            </w:r>
          </w:p>
        </w:tc>
      </w:tr>
      <w:tr>
        <w:tc>
          <w:tcPr>
            <w:tcW w:w="6633" w:type="dxa"/>
            <w:vAlign w:val="center"/>
          </w:tcPr>
          <w:p>
            <w:pPr>
              <w:pStyle w:val="0"/>
              <w:ind w:left="283"/>
              <w:jc w:val="both"/>
            </w:pPr>
            <w:r>
              <w:rPr>
                <w:sz w:val="20"/>
              </w:rPr>
              <w:t xml:space="preserve">водоснабжение; водоотведение, организация сбора и утилизации отходов, деятельность по ликвидации загрязнений</w:t>
            </w:r>
          </w:p>
        </w:tc>
        <w:tc>
          <w:tcPr>
            <w:tcW w:w="1276" w:type="dxa"/>
            <w:vAlign w:val="center"/>
          </w:tcPr>
          <w:p>
            <w:pPr>
              <w:pStyle w:val="0"/>
              <w:jc w:val="center"/>
            </w:pPr>
            <w:r>
              <w:rPr>
                <w:sz w:val="20"/>
              </w:rPr>
              <w:t xml:space="preserve">0,4</w:t>
            </w:r>
          </w:p>
        </w:tc>
        <w:tc>
          <w:tcPr>
            <w:tcW w:w="1131" w:type="dxa"/>
            <w:vAlign w:val="center"/>
          </w:tcPr>
          <w:p>
            <w:pPr>
              <w:pStyle w:val="0"/>
              <w:jc w:val="center"/>
            </w:pPr>
            <w:r>
              <w:rPr>
                <w:sz w:val="20"/>
              </w:rPr>
              <w:t xml:space="preserve">0,4</w:t>
            </w:r>
          </w:p>
        </w:tc>
      </w:tr>
      <w:tr>
        <w:tc>
          <w:tcPr>
            <w:tcW w:w="6633" w:type="dxa"/>
            <w:vAlign w:val="center"/>
          </w:tcPr>
          <w:p>
            <w:pPr>
              <w:pStyle w:val="0"/>
            </w:pPr>
            <w:r>
              <w:rPr>
                <w:sz w:val="20"/>
              </w:rPr>
              <w:t xml:space="preserve">Строительство</w:t>
            </w:r>
          </w:p>
        </w:tc>
        <w:tc>
          <w:tcPr>
            <w:tcW w:w="1276" w:type="dxa"/>
            <w:vAlign w:val="center"/>
          </w:tcPr>
          <w:p>
            <w:pPr>
              <w:pStyle w:val="0"/>
              <w:jc w:val="center"/>
            </w:pPr>
            <w:r>
              <w:rPr>
                <w:sz w:val="20"/>
              </w:rPr>
              <w:t xml:space="preserve">7,3</w:t>
            </w:r>
          </w:p>
        </w:tc>
        <w:tc>
          <w:tcPr>
            <w:tcW w:w="1131" w:type="dxa"/>
            <w:vAlign w:val="center"/>
          </w:tcPr>
          <w:p>
            <w:pPr>
              <w:pStyle w:val="0"/>
              <w:jc w:val="center"/>
            </w:pPr>
            <w:r>
              <w:rPr>
                <w:sz w:val="20"/>
              </w:rPr>
              <w:t xml:space="preserve">8,1</w:t>
            </w:r>
          </w:p>
        </w:tc>
      </w:tr>
      <w:tr>
        <w:tc>
          <w:tcPr>
            <w:tcW w:w="6633" w:type="dxa"/>
            <w:vAlign w:val="center"/>
          </w:tcPr>
          <w:p>
            <w:pPr>
              <w:pStyle w:val="0"/>
            </w:pPr>
            <w:r>
              <w:rPr>
                <w:sz w:val="20"/>
              </w:rPr>
              <w:t xml:space="preserve">Торговля оптовая и розничная; ремонт автотранспортных средств и мотоциклов</w:t>
            </w:r>
          </w:p>
        </w:tc>
        <w:tc>
          <w:tcPr>
            <w:tcW w:w="1276" w:type="dxa"/>
            <w:vAlign w:val="center"/>
          </w:tcPr>
          <w:p>
            <w:pPr>
              <w:pStyle w:val="0"/>
              <w:jc w:val="center"/>
            </w:pPr>
            <w:r>
              <w:rPr>
                <w:sz w:val="20"/>
              </w:rPr>
              <w:t xml:space="preserve">15,3</w:t>
            </w:r>
          </w:p>
        </w:tc>
        <w:tc>
          <w:tcPr>
            <w:tcW w:w="1131" w:type="dxa"/>
            <w:vAlign w:val="center"/>
          </w:tcPr>
          <w:p>
            <w:pPr>
              <w:pStyle w:val="0"/>
              <w:jc w:val="center"/>
            </w:pPr>
            <w:r>
              <w:rPr>
                <w:sz w:val="20"/>
              </w:rPr>
              <w:t xml:space="preserve">13,6</w:t>
            </w:r>
          </w:p>
        </w:tc>
      </w:tr>
      <w:tr>
        <w:tc>
          <w:tcPr>
            <w:tcW w:w="6633" w:type="dxa"/>
            <w:vAlign w:val="center"/>
          </w:tcPr>
          <w:p>
            <w:pPr>
              <w:pStyle w:val="0"/>
            </w:pPr>
            <w:r>
              <w:rPr>
                <w:sz w:val="20"/>
              </w:rPr>
              <w:t xml:space="preserve">Транспортировка и хранение</w:t>
            </w:r>
          </w:p>
        </w:tc>
        <w:tc>
          <w:tcPr>
            <w:tcW w:w="1276" w:type="dxa"/>
            <w:vAlign w:val="center"/>
          </w:tcPr>
          <w:p>
            <w:pPr>
              <w:pStyle w:val="0"/>
              <w:jc w:val="center"/>
            </w:pPr>
            <w:r>
              <w:rPr>
                <w:sz w:val="20"/>
              </w:rPr>
              <w:t xml:space="preserve">10,6</w:t>
            </w:r>
          </w:p>
        </w:tc>
        <w:tc>
          <w:tcPr>
            <w:tcW w:w="1131" w:type="dxa"/>
            <w:vAlign w:val="center"/>
          </w:tcPr>
          <w:p>
            <w:pPr>
              <w:pStyle w:val="0"/>
              <w:jc w:val="center"/>
            </w:pPr>
            <w:r>
              <w:rPr>
                <w:sz w:val="20"/>
              </w:rPr>
              <w:t xml:space="preserve">9,2</w:t>
            </w:r>
          </w:p>
        </w:tc>
      </w:tr>
      <w:tr>
        <w:tc>
          <w:tcPr>
            <w:tcW w:w="6633" w:type="dxa"/>
            <w:vAlign w:val="center"/>
          </w:tcPr>
          <w:p>
            <w:pPr>
              <w:pStyle w:val="0"/>
            </w:pPr>
            <w:r>
              <w:rPr>
                <w:sz w:val="20"/>
              </w:rPr>
              <w:t xml:space="preserve">Деятельность гостиниц и предприятий общественного питания</w:t>
            </w:r>
          </w:p>
        </w:tc>
        <w:tc>
          <w:tcPr>
            <w:tcW w:w="1276" w:type="dxa"/>
            <w:vAlign w:val="center"/>
          </w:tcPr>
          <w:p>
            <w:pPr>
              <w:pStyle w:val="0"/>
              <w:jc w:val="center"/>
            </w:pPr>
            <w:r>
              <w:rPr>
                <w:sz w:val="20"/>
              </w:rPr>
              <w:t xml:space="preserve">1,2</w:t>
            </w:r>
          </w:p>
        </w:tc>
        <w:tc>
          <w:tcPr>
            <w:tcW w:w="1131" w:type="dxa"/>
            <w:vAlign w:val="center"/>
          </w:tcPr>
          <w:p>
            <w:pPr>
              <w:pStyle w:val="0"/>
              <w:jc w:val="center"/>
            </w:pPr>
            <w:r>
              <w:rPr>
                <w:sz w:val="20"/>
              </w:rPr>
              <w:t xml:space="preserve">1,2</w:t>
            </w:r>
          </w:p>
        </w:tc>
      </w:tr>
      <w:tr>
        <w:tc>
          <w:tcPr>
            <w:tcW w:w="6633" w:type="dxa"/>
            <w:vAlign w:val="center"/>
          </w:tcPr>
          <w:p>
            <w:pPr>
              <w:pStyle w:val="0"/>
            </w:pPr>
            <w:r>
              <w:rPr>
                <w:sz w:val="20"/>
              </w:rPr>
              <w:t xml:space="preserve">Деятельность в области информации и связи</w:t>
            </w:r>
          </w:p>
        </w:tc>
        <w:tc>
          <w:tcPr>
            <w:tcW w:w="1276" w:type="dxa"/>
            <w:vAlign w:val="center"/>
          </w:tcPr>
          <w:p>
            <w:pPr>
              <w:pStyle w:val="0"/>
              <w:jc w:val="center"/>
            </w:pPr>
            <w:r>
              <w:rPr>
                <w:sz w:val="20"/>
              </w:rPr>
              <w:t xml:space="preserve">1,8</w:t>
            </w:r>
          </w:p>
        </w:tc>
        <w:tc>
          <w:tcPr>
            <w:tcW w:w="1131" w:type="dxa"/>
            <w:vAlign w:val="center"/>
          </w:tcPr>
          <w:p>
            <w:pPr>
              <w:pStyle w:val="0"/>
              <w:jc w:val="center"/>
            </w:pPr>
            <w:r>
              <w:rPr>
                <w:sz w:val="20"/>
              </w:rPr>
              <w:t xml:space="preserve">1,5</w:t>
            </w:r>
          </w:p>
        </w:tc>
      </w:tr>
      <w:tr>
        <w:tc>
          <w:tcPr>
            <w:tcW w:w="6633" w:type="dxa"/>
            <w:vAlign w:val="center"/>
          </w:tcPr>
          <w:p>
            <w:pPr>
              <w:pStyle w:val="0"/>
            </w:pPr>
            <w:r>
              <w:rPr>
                <w:sz w:val="20"/>
              </w:rPr>
              <w:t xml:space="preserve">Деятельность финансовая и страховая</w:t>
            </w:r>
          </w:p>
        </w:tc>
        <w:tc>
          <w:tcPr>
            <w:tcW w:w="1276" w:type="dxa"/>
            <w:vAlign w:val="center"/>
          </w:tcPr>
          <w:p>
            <w:pPr>
              <w:pStyle w:val="0"/>
              <w:jc w:val="center"/>
            </w:pPr>
            <w:r>
              <w:rPr>
                <w:sz w:val="20"/>
              </w:rPr>
              <w:t xml:space="preserve">0,4</w:t>
            </w:r>
          </w:p>
        </w:tc>
        <w:tc>
          <w:tcPr>
            <w:tcW w:w="1131" w:type="dxa"/>
            <w:vAlign w:val="center"/>
          </w:tcPr>
          <w:p>
            <w:pPr>
              <w:pStyle w:val="0"/>
              <w:jc w:val="center"/>
            </w:pPr>
            <w:r>
              <w:rPr>
                <w:sz w:val="20"/>
              </w:rPr>
              <w:t xml:space="preserve">0,4</w:t>
            </w:r>
          </w:p>
        </w:tc>
      </w:tr>
      <w:tr>
        <w:tc>
          <w:tcPr>
            <w:tcW w:w="6633" w:type="dxa"/>
            <w:vAlign w:val="center"/>
          </w:tcPr>
          <w:p>
            <w:pPr>
              <w:pStyle w:val="0"/>
            </w:pPr>
            <w:r>
              <w:rPr>
                <w:sz w:val="20"/>
              </w:rPr>
              <w:t xml:space="preserve">Деятельность по операциям с недвижимым имуществом</w:t>
            </w:r>
          </w:p>
        </w:tc>
        <w:tc>
          <w:tcPr>
            <w:tcW w:w="1276" w:type="dxa"/>
            <w:vAlign w:val="center"/>
          </w:tcPr>
          <w:p>
            <w:pPr>
              <w:pStyle w:val="0"/>
              <w:jc w:val="center"/>
            </w:pPr>
            <w:r>
              <w:rPr>
                <w:sz w:val="20"/>
              </w:rPr>
              <w:t xml:space="preserve">4,9</w:t>
            </w:r>
          </w:p>
        </w:tc>
        <w:tc>
          <w:tcPr>
            <w:tcW w:w="1131" w:type="dxa"/>
            <w:vAlign w:val="center"/>
          </w:tcPr>
          <w:p>
            <w:pPr>
              <w:pStyle w:val="0"/>
              <w:jc w:val="center"/>
            </w:pPr>
            <w:r>
              <w:rPr>
                <w:sz w:val="20"/>
              </w:rPr>
              <w:t xml:space="preserve">5,1</w:t>
            </w:r>
          </w:p>
        </w:tc>
      </w:tr>
      <w:tr>
        <w:tc>
          <w:tcPr>
            <w:tcW w:w="6633" w:type="dxa"/>
            <w:vAlign w:val="center"/>
          </w:tcPr>
          <w:p>
            <w:pPr>
              <w:pStyle w:val="0"/>
            </w:pPr>
            <w:r>
              <w:rPr>
                <w:sz w:val="20"/>
              </w:rPr>
              <w:t xml:space="preserve">Деятельность профессиональная, научная и техническая</w:t>
            </w:r>
          </w:p>
        </w:tc>
        <w:tc>
          <w:tcPr>
            <w:tcW w:w="1276" w:type="dxa"/>
            <w:vAlign w:val="center"/>
          </w:tcPr>
          <w:p>
            <w:pPr>
              <w:pStyle w:val="0"/>
              <w:jc w:val="center"/>
            </w:pPr>
            <w:r>
              <w:rPr>
                <w:sz w:val="20"/>
              </w:rPr>
              <w:t xml:space="preserve">10,8</w:t>
            </w:r>
          </w:p>
        </w:tc>
        <w:tc>
          <w:tcPr>
            <w:tcW w:w="1131" w:type="dxa"/>
            <w:vAlign w:val="center"/>
          </w:tcPr>
          <w:p>
            <w:pPr>
              <w:pStyle w:val="0"/>
              <w:jc w:val="center"/>
            </w:pPr>
            <w:r>
              <w:rPr>
                <w:sz w:val="20"/>
              </w:rPr>
              <w:t xml:space="preserve">10,5</w:t>
            </w:r>
          </w:p>
        </w:tc>
      </w:tr>
      <w:tr>
        <w:tc>
          <w:tcPr>
            <w:tcW w:w="6633" w:type="dxa"/>
            <w:vAlign w:val="center"/>
          </w:tcPr>
          <w:p>
            <w:pPr>
              <w:pStyle w:val="0"/>
            </w:pPr>
            <w:r>
              <w:rPr>
                <w:sz w:val="20"/>
              </w:rPr>
              <w:t xml:space="preserve">Деятельность административная и сопутствующие дополнительные услуги</w:t>
            </w:r>
          </w:p>
        </w:tc>
        <w:tc>
          <w:tcPr>
            <w:tcW w:w="1276" w:type="dxa"/>
            <w:vAlign w:val="center"/>
          </w:tcPr>
          <w:p>
            <w:pPr>
              <w:pStyle w:val="0"/>
              <w:jc w:val="center"/>
            </w:pPr>
            <w:r>
              <w:rPr>
                <w:sz w:val="20"/>
              </w:rPr>
              <w:t xml:space="preserve">2,2</w:t>
            </w:r>
          </w:p>
        </w:tc>
        <w:tc>
          <w:tcPr>
            <w:tcW w:w="1131" w:type="dxa"/>
            <w:vAlign w:val="center"/>
          </w:tcPr>
          <w:p>
            <w:pPr>
              <w:pStyle w:val="0"/>
              <w:jc w:val="center"/>
            </w:pPr>
            <w:r>
              <w:rPr>
                <w:sz w:val="20"/>
              </w:rPr>
              <w:t xml:space="preserve">2,1</w:t>
            </w:r>
          </w:p>
        </w:tc>
      </w:tr>
      <w:tr>
        <w:tc>
          <w:tcPr>
            <w:tcW w:w="6633" w:type="dxa"/>
            <w:vAlign w:val="center"/>
          </w:tcPr>
          <w:p>
            <w:pPr>
              <w:pStyle w:val="0"/>
            </w:pPr>
            <w:r>
              <w:rPr>
                <w:sz w:val="20"/>
              </w:rPr>
              <w:t xml:space="preserve">Государственное управление и обеспечение военной безопасности; социальное обеспечение</w:t>
            </w:r>
          </w:p>
        </w:tc>
        <w:tc>
          <w:tcPr>
            <w:tcW w:w="1276" w:type="dxa"/>
            <w:vAlign w:val="center"/>
          </w:tcPr>
          <w:p>
            <w:pPr>
              <w:pStyle w:val="0"/>
              <w:jc w:val="center"/>
            </w:pPr>
            <w:r>
              <w:rPr>
                <w:sz w:val="20"/>
              </w:rPr>
              <w:t xml:space="preserve">3,3</w:t>
            </w:r>
          </w:p>
        </w:tc>
        <w:tc>
          <w:tcPr>
            <w:tcW w:w="1131" w:type="dxa"/>
            <w:vAlign w:val="center"/>
          </w:tcPr>
          <w:p>
            <w:pPr>
              <w:pStyle w:val="0"/>
              <w:jc w:val="center"/>
            </w:pPr>
            <w:r>
              <w:rPr>
                <w:sz w:val="20"/>
              </w:rPr>
              <w:t xml:space="preserve">3,0</w:t>
            </w:r>
          </w:p>
        </w:tc>
      </w:tr>
      <w:tr>
        <w:tc>
          <w:tcPr>
            <w:tcW w:w="6633" w:type="dxa"/>
            <w:vAlign w:val="center"/>
          </w:tcPr>
          <w:p>
            <w:pPr>
              <w:pStyle w:val="0"/>
            </w:pPr>
            <w:r>
              <w:rPr>
                <w:sz w:val="20"/>
              </w:rPr>
              <w:t xml:space="preserve">Образование</w:t>
            </w:r>
          </w:p>
        </w:tc>
        <w:tc>
          <w:tcPr>
            <w:tcW w:w="1276" w:type="dxa"/>
            <w:vAlign w:val="center"/>
          </w:tcPr>
          <w:p>
            <w:pPr>
              <w:pStyle w:val="0"/>
              <w:jc w:val="center"/>
            </w:pPr>
            <w:r>
              <w:rPr>
                <w:sz w:val="20"/>
              </w:rPr>
              <w:t xml:space="preserve">3,2</w:t>
            </w:r>
          </w:p>
        </w:tc>
        <w:tc>
          <w:tcPr>
            <w:tcW w:w="1131" w:type="dxa"/>
            <w:vAlign w:val="center"/>
          </w:tcPr>
          <w:p>
            <w:pPr>
              <w:pStyle w:val="0"/>
              <w:jc w:val="center"/>
            </w:pPr>
            <w:r>
              <w:rPr>
                <w:sz w:val="20"/>
              </w:rPr>
              <w:t xml:space="preserve">3,0</w:t>
            </w:r>
          </w:p>
        </w:tc>
      </w:tr>
      <w:tr>
        <w:tc>
          <w:tcPr>
            <w:tcW w:w="6633" w:type="dxa"/>
            <w:vAlign w:val="center"/>
          </w:tcPr>
          <w:p>
            <w:pPr>
              <w:pStyle w:val="0"/>
            </w:pPr>
            <w:r>
              <w:rPr>
                <w:sz w:val="20"/>
              </w:rPr>
              <w:t xml:space="preserve">Деятельность в области здравоохранения и социальных услуг</w:t>
            </w:r>
          </w:p>
        </w:tc>
        <w:tc>
          <w:tcPr>
            <w:tcW w:w="1276" w:type="dxa"/>
            <w:vAlign w:val="center"/>
          </w:tcPr>
          <w:p>
            <w:pPr>
              <w:pStyle w:val="0"/>
              <w:jc w:val="center"/>
            </w:pPr>
            <w:r>
              <w:rPr>
                <w:sz w:val="20"/>
              </w:rPr>
              <w:t xml:space="preserve">2,7</w:t>
            </w:r>
          </w:p>
        </w:tc>
        <w:tc>
          <w:tcPr>
            <w:tcW w:w="1131" w:type="dxa"/>
            <w:vAlign w:val="center"/>
          </w:tcPr>
          <w:p>
            <w:pPr>
              <w:pStyle w:val="0"/>
              <w:jc w:val="center"/>
            </w:pPr>
            <w:r>
              <w:rPr>
                <w:sz w:val="20"/>
              </w:rPr>
              <w:t xml:space="preserve">2,6</w:t>
            </w:r>
          </w:p>
        </w:tc>
      </w:tr>
      <w:tr>
        <w:tc>
          <w:tcPr>
            <w:tcW w:w="6633" w:type="dxa"/>
            <w:vAlign w:val="center"/>
          </w:tcPr>
          <w:p>
            <w:pPr>
              <w:pStyle w:val="0"/>
            </w:pPr>
            <w:r>
              <w:rPr>
                <w:sz w:val="20"/>
              </w:rPr>
              <w:t xml:space="preserve">Деятельность в области культуры, спорта, организации досуга и развлечений</w:t>
            </w:r>
          </w:p>
        </w:tc>
        <w:tc>
          <w:tcPr>
            <w:tcW w:w="1276" w:type="dxa"/>
            <w:vAlign w:val="center"/>
          </w:tcPr>
          <w:p>
            <w:pPr>
              <w:pStyle w:val="0"/>
              <w:jc w:val="center"/>
            </w:pPr>
            <w:r>
              <w:rPr>
                <w:sz w:val="20"/>
              </w:rPr>
              <w:t xml:space="preserve">0,2</w:t>
            </w:r>
          </w:p>
        </w:tc>
        <w:tc>
          <w:tcPr>
            <w:tcW w:w="1131" w:type="dxa"/>
            <w:vAlign w:val="center"/>
          </w:tcPr>
          <w:p>
            <w:pPr>
              <w:pStyle w:val="0"/>
              <w:jc w:val="center"/>
            </w:pPr>
            <w:r>
              <w:rPr>
                <w:sz w:val="20"/>
              </w:rPr>
              <w:t xml:space="preserve">0,3</w:t>
            </w:r>
          </w:p>
        </w:tc>
      </w:tr>
      <w:tr>
        <w:tc>
          <w:tcPr>
            <w:tcW w:w="6633" w:type="dxa"/>
            <w:vAlign w:val="center"/>
          </w:tcPr>
          <w:p>
            <w:pPr>
              <w:pStyle w:val="0"/>
            </w:pPr>
            <w:r>
              <w:rPr>
                <w:sz w:val="20"/>
              </w:rPr>
              <w:t xml:space="preserve">Предоставление прочих видов услуг</w:t>
            </w:r>
          </w:p>
        </w:tc>
        <w:tc>
          <w:tcPr>
            <w:tcW w:w="1276" w:type="dxa"/>
            <w:vAlign w:val="center"/>
          </w:tcPr>
          <w:p>
            <w:pPr>
              <w:pStyle w:val="0"/>
              <w:jc w:val="center"/>
            </w:pPr>
            <w:r>
              <w:rPr>
                <w:sz w:val="20"/>
              </w:rPr>
              <w:t xml:space="preserve">0,3</w:t>
            </w:r>
          </w:p>
        </w:tc>
        <w:tc>
          <w:tcPr>
            <w:tcW w:w="1131" w:type="dxa"/>
            <w:vAlign w:val="center"/>
          </w:tcPr>
          <w:p>
            <w:pPr>
              <w:pStyle w:val="0"/>
              <w:jc w:val="center"/>
            </w:pPr>
            <w:r>
              <w:rPr>
                <w:sz w:val="20"/>
              </w:rPr>
              <w:t xml:space="preserve">0,4</w:t>
            </w:r>
          </w:p>
        </w:tc>
      </w:tr>
    </w:tbl>
    <w:p>
      <w:pPr>
        <w:pStyle w:val="0"/>
        <w:jc w:val="both"/>
      </w:pPr>
      <w:r>
        <w:rPr>
          <w:sz w:val="20"/>
        </w:rPr>
      </w:r>
    </w:p>
    <w:p>
      <w:pPr>
        <w:pStyle w:val="0"/>
        <w:ind w:firstLine="540"/>
        <w:jc w:val="both"/>
      </w:pPr>
      <w:r>
        <w:rPr>
          <w:sz w:val="20"/>
        </w:rPr>
        <w:t xml:space="preserve">Высокий уровень занятости в сфере услуг (более половины всех занятых в экономике) и структура валовой добавленной стоимости подчеркивают значимую роль сервисного сектора в экономическом развитии Тюменской области. Именно развитие сервисных услуг во взаимодействии с реальным сектором экономики в долгосрочной перспективе будет способствовать повышению конкурентоспособности экономики Тюменской области.</w:t>
      </w:r>
    </w:p>
    <w:p>
      <w:pPr>
        <w:pStyle w:val="2"/>
        <w:spacing w:before="200" w:line-rule="auto"/>
        <w:outlineLvl w:val="3"/>
        <w:ind w:firstLine="540"/>
        <w:jc w:val="both"/>
      </w:pPr>
      <w:r>
        <w:rPr>
          <w:sz w:val="20"/>
        </w:rPr>
        <w:t xml:space="preserve">Инвестиции</w:t>
      </w:r>
    </w:p>
    <w:p>
      <w:pPr>
        <w:pStyle w:val="0"/>
        <w:spacing w:before="200" w:line-rule="auto"/>
        <w:ind w:firstLine="540"/>
        <w:jc w:val="both"/>
      </w:pPr>
      <w:r>
        <w:rPr>
          <w:sz w:val="20"/>
        </w:rPr>
        <w:t xml:space="preserve">Несмотря на негативное влияние внешних факторов, в настоящее время Тюменская область относится к числу регионов с наиболее высокой инвестиционной активностью, что является определяющим фактором устойчивого развития региона. Большую роль в сформированных положительных тенденциях развития Тюменской области играет фактор благоприятного инвестиционного климата. В Национальном рейтинге состояния инвестиционного климата Тюменская область входит в число лидеров среди субъектов Российской Федерации (2016 год - 5 место, 2017 год - 6 место, 2018 год - 1 место, 2019 год - 3 место).</w:t>
      </w:r>
    </w:p>
    <w:p>
      <w:pPr>
        <w:pStyle w:val="0"/>
        <w:spacing w:before="200" w:line-rule="auto"/>
        <w:ind w:firstLine="540"/>
        <w:jc w:val="both"/>
      </w:pPr>
      <w:r>
        <w:rPr>
          <w:sz w:val="20"/>
        </w:rPr>
        <w:t xml:space="preserve">На динамику инвестиций (рост в 1,7 раза в 2018 году к 2007 году в сопоставимых ценах) оказала влияние реализация региональных стратегий инвестиционного развития машиностроительного комплекса, пищевой промышленности, сельского хозяйства и рыболовства, строительного комплекса, легкой промышленности, транспорта и логистики, лесного комплекса. Сдерживающими факторами стало усиление в 2014 - 2015 годах неопределенности экономической конъюнктуры и динамики спроса, удорожание кредитных ресурсов, колебание курсов валют.</w:t>
      </w:r>
    </w:p>
    <w:p>
      <w:pPr>
        <w:pStyle w:val="0"/>
        <w:spacing w:before="200" w:line-rule="auto"/>
        <w:ind w:firstLine="540"/>
        <w:jc w:val="both"/>
      </w:pPr>
      <w:r>
        <w:rPr>
          <w:sz w:val="20"/>
        </w:rPr>
        <w:t xml:space="preserve">В 2018 году объем инвестиций в основной капитал составил 353,6 млрд рублей, из которых 88% освоено крупными и средними организациями.</w:t>
      </w:r>
    </w:p>
    <w:p>
      <w:pPr>
        <w:pStyle w:val="0"/>
        <w:spacing w:before="200" w:line-rule="auto"/>
        <w:ind w:firstLine="540"/>
        <w:jc w:val="both"/>
      </w:pPr>
      <w:r>
        <w:rPr>
          <w:sz w:val="20"/>
        </w:rPr>
        <w:t xml:space="preserve">По объему инвестиций на душу населения в 2018 году Тюменская область в 1,9 раза превышает среднероссийский показатель (234,4 тыс. руб. и 121,1 тыс. руб. соответственно).</w:t>
      </w:r>
    </w:p>
    <w:p>
      <w:pPr>
        <w:pStyle w:val="0"/>
        <w:spacing w:before="200" w:line-rule="auto"/>
        <w:ind w:firstLine="540"/>
        <w:jc w:val="both"/>
      </w:pPr>
      <w:r>
        <w:rPr>
          <w:sz w:val="20"/>
        </w:rPr>
        <w:t xml:space="preserve">За 2007 - 2018 годы доля собственных средств организаций в источниках финансирования инвестиций возросла с 29,5% до 82,7%. Доля бюджетных средств, в свою очередь, сократилась с 48,9% в 2007 году до 7,5% в 2018 году. Доля кредитов банков остается небольшой (9,1% - в 2007 году, 5,3% - в 2018 году) в связи с высокими реальными процентными ставками и существенными ограничениями при получении кредитов.</w:t>
      </w:r>
    </w:p>
    <w:p>
      <w:pPr>
        <w:pStyle w:val="0"/>
        <w:spacing w:before="200" w:line-rule="auto"/>
        <w:ind w:firstLine="540"/>
        <w:jc w:val="both"/>
      </w:pPr>
      <w:r>
        <w:rPr>
          <w:sz w:val="20"/>
        </w:rPr>
        <w:t xml:space="preserve">Основной объем инвестиций в основной капитал в области по итогам 2018 года направлен в следующие отрасли: добыча полезных ископаемых - 12,9% (в 2007 году - 12,4%), обрабатывающие производства - 60,2% (5,8%), транспортировка и хранение (в 2007 году - транспорт и связь) - 7,1% (23,1%), деятельность по операциям с недвижимым имуществом (в 2007 году - операции с недвижимым имуществом, аренда и предоставление услуг) - 4,7% (19,2%).</w:t>
      </w:r>
    </w:p>
    <w:p>
      <w:pPr>
        <w:pStyle w:val="0"/>
        <w:spacing w:before="200" w:line-rule="auto"/>
        <w:ind w:firstLine="540"/>
        <w:jc w:val="both"/>
      </w:pPr>
      <w:r>
        <w:rPr>
          <w:sz w:val="20"/>
        </w:rPr>
        <w:t xml:space="preserve">Макроэкономические диспропорции проявляются в слабой диверсификации отраслевой структуры инвестиций: их концентрация усиливается в трех отраслях - добыче полезных ископаемых, производстве нефтепродуктов и химическом производстве. Доля этих отраслей в структуре инвестиций организаций без субъектов малого предпринимательства с 13,3% в 2007 году возросла до 71,3% в 2018 году.</w:t>
      </w:r>
    </w:p>
    <w:p>
      <w:pPr>
        <w:pStyle w:val="0"/>
        <w:jc w:val="both"/>
      </w:pPr>
      <w:r>
        <w:rPr>
          <w:sz w:val="20"/>
        </w:rPr>
      </w:r>
    </w:p>
    <w:p>
      <w:pPr>
        <w:pStyle w:val="2"/>
        <w:outlineLvl w:val="3"/>
        <w:ind w:firstLine="540"/>
        <w:jc w:val="both"/>
      </w:pPr>
      <w:r>
        <w:rPr>
          <w:sz w:val="20"/>
        </w:rPr>
        <w:t xml:space="preserve">Развитие основных производственных отраслей экономики</w:t>
      </w:r>
    </w:p>
    <w:p>
      <w:pPr>
        <w:pStyle w:val="2"/>
        <w:spacing w:before="200" w:line-rule="auto"/>
        <w:outlineLvl w:val="4"/>
        <w:ind w:firstLine="540"/>
        <w:jc w:val="both"/>
      </w:pPr>
      <w:r>
        <w:rPr>
          <w:sz w:val="20"/>
        </w:rPr>
        <w:t xml:space="preserve">Промышленность</w:t>
      </w:r>
    </w:p>
    <w:p>
      <w:pPr>
        <w:pStyle w:val="0"/>
        <w:spacing w:before="200" w:line-rule="auto"/>
        <w:ind w:firstLine="540"/>
        <w:jc w:val="both"/>
      </w:pPr>
      <w:r>
        <w:rPr>
          <w:sz w:val="20"/>
        </w:rPr>
        <w:t xml:space="preserve">Модернизированная промышленная база региона - основа экономического развития Тюменской области. Доля промышленного производства в структуре ВРП в 2017 году составила 35,3%, в структуре занятости населения - 15,5%.</w:t>
      </w:r>
    </w:p>
    <w:p>
      <w:pPr>
        <w:pStyle w:val="0"/>
        <w:spacing w:before="200" w:line-rule="auto"/>
        <w:ind w:firstLine="540"/>
        <w:jc w:val="both"/>
      </w:pPr>
      <w:r>
        <w:rPr>
          <w:sz w:val="20"/>
        </w:rPr>
        <w:t xml:space="preserve">Промышленность - один из самых быстроразвивающихся секторов экономики Тюменской области. Индекс промышленного производства в 2018 году по отношению к 2007 году в Тюменской области составил 313,7%, значительно превысив значения по Российской Федерации и УФО - 113,8% и 106,9%.</w:t>
      </w:r>
    </w:p>
    <w:p>
      <w:pPr>
        <w:pStyle w:val="0"/>
        <w:spacing w:before="200" w:line-rule="auto"/>
        <w:ind w:firstLine="540"/>
        <w:jc w:val="both"/>
      </w:pPr>
      <w:r>
        <w:rPr>
          <w:sz w:val="20"/>
        </w:rPr>
        <w:t xml:space="preserve">В структуре промышленного производства преобладает обрабатывающий сектор. На него приходится 70,6% в объеме отгруженных товаров собственного производства, выполненных работ и услуг; 60,2% - в структуре инвестиций в основной капитал; 11,7% - в структуре занятости (табл. 3).</w:t>
      </w:r>
    </w:p>
    <w:p>
      <w:pPr>
        <w:pStyle w:val="0"/>
        <w:jc w:val="both"/>
      </w:pPr>
      <w:r>
        <w:rPr>
          <w:sz w:val="20"/>
        </w:rPr>
      </w:r>
    </w:p>
    <w:p>
      <w:pPr>
        <w:pStyle w:val="2"/>
        <w:outlineLvl w:val="5"/>
        <w:ind w:firstLine="540"/>
        <w:jc w:val="both"/>
      </w:pPr>
      <w:r>
        <w:rPr>
          <w:sz w:val="20"/>
        </w:rPr>
        <w:t xml:space="preserve">Таблица 3 - Доля отдельных видов экономической деятельности в структуре основных экономических показателей Тюменской области в 2018 году, % к итогу за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2324"/>
        <w:gridCol w:w="1814"/>
        <w:gridCol w:w="1531"/>
      </w:tblGrid>
      <w:tr>
        <w:tc>
          <w:tcPr>
            <w:tcW w:w="3402" w:type="dxa"/>
            <w:vMerge w:val="restart"/>
          </w:tcPr>
          <w:p>
            <w:pPr>
              <w:pStyle w:val="0"/>
              <w:jc w:val="center"/>
            </w:pPr>
            <w:r>
              <w:rPr>
                <w:sz w:val="20"/>
              </w:rPr>
              <w:t xml:space="preserve">Вид экономической</w:t>
            </w:r>
          </w:p>
          <w:p>
            <w:pPr>
              <w:pStyle w:val="0"/>
              <w:jc w:val="center"/>
            </w:pPr>
            <w:r>
              <w:rPr>
                <w:sz w:val="20"/>
              </w:rPr>
              <w:t xml:space="preserve">деятельности</w:t>
            </w:r>
          </w:p>
        </w:tc>
        <w:tc>
          <w:tcPr>
            <w:gridSpan w:val="3"/>
            <w:tcW w:w="5669" w:type="dxa"/>
          </w:tcPr>
          <w:p>
            <w:pPr>
              <w:pStyle w:val="0"/>
              <w:jc w:val="center"/>
            </w:pPr>
            <w:r>
              <w:rPr>
                <w:sz w:val="20"/>
              </w:rPr>
              <w:t xml:space="preserve">Показатель</w:t>
            </w:r>
          </w:p>
        </w:tc>
      </w:tr>
      <w:tr>
        <w:tc>
          <w:tcPr>
            <w:vMerge w:val="continue"/>
          </w:tcPr>
          <w:p/>
        </w:tc>
        <w:tc>
          <w:tcPr>
            <w:tcW w:w="2324" w:type="dxa"/>
          </w:tcPr>
          <w:p>
            <w:pPr>
              <w:pStyle w:val="0"/>
              <w:jc w:val="center"/>
            </w:pPr>
            <w:r>
              <w:rPr>
                <w:sz w:val="20"/>
              </w:rPr>
              <w:t xml:space="preserve">Объем отгруженных товаров собственного производства, выполненных работ и услуг</w:t>
            </w:r>
          </w:p>
        </w:tc>
        <w:tc>
          <w:tcPr>
            <w:tcW w:w="1814" w:type="dxa"/>
          </w:tcPr>
          <w:p>
            <w:pPr>
              <w:pStyle w:val="0"/>
              <w:jc w:val="center"/>
            </w:pPr>
            <w:r>
              <w:rPr>
                <w:sz w:val="20"/>
              </w:rPr>
              <w:t xml:space="preserve">Инвестиции в основной капитал</w:t>
            </w:r>
          </w:p>
        </w:tc>
        <w:tc>
          <w:tcPr>
            <w:tcW w:w="1531" w:type="dxa"/>
          </w:tcPr>
          <w:p>
            <w:pPr>
              <w:pStyle w:val="0"/>
              <w:jc w:val="center"/>
            </w:pPr>
            <w:r>
              <w:rPr>
                <w:sz w:val="20"/>
              </w:rPr>
              <w:t xml:space="preserve">Занятость населения</w:t>
            </w:r>
          </w:p>
        </w:tc>
      </w:tr>
      <w:tr>
        <w:tc>
          <w:tcPr>
            <w:tcW w:w="3402" w:type="dxa"/>
          </w:tcPr>
          <w:p>
            <w:pPr>
              <w:pStyle w:val="0"/>
            </w:pPr>
            <w:r>
              <w:rPr>
                <w:sz w:val="20"/>
              </w:rPr>
              <w:t xml:space="preserve">Добыча полезных ископаемых</w:t>
            </w:r>
          </w:p>
        </w:tc>
        <w:tc>
          <w:tcPr>
            <w:tcW w:w="2324" w:type="dxa"/>
          </w:tcPr>
          <w:p>
            <w:pPr>
              <w:pStyle w:val="0"/>
              <w:jc w:val="center"/>
            </w:pPr>
            <w:r>
              <w:rPr>
                <w:sz w:val="20"/>
              </w:rPr>
              <w:t xml:space="preserve">24,0</w:t>
            </w:r>
          </w:p>
        </w:tc>
        <w:tc>
          <w:tcPr>
            <w:tcW w:w="1814" w:type="dxa"/>
          </w:tcPr>
          <w:p>
            <w:pPr>
              <w:pStyle w:val="0"/>
              <w:jc w:val="center"/>
            </w:pPr>
            <w:r>
              <w:rPr>
                <w:sz w:val="20"/>
              </w:rPr>
              <w:t xml:space="preserve">12,9</w:t>
            </w:r>
          </w:p>
        </w:tc>
        <w:tc>
          <w:tcPr>
            <w:tcW w:w="1531" w:type="dxa"/>
          </w:tcPr>
          <w:p>
            <w:pPr>
              <w:pStyle w:val="0"/>
              <w:jc w:val="center"/>
            </w:pPr>
            <w:r>
              <w:rPr>
                <w:sz w:val="20"/>
              </w:rPr>
              <w:t xml:space="preserve">1,1</w:t>
            </w:r>
          </w:p>
        </w:tc>
      </w:tr>
      <w:tr>
        <w:tc>
          <w:tcPr>
            <w:tcW w:w="3402" w:type="dxa"/>
          </w:tcPr>
          <w:p>
            <w:pPr>
              <w:pStyle w:val="0"/>
            </w:pPr>
            <w:r>
              <w:rPr>
                <w:sz w:val="20"/>
              </w:rPr>
              <w:t xml:space="preserve">Обрабатывающие производства</w:t>
            </w:r>
          </w:p>
        </w:tc>
        <w:tc>
          <w:tcPr>
            <w:tcW w:w="2324" w:type="dxa"/>
          </w:tcPr>
          <w:p>
            <w:pPr>
              <w:pStyle w:val="0"/>
              <w:jc w:val="center"/>
            </w:pPr>
            <w:r>
              <w:rPr>
                <w:sz w:val="20"/>
              </w:rPr>
              <w:t xml:space="preserve">70,6</w:t>
            </w:r>
          </w:p>
        </w:tc>
        <w:tc>
          <w:tcPr>
            <w:tcW w:w="1814" w:type="dxa"/>
          </w:tcPr>
          <w:p>
            <w:pPr>
              <w:pStyle w:val="0"/>
              <w:jc w:val="center"/>
            </w:pPr>
            <w:r>
              <w:rPr>
                <w:sz w:val="20"/>
              </w:rPr>
              <w:t xml:space="preserve">60,2</w:t>
            </w:r>
          </w:p>
        </w:tc>
        <w:tc>
          <w:tcPr>
            <w:tcW w:w="1531" w:type="dxa"/>
          </w:tcPr>
          <w:p>
            <w:pPr>
              <w:pStyle w:val="0"/>
              <w:jc w:val="center"/>
            </w:pPr>
            <w:r>
              <w:rPr>
                <w:sz w:val="20"/>
              </w:rPr>
              <w:t xml:space="preserve">11,7</w:t>
            </w:r>
          </w:p>
        </w:tc>
      </w:tr>
      <w:tr>
        <w:tc>
          <w:tcPr>
            <w:tcW w:w="3402" w:type="dxa"/>
          </w:tcPr>
          <w:p>
            <w:pPr>
              <w:pStyle w:val="0"/>
            </w:pPr>
            <w:r>
              <w:rPr>
                <w:sz w:val="20"/>
              </w:rPr>
              <w:t xml:space="preserve">Обеспечение электрической энергией, газом и паром; кондиционировании воздуха</w:t>
            </w:r>
          </w:p>
        </w:tc>
        <w:tc>
          <w:tcPr>
            <w:tcW w:w="2324" w:type="dxa"/>
          </w:tcPr>
          <w:p>
            <w:pPr>
              <w:pStyle w:val="0"/>
              <w:jc w:val="center"/>
            </w:pPr>
            <w:r>
              <w:rPr>
                <w:sz w:val="20"/>
              </w:rPr>
              <w:t xml:space="preserve">4,5</w:t>
            </w:r>
          </w:p>
        </w:tc>
        <w:tc>
          <w:tcPr>
            <w:tcW w:w="1814" w:type="dxa"/>
          </w:tcPr>
          <w:p>
            <w:pPr>
              <w:pStyle w:val="0"/>
              <w:jc w:val="center"/>
            </w:pPr>
            <w:r>
              <w:rPr>
                <w:sz w:val="20"/>
              </w:rPr>
              <w:t xml:space="preserve">2,5</w:t>
            </w:r>
          </w:p>
        </w:tc>
        <w:tc>
          <w:tcPr>
            <w:tcW w:w="1531" w:type="dxa"/>
          </w:tcPr>
          <w:p>
            <w:pPr>
              <w:pStyle w:val="0"/>
              <w:jc w:val="center"/>
            </w:pPr>
            <w:r>
              <w:rPr>
                <w:sz w:val="20"/>
              </w:rPr>
              <w:t xml:space="preserve">2,0</w:t>
            </w:r>
          </w:p>
        </w:tc>
      </w:tr>
      <w:tr>
        <w:tc>
          <w:tcPr>
            <w:tcW w:w="3402" w:type="dxa"/>
          </w:tcPr>
          <w:p>
            <w:pPr>
              <w:pStyle w:val="0"/>
            </w:pPr>
            <w:r>
              <w:rPr>
                <w:sz w:val="20"/>
              </w:rPr>
              <w:t xml:space="preserve">Водоснабжение; водоотведение, организация сбора и утилизации отходов, деятельность по ликвидации загрязнений</w:t>
            </w:r>
          </w:p>
        </w:tc>
        <w:tc>
          <w:tcPr>
            <w:tcW w:w="2324" w:type="dxa"/>
          </w:tcPr>
          <w:p>
            <w:pPr>
              <w:pStyle w:val="0"/>
              <w:jc w:val="center"/>
            </w:pPr>
            <w:r>
              <w:rPr>
                <w:sz w:val="20"/>
              </w:rPr>
              <w:t xml:space="preserve">0,9</w:t>
            </w:r>
          </w:p>
        </w:tc>
        <w:tc>
          <w:tcPr>
            <w:tcW w:w="1814" w:type="dxa"/>
          </w:tcPr>
          <w:p>
            <w:pPr>
              <w:pStyle w:val="0"/>
              <w:jc w:val="center"/>
            </w:pPr>
            <w:r>
              <w:rPr>
                <w:sz w:val="20"/>
              </w:rPr>
              <w:t xml:space="preserve">0,5</w:t>
            </w:r>
          </w:p>
        </w:tc>
        <w:tc>
          <w:tcPr>
            <w:tcW w:w="1531" w:type="dxa"/>
          </w:tcPr>
          <w:p>
            <w:pPr>
              <w:pStyle w:val="0"/>
              <w:jc w:val="center"/>
            </w:pPr>
            <w:r>
              <w:rPr>
                <w:sz w:val="20"/>
              </w:rPr>
              <w:t xml:space="preserve">0,7</w:t>
            </w:r>
          </w:p>
        </w:tc>
      </w:tr>
    </w:tbl>
    <w:p>
      <w:pPr>
        <w:pStyle w:val="0"/>
        <w:jc w:val="both"/>
      </w:pPr>
      <w:r>
        <w:rPr>
          <w:sz w:val="20"/>
        </w:rPr>
      </w:r>
    </w:p>
    <w:p>
      <w:pPr>
        <w:pStyle w:val="0"/>
        <w:ind w:firstLine="540"/>
        <w:jc w:val="both"/>
      </w:pPr>
      <w:r>
        <w:rPr>
          <w:sz w:val="20"/>
        </w:rPr>
        <w:t xml:space="preserve">Структура обрабатывающих производств с 2007 по 2018 год стала более диверсифицированной, однако производство кокса и нефтепродуктов продолжает играть ведущую роль в экономике Тюменской области. Структурный сдвиг в обрабатывающей промышленности произошел, в первую очередь, за счет увеличения доли химического производства, производства резиновых и пластмассовых изделий, металлургического производства и металлообработки, производства пищевых продуктов, машиностроения (табл. 4).</w:t>
      </w:r>
    </w:p>
    <w:p>
      <w:pPr>
        <w:pStyle w:val="0"/>
        <w:jc w:val="both"/>
      </w:pPr>
      <w:r>
        <w:rPr>
          <w:sz w:val="20"/>
        </w:rPr>
      </w:r>
    </w:p>
    <w:p>
      <w:pPr>
        <w:pStyle w:val="2"/>
        <w:outlineLvl w:val="5"/>
        <w:ind w:firstLine="540"/>
        <w:jc w:val="both"/>
      </w:pPr>
      <w:r>
        <w:rPr>
          <w:sz w:val="20"/>
        </w:rPr>
        <w:t xml:space="preserve">Таблица 4 - Структура отгруженных товаров собственного производства, выполненных работ и услуг, обрабатывающей промышленности в Тюменской области, % к итогу за соответствующий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33"/>
        <w:gridCol w:w="1276"/>
        <w:gridCol w:w="1131"/>
      </w:tblGrid>
      <w:tr>
        <w:tc>
          <w:tcPr>
            <w:tcW w:w="6633" w:type="dxa"/>
            <w:vMerge w:val="restart"/>
          </w:tcPr>
          <w:p>
            <w:pPr>
              <w:pStyle w:val="0"/>
              <w:jc w:val="center"/>
            </w:pPr>
            <w:r>
              <w:rPr>
                <w:sz w:val="20"/>
              </w:rPr>
              <w:t xml:space="preserve">Вид экономической деятельности</w:t>
            </w:r>
          </w:p>
        </w:tc>
        <w:tc>
          <w:tcPr>
            <w:gridSpan w:val="2"/>
            <w:tcW w:w="2407" w:type="dxa"/>
          </w:tcPr>
          <w:p>
            <w:pPr>
              <w:pStyle w:val="0"/>
              <w:jc w:val="center"/>
            </w:pPr>
            <w:r>
              <w:rPr>
                <w:sz w:val="20"/>
              </w:rPr>
              <w:t xml:space="preserve">Доля в структуре обрабатывающих производств</w:t>
            </w:r>
          </w:p>
        </w:tc>
      </w:tr>
      <w:tr>
        <w:tc>
          <w:tcPr>
            <w:vMerge w:val="continue"/>
          </w:tcPr>
          <w:p/>
        </w:tc>
        <w:tc>
          <w:tcPr>
            <w:tcW w:w="1276" w:type="dxa"/>
          </w:tcPr>
          <w:p>
            <w:pPr>
              <w:pStyle w:val="0"/>
              <w:jc w:val="center"/>
            </w:pPr>
            <w:r>
              <w:rPr>
                <w:sz w:val="20"/>
              </w:rPr>
              <w:t xml:space="preserve">2007 год</w:t>
            </w:r>
          </w:p>
        </w:tc>
        <w:tc>
          <w:tcPr>
            <w:tcW w:w="1131" w:type="dxa"/>
          </w:tcPr>
          <w:p>
            <w:pPr>
              <w:pStyle w:val="0"/>
              <w:jc w:val="center"/>
            </w:pPr>
            <w:r>
              <w:rPr>
                <w:sz w:val="20"/>
              </w:rPr>
              <w:t xml:space="preserve">2018 год</w:t>
            </w:r>
          </w:p>
        </w:tc>
      </w:tr>
      <w:tr>
        <w:tc>
          <w:tcPr>
            <w:tcW w:w="6633" w:type="dxa"/>
          </w:tcPr>
          <w:p>
            <w:pPr>
              <w:pStyle w:val="0"/>
              <w:jc w:val="both"/>
            </w:pPr>
            <w:r>
              <w:rPr>
                <w:sz w:val="20"/>
              </w:rPr>
              <w:t xml:space="preserve">Производство кокса и нефтепродуктов</w:t>
            </w:r>
          </w:p>
        </w:tc>
        <w:tc>
          <w:tcPr>
            <w:tcW w:w="1276" w:type="dxa"/>
          </w:tcPr>
          <w:p>
            <w:pPr>
              <w:pStyle w:val="0"/>
              <w:jc w:val="center"/>
            </w:pPr>
            <w:r>
              <w:rPr>
                <w:sz w:val="20"/>
              </w:rPr>
              <w:t xml:space="preserve">83,2</w:t>
            </w:r>
          </w:p>
        </w:tc>
        <w:tc>
          <w:tcPr>
            <w:tcW w:w="1131" w:type="dxa"/>
          </w:tcPr>
          <w:p>
            <w:pPr>
              <w:pStyle w:val="0"/>
              <w:jc w:val="center"/>
            </w:pPr>
            <w:r>
              <w:rPr>
                <w:sz w:val="20"/>
              </w:rPr>
              <w:t xml:space="preserve">52,7</w:t>
            </w:r>
          </w:p>
        </w:tc>
      </w:tr>
      <w:tr>
        <w:tc>
          <w:tcPr>
            <w:tcW w:w="6633" w:type="dxa"/>
          </w:tcPr>
          <w:p>
            <w:pPr>
              <w:pStyle w:val="0"/>
              <w:jc w:val="both"/>
            </w:pPr>
            <w:r>
              <w:rPr>
                <w:sz w:val="20"/>
              </w:rPr>
              <w:t xml:space="preserve">Производство химических веществ и химических продуктов</w:t>
            </w:r>
          </w:p>
        </w:tc>
        <w:tc>
          <w:tcPr>
            <w:tcW w:w="1276" w:type="dxa"/>
          </w:tcPr>
          <w:p>
            <w:pPr>
              <w:pStyle w:val="0"/>
              <w:jc w:val="center"/>
            </w:pPr>
            <w:r>
              <w:rPr>
                <w:sz w:val="20"/>
              </w:rPr>
              <w:t xml:space="preserve">0,4</w:t>
            </w:r>
          </w:p>
        </w:tc>
        <w:tc>
          <w:tcPr>
            <w:tcW w:w="1131" w:type="dxa"/>
          </w:tcPr>
          <w:p>
            <w:pPr>
              <w:pStyle w:val="0"/>
              <w:jc w:val="center"/>
            </w:pPr>
            <w:r>
              <w:rPr>
                <w:sz w:val="20"/>
              </w:rPr>
              <w:t xml:space="preserve">24,0</w:t>
            </w:r>
          </w:p>
        </w:tc>
      </w:tr>
      <w:tr>
        <w:tc>
          <w:tcPr>
            <w:tcW w:w="6633" w:type="dxa"/>
          </w:tcPr>
          <w:p>
            <w:pPr>
              <w:pStyle w:val="0"/>
              <w:jc w:val="both"/>
            </w:pPr>
            <w:r>
              <w:rPr>
                <w:sz w:val="20"/>
              </w:rPr>
              <w:t xml:space="preserve">Машиностроение</w:t>
            </w:r>
          </w:p>
        </w:tc>
        <w:tc>
          <w:tcPr>
            <w:tcW w:w="1276" w:type="dxa"/>
          </w:tcPr>
          <w:p>
            <w:pPr>
              <w:pStyle w:val="0"/>
              <w:jc w:val="center"/>
            </w:pPr>
            <w:r>
              <w:rPr>
                <w:sz w:val="20"/>
              </w:rPr>
              <w:t xml:space="preserve">5,6</w:t>
            </w:r>
          </w:p>
        </w:tc>
        <w:tc>
          <w:tcPr>
            <w:tcW w:w="1131" w:type="dxa"/>
          </w:tcPr>
          <w:p>
            <w:pPr>
              <w:pStyle w:val="0"/>
              <w:jc w:val="center"/>
            </w:pPr>
            <w:r>
              <w:rPr>
                <w:sz w:val="20"/>
              </w:rPr>
              <w:t xml:space="preserve">6,6</w:t>
            </w:r>
          </w:p>
        </w:tc>
      </w:tr>
      <w:tr>
        <w:tc>
          <w:tcPr>
            <w:tcW w:w="6633" w:type="dxa"/>
          </w:tcPr>
          <w:p>
            <w:pPr>
              <w:pStyle w:val="0"/>
              <w:jc w:val="both"/>
            </w:pPr>
            <w:r>
              <w:rPr>
                <w:sz w:val="20"/>
              </w:rPr>
              <w:t xml:space="preserve">Производство резиновых и пластмассовых изделий</w:t>
            </w:r>
          </w:p>
        </w:tc>
        <w:tc>
          <w:tcPr>
            <w:tcW w:w="1276" w:type="dxa"/>
          </w:tcPr>
          <w:p>
            <w:pPr>
              <w:pStyle w:val="0"/>
              <w:jc w:val="center"/>
            </w:pPr>
            <w:r>
              <w:rPr>
                <w:sz w:val="20"/>
              </w:rPr>
              <w:t xml:space="preserve">0,8</w:t>
            </w:r>
          </w:p>
        </w:tc>
        <w:tc>
          <w:tcPr>
            <w:tcW w:w="1131" w:type="dxa"/>
          </w:tcPr>
          <w:p>
            <w:pPr>
              <w:pStyle w:val="0"/>
              <w:jc w:val="center"/>
            </w:pPr>
            <w:r>
              <w:rPr>
                <w:sz w:val="20"/>
              </w:rPr>
              <w:t xml:space="preserve">5,0</w:t>
            </w:r>
          </w:p>
        </w:tc>
      </w:tr>
      <w:tr>
        <w:tc>
          <w:tcPr>
            <w:tcW w:w="6633" w:type="dxa"/>
          </w:tcPr>
          <w:p>
            <w:pPr>
              <w:pStyle w:val="0"/>
              <w:jc w:val="both"/>
            </w:pPr>
            <w:r>
              <w:rPr>
                <w:sz w:val="20"/>
              </w:rPr>
              <w:t xml:space="preserve">Производство пищевых продуктов и напитков</w:t>
            </w:r>
          </w:p>
        </w:tc>
        <w:tc>
          <w:tcPr>
            <w:tcW w:w="1276" w:type="dxa"/>
          </w:tcPr>
          <w:p>
            <w:pPr>
              <w:pStyle w:val="0"/>
              <w:jc w:val="center"/>
            </w:pPr>
            <w:r>
              <w:rPr>
                <w:sz w:val="20"/>
              </w:rPr>
              <w:t xml:space="preserve">3,5</w:t>
            </w:r>
          </w:p>
        </w:tc>
        <w:tc>
          <w:tcPr>
            <w:tcW w:w="1131" w:type="dxa"/>
          </w:tcPr>
          <w:p>
            <w:pPr>
              <w:pStyle w:val="0"/>
              <w:jc w:val="center"/>
            </w:pPr>
            <w:r>
              <w:rPr>
                <w:sz w:val="20"/>
              </w:rPr>
              <w:t xml:space="preserve">4,6</w:t>
            </w:r>
          </w:p>
        </w:tc>
      </w:tr>
      <w:tr>
        <w:tc>
          <w:tcPr>
            <w:tcW w:w="6633" w:type="dxa"/>
          </w:tcPr>
          <w:p>
            <w:pPr>
              <w:pStyle w:val="0"/>
              <w:jc w:val="both"/>
            </w:pPr>
            <w:r>
              <w:rPr>
                <w:sz w:val="20"/>
              </w:rPr>
              <w:t xml:space="preserve">Металлургическое производство и производство готовых металлических изделий</w:t>
            </w:r>
          </w:p>
        </w:tc>
        <w:tc>
          <w:tcPr>
            <w:tcW w:w="1276" w:type="dxa"/>
          </w:tcPr>
          <w:p>
            <w:pPr>
              <w:pStyle w:val="0"/>
              <w:jc w:val="center"/>
            </w:pPr>
            <w:r>
              <w:rPr>
                <w:sz w:val="20"/>
              </w:rPr>
              <w:t xml:space="preserve">1,6</w:t>
            </w:r>
          </w:p>
        </w:tc>
        <w:tc>
          <w:tcPr>
            <w:tcW w:w="1131" w:type="dxa"/>
          </w:tcPr>
          <w:p>
            <w:pPr>
              <w:pStyle w:val="0"/>
              <w:jc w:val="center"/>
            </w:pPr>
            <w:r>
              <w:rPr>
                <w:sz w:val="20"/>
              </w:rPr>
              <w:t xml:space="preserve">4,1</w:t>
            </w:r>
          </w:p>
        </w:tc>
      </w:tr>
      <w:tr>
        <w:tc>
          <w:tcPr>
            <w:tcW w:w="6633" w:type="dxa"/>
          </w:tcPr>
          <w:p>
            <w:pPr>
              <w:pStyle w:val="0"/>
              <w:jc w:val="both"/>
            </w:pPr>
            <w:r>
              <w:rPr>
                <w:sz w:val="20"/>
              </w:rPr>
              <w:t xml:space="preserve">Производство прочей неметаллической минеральной продукции</w:t>
            </w:r>
          </w:p>
        </w:tc>
        <w:tc>
          <w:tcPr>
            <w:tcW w:w="1276" w:type="dxa"/>
          </w:tcPr>
          <w:p>
            <w:pPr>
              <w:pStyle w:val="0"/>
              <w:jc w:val="center"/>
            </w:pPr>
            <w:r>
              <w:rPr>
                <w:sz w:val="20"/>
              </w:rPr>
              <w:t xml:space="preserve">2,7</w:t>
            </w:r>
          </w:p>
        </w:tc>
        <w:tc>
          <w:tcPr>
            <w:tcW w:w="1131" w:type="dxa"/>
          </w:tcPr>
          <w:p>
            <w:pPr>
              <w:pStyle w:val="0"/>
              <w:jc w:val="center"/>
            </w:pPr>
            <w:r>
              <w:rPr>
                <w:sz w:val="20"/>
              </w:rPr>
              <w:t xml:space="preserve">1,7</w:t>
            </w:r>
          </w:p>
        </w:tc>
      </w:tr>
      <w:tr>
        <w:tc>
          <w:tcPr>
            <w:tcW w:w="6633" w:type="dxa"/>
          </w:tcPr>
          <w:p>
            <w:pPr>
              <w:pStyle w:val="0"/>
              <w:jc w:val="both"/>
            </w:pPr>
            <w:r>
              <w:rPr>
                <w:sz w:val="20"/>
              </w:rPr>
              <w:t xml:space="preserve">Прочие производства</w:t>
            </w:r>
          </w:p>
        </w:tc>
        <w:tc>
          <w:tcPr>
            <w:tcW w:w="1276" w:type="dxa"/>
          </w:tcPr>
          <w:p>
            <w:pPr>
              <w:pStyle w:val="0"/>
              <w:jc w:val="center"/>
            </w:pPr>
            <w:r>
              <w:rPr>
                <w:sz w:val="20"/>
              </w:rPr>
              <w:t xml:space="preserve">2,2</w:t>
            </w:r>
          </w:p>
        </w:tc>
        <w:tc>
          <w:tcPr>
            <w:tcW w:w="1131" w:type="dxa"/>
          </w:tcPr>
          <w:p>
            <w:pPr>
              <w:pStyle w:val="0"/>
              <w:jc w:val="center"/>
            </w:pPr>
            <w:r>
              <w:rPr>
                <w:sz w:val="20"/>
              </w:rPr>
              <w:t xml:space="preserve">1,3</w:t>
            </w:r>
          </w:p>
        </w:tc>
      </w:tr>
    </w:tbl>
    <w:p>
      <w:pPr>
        <w:pStyle w:val="0"/>
        <w:jc w:val="both"/>
      </w:pPr>
      <w:r>
        <w:rPr>
          <w:sz w:val="20"/>
        </w:rPr>
      </w:r>
    </w:p>
    <w:p>
      <w:pPr>
        <w:pStyle w:val="0"/>
        <w:ind w:firstLine="540"/>
        <w:jc w:val="both"/>
      </w:pPr>
      <w:r>
        <w:rPr>
          <w:sz w:val="20"/>
        </w:rPr>
        <w:t xml:space="preserve">Наблюдается значительная территориальная концентрация промышленного производства. Выделяется три крупных промышленных узла - Уватский, Тобольский, Тюменский. В 2018 году они обеспечили 97,1% общего объема отгруженной продукции в Тюменской области </w:t>
      </w:r>
      <w:hyperlink w:history="0" w:anchor="P285" w:tooltip="Рисунок 1 - Структура объема отгруженной продукции">
        <w:r>
          <w:rPr>
            <w:sz w:val="20"/>
            <w:color w:val="0000ff"/>
          </w:rPr>
          <w:t xml:space="preserve">(рис. 1)</w:t>
        </w:r>
      </w:hyperlink>
      <w:r>
        <w:rPr>
          <w:sz w:val="20"/>
        </w:rPr>
        <w:t xml:space="preserve">.</w:t>
      </w:r>
    </w:p>
    <w:p>
      <w:pPr>
        <w:pStyle w:val="0"/>
        <w:spacing w:before="200" w:line-rule="auto"/>
        <w:ind w:firstLine="540"/>
        <w:jc w:val="both"/>
      </w:pPr>
      <w:r>
        <w:rPr>
          <w:sz w:val="20"/>
        </w:rPr>
        <w:t xml:space="preserve">Развитие Уватского промышленного узла основано на добыче нефти и попутного нефтяного газа в Уватском районе компаниями "РН-Уватнефтегаз", "Сургутнефтегаз", "Газпромнефть-Хантос", "ПИТ "СИБИНТЭК" и другими.</w:t>
      </w:r>
    </w:p>
    <w:p>
      <w:pPr>
        <w:pStyle w:val="0"/>
        <w:spacing w:before="200" w:line-rule="auto"/>
        <w:ind w:firstLine="540"/>
        <w:jc w:val="both"/>
      </w:pPr>
      <w:r>
        <w:rPr>
          <w:sz w:val="20"/>
        </w:rPr>
        <w:t xml:space="preserve">В состав Тюменского промышленного узла, расположенного в пределах формирующейся Тюменской агломерации &lt;3&gt;, входят предприятия разных отраслей экономики - нефтепереработки ("Антипинский НПЗ"), металлургии и металлообработки ("УГМК-Сталь", "Завод Тюменьремдормаш", "Тюменьстальмост" и другие), нефтегазового машиностроения ("Шлюмберже", "Сибнефтемаш", "ГМС Нефтемаш", "СибБурМаш", "Бентек", "Тюменский завод нефтепромыслового оборудования" ("Бейкер-Хьюз") и другие), деревообработки ("Тюменский фанерный завод"), стройиндустрии ("Кнауф Инсулейшн", "ВЗКСМ", "ВЗКГ", "Инвест-силикат-стройсервис" и другие), пищевой промышленности ("Фатум", Холдинг "Арсиб-Агро" и другие).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Агломерация - форма расселения, представляющая собой компактную систему территориально сближенных и экономически взаимосвязанных населенных мест (преимущественно городских), объединенных устойчивыми и многообразными связями (трудовыми, культурно-бытовыми, производственными, рекреационными), общей социальной и технической инфраструктурой. (Социально-экономическая география: понятия и термины. Словарь-справочник. Отв. ред. А.П. Горкин. - Смоленск: Ойкумена, 2013. - 328 с.).</w:t>
      </w:r>
    </w:p>
    <w:p>
      <w:pPr>
        <w:pStyle w:val="0"/>
        <w:jc w:val="both"/>
      </w:pPr>
      <w:r>
        <w:rPr>
          <w:sz w:val="20"/>
        </w:rPr>
      </w:r>
    </w:p>
    <w:p>
      <w:pPr>
        <w:pStyle w:val="0"/>
        <w:ind w:firstLine="540"/>
        <w:jc w:val="both"/>
      </w:pPr>
      <w:r>
        <w:rPr>
          <w:sz w:val="20"/>
        </w:rPr>
        <w:t xml:space="preserve">Тобольский промышленный узел сформировался на базе развития нефтегазохимии в городе Тобольске. Ключевой производственной площадкой промышленного узла является предприятие "СИБУР Тобольск" (бывший "Тобольск-Нефтехим"), входящее в структуру "СИБУР Холдинга".</w:t>
      </w:r>
    </w:p>
    <w:p>
      <w:pPr>
        <w:pStyle w:val="0"/>
        <w:jc w:val="both"/>
      </w:pPr>
      <w:r>
        <w:rPr>
          <w:sz w:val="20"/>
        </w:rPr>
      </w:r>
    </w:p>
    <w:p>
      <w:pPr>
        <w:pStyle w:val="0"/>
        <w:outlineLvl w:val="5"/>
        <w:jc w:val="center"/>
      </w:pPr>
      <w:r>
        <w:rPr>
          <w:position w:val="-218"/>
        </w:rPr>
        <w:drawing>
          <wp:inline distT="0" distB="0" distL="0" distR="0">
            <wp:extent cx="4919980" cy="2901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4919980" cy="2901950"/>
                    </a:xfrm>
                    <a:prstGeom prst="rect">
                      <a:avLst/>
                    </a:prstGeom>
                    <a:noFill/>
                    <a:ln>
                      <a:noFill/>
                    </a:ln>
                  </pic:spPr>
                </pic:pic>
              </a:graphicData>
            </a:graphic>
          </wp:inline>
        </w:drawing>
      </w:r>
    </w:p>
    <w:p>
      <w:pPr>
        <w:pStyle w:val="0"/>
        <w:jc w:val="both"/>
      </w:pPr>
      <w:r>
        <w:rPr>
          <w:sz w:val="20"/>
        </w:rPr>
      </w:r>
    </w:p>
    <w:bookmarkStart w:id="285" w:name="P285"/>
    <w:bookmarkEnd w:id="285"/>
    <w:p>
      <w:pPr>
        <w:pStyle w:val="2"/>
        <w:jc w:val="center"/>
      </w:pPr>
      <w:r>
        <w:rPr>
          <w:sz w:val="20"/>
        </w:rPr>
        <w:t xml:space="preserve">Рисунок 1 - Структура объема отгруженной продукции</w:t>
      </w:r>
    </w:p>
    <w:p>
      <w:pPr>
        <w:pStyle w:val="2"/>
        <w:jc w:val="center"/>
      </w:pPr>
      <w:r>
        <w:rPr>
          <w:sz w:val="20"/>
        </w:rPr>
        <w:t xml:space="preserve">промышленности (без субъектов малого предпринимательства)</w:t>
      </w:r>
    </w:p>
    <w:p>
      <w:pPr>
        <w:pStyle w:val="2"/>
        <w:jc w:val="center"/>
      </w:pPr>
      <w:r>
        <w:rPr>
          <w:sz w:val="20"/>
        </w:rPr>
        <w:t xml:space="preserve">в Тюменской области за 2018 год, % к итогу за год</w:t>
      </w:r>
    </w:p>
    <w:p>
      <w:pPr>
        <w:pStyle w:val="0"/>
        <w:jc w:val="both"/>
      </w:pPr>
      <w:r>
        <w:rPr>
          <w:sz w:val="20"/>
        </w:rPr>
      </w:r>
    </w:p>
    <w:p>
      <w:pPr>
        <w:pStyle w:val="2"/>
        <w:outlineLvl w:val="4"/>
        <w:ind w:firstLine="540"/>
        <w:jc w:val="both"/>
      </w:pPr>
      <w:r>
        <w:rPr>
          <w:sz w:val="20"/>
        </w:rPr>
        <w:t xml:space="preserve">Нефтегазовая и нефтегазоперерабатывающая промышленность</w:t>
      </w:r>
    </w:p>
    <w:p>
      <w:pPr>
        <w:pStyle w:val="0"/>
        <w:spacing w:before="200" w:line-rule="auto"/>
        <w:ind w:firstLine="540"/>
        <w:jc w:val="both"/>
      </w:pPr>
      <w:r>
        <w:rPr>
          <w:sz w:val="20"/>
        </w:rPr>
        <w:t xml:space="preserve">Экономическую специализацию Тюменской области определяет нефтегазовая промышленность. Ее развитие обусловлено как природно-ресурсным потенциалом, так и экономико-географическим положением Тюменской области.</w:t>
      </w:r>
    </w:p>
    <w:p>
      <w:pPr>
        <w:pStyle w:val="0"/>
        <w:spacing w:before="200" w:line-rule="auto"/>
        <w:ind w:firstLine="540"/>
        <w:jc w:val="both"/>
      </w:pPr>
      <w:r>
        <w:rPr>
          <w:sz w:val="20"/>
        </w:rPr>
        <w:t xml:space="preserve">Добычу нефти на территории Тюменской области ведут 5 компаний, в том числе "НК "Роснефть", "Сургутнефтегаз", "Газпром нефть". В 2018 году было добыто 12,6 млн тонн нефти. За период с 2007 по 2018 год добыча нефти увеличилась в 9 раз, что обусловлено успешной реализацией Уватского проекта по освоению труднодоступных месторождений нефти, оператором которого выступает "РН-Уватнефтегаз". Доля Тюменской области в добыче нефти в Российской Федерации возросла с 0,3% до 2,3%. Рост добычи нефти привел к увеличению извлечения из недр попутного нефтяного газа. За 2007 - 2018 годы его добыча выросла с 20,2 до 357 млн м</w:t>
      </w:r>
      <w:r>
        <w:rPr>
          <w:sz w:val="20"/>
          <w:vertAlign w:val="superscript"/>
        </w:rPr>
        <w:t xml:space="preserve">3</w:t>
      </w:r>
      <w:r>
        <w:rPr>
          <w:sz w:val="20"/>
        </w:rPr>
        <w:t xml:space="preserve">.</w:t>
      </w:r>
    </w:p>
    <w:p>
      <w:pPr>
        <w:pStyle w:val="0"/>
        <w:spacing w:before="200" w:line-rule="auto"/>
        <w:ind w:firstLine="540"/>
        <w:jc w:val="both"/>
      </w:pPr>
      <w:r>
        <w:rPr>
          <w:sz w:val="20"/>
        </w:rPr>
        <w:t xml:space="preserve">Развитие нефтедобывающей отрасли неразрывно связано с проведением геологоразведочных работ. За 2007 - 2018 годы в регионе пробурено 584,1 километров поисковых и разведочных скважин. Изученность территории Тюменской области глубоким бурением увеличилась на 65% (с 5,2 м/км</w:t>
      </w:r>
      <w:r>
        <w:rPr>
          <w:sz w:val="20"/>
          <w:vertAlign w:val="superscript"/>
        </w:rPr>
        <w:t xml:space="preserve">2</w:t>
      </w:r>
      <w:r>
        <w:rPr>
          <w:sz w:val="20"/>
        </w:rPr>
        <w:t xml:space="preserve"> до 8,6 м/км</w:t>
      </w:r>
      <w:r>
        <w:rPr>
          <w:sz w:val="20"/>
          <w:vertAlign w:val="superscript"/>
        </w:rPr>
        <w:t xml:space="preserve">2</w:t>
      </w:r>
      <w:r>
        <w:rPr>
          <w:sz w:val="20"/>
        </w:rPr>
        <w:t xml:space="preserve">). Наиболее изучен Уватский район. За счет выполненных геологоразведочных работ количество месторождений углеводородного сырья в Тюменской области возросло с 30 до 45.</w:t>
      </w:r>
    </w:p>
    <w:p>
      <w:pPr>
        <w:pStyle w:val="0"/>
        <w:spacing w:before="200" w:line-rule="auto"/>
        <w:ind w:firstLine="540"/>
        <w:jc w:val="both"/>
      </w:pPr>
      <w:r>
        <w:rPr>
          <w:sz w:val="20"/>
        </w:rPr>
        <w:t xml:space="preserve">Одним из основных направлений развития экономики региона является формирование отраслей, связанных с глубокой переработкой углеводородного сырья. Ведущим предприятием Тюменской области в отрасли нефтепереработки является "Антипинский нефтеперерабатывающий завод", суммарная мощность по переработке нефти которого свыше 9 млн тонн в год.</w:t>
      </w:r>
    </w:p>
    <w:p>
      <w:pPr>
        <w:pStyle w:val="0"/>
        <w:spacing w:before="200" w:line-rule="auto"/>
        <w:ind w:firstLine="540"/>
        <w:jc w:val="both"/>
      </w:pPr>
      <w:r>
        <w:rPr>
          <w:sz w:val="20"/>
        </w:rPr>
        <w:t xml:space="preserve">Доля Тюменской области в общероссийском объеме первичной переработки нефти в 2018 году составила 2,2% (в 2007 году - 0,3%).</w:t>
      </w:r>
    </w:p>
    <w:p>
      <w:pPr>
        <w:pStyle w:val="0"/>
        <w:spacing w:before="200" w:line-rule="auto"/>
        <w:ind w:firstLine="540"/>
        <w:jc w:val="both"/>
      </w:pPr>
      <w:r>
        <w:rPr>
          <w:sz w:val="20"/>
        </w:rPr>
        <w:t xml:space="preserve">Конкурентными преимуществами нефтегазовой и нефтеперерабатывающей отраслей являются высокий промышленный потенциал региона, наличие высококвалифицированных кадров, развитая производственная инфраструктура.</w:t>
      </w:r>
    </w:p>
    <w:p>
      <w:pPr>
        <w:pStyle w:val="2"/>
        <w:spacing w:before="200" w:line-rule="auto"/>
        <w:outlineLvl w:val="4"/>
        <w:ind w:firstLine="540"/>
        <w:jc w:val="both"/>
      </w:pPr>
      <w:r>
        <w:rPr>
          <w:sz w:val="20"/>
        </w:rPr>
        <w:t xml:space="preserve">Химическое производство (нефтегазохимия)</w:t>
      </w:r>
    </w:p>
    <w:p>
      <w:pPr>
        <w:pStyle w:val="0"/>
        <w:spacing w:before="200" w:line-rule="auto"/>
        <w:ind w:firstLine="540"/>
        <w:jc w:val="both"/>
      </w:pPr>
      <w:r>
        <w:rPr>
          <w:sz w:val="20"/>
        </w:rPr>
        <w:t xml:space="preserve">Создание нефтехимических производств высоких переделов и освоение выпуска новых видов продукции является важнейшим направлением развития переработки углеводородного сырья.</w:t>
      </w:r>
    </w:p>
    <w:p>
      <w:pPr>
        <w:pStyle w:val="0"/>
        <w:spacing w:before="200" w:line-rule="auto"/>
        <w:ind w:firstLine="540"/>
        <w:jc w:val="both"/>
      </w:pPr>
      <w:r>
        <w:rPr>
          <w:sz w:val="20"/>
        </w:rPr>
        <w:t xml:space="preserve">Химическое производство в 2018 году возросло в 13,9 раза к уровню 2007 года. Во многом рост обусловлен вводом компанией "СИБУР" в эксплуатацию крупнейшего в России комплекса производств по выпуску полипропилена - "Тобольск-Полимер" - мощностью 500 тыс. тонн в год. В 2015 году на Тобольской промышленной площадке началось строительство еще более масштабного проекта комплекса глубокой переработки углеводородного сырья "ЗапСибНефтехим", который станет крупнейшим в стране и одним из крупнейших в мире по мощности.</w:t>
      </w:r>
    </w:p>
    <w:p>
      <w:pPr>
        <w:pStyle w:val="0"/>
        <w:spacing w:before="200" w:line-rule="auto"/>
        <w:ind w:firstLine="540"/>
        <w:jc w:val="both"/>
      </w:pPr>
      <w:r>
        <w:rPr>
          <w:sz w:val="20"/>
        </w:rPr>
        <w:t xml:space="preserve">К конкурентным преимуществам отрасли нефтегазохимии относятся: наличие быстрорастущего спроса на продукцию химического комплекса; расположение в непосредственной близости от региона нефтегазодобывающих комплексов (Ханты-Мансийский автономный округ - Югра, Ямало-Ненецкий автономный округ), позволяющих обеспечить развитие нефтехимических производств; реализация инфраструктурных проектов "Северный широтный ход" и "Северный морской путь", благодаря которым появится возможность транспортировки продукции, произведенной предприятиями Тюменской области и, в первую очередь, Тобольской промышленной площадки, морскими судами в страны Азии и Европы; наличие современных технологичных нефтегазохимических мощностей, реализация инвестиционных проектов в смежных отраслях.</w:t>
      </w:r>
    </w:p>
    <w:p>
      <w:pPr>
        <w:pStyle w:val="0"/>
        <w:spacing w:before="200" w:line-rule="auto"/>
        <w:ind w:firstLine="540"/>
        <w:jc w:val="both"/>
      </w:pPr>
      <w:r>
        <w:rPr>
          <w:sz w:val="20"/>
        </w:rPr>
        <w:t xml:space="preserve">Еще одно направление развития химической промышленности - создание производств лекарственных средств. Компанией "Фармасинтез-Тюмень" реализуется инвестиционный проект по организации фармацевтического производства в городе Тюмени. "Тюменский химико-фармацевтический завод" реализует проект по модернизации существующих мощностей. Развитие фармацевтической промышленности направлено на локализацию и модернизацию производств полного цикла лекарственных препаратов.</w:t>
      </w:r>
    </w:p>
    <w:p>
      <w:pPr>
        <w:pStyle w:val="2"/>
        <w:spacing w:before="200" w:line-rule="auto"/>
        <w:outlineLvl w:val="4"/>
        <w:ind w:firstLine="540"/>
        <w:jc w:val="both"/>
      </w:pPr>
      <w:r>
        <w:rPr>
          <w:sz w:val="20"/>
        </w:rPr>
        <w:t xml:space="preserve">Машиностроение</w:t>
      </w:r>
    </w:p>
    <w:p>
      <w:pPr>
        <w:pStyle w:val="0"/>
        <w:spacing w:before="200" w:line-rule="auto"/>
        <w:ind w:firstLine="540"/>
        <w:jc w:val="both"/>
      </w:pPr>
      <w:r>
        <w:rPr>
          <w:sz w:val="20"/>
        </w:rPr>
        <w:t xml:space="preserve">Машиностроение, ориентированное, в первую очередь, на нефтегазовую отрасль, традиционно является одной из основных отраслей экономики Тюменской области - 6,6% в структуре обрабатывающих производств в 2018 году.</w:t>
      </w:r>
    </w:p>
    <w:p>
      <w:pPr>
        <w:pStyle w:val="0"/>
        <w:spacing w:before="200" w:line-rule="auto"/>
        <w:ind w:firstLine="540"/>
        <w:jc w:val="both"/>
      </w:pPr>
      <w:r>
        <w:rPr>
          <w:sz w:val="20"/>
        </w:rPr>
        <w:t xml:space="preserve">Производство машин и оборудования в 2018 году по отношению к 2007 году возросло в 3,3 раза. Объем отгруженной продукции машиностроительными организациями за 2018 год составил 52,9 млрд рублей.</w:t>
      </w:r>
    </w:p>
    <w:p>
      <w:pPr>
        <w:pStyle w:val="0"/>
        <w:spacing w:before="200" w:line-rule="auto"/>
        <w:ind w:firstLine="540"/>
        <w:jc w:val="both"/>
      </w:pPr>
      <w:r>
        <w:rPr>
          <w:sz w:val="20"/>
        </w:rPr>
        <w:t xml:space="preserve">Позитивным фактором перспективного развития отрасли является развитая инфраструктурная обеспеченность машиностроительных предприятий региона собственными коммуникациями, электроэнергией и транспортом, включая относительно развитую сеть железных и автомобильных дорог.</w:t>
      </w:r>
    </w:p>
    <w:p>
      <w:pPr>
        <w:pStyle w:val="0"/>
        <w:spacing w:before="200" w:line-rule="auto"/>
        <w:ind w:firstLine="540"/>
        <w:jc w:val="both"/>
      </w:pPr>
      <w:r>
        <w:rPr>
          <w:sz w:val="20"/>
        </w:rPr>
        <w:t xml:space="preserve">Кроме того, среди положительных тенденций развития отрасли можно выделить появление в отрасли крупных транснациональных корпораций ("Шлюмберже", "Бентек", "Бейкер Хьюз", "КЦА Дойтаг"), специализирующихся на производстве нефтегазового оборудования и промышленном нефтесервисе; образование машиностроительных холдингов и концернов; наличие существенной государственной поддержки машиностроительных предприятий региона.</w:t>
      </w:r>
    </w:p>
    <w:p>
      <w:pPr>
        <w:pStyle w:val="0"/>
        <w:spacing w:before="200" w:line-rule="auto"/>
        <w:ind w:firstLine="540"/>
        <w:jc w:val="both"/>
      </w:pPr>
      <w:r>
        <w:rPr>
          <w:sz w:val="20"/>
        </w:rPr>
        <w:t xml:space="preserve">Существенные перспективы связаны с импортозамещением машиностроительной продукции, в том числе оборудования и материалов для нефтегазового комплекса (оборудование и материалы для бурения и эксплуатации скважин, насосное оборудование и компрессорные установки, геофизическое оборудование и другие), энергетического машиностроения, кабельной и электротехнической продукции, оборудования и материалов для судостроения, станков и инструментов и других.</w:t>
      </w:r>
    </w:p>
    <w:p>
      <w:pPr>
        <w:pStyle w:val="0"/>
        <w:spacing w:before="200" w:line-rule="auto"/>
        <w:ind w:firstLine="540"/>
        <w:jc w:val="both"/>
      </w:pPr>
      <w:r>
        <w:rPr>
          <w:sz w:val="20"/>
        </w:rPr>
        <w:t xml:space="preserve">Сектор нефтегазового машиностроения имеет существенные перспективы к развитию, обусловленные наличием спроса на его продукцию со стороны компаний, работающих в крупнейших нефтегазодобывающих комплексах страны (Ханты-Мансийский автономный округ - Югра, Ямало-Ненецкий автономный округ).</w:t>
      </w:r>
    </w:p>
    <w:p>
      <w:pPr>
        <w:pStyle w:val="2"/>
        <w:spacing w:before="200" w:line-rule="auto"/>
        <w:outlineLvl w:val="4"/>
        <w:ind w:firstLine="540"/>
        <w:jc w:val="both"/>
      </w:pPr>
      <w:r>
        <w:rPr>
          <w:sz w:val="20"/>
        </w:rPr>
        <w:t xml:space="preserve">Добыча и переработка прочих полезных ископаемых</w:t>
      </w:r>
    </w:p>
    <w:p>
      <w:pPr>
        <w:pStyle w:val="0"/>
        <w:spacing w:before="200" w:line-rule="auto"/>
        <w:ind w:firstLine="540"/>
        <w:jc w:val="both"/>
      </w:pPr>
      <w:r>
        <w:rPr>
          <w:sz w:val="20"/>
        </w:rPr>
        <w:t xml:space="preserve">Минерально-сырьевую базу промышленности строительных материалов в Тюменской области составляют практически повсеместно распространенные строительные пески, кирпично-керамзитовые глины, суглинки, супеси, песчано-гравийные породы. Всего в регионе насчитывается 24 месторождения песка (супеси) и 281 участок недр с запасами песка (супеси) вне месторождений, а также 68 месторождений глины (суглинка) и 218 участков недр с запасами глины (суглинка) вне месторождений. За 2007 - 2018 годы добыча строительного песка в регионе выросла в 1,3 раза, глин и суглинков - в 1,9 раза. Весь объем добываемого строительного сырья используется внутри региона.</w:t>
      </w:r>
    </w:p>
    <w:p>
      <w:pPr>
        <w:pStyle w:val="0"/>
        <w:spacing w:before="200" w:line-rule="auto"/>
        <w:ind w:firstLine="540"/>
        <w:jc w:val="both"/>
      </w:pPr>
      <w:r>
        <w:rPr>
          <w:sz w:val="20"/>
        </w:rPr>
        <w:t xml:space="preserve">Основными производителями и потребителями строительного сырья по итогам 2018 года являются Уватский, Тюменский и Тобольский районы, где локализовано 82% разведанных запасов строительного сырья.</w:t>
      </w:r>
    </w:p>
    <w:p>
      <w:pPr>
        <w:pStyle w:val="0"/>
        <w:spacing w:before="200" w:line-rule="auto"/>
        <w:ind w:firstLine="540"/>
        <w:jc w:val="both"/>
      </w:pPr>
      <w:r>
        <w:rPr>
          <w:sz w:val="20"/>
        </w:rPr>
        <w:t xml:space="preserve">Значительные объемы добычи строительного сырья в 2018 году обеспечены высокими темпами жилищного, промышленного и инфраструктурного развития города Тюмени и Тюменского района, развивающимся нефтегазовым комплексом Уватского района, где строительные пески и глины используются для вертикальной планировки строящихся объектов нефтегазовой инфраструктуры, и растущими потребностями строящихся нефтехимических производств в городе Тобольске.</w:t>
      </w:r>
    </w:p>
    <w:p>
      <w:pPr>
        <w:pStyle w:val="0"/>
        <w:spacing w:before="200" w:line-rule="auto"/>
        <w:ind w:firstLine="540"/>
        <w:jc w:val="both"/>
      </w:pPr>
      <w:r>
        <w:rPr>
          <w:sz w:val="20"/>
        </w:rPr>
        <w:t xml:space="preserve">В последние годы прирост запасов строительных песков и глин значительно опережает годовые уровни добычи. В 2018 году прирост запасов по строительному сырью составил 98,3 млн м</w:t>
      </w:r>
      <w:r>
        <w:rPr>
          <w:sz w:val="20"/>
          <w:vertAlign w:val="superscript"/>
        </w:rPr>
        <w:t xml:space="preserve">3</w:t>
      </w:r>
      <w:r>
        <w:rPr>
          <w:sz w:val="20"/>
        </w:rPr>
        <w:t xml:space="preserve">. Тем не менее, Тюменская область является импортером строительного сырья: в период 2007 - 2015 годов в Тюменскую область завезено не менее 5 млн м</w:t>
      </w:r>
      <w:r>
        <w:rPr>
          <w:sz w:val="20"/>
          <w:vertAlign w:val="superscript"/>
        </w:rPr>
        <w:t xml:space="preserve">3</w:t>
      </w:r>
      <w:r>
        <w:rPr>
          <w:sz w:val="20"/>
        </w:rPr>
        <w:t xml:space="preserve"> строительных песков с модулем крупности более 2.0.</w:t>
      </w:r>
    </w:p>
    <w:p>
      <w:pPr>
        <w:pStyle w:val="0"/>
        <w:spacing w:before="200" w:line-rule="auto"/>
        <w:ind w:firstLine="540"/>
        <w:jc w:val="both"/>
      </w:pPr>
      <w:r>
        <w:rPr>
          <w:sz w:val="20"/>
        </w:rPr>
        <w:t xml:space="preserve">В Тюменской области располагается крупнейшее месторождение йодных и йодобромных вод в России - Тюменское месторождение (46,8% общероссийских запасов), открытое и изученное в 1958 - 1970 годах в составе четырех разведанных участков: Тобольского, Черкашинского, Сергеевского и Инжуринского.</w:t>
      </w:r>
    </w:p>
    <w:p>
      <w:pPr>
        <w:pStyle w:val="0"/>
        <w:spacing w:before="200" w:line-rule="auto"/>
        <w:ind w:firstLine="540"/>
        <w:jc w:val="both"/>
      </w:pPr>
      <w:r>
        <w:rPr>
          <w:sz w:val="20"/>
        </w:rPr>
        <w:t xml:space="preserve">Запасы йодных вод Тюменского месторождения учитываются в нераспределенном фонде недр и на 01.01.2019 составляют (в сумме по участкам): категория A + B + C</w:t>
      </w:r>
      <w:r>
        <w:rPr>
          <w:sz w:val="20"/>
          <w:vertAlign w:val="subscript"/>
        </w:rPr>
        <w:t xml:space="preserve">1</w:t>
      </w:r>
      <w:r>
        <w:rPr>
          <w:sz w:val="20"/>
        </w:rPr>
        <w:t xml:space="preserve"> - 174,8 тыс. м</w:t>
      </w:r>
      <w:r>
        <w:rPr>
          <w:sz w:val="20"/>
          <w:vertAlign w:val="superscript"/>
        </w:rPr>
        <w:t xml:space="preserve">3</w:t>
      </w:r>
      <w:r>
        <w:rPr>
          <w:sz w:val="20"/>
        </w:rPr>
        <w:t xml:space="preserve">/сутки, категория С</w:t>
      </w:r>
      <w:r>
        <w:rPr>
          <w:sz w:val="20"/>
          <w:vertAlign w:val="subscript"/>
        </w:rPr>
        <w:t xml:space="preserve">2</w:t>
      </w:r>
      <w:r>
        <w:rPr>
          <w:sz w:val="20"/>
        </w:rPr>
        <w:t xml:space="preserve"> - 9,5 тыс. м</w:t>
      </w:r>
      <w:r>
        <w:rPr>
          <w:sz w:val="20"/>
          <w:vertAlign w:val="superscript"/>
        </w:rPr>
        <w:t xml:space="preserve">3</w:t>
      </w:r>
      <w:r>
        <w:rPr>
          <w:sz w:val="20"/>
        </w:rPr>
        <w:t xml:space="preserve">/сутки.</w:t>
      </w:r>
    </w:p>
    <w:p>
      <w:pPr>
        <w:pStyle w:val="0"/>
        <w:spacing w:before="200" w:line-rule="auto"/>
        <w:ind w:firstLine="540"/>
        <w:jc w:val="both"/>
      </w:pPr>
      <w:r>
        <w:rPr>
          <w:sz w:val="20"/>
        </w:rPr>
        <w:t xml:space="preserve">Месторождения обладают значительным потенциалом для промышленного производства йода, брома и материалов (препаратов) на их основе.</w:t>
      </w:r>
    </w:p>
    <w:p>
      <w:pPr>
        <w:pStyle w:val="0"/>
        <w:spacing w:before="200" w:line-rule="auto"/>
        <w:ind w:firstLine="540"/>
        <w:jc w:val="both"/>
      </w:pPr>
      <w:r>
        <w:rPr>
          <w:sz w:val="20"/>
        </w:rPr>
        <w:t xml:space="preserve">Минерально-сырьевую базу агрохимического комплекса в Тюменской области составляют торф, озерный сапропель и озерная известь (гажа). На начало 2018 года в Тюменской области учтено почти 2 млрд тонн запасов торфа, при этом в распределенном фонде недр локализовано только 4,1 млн тонн.</w:t>
      </w:r>
    </w:p>
    <w:p>
      <w:pPr>
        <w:pStyle w:val="0"/>
        <w:spacing w:before="200" w:line-rule="auto"/>
        <w:ind w:firstLine="540"/>
        <w:jc w:val="both"/>
      </w:pPr>
      <w:r>
        <w:rPr>
          <w:sz w:val="20"/>
        </w:rPr>
        <w:t xml:space="preserve">По итогам 2018 года в Тюменской области добыто 16 тыс. тонн торфа. Добыча торфа производилась в Нижнетавдинском районе.</w:t>
      </w:r>
    </w:p>
    <w:p>
      <w:pPr>
        <w:pStyle w:val="0"/>
        <w:spacing w:before="200" w:line-rule="auto"/>
        <w:ind w:firstLine="540"/>
        <w:jc w:val="both"/>
      </w:pPr>
      <w:r>
        <w:rPr>
          <w:sz w:val="20"/>
        </w:rPr>
        <w:t xml:space="preserve">Формовочные и стекольные пески. На начало 2019 года в Тюменской области на добычу формовочных песков выдана одна лицензия в Заводоуковском городском округе на Тумашевском месторождении формовочного песка (ООО "Стеклотех"). Учитывая невостребованность формовочного сырья на рынке и сложность его обработки для получения товарной продукции, добываемое сырье используется для производства темного стекла.</w:t>
      </w:r>
    </w:p>
    <w:p>
      <w:pPr>
        <w:pStyle w:val="0"/>
        <w:spacing w:before="200" w:line-rule="auto"/>
        <w:ind w:firstLine="540"/>
        <w:jc w:val="both"/>
      </w:pPr>
      <w:r>
        <w:rPr>
          <w:sz w:val="20"/>
        </w:rPr>
        <w:t xml:space="preserve">За 2018 год добыто 71,3 тыс. тонн формовочного песка. Балансовые запасы по состоянию на 01.01.2019 составили 8,7 млн тонн и при текущем уровне добычи ООО "Стеклотех" обеспечено сырьем на 118 лет.</w:t>
      </w:r>
    </w:p>
    <w:p>
      <w:pPr>
        <w:pStyle w:val="0"/>
        <w:spacing w:before="200" w:line-rule="auto"/>
        <w:ind w:firstLine="540"/>
        <w:jc w:val="both"/>
      </w:pPr>
      <w:r>
        <w:rPr>
          <w:sz w:val="20"/>
        </w:rPr>
        <w:t xml:space="preserve">Титан-циркониевые минералы. В Нижнетавдинском муниципальном районе Тюменской области предоставлена одна лицензия на добычу титан-циркониевых песков (ООО "С.Б.К.Про").</w:t>
      </w:r>
    </w:p>
    <w:p>
      <w:pPr>
        <w:pStyle w:val="0"/>
        <w:spacing w:before="200" w:line-rule="auto"/>
        <w:ind w:firstLine="540"/>
        <w:jc w:val="both"/>
      </w:pPr>
      <w:r>
        <w:rPr>
          <w:sz w:val="20"/>
        </w:rPr>
        <w:t xml:space="preserve">По состоянию на 01.01.2019 в границах лицензионного участка недр запасы минерального сырья составляют: по ильмениту - 1076,7 тыс. тонн; по циркону - 62,9 тыс. тонн; по титану - 933,7 тыс. тонн, что создает предпосылки для производства титан-циркониевых концентратов, которое в настоящее время на 90% импортируется из стран дальнего зарубежья. Соединения используются для получения титановых белил, в производстве бумаги, резины, пластика, керамики, применяются в авиационно-космической технике, судостроении (особенно подводном), машиностроении, химических производствах, нефтедобыче и нефтепереработке, строительстве морских и береговых сооружений, наземном транспорте, в первую очередь, в автомобилестроении, энергетике, медицине, лесохимии, строительстве и архитектуре, для спортивного оборудования и снаряжения.</w:t>
      </w:r>
    </w:p>
    <w:p>
      <w:pPr>
        <w:pStyle w:val="2"/>
        <w:spacing w:before="200" w:line-rule="auto"/>
        <w:outlineLvl w:val="4"/>
        <w:ind w:firstLine="540"/>
        <w:jc w:val="both"/>
      </w:pPr>
      <w:r>
        <w:rPr>
          <w:sz w:val="20"/>
        </w:rPr>
        <w:t xml:space="preserve">Энергетический комплекс</w:t>
      </w:r>
    </w:p>
    <w:p>
      <w:pPr>
        <w:pStyle w:val="0"/>
        <w:spacing w:before="200" w:line-rule="auto"/>
        <w:ind w:firstLine="540"/>
        <w:jc w:val="both"/>
      </w:pPr>
      <w:r>
        <w:rPr>
          <w:sz w:val="20"/>
        </w:rPr>
        <w:t xml:space="preserve">Тюменская область располагает развитой энергетикой. Базу электроэнергетики Тюменской области составляют три теплоэлектростанции: Тюменская ТЭЦ-1, Тюменская ТЭЦ-2, входящие в структуру компании "Фортум", и Тобольская ТЭЦ, входящая в структуру компании "СИБУР".</w:t>
      </w:r>
    </w:p>
    <w:p>
      <w:pPr>
        <w:pStyle w:val="0"/>
        <w:spacing w:before="200" w:line-rule="auto"/>
        <w:ind w:firstLine="540"/>
        <w:jc w:val="both"/>
      </w:pPr>
      <w:r>
        <w:rPr>
          <w:sz w:val="20"/>
        </w:rPr>
        <w:t xml:space="preserve">Суммарная установленная мощность станций составляет 2102 МВт электрической и 5264 Гкал/час тепловой энергии. Полностью обеспечиваются существующие нагрузки потребителей региона и имеется резерв мощности. Наличие резерва электрогенерирующих мощностей является важным фактором для дальнейшего развития производства в Тюменской области.</w:t>
      </w:r>
    </w:p>
    <w:p>
      <w:pPr>
        <w:pStyle w:val="0"/>
        <w:spacing w:before="200" w:line-rule="auto"/>
        <w:ind w:firstLine="540"/>
        <w:jc w:val="both"/>
      </w:pPr>
      <w:r>
        <w:rPr>
          <w:sz w:val="20"/>
        </w:rPr>
        <w:t xml:space="preserve">Компанией "Роснефть" в рамках программы утилизации попутного нефтяного газа (ПНГ) на Уватской группе месторождений осуществляется строительство генерирующих мощностей на ПНГ. Уже введен ряд электростанций на Усть-Тегусском, Тямкинском и Протозановском месторождениях, позволивших обеспечить промыслы собственной генерацией и рационально использовать попутный нефтяной газ. В 2017 году компанией "Сургутнефтегаз" на Южно-Нюрымском месторождении запущена газотурбинная электростанция мощностью 8 МВт.</w:t>
      </w:r>
    </w:p>
    <w:p>
      <w:pPr>
        <w:pStyle w:val="0"/>
        <w:spacing w:before="200" w:line-rule="auto"/>
        <w:ind w:firstLine="540"/>
        <w:jc w:val="both"/>
      </w:pPr>
      <w:r>
        <w:rPr>
          <w:sz w:val="20"/>
        </w:rPr>
        <w:t xml:space="preserve">В 2016 году на Тюменском фанерном заводе запустили первую в регионе электрогенерирующую установку на древесных отходах мощностью более 2,5 МВт, что позволит покрыть до 80% собственных нужд завода в электроэнергии.</w:t>
      </w:r>
    </w:p>
    <w:p>
      <w:pPr>
        <w:pStyle w:val="0"/>
        <w:spacing w:before="200" w:line-rule="auto"/>
        <w:ind w:firstLine="540"/>
        <w:jc w:val="both"/>
      </w:pPr>
      <w:r>
        <w:rPr>
          <w:sz w:val="20"/>
        </w:rPr>
        <w:t xml:space="preserve">В структуре потребления электроэнергии потребление населением по итогам 2018 года составило 21,5%, организациями - 71,1%, в том числе по видам деятельности "обрабатывающие производства" - 19,2%, "транспортировка и хранение" - 17,1%, "добыча полезных ископаемых" - 16,8%, "обеспечение электрической энергией, газом и паром; кондиционирование воздуха" - 9,8%.</w:t>
      </w:r>
    </w:p>
    <w:p>
      <w:pPr>
        <w:pStyle w:val="0"/>
        <w:spacing w:before="200" w:line-rule="auto"/>
        <w:ind w:firstLine="540"/>
        <w:jc w:val="both"/>
      </w:pPr>
      <w:r>
        <w:rPr>
          <w:sz w:val="20"/>
        </w:rPr>
        <w:t xml:space="preserve">Индекс производства в обеспечении электрической энергией, газом и паром, кондиционировании воздуха за 2018 год составил 108,4%. Выработано 12,2 млрд кВт-час электроэнергии, что на 9,3% больше, чем в предыдущем году. Производство теплоэнергии возросло на 2,2% до 17,5 млн Гкал.</w:t>
      </w:r>
    </w:p>
    <w:p>
      <w:pPr>
        <w:pStyle w:val="0"/>
        <w:spacing w:before="200" w:line-rule="auto"/>
        <w:ind w:firstLine="540"/>
        <w:jc w:val="both"/>
      </w:pPr>
      <w:r>
        <w:rPr>
          <w:sz w:val="20"/>
        </w:rPr>
        <w:t xml:space="preserve">Основными ограничивающими факторами отрасли являются:</w:t>
      </w:r>
    </w:p>
    <w:p>
      <w:pPr>
        <w:pStyle w:val="0"/>
        <w:spacing w:before="200" w:line-rule="auto"/>
        <w:ind w:firstLine="540"/>
        <w:jc w:val="both"/>
      </w:pPr>
      <w:r>
        <w:rPr>
          <w:sz w:val="20"/>
        </w:rPr>
        <w:t xml:space="preserve">изношенность сооружений и оборудования (передающих сетей, трансформаторных подстанций, генерирующих мощностей);</w:t>
      </w:r>
    </w:p>
    <w:p>
      <w:pPr>
        <w:pStyle w:val="0"/>
        <w:spacing w:before="200" w:line-rule="auto"/>
        <w:ind w:firstLine="540"/>
        <w:jc w:val="both"/>
      </w:pPr>
      <w:r>
        <w:rPr>
          <w:sz w:val="20"/>
        </w:rPr>
        <w:t xml:space="preserve">эксплуатация морально устаревшего оборудования, снижающая надежность энергосистемы и ведущая к значительным электропотерям - почти 7,4% выработанной электроэнергии в 2018 году;</w:t>
      </w:r>
    </w:p>
    <w:p>
      <w:pPr>
        <w:pStyle w:val="0"/>
        <w:spacing w:before="200" w:line-rule="auto"/>
        <w:ind w:firstLine="540"/>
        <w:jc w:val="both"/>
      </w:pPr>
      <w:r>
        <w:rPr>
          <w:sz w:val="20"/>
        </w:rPr>
        <w:t xml:space="preserve">низкая производительность устаревшего оборудования.</w:t>
      </w:r>
    </w:p>
    <w:p>
      <w:pPr>
        <w:pStyle w:val="0"/>
        <w:spacing w:before="200" w:line-rule="auto"/>
        <w:ind w:firstLine="540"/>
        <w:jc w:val="both"/>
      </w:pPr>
      <w:r>
        <w:rPr>
          <w:sz w:val="20"/>
        </w:rPr>
        <w:t xml:space="preserve">К конкурентным преимуществам отрасли относятся:</w:t>
      </w:r>
    </w:p>
    <w:p>
      <w:pPr>
        <w:pStyle w:val="0"/>
        <w:spacing w:before="200" w:line-rule="auto"/>
        <w:ind w:firstLine="540"/>
        <w:jc w:val="both"/>
      </w:pPr>
      <w:r>
        <w:rPr>
          <w:sz w:val="20"/>
        </w:rPr>
        <w:t xml:space="preserve">избыточный баланс электрической энергии и мощности энергосистемы;</w:t>
      </w:r>
    </w:p>
    <w:p>
      <w:pPr>
        <w:pStyle w:val="0"/>
        <w:spacing w:before="200" w:line-rule="auto"/>
        <w:ind w:firstLine="540"/>
        <w:jc w:val="both"/>
      </w:pPr>
      <w:r>
        <w:rPr>
          <w:sz w:val="20"/>
        </w:rPr>
        <w:t xml:space="preserve">развитые межсистемные связи, обеспечивающие возможность выдачи избыточной мощности в энергосистемы соседних регионов и получения недостающих объемов из энергоизбыточных регионов (Ханты-Мансийский автономный округ - Югра и другие);</w:t>
      </w:r>
    </w:p>
    <w:p>
      <w:pPr>
        <w:pStyle w:val="0"/>
        <w:spacing w:before="200" w:line-rule="auto"/>
        <w:ind w:firstLine="540"/>
        <w:jc w:val="both"/>
      </w:pPr>
      <w:r>
        <w:rPr>
          <w:sz w:val="20"/>
        </w:rPr>
        <w:t xml:space="preserve">относительно низкую стоимость энергоресурсов (природного газа) для генерирующих мощностей области благодаря близости регионов их добычи.</w:t>
      </w:r>
    </w:p>
    <w:p>
      <w:pPr>
        <w:pStyle w:val="2"/>
        <w:spacing w:before="200" w:line-rule="auto"/>
        <w:outlineLvl w:val="4"/>
        <w:ind w:firstLine="540"/>
        <w:jc w:val="both"/>
      </w:pPr>
      <w:r>
        <w:rPr>
          <w:sz w:val="20"/>
        </w:rPr>
        <w:t xml:space="preserve">Лесопромышленный комплекс</w:t>
      </w:r>
    </w:p>
    <w:p>
      <w:pPr>
        <w:pStyle w:val="0"/>
        <w:spacing w:before="200" w:line-rule="auto"/>
        <w:ind w:firstLine="540"/>
        <w:jc w:val="both"/>
      </w:pPr>
      <w:r>
        <w:rPr>
          <w:sz w:val="20"/>
        </w:rPr>
        <w:t xml:space="preserve">Тюменская область имеет значительную ресурсную базу для развития лесопромышленного комплекса. Общая площадь земель лесного фонда и земель иных категорий, на которых расположены леса Тюменской области, составляет 11,6 млн га (72,5% территории Тюменской области) с общим запасом древесины 975,7 млн м</w:t>
      </w:r>
      <w:r>
        <w:rPr>
          <w:sz w:val="20"/>
          <w:vertAlign w:val="superscript"/>
        </w:rPr>
        <w:t xml:space="preserve">3</w:t>
      </w:r>
      <w:r>
        <w:rPr>
          <w:sz w:val="20"/>
        </w:rPr>
        <w:t xml:space="preserve">, или около 12% от запасов УФО и 1,2% от общероссийских запасов. В составе лесонасаждений (по запасам древесины) доля хвойных лесообразующих пород оценивается в 37% и лиственных - 63%, при этом значительную их часть составляют спелые и перестойные насаждения. Потенциально возможный ежегодный объем заготовки древесины (расчетная лесосека) определен в 16,2 млн м</w:t>
      </w:r>
      <w:r>
        <w:rPr>
          <w:sz w:val="20"/>
          <w:vertAlign w:val="superscript"/>
        </w:rPr>
        <w:t xml:space="preserve">3</w:t>
      </w:r>
      <w:r>
        <w:rPr>
          <w:sz w:val="20"/>
        </w:rPr>
        <w:t xml:space="preserve">; расчетная лесосека по хвойному хозяйству составляет 3,2 млн м</w:t>
      </w:r>
      <w:r>
        <w:rPr>
          <w:sz w:val="20"/>
          <w:vertAlign w:val="superscript"/>
        </w:rPr>
        <w:t xml:space="preserve">3</w:t>
      </w:r>
      <w:r>
        <w:rPr>
          <w:sz w:val="20"/>
        </w:rPr>
        <w:t xml:space="preserve">.</w:t>
      </w:r>
    </w:p>
    <w:p>
      <w:pPr>
        <w:pStyle w:val="0"/>
        <w:spacing w:before="200" w:line-rule="auto"/>
        <w:ind w:firstLine="540"/>
        <w:jc w:val="both"/>
      </w:pPr>
      <w:r>
        <w:rPr>
          <w:sz w:val="20"/>
        </w:rPr>
        <w:t xml:space="preserve">Освоение расчетной лесосеки в 2018 году составило 9,8%. Расчетная лесосека по хвойному хозяйству использована на 26%, по мягколиственному - на 5,6%. Основным сдерживающим фактором в развитии заготовок древесины является слабо развитая транспортная (лесовозные и магистральные дороги) инфраструктура лесопользования.</w:t>
      </w:r>
    </w:p>
    <w:p>
      <w:pPr>
        <w:pStyle w:val="0"/>
        <w:spacing w:before="200" w:line-rule="auto"/>
        <w:ind w:firstLine="540"/>
        <w:jc w:val="both"/>
      </w:pPr>
      <w:r>
        <w:rPr>
          <w:sz w:val="20"/>
        </w:rPr>
        <w:t xml:space="preserve">К важнейшим факторам развития лесного комплекса Тюменской области относятся ее лесосырьевой потенциал, созданные производственные мощности, а также прогнозируемый рост спроса на лесопромышленную продукцию на внутреннем и мировом рынках.</w:t>
      </w:r>
    </w:p>
    <w:p>
      <w:pPr>
        <w:pStyle w:val="0"/>
        <w:spacing w:before="200" w:line-rule="auto"/>
        <w:ind w:firstLine="540"/>
        <w:jc w:val="both"/>
      </w:pPr>
      <w:r>
        <w:rPr>
          <w:sz w:val="20"/>
        </w:rPr>
        <w:t xml:space="preserve">Индекс производства в деревообработке за 2018 год составил 94,9%. В последние годы на ведущих предприятиях отрасли осуществлялась реализация инвестиционных проектов по модернизации существующих и созданию новых производственных мощностей. За 2007 - 2018 годы объем отгруженной продукции вырос в 2,7 раза, производство фанеры клееной выросло в 1,9 раза, в то время как производство пиломатериалов сократилось на 3,8%.</w:t>
      </w:r>
    </w:p>
    <w:p>
      <w:pPr>
        <w:pStyle w:val="0"/>
        <w:spacing w:before="200" w:line-rule="auto"/>
        <w:ind w:firstLine="540"/>
        <w:jc w:val="both"/>
      </w:pPr>
      <w:r>
        <w:rPr>
          <w:sz w:val="20"/>
        </w:rPr>
        <w:t xml:space="preserve">За последние годы были введены в эксплуатацию новые производственные мощности.</w:t>
      </w:r>
    </w:p>
    <w:p>
      <w:pPr>
        <w:pStyle w:val="0"/>
        <w:spacing w:before="200" w:line-rule="auto"/>
        <w:ind w:firstLine="540"/>
        <w:jc w:val="both"/>
      </w:pPr>
      <w:r>
        <w:rPr>
          <w:sz w:val="20"/>
        </w:rPr>
        <w:t xml:space="preserve">Компанией "Тюменский фанерный завод" создано производство фанеры международного стандарта на новой промышленной площадке в составе двух технологических линий (введены в 2009 и 2013 годах), суммарной мощностью до 90 тыс. м</w:t>
      </w:r>
      <w:r>
        <w:rPr>
          <w:sz w:val="20"/>
          <w:vertAlign w:val="superscript"/>
        </w:rPr>
        <w:t xml:space="preserve">3</w:t>
      </w:r>
      <w:r>
        <w:rPr>
          <w:sz w:val="20"/>
        </w:rPr>
        <w:t xml:space="preserve">. В Уватском районе компанией "Ровиал" создано деревообрабатывающее производство мощностью до 60 тыс. м</w:t>
      </w:r>
      <w:r>
        <w:rPr>
          <w:sz w:val="20"/>
          <w:vertAlign w:val="superscript"/>
        </w:rPr>
        <w:t xml:space="preserve">3</w:t>
      </w:r>
      <w:r>
        <w:rPr>
          <w:sz w:val="20"/>
        </w:rPr>
        <w:t xml:space="preserve"> готовых пиломатериалов в год.</w:t>
      </w:r>
    </w:p>
    <w:p>
      <w:pPr>
        <w:pStyle w:val="0"/>
        <w:spacing w:before="200" w:line-rule="auto"/>
        <w:ind w:firstLine="540"/>
        <w:jc w:val="both"/>
      </w:pPr>
      <w:r>
        <w:rPr>
          <w:sz w:val="20"/>
        </w:rPr>
        <w:t xml:space="preserve">Специфика развития лесопромышленного комплекса, обусловленная особенностями ресурсной базы и распространения пород деревьев по территории, направлениями использования древесины, видов производимой продукции и рынками сбыта, определяет выделение трех районов: Северного, Центрального, Южного (рис. 2).</w:t>
      </w:r>
    </w:p>
    <w:p>
      <w:pPr>
        <w:pStyle w:val="0"/>
        <w:jc w:val="both"/>
      </w:pPr>
      <w:r>
        <w:rPr>
          <w:sz w:val="20"/>
        </w:rPr>
      </w:r>
    </w:p>
    <w:p>
      <w:pPr>
        <w:pStyle w:val="0"/>
        <w:outlineLvl w:val="5"/>
        <w:jc w:val="center"/>
      </w:pPr>
      <w:r>
        <w:rPr>
          <w:position w:val="-284"/>
        </w:rPr>
        <w:drawing>
          <wp:inline distT="0" distB="0" distL="0" distR="0">
            <wp:extent cx="4584700" cy="37433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3743325"/>
                    </a:xfrm>
                    <a:prstGeom prst="rect">
                      <a:avLst/>
                    </a:prstGeom>
                    <a:noFill/>
                    <a:ln>
                      <a:noFill/>
                    </a:ln>
                  </pic:spPr>
                </pic:pic>
              </a:graphicData>
            </a:graphic>
          </wp:inline>
        </w:drawing>
      </w:r>
    </w:p>
    <w:p>
      <w:pPr>
        <w:pStyle w:val="0"/>
        <w:jc w:val="both"/>
      </w:pPr>
      <w:r>
        <w:rPr>
          <w:sz w:val="20"/>
        </w:rPr>
      </w:r>
    </w:p>
    <w:p>
      <w:pPr>
        <w:pStyle w:val="2"/>
        <w:jc w:val="center"/>
      </w:pPr>
      <w:r>
        <w:rPr>
          <w:sz w:val="20"/>
        </w:rPr>
        <w:t xml:space="preserve">Рисунок 2 - Лесопромышленные районы Тюменской области</w:t>
      </w:r>
    </w:p>
    <w:p>
      <w:pPr>
        <w:pStyle w:val="0"/>
        <w:jc w:val="both"/>
      </w:pPr>
      <w:r>
        <w:rPr>
          <w:sz w:val="20"/>
        </w:rPr>
      </w:r>
    </w:p>
    <w:p>
      <w:pPr>
        <w:pStyle w:val="0"/>
        <w:ind w:firstLine="540"/>
        <w:jc w:val="both"/>
      </w:pPr>
      <w:r>
        <w:rPr>
          <w:sz w:val="20"/>
        </w:rPr>
        <w:t xml:space="preserve">Северный район отличается большей лесистостью, а также преобладанием хвойных пород над лиственными (35% к 65% соответственно), историческими предпосылками развития лесозаготовок, наличием водных и железнодорожных путей, сохранившимися лесовозными дорогами, что определяет перспективы создания целлюлозно-бумажного комбината, крупных лесопильных, плитных производств и лесохимии. Территории Уватского, Тобольского и Вагайского районов, относящихся к Северному лесному району, имеют потенциал развития деревообрабатывающих производств.</w:t>
      </w:r>
    </w:p>
    <w:p>
      <w:pPr>
        <w:pStyle w:val="0"/>
        <w:spacing w:before="200" w:line-rule="auto"/>
        <w:ind w:firstLine="540"/>
        <w:jc w:val="both"/>
      </w:pPr>
      <w:r>
        <w:rPr>
          <w:sz w:val="20"/>
        </w:rPr>
        <w:t xml:space="preserve">Центральный и Южный районы характеризуются преобладанием в этих районах лиственных пород деревьев, близостью к другим производителям, удобной логистикой, что определяет перспективы создания плитных производств, продукции деревянного домостроения, мебельного производства, а также развития биоэнергетики.</w:t>
      </w:r>
    </w:p>
    <w:p>
      <w:pPr>
        <w:pStyle w:val="2"/>
        <w:spacing w:before="200" w:line-rule="auto"/>
        <w:outlineLvl w:val="4"/>
        <w:ind w:firstLine="540"/>
        <w:jc w:val="both"/>
      </w:pPr>
      <w:r>
        <w:rPr>
          <w:sz w:val="20"/>
        </w:rPr>
        <w:t xml:space="preserve">Агропромышленный комплекс</w:t>
      </w:r>
    </w:p>
    <w:p>
      <w:pPr>
        <w:pStyle w:val="0"/>
        <w:spacing w:before="200" w:line-rule="auto"/>
        <w:ind w:firstLine="540"/>
        <w:jc w:val="both"/>
      </w:pPr>
      <w:r>
        <w:rPr>
          <w:sz w:val="20"/>
        </w:rPr>
        <w:t xml:space="preserve">Агропромышленный комплекс является важным и приоритетным сектором экономики Тюменской области в силу наличия значительных площадей сельхозугодий и высокопродуктивных почв на отдельных территориях. Доля сельского, лесного хозяйства, охоты, рыболовства и рыбоводства составляет 3,7% в структуре ВРП (2017 год). Сельскохозяйственную деятельность в области осуществляют 403 сельскохозяйственных организаций, 365 крестьянских (фермерских) хозяйств, 220 индивидуальных предпринимателей, 154,5 тысячи личных подсобных хозяйств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Данные с учетом итогов Всероссийской сельскохозяйственной переписи 2016 года.</w:t>
      </w:r>
    </w:p>
    <w:p>
      <w:pPr>
        <w:pStyle w:val="0"/>
        <w:jc w:val="both"/>
      </w:pPr>
      <w:r>
        <w:rPr>
          <w:sz w:val="20"/>
        </w:rPr>
      </w:r>
    </w:p>
    <w:p>
      <w:pPr>
        <w:pStyle w:val="0"/>
        <w:ind w:firstLine="540"/>
        <w:jc w:val="both"/>
      </w:pPr>
      <w:r>
        <w:rPr>
          <w:sz w:val="20"/>
        </w:rPr>
        <w:t xml:space="preserve">Потребности Тюменской области обеспечены собственным производством агропромышленной продукции, за исключением мяса птицы и говядины, овощей. Имеется перспектива наращивания объемов производства в целях обеспечения импортозамещения и вывоза сельскохозяйственной продукции и продовольствия в соседние автономные округа, а также в страны ЕАЭС и другие.</w:t>
      </w:r>
    </w:p>
    <w:p>
      <w:pPr>
        <w:pStyle w:val="0"/>
        <w:spacing w:before="200" w:line-rule="auto"/>
        <w:ind w:firstLine="540"/>
        <w:jc w:val="both"/>
      </w:pPr>
      <w:r>
        <w:rPr>
          <w:sz w:val="20"/>
        </w:rPr>
        <w:t xml:space="preserve">Основные отрасли сельского хозяйства - производство зерна, мясо-молочное скотоводство, свиноводство, птицеводство, картофелеводство. Объем продукции сельского хозяйства области в 2018 году составил 65,0 млрд рублей.</w:t>
      </w:r>
    </w:p>
    <w:p>
      <w:pPr>
        <w:pStyle w:val="0"/>
        <w:spacing w:before="200" w:line-rule="auto"/>
        <w:ind w:firstLine="540"/>
        <w:jc w:val="both"/>
      </w:pPr>
      <w:r>
        <w:rPr>
          <w:sz w:val="20"/>
        </w:rPr>
        <w:t xml:space="preserve">За 2008 - 2018 годы из-за снижения объемов производства растениеводческой продукции в целом производство продукции сельского хозяйства снизилось к 2007 году на 1,7%. Вместе с тем, производство продукции животноводства увеличилось на 11,3%.</w:t>
      </w:r>
    </w:p>
    <w:p>
      <w:pPr>
        <w:pStyle w:val="0"/>
        <w:spacing w:before="200" w:line-rule="auto"/>
        <w:ind w:firstLine="540"/>
        <w:jc w:val="both"/>
      </w:pPr>
      <w:r>
        <w:rPr>
          <w:sz w:val="20"/>
        </w:rPr>
        <w:t xml:space="preserve">Динамику роста производства обеспечили крестьянские (фермерские) хозяйства и сельскохозяйственные организации - 135,4% и 134,0% соответственно. Тюменская область за 2007 - 2018 годы значительно опережает средние по Российской Федерации и УФО среднегодовые показатели объемов производства сельскохозяйственной продукции в расчете на душу населения и занимает 1 место в Уральском федеральном округе (рис. 3).</w:t>
      </w:r>
    </w:p>
    <w:p>
      <w:pPr>
        <w:pStyle w:val="0"/>
        <w:jc w:val="both"/>
      </w:pPr>
      <w:r>
        <w:rPr>
          <w:sz w:val="20"/>
        </w:rPr>
      </w:r>
    </w:p>
    <w:p>
      <w:pPr>
        <w:pStyle w:val="0"/>
        <w:outlineLvl w:val="5"/>
        <w:jc w:val="center"/>
      </w:pPr>
      <w:r>
        <w:rPr>
          <w:position w:val="-208"/>
        </w:rPr>
        <w:drawing>
          <wp:inline distT="0" distB="0" distL="0" distR="0">
            <wp:extent cx="4681855" cy="277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4681855" cy="2773680"/>
                    </a:xfrm>
                    <a:prstGeom prst="rect">
                      <a:avLst/>
                    </a:prstGeom>
                    <a:noFill/>
                    <a:ln>
                      <a:noFill/>
                    </a:ln>
                  </pic:spPr>
                </pic:pic>
              </a:graphicData>
            </a:graphic>
          </wp:inline>
        </w:drawing>
      </w:r>
    </w:p>
    <w:p>
      <w:pPr>
        <w:pStyle w:val="0"/>
        <w:jc w:val="both"/>
      </w:pPr>
      <w:r>
        <w:rPr>
          <w:sz w:val="20"/>
        </w:rPr>
      </w:r>
    </w:p>
    <w:p>
      <w:pPr>
        <w:pStyle w:val="2"/>
        <w:jc w:val="center"/>
      </w:pPr>
      <w:r>
        <w:rPr>
          <w:sz w:val="20"/>
        </w:rPr>
        <w:t xml:space="preserve">Рисунок 3 - Производство сельскохозяйственной продукции</w:t>
      </w:r>
    </w:p>
    <w:p>
      <w:pPr>
        <w:pStyle w:val="2"/>
        <w:jc w:val="center"/>
      </w:pPr>
      <w:r>
        <w:rPr>
          <w:sz w:val="20"/>
        </w:rPr>
        <w:t xml:space="preserve">на душу населения в 2018 году в Тюменской области, кг</w:t>
      </w:r>
    </w:p>
    <w:p>
      <w:pPr>
        <w:pStyle w:val="2"/>
        <w:jc w:val="center"/>
      </w:pPr>
      <w:r>
        <w:rPr>
          <w:sz w:val="20"/>
        </w:rPr>
        <w:t xml:space="preserve">(яйца - шт.)</w:t>
      </w:r>
    </w:p>
    <w:p>
      <w:pPr>
        <w:pStyle w:val="0"/>
        <w:jc w:val="both"/>
      </w:pPr>
      <w:r>
        <w:rPr>
          <w:sz w:val="20"/>
        </w:rPr>
      </w:r>
    </w:p>
    <w:p>
      <w:pPr>
        <w:pStyle w:val="0"/>
        <w:ind w:firstLine="540"/>
        <w:jc w:val="both"/>
      </w:pPr>
      <w:r>
        <w:rPr>
          <w:sz w:val="20"/>
        </w:rPr>
        <w:t xml:space="preserve">В 2008 - 2018 годах наблюдался рост объемов производства основных видов сельскохозяйственной продукции: в 2018 году производство яиц превысило объемы 2007 года на 25,1%, скота и птицы на убой (в живом весе) - на 18,7%, молока - на 8,2%, зерна - на 6,1%. В то же время валовой сбор картофеля снизился на 16,3%, овощей - на 31,9%.</w:t>
      </w:r>
    </w:p>
    <w:p>
      <w:pPr>
        <w:pStyle w:val="0"/>
        <w:spacing w:before="200" w:line-rule="auto"/>
        <w:ind w:firstLine="540"/>
        <w:jc w:val="both"/>
      </w:pPr>
      <w:r>
        <w:rPr>
          <w:sz w:val="20"/>
        </w:rPr>
        <w:t xml:space="preserve">В отрасли животноводства наблюдается сокращение поголовья скота: в 2018 году поголовье крупного рогатого скота в хозяйствах всех категорий сократилось по сравнению с 2007 годом на 7,8%, в том числе коров - на 13,5%, свиней - на 8,0%.</w:t>
      </w:r>
    </w:p>
    <w:p>
      <w:pPr>
        <w:pStyle w:val="0"/>
        <w:spacing w:before="200" w:line-rule="auto"/>
        <w:ind w:firstLine="540"/>
        <w:jc w:val="both"/>
      </w:pPr>
      <w:r>
        <w:rPr>
          <w:sz w:val="20"/>
        </w:rPr>
        <w:t xml:space="preserve">На начало 2018 года площадь земель сельскохозяйственного назначения в земельном фонде Тюменской области составила 4 563,9 тыс. га. Сельскохозяйственные угодья в категории земель сельскохозяйственного назначения составляют 2 920,7 тыс. га, или 64,0% от общей площади земель сельскохозяйственного назначения. На долю пашни приходится 1 262,9 тыс. га, что составляет 43,2% от площади земель сельскохозяйственного назначения.</w:t>
      </w:r>
    </w:p>
    <w:p>
      <w:pPr>
        <w:pStyle w:val="0"/>
        <w:spacing w:before="200" w:line-rule="auto"/>
        <w:ind w:firstLine="540"/>
        <w:jc w:val="both"/>
      </w:pPr>
      <w:r>
        <w:rPr>
          <w:sz w:val="20"/>
        </w:rPr>
        <w:t xml:space="preserve">Площадь посева сельскохозяйственных культур в хозяйствах всех категорий в 2018 году увеличилась по сравнению с 2007 годом на 11,2% (на 107,6 тыс. га), в том числе зерновых и зернобобовых культур - на 9,7% (на 59,3 тыс. га), рапса - в 5,0 раз (на 39,1 тыс. га). Это позволило развить на территории области новое направление в перерабатывающей промышленности - производство растительных масел и белковых кормовых добавок.</w:t>
      </w:r>
    </w:p>
    <w:p>
      <w:pPr>
        <w:pStyle w:val="0"/>
        <w:spacing w:before="200" w:line-rule="auto"/>
        <w:ind w:firstLine="540"/>
        <w:jc w:val="both"/>
      </w:pPr>
      <w:r>
        <w:rPr>
          <w:sz w:val="20"/>
        </w:rPr>
        <w:t xml:space="preserve">В регионе действует 71 предприятие, осуществляющее товарное рыбоводство, и 18 предприятий по переработке рыбы. Основные мощности рыбной переработки сосредоточены в Тюменском, Сладковском, Бердюжском и Казанском районах, а также в городах Тюмени и Тобольске.</w:t>
      </w:r>
    </w:p>
    <w:p>
      <w:pPr>
        <w:pStyle w:val="0"/>
        <w:spacing w:before="200" w:line-rule="auto"/>
        <w:ind w:firstLine="540"/>
        <w:jc w:val="both"/>
      </w:pPr>
      <w:r>
        <w:rPr>
          <w:sz w:val="20"/>
        </w:rPr>
        <w:t xml:space="preserve">Сельскохозяйственно-ориентированными районами Тюменской области являются Юргинский, Аромашевский, Омутинский, Армизонский, Упоровский, Викуловский, Сорокинский, Ишимский, Абатский, Бердюжский, Казанский, Сладковский и Ярковский муниципальные районы и Голышмановский городской округ, на долю которых приходится 50% общего объема продукции сельского хозяйства в хозяйствах всех категорий.</w:t>
      </w:r>
    </w:p>
    <w:p>
      <w:pPr>
        <w:pStyle w:val="0"/>
        <w:jc w:val="both"/>
      </w:pPr>
      <w:r>
        <w:rPr>
          <w:sz w:val="20"/>
        </w:rPr>
      </w:r>
    </w:p>
    <w:p>
      <w:pPr>
        <w:pStyle w:val="2"/>
        <w:outlineLvl w:val="3"/>
        <w:ind w:firstLine="540"/>
        <w:jc w:val="both"/>
      </w:pPr>
      <w:r>
        <w:rPr>
          <w:sz w:val="20"/>
        </w:rPr>
        <w:t xml:space="preserve">Развитие основных сервисных отраслей</w:t>
      </w:r>
    </w:p>
    <w:p>
      <w:pPr>
        <w:pStyle w:val="2"/>
        <w:spacing w:before="200" w:line-rule="auto"/>
        <w:outlineLvl w:val="4"/>
        <w:ind w:firstLine="540"/>
        <w:jc w:val="both"/>
      </w:pPr>
      <w:r>
        <w:rPr>
          <w:sz w:val="20"/>
        </w:rPr>
        <w:t xml:space="preserve">Строительный комплекс</w:t>
      </w:r>
    </w:p>
    <w:p>
      <w:pPr>
        <w:pStyle w:val="0"/>
        <w:spacing w:before="200" w:line-rule="auto"/>
        <w:ind w:firstLine="540"/>
        <w:jc w:val="both"/>
      </w:pPr>
      <w:r>
        <w:rPr>
          <w:sz w:val="20"/>
        </w:rPr>
        <w:t xml:space="preserve">Строительный комплекс обеспечивает расширение и постоянное обновление основных фондов отраслей экономики, строительство и ввод в действие новых объектов инфраструктуры, предприятий, зданий и сооружений, реконструкцию и техническое перевооружение действующих мощностей.</w:t>
      </w:r>
    </w:p>
    <w:p>
      <w:pPr>
        <w:pStyle w:val="0"/>
        <w:spacing w:before="200" w:line-rule="auto"/>
        <w:ind w:firstLine="540"/>
        <w:jc w:val="both"/>
      </w:pPr>
      <w:r>
        <w:rPr>
          <w:sz w:val="20"/>
        </w:rPr>
        <w:t xml:space="preserve">В Тюменской области в конце 2018 года действовало свыше 5,7 тыс. строительных организаций с численностью работников более 52,5 тыс. человек (в 2007 году - 1,8 тыс. организаций и 46,2 тыс. человек). Объем работ по виду деятельности "Строительство" за 2007 - 2018 годы вырос в 3,4 раза (в действующих ценах).</w:t>
      </w:r>
    </w:p>
    <w:p>
      <w:pPr>
        <w:pStyle w:val="0"/>
        <w:spacing w:before="200" w:line-rule="auto"/>
        <w:ind w:firstLine="540"/>
        <w:jc w:val="both"/>
      </w:pPr>
      <w:r>
        <w:rPr>
          <w:sz w:val="20"/>
        </w:rPr>
        <w:t xml:space="preserve">К числу слабых сторон развития отрасли относится высокий уровень износа основных производственных фондов и недостаточный технологический уровень предприятий.</w:t>
      </w:r>
    </w:p>
    <w:p>
      <w:pPr>
        <w:pStyle w:val="0"/>
        <w:spacing w:before="200" w:line-rule="auto"/>
        <w:ind w:firstLine="540"/>
        <w:jc w:val="both"/>
      </w:pPr>
      <w:r>
        <w:rPr>
          <w:sz w:val="20"/>
        </w:rPr>
        <w:t xml:space="preserve">К положительным тенденциям развития регионального строительного комплекса следует отнести значительное опережение на протяжении последних лет среднероссийских показателей по объемам строительных работ в расчете на душу населения (по итогам 2018 года 155,8 тыс. рублей и 57,7 тыс. рублей), увеличение объема инвестиций в основной капитал строительной отрасли в 2,4 раза до 5,6 млрд рублей в 2018 году (в действующих ценах к уровню 2007 года).</w:t>
      </w:r>
    </w:p>
    <w:p>
      <w:pPr>
        <w:pStyle w:val="2"/>
        <w:spacing w:before="200" w:line-rule="auto"/>
        <w:outlineLvl w:val="4"/>
        <w:ind w:firstLine="540"/>
        <w:jc w:val="both"/>
      </w:pPr>
      <w:r>
        <w:rPr>
          <w:sz w:val="20"/>
        </w:rPr>
        <w:t xml:space="preserve">Транспортно-логистическая инфраструктура</w:t>
      </w:r>
    </w:p>
    <w:p>
      <w:pPr>
        <w:pStyle w:val="0"/>
        <w:spacing w:before="200" w:line-rule="auto"/>
        <w:ind w:firstLine="540"/>
        <w:jc w:val="both"/>
      </w:pPr>
      <w:r>
        <w:rPr>
          <w:sz w:val="20"/>
        </w:rPr>
        <w:t xml:space="preserve">Тюменская область имеет разветвленную транспортную сеть, важной составляющей которой являются автомобильные дороги.</w:t>
      </w:r>
    </w:p>
    <w:p>
      <w:pPr>
        <w:pStyle w:val="0"/>
        <w:spacing w:before="200" w:line-rule="auto"/>
        <w:ind w:firstLine="540"/>
        <w:jc w:val="both"/>
      </w:pPr>
      <w:r>
        <w:rPr>
          <w:sz w:val="20"/>
        </w:rPr>
        <w:t xml:space="preserve">Автомобильные дороги федерального значения связывают город Тюмень с городами Екатеринбургом, Омском, Курганом, Ханты-Мансийском. Опорная сеть автомобильных дорог регионального или межмуниципального значения формирует каркас внутрирегионального транспортного сообщения и связывает между собой все муниципальные образования. Дорожной сетью с твердым покрытием соединены 1 008 населенных пунктов из 1 231 (без учета городов), в которых проживает 99% населения Тюменской области.</w:t>
      </w:r>
    </w:p>
    <w:p>
      <w:pPr>
        <w:pStyle w:val="0"/>
        <w:spacing w:before="200" w:line-rule="auto"/>
        <w:ind w:firstLine="540"/>
        <w:jc w:val="both"/>
      </w:pPr>
      <w:r>
        <w:rPr>
          <w:sz w:val="20"/>
        </w:rPr>
        <w:t xml:space="preserve">Протяженность автомобильных дорог общего пользования Тюменской области на 01.01.2019 составила 19 224,2 км, из них: федеральные - 1 128,0 км с твердым покрытием на всем протяжении, региональные или межмуниципальные - 8 684,3 км, в том числе с твердым покрытием - 7 141,6 км, местные - 9 411,9 км, в том числе с твердым покрытием - 5 811,4 км.</w:t>
      </w:r>
    </w:p>
    <w:p>
      <w:pPr>
        <w:pStyle w:val="0"/>
        <w:spacing w:before="200" w:line-rule="auto"/>
        <w:ind w:firstLine="540"/>
        <w:jc w:val="both"/>
      </w:pPr>
      <w:r>
        <w:rPr>
          <w:sz w:val="20"/>
        </w:rPr>
        <w:t xml:space="preserve">Плотность автомобильных дорог общего пользования с твердым покрытием на 01.01.2019 составила 88,0 км на 1 000 кв. км территории, что превышает в 1,4 раза среднероссийский показатель и в 2,1 раза - показатель по Уральскому федеральному округу.</w:t>
      </w:r>
    </w:p>
    <w:p>
      <w:pPr>
        <w:pStyle w:val="0"/>
        <w:spacing w:before="200" w:line-rule="auto"/>
        <w:ind w:firstLine="540"/>
        <w:jc w:val="both"/>
      </w:pPr>
      <w:r>
        <w:rPr>
          <w:sz w:val="20"/>
        </w:rPr>
        <w:t xml:space="preserve">В Тюменской области идет активное строительство и модернизация дорожной инфраструктуры (транспортных развязок), строительство и реконструкция автомобильных дорог (в том числе первой категории), улично-дорожной сети населенных пунктов, надземных пешеходных переходов. Завершен масштабный проект по созданию Тюменской кольцевой автомобильной дороги (ТКАД). Общая протяженность ее строительства составила 55 км. Возведено 29 транспортных развязок, мостов и путепроводов. В целях обеспечения безопасности пешеходов построено 18 надземных и подземных пешеходных переходов.</w:t>
      </w:r>
    </w:p>
    <w:p>
      <w:pPr>
        <w:pStyle w:val="0"/>
        <w:spacing w:before="200" w:line-rule="auto"/>
        <w:ind w:firstLine="540"/>
        <w:jc w:val="both"/>
      </w:pPr>
      <w:r>
        <w:rPr>
          <w:sz w:val="20"/>
        </w:rPr>
        <w:t xml:space="preserve">По территории Тюменской области проходит основной транспортный коридор России "Запад-Восток". Регион пересекает участок Транссибирской железнодорожной магистрали, проходящий через города Тюмень, Ялуторовск, Заводоуковск, Ишим. Железнодорожное сообщение связывает Транссибирскую магистраль с основными центрами добычи нефти и газа в автономных округах. Эксплуатационная длина железнодорожных путей общего пользования на территории Тюменской области на начало 2019 года составила 877,3 км, густота сети железных дорог равна 54,8 км путей на 10 тыс. кв. км территории.</w:t>
      </w:r>
    </w:p>
    <w:p>
      <w:pPr>
        <w:pStyle w:val="0"/>
        <w:spacing w:before="200" w:line-rule="auto"/>
        <w:ind w:firstLine="540"/>
        <w:jc w:val="both"/>
      </w:pPr>
      <w:r>
        <w:rPr>
          <w:sz w:val="20"/>
        </w:rPr>
        <w:t xml:space="preserve">С 2007 по 2018 годы наблюдался существенный рост объемов отправления грузов с железнодорожных станций Тюменской области (в 2,9 раза) и автомобильным (в 2,9 раза) транспортом. При этом пассажирооборот автомобильного транспорта общего пользования сократился на 15%, отправление пассажиров железнодорожным транспортом общего пользования - на 24%.</w:t>
      </w:r>
    </w:p>
    <w:p>
      <w:pPr>
        <w:pStyle w:val="0"/>
        <w:spacing w:before="200" w:line-rule="auto"/>
        <w:ind w:firstLine="540"/>
        <w:jc w:val="both"/>
      </w:pPr>
      <w:r>
        <w:rPr>
          <w:sz w:val="20"/>
        </w:rPr>
        <w:t xml:space="preserve">Наличие судоходных рек, автомобильных и железных дорог, воздушных линий, которые обеспечивают связь европейской части страны с Сибирью и Дальним Востоком, связь территорий Ханты-Мансийского автономного округа - Югры и Ямало-Ненецкого автономного округа с общероссийской транспортной сетью, а также отправление и транзит грузов и пассажиров в северные районы из Казахстана, стран Центральной Азии и других направлений, обуславливают перспективы развития транспортно-логистической зоны на территории Тюменской области.</w:t>
      </w:r>
    </w:p>
    <w:p>
      <w:pPr>
        <w:pStyle w:val="0"/>
        <w:spacing w:before="200" w:line-rule="auto"/>
        <w:ind w:firstLine="540"/>
        <w:jc w:val="both"/>
      </w:pPr>
      <w:r>
        <w:rPr>
          <w:sz w:val="20"/>
        </w:rPr>
        <w:t xml:space="preserve">В настоящее время общая протяженность внутренних водных путей в границах Тюменской области (включая автономные округа) составляет 11 834 км, в том числе с гарантированными габаритами судовых ходов - 5 059 км.</w:t>
      </w:r>
    </w:p>
    <w:p>
      <w:pPr>
        <w:pStyle w:val="0"/>
        <w:spacing w:before="200" w:line-rule="auto"/>
        <w:ind w:firstLine="540"/>
        <w:jc w:val="both"/>
      </w:pPr>
      <w:r>
        <w:rPr>
          <w:sz w:val="20"/>
        </w:rPr>
        <w:t xml:space="preserve">Внутренний водный транспорт для Тюменской области (включая автономные округа) во многом остается единственным общедоступным и безальтернативным видом транспорта при доставке грузов и пассажиров в отдаленные населенные пункты районов Крайнего Севера и местности к ним приравненные, которые составляют 80% от общего объема перевозок грузов и пассажиров по Тюменской области. Особенностью функциональной деятельности на внутреннем водном транспорте является ограниченный климатическими условиями период навигации - в среднем не более 140 - 165 суток. При этом на боковых и малых реках навигационный период резко сокращается при наступлении ранней межени в условиях маловодности.</w:t>
      </w:r>
    </w:p>
    <w:p>
      <w:pPr>
        <w:pStyle w:val="0"/>
        <w:spacing w:before="200" w:line-rule="auto"/>
        <w:ind w:firstLine="540"/>
        <w:jc w:val="both"/>
      </w:pPr>
      <w:r>
        <w:rPr>
          <w:sz w:val="20"/>
        </w:rPr>
        <w:t xml:space="preserve">Особую важность имеет развитие автомобильных и железнодорожных транспортных коридоров в Ханты-Мансийский автономный округ - Югру и Ямало-Ненецкий автономный округ. В результате реализации инфраструктурных проектов "Северный широтный ход", железной дороги Бованенково - Сабетта, развития морского порта Сабетта на территории Ямало-Ненецкого автономного округа появится возможность транспортировки продукции, произведенной предприятиями Тюменской области, по внутренним водным путям с перевалкой на морские суда в порту Сабетта, далее по Северному морскому пути морскими судами в страны Азии и Европы, в регионы Сибири, Дальнего Востока России.</w:t>
      </w:r>
    </w:p>
    <w:p>
      <w:pPr>
        <w:pStyle w:val="0"/>
        <w:spacing w:before="200" w:line-rule="auto"/>
        <w:ind w:firstLine="540"/>
        <w:jc w:val="both"/>
      </w:pPr>
      <w:r>
        <w:rPr>
          <w:sz w:val="20"/>
        </w:rPr>
        <w:t xml:space="preserve">Благоприятным фактором, влияющим на развитие областной транспортной системы, является относительная географическая близость к планируемому транспортному коридору "Европа - Западный Китай".</w:t>
      </w:r>
    </w:p>
    <w:p>
      <w:pPr>
        <w:pStyle w:val="0"/>
        <w:spacing w:before="200" w:line-rule="auto"/>
        <w:ind w:firstLine="540"/>
        <w:jc w:val="both"/>
      </w:pPr>
      <w:r>
        <w:rPr>
          <w:sz w:val="20"/>
        </w:rPr>
        <w:t xml:space="preserve">Наличие транспортных коридоров определяет возможности развития складской и логистической инфраструктуры. Реализуются проекты по созданию логистических комплексов. В 2016 году введен в эксплуатацию логистический комплекс компании "Тандер" в Тюменском районе, в 2017 году завершено строительство современного логистического центра для приема и переработки сырья компанией "Мясокомбинат "Ялуторовский" и открыта 1-я очередь проекта строительства логистического складского комплекса компанией "ТюменьЛогоЦентр" в городе Тюмени.</w:t>
      </w:r>
    </w:p>
    <w:p>
      <w:pPr>
        <w:pStyle w:val="0"/>
        <w:spacing w:before="200" w:line-rule="auto"/>
        <w:ind w:firstLine="540"/>
        <w:jc w:val="both"/>
      </w:pPr>
      <w:r>
        <w:rPr>
          <w:sz w:val="20"/>
        </w:rPr>
        <w:t xml:space="preserve">В целях транспортного обслуживания населения труднодоступных населенных пунктов осуществляется субсидирование авиаперевозок малой авиации.</w:t>
      </w:r>
    </w:p>
    <w:p>
      <w:pPr>
        <w:pStyle w:val="0"/>
        <w:spacing w:before="200" w:line-rule="auto"/>
        <w:ind w:firstLine="540"/>
        <w:jc w:val="both"/>
      </w:pPr>
      <w:r>
        <w:rPr>
          <w:sz w:val="20"/>
        </w:rPr>
        <w:t xml:space="preserve">Аэропорт международного класса Тюмень "Рощино" включен в перечень аэропортов федерального значения. Имеет две искусственные взлетно-посадочные полосы, аэровокзал общей площадью 27 тыс. кв. м с пропускной способностью 600 пассажиров в час (до 5 млн пассажиров в год). В начале 2017 года завершена масштабная реконструкция аэровокзального комплекса аэропорта "Рощино", которая позволила существенно улучшить качество обслуживания пассажиров, расширить межрегиональные и международные перевозки, повысить инвестиционную привлекательность региона.</w:t>
      </w:r>
    </w:p>
    <w:p>
      <w:pPr>
        <w:pStyle w:val="0"/>
        <w:spacing w:before="200" w:line-rule="auto"/>
        <w:ind w:firstLine="540"/>
        <w:jc w:val="both"/>
      </w:pPr>
      <w:r>
        <w:rPr>
          <w:sz w:val="20"/>
        </w:rPr>
        <w:t xml:space="preserve">Формирование устойчивой системы транспортно-логистической инфраструктуры Тюменской области и сопутствующего сервиса заключается в дальнейшем развитии всех видов транспорта, их взаимодополняемости при выборе наиболее эффективных вариантов транспортировки грузов и обслуживания пассажиров.</w:t>
      </w:r>
    </w:p>
    <w:p>
      <w:pPr>
        <w:pStyle w:val="2"/>
        <w:spacing w:before="200" w:line-rule="auto"/>
        <w:outlineLvl w:val="4"/>
        <w:ind w:firstLine="540"/>
        <w:jc w:val="both"/>
      </w:pPr>
      <w:r>
        <w:rPr>
          <w:sz w:val="20"/>
        </w:rPr>
        <w:t xml:space="preserve">Связь и информационно-коммуникационная инфраструктура</w:t>
      </w:r>
    </w:p>
    <w:p>
      <w:pPr>
        <w:pStyle w:val="0"/>
        <w:spacing w:before="200" w:line-rule="auto"/>
        <w:ind w:firstLine="540"/>
        <w:jc w:val="both"/>
      </w:pPr>
      <w:r>
        <w:rPr>
          <w:sz w:val="20"/>
        </w:rPr>
        <w:t xml:space="preserve">По данным управления Роскомнадзора по Тюменской области, Ханты-Мансийскому автономному округу - Югре и Ямало-Ненецкому автономному округу зарегистрировано 149 операторов связи, имеющих лицензии на предоставление услуг связи в Тюменской области (количество операторов по сравнению с 2017 годом увеличилось на 38).</w:t>
      </w:r>
    </w:p>
    <w:p>
      <w:pPr>
        <w:pStyle w:val="0"/>
        <w:spacing w:before="200" w:line-rule="auto"/>
        <w:ind w:firstLine="540"/>
        <w:jc w:val="both"/>
      </w:pPr>
      <w:r>
        <w:rPr>
          <w:sz w:val="20"/>
        </w:rPr>
        <w:t xml:space="preserve">К началу 2019 года в Тюменской области число активных абонентов, получивших доступ к сети "Интернет" по радиоканалу (Wi-MAX, LTE), по спутниковым линиям связи, при использовании подвижной радиотелефонной связи, наземного фиксированного и наземного фиксированного широкополосного доступа, составило 2 млн 391 тыс. Прирост пользователей составил 12%.</w:t>
      </w:r>
    </w:p>
    <w:p>
      <w:pPr>
        <w:pStyle w:val="0"/>
        <w:spacing w:before="200" w:line-rule="auto"/>
        <w:ind w:firstLine="540"/>
        <w:jc w:val="both"/>
      </w:pPr>
      <w:r>
        <w:rPr>
          <w:sz w:val="20"/>
        </w:rPr>
        <w:t xml:space="preserve">Услуги сотовой связи в Тюменской области предоставляют федеральные операторы: "Мобильные ТелеСистемы" (МТС), "ВымпелКом" ("Билайн"), "МегаФон" ("МегаФон"), "Т2 Мобайл" (Tele2), "Скартел" (YOTA), "Ростелеком" (Ростелеком).</w:t>
      </w:r>
    </w:p>
    <w:p>
      <w:pPr>
        <w:pStyle w:val="0"/>
        <w:spacing w:before="200" w:line-rule="auto"/>
        <w:ind w:firstLine="540"/>
        <w:jc w:val="both"/>
      </w:pPr>
      <w:r>
        <w:rPr>
          <w:sz w:val="20"/>
        </w:rPr>
        <w:t xml:space="preserve">Число абонентских устройств, подключенных к сетям подвижной радиотелефонной (сотовой) связи, на 1 000 человек населения в 2017 году в регионе составило 2 068 штук, в 2018 году - 2181 штук.</w:t>
      </w:r>
    </w:p>
    <w:p>
      <w:pPr>
        <w:pStyle w:val="0"/>
        <w:spacing w:before="200" w:line-rule="auto"/>
        <w:ind w:firstLine="540"/>
        <w:jc w:val="both"/>
      </w:pPr>
      <w:r>
        <w:rPr>
          <w:sz w:val="20"/>
        </w:rPr>
        <w:t xml:space="preserve">Операторы связи продолжают развивать инфраструктуру связи в Тюменской области. За 2018 год число базовых станций увеличилось на 17%.</w:t>
      </w:r>
    </w:p>
    <w:p>
      <w:pPr>
        <w:pStyle w:val="0"/>
        <w:spacing w:before="200" w:line-rule="auto"/>
        <w:ind w:firstLine="540"/>
        <w:jc w:val="both"/>
      </w:pPr>
      <w:r>
        <w:rPr>
          <w:sz w:val="20"/>
        </w:rPr>
        <w:t xml:space="preserve">В 2018 году завершена Федеральная целевая </w:t>
      </w:r>
      <w:hyperlink w:history="0" r:id="rId23" w:tooltip="Постановление Правительства РФ от 03.12.2009 N 985 (ред. от 14.12.2018) &quot;О федеральной целевой программе &quot;Развитие телерадиовещания в Российской Федерации на 2009 - 2018 годы&quot; {КонсультантПлюс}">
        <w:r>
          <w:rPr>
            <w:sz w:val="20"/>
            <w:color w:val="0000ff"/>
          </w:rPr>
          <w:t xml:space="preserve">программа</w:t>
        </w:r>
      </w:hyperlink>
      <w:r>
        <w:rPr>
          <w:sz w:val="20"/>
        </w:rPr>
        <w:t xml:space="preserve"> "Развитие телерадиовещания в Российской Федерации на 2009 - 2018 годы". "Урало-Сибирским региональным центром" - филиалом ФГУП "РТРС" в Тюменской области построено 28 радиотелевизионных станций, транслирующих цифровой сигнал.</w:t>
      </w:r>
    </w:p>
    <w:p>
      <w:pPr>
        <w:pStyle w:val="0"/>
        <w:spacing w:before="200" w:line-rule="auto"/>
        <w:ind w:firstLine="540"/>
        <w:jc w:val="both"/>
      </w:pPr>
      <w:r>
        <w:rPr>
          <w:sz w:val="20"/>
        </w:rPr>
        <w:t xml:space="preserve">Эфирным наземным телевизионным вещанием высокого качества (20 общероссийских обязательных общедоступных телеканалов) охвачено 97,72% населения Тюменской области.</w:t>
      </w:r>
    </w:p>
    <w:p>
      <w:pPr>
        <w:pStyle w:val="0"/>
        <w:spacing w:before="200" w:line-rule="auto"/>
        <w:ind w:firstLine="540"/>
        <w:jc w:val="both"/>
      </w:pPr>
      <w:r>
        <w:rPr>
          <w:sz w:val="20"/>
        </w:rPr>
        <w:t xml:space="preserve">Жители региона, проживающие вне зоны охвата цифрового эфирного наземного телевещания (2,28%), имеют возможность подключить 20 общероссийских обязательных общедоступных телеканалов без абонентской платы через операторов спутникового телевидения.</w:t>
      </w:r>
    </w:p>
    <w:p>
      <w:pPr>
        <w:pStyle w:val="0"/>
        <w:spacing w:before="200" w:line-rule="auto"/>
        <w:ind w:firstLine="540"/>
        <w:jc w:val="both"/>
      </w:pPr>
      <w:r>
        <w:rPr>
          <w:sz w:val="20"/>
        </w:rPr>
        <w:t xml:space="preserve">На территории региона на начало 2018 года насчитывается 57 операторов связи, предоставляющих услуги доступа к сети Интернет.</w:t>
      </w:r>
    </w:p>
    <w:p>
      <w:pPr>
        <w:pStyle w:val="0"/>
        <w:spacing w:before="200" w:line-rule="auto"/>
        <w:ind w:firstLine="540"/>
        <w:jc w:val="both"/>
      </w:pPr>
      <w:r>
        <w:rPr>
          <w:sz w:val="20"/>
        </w:rPr>
        <w:t xml:space="preserve">Доля домохозяйств, имеющих возможность пользоваться услугами проводного или мобильного широкополосного доступа на скорости не менее 1 Мбит/сек, предоставляемыми двумя и более операторами связи в 2018 году составила 88,8%. Рынок услуг связи в Тюменской области успешно развивается: в 2018 году объем услуг составил 16,4 млрд рублей, увеличившись по сравнению с 2007 годом в 1,7 раза (в действующих ценах).</w:t>
      </w:r>
    </w:p>
    <w:p>
      <w:pPr>
        <w:pStyle w:val="0"/>
        <w:spacing w:before="200" w:line-rule="auto"/>
        <w:ind w:firstLine="540"/>
        <w:jc w:val="both"/>
      </w:pPr>
      <w:r>
        <w:rPr>
          <w:sz w:val="20"/>
        </w:rPr>
        <w:t xml:space="preserve">Наблюдается снижение объемов пользования традиционными услугами связи, насыщение рынка сотовой связи и рост показателей по предоставлению интернет-услуг. Так, число абонентов фиксированного широкополосного доступа к информационно-телекоммуникационной сети Интернет на 100 человек населения в 2018 году составило 25,4, в то время как число абонентов мобильного доступа - 102.</w:t>
      </w:r>
    </w:p>
    <w:p>
      <w:pPr>
        <w:pStyle w:val="0"/>
        <w:spacing w:before="200" w:line-rule="auto"/>
        <w:ind w:firstLine="540"/>
        <w:jc w:val="both"/>
      </w:pPr>
      <w:r>
        <w:rPr>
          <w:sz w:val="20"/>
        </w:rPr>
        <w:t xml:space="preserve">Число подключенных абонентских станций сотовой подвижной связи в 2018 году составило 3,3 млн штук (в 2007 году - 1,6 млн штук). Объем информации, переданной по сети Интернет, по итогам 2018 года составил 383 479,9 Тбайт, в 677 раз превысив уровень 2007 года - 566,6 Тбайт.</w:t>
      </w:r>
    </w:p>
    <w:p>
      <w:pPr>
        <w:pStyle w:val="0"/>
        <w:spacing w:before="200" w:line-rule="auto"/>
        <w:ind w:firstLine="540"/>
        <w:jc w:val="both"/>
      </w:pPr>
      <w:r>
        <w:rPr>
          <w:sz w:val="20"/>
        </w:rPr>
        <w:t xml:space="preserve">Число персональных компьютеров в организациях на 100 работников за 2007 - 2018 годы увеличилось с 43 до 53,7 единицы.</w:t>
      </w:r>
    </w:p>
    <w:p>
      <w:pPr>
        <w:pStyle w:val="0"/>
        <w:spacing w:before="200" w:line-rule="auto"/>
        <w:ind w:firstLine="540"/>
        <w:jc w:val="both"/>
      </w:pPr>
      <w:r>
        <w:rPr>
          <w:sz w:val="20"/>
        </w:rPr>
        <w:t xml:space="preserve">В рейтинге регионов по развитию информационного общества, сформированном Минкомсвязи России, в 2017 году Тюменская область заняла второе место. В рейтинге "Цифровая Россия", проводимом Московской школой управления "Сколково", по итогам 2018 года Тюменская область - на пятом месте. Отмечены высокие результаты состояния и динамики цифровизации в Тюменской области по различным направлениям, в том числе ИТ-кадры, исследовательские компетенции и технологические заделы, информационная инфраструктура, информационная безопасность, экономические показатели и социальные эффекты от внедрения цифровых технологий.</w:t>
      </w:r>
    </w:p>
    <w:p>
      <w:pPr>
        <w:pStyle w:val="0"/>
        <w:spacing w:before="200" w:line-rule="auto"/>
        <w:ind w:firstLine="540"/>
        <w:jc w:val="both"/>
      </w:pPr>
      <w:r>
        <w:rPr>
          <w:sz w:val="20"/>
        </w:rPr>
        <w:t xml:space="preserve">Развитие современных информационно-коммуникационных технологий в отраслях социальной сферы, особенно в образовании, здравоохранении, социальном обслуживании, становится важным фактором повышения доступности и качества предоставления государственных и муниципальных услуг.</w:t>
      </w:r>
    </w:p>
    <w:p>
      <w:pPr>
        <w:pStyle w:val="2"/>
        <w:spacing w:before="200" w:line-rule="auto"/>
        <w:outlineLvl w:val="4"/>
        <w:ind w:firstLine="540"/>
        <w:jc w:val="both"/>
      </w:pPr>
      <w:r>
        <w:rPr>
          <w:sz w:val="20"/>
        </w:rPr>
        <w:t xml:space="preserve">Научно-инновационная сфера</w:t>
      </w:r>
    </w:p>
    <w:p>
      <w:pPr>
        <w:pStyle w:val="0"/>
        <w:spacing w:before="200" w:line-rule="auto"/>
        <w:ind w:firstLine="540"/>
        <w:jc w:val="both"/>
      </w:pPr>
      <w:r>
        <w:rPr>
          <w:sz w:val="20"/>
        </w:rPr>
        <w:t xml:space="preserve">Тюменская область располагает достаточно высоким научным, научно-техническим и кадровым потенциалом. Порядка 40 организаций, занимающихся научно-исследовательской деятельностью, работают в городе Тюмени. Научная специализация большинства из них напрямую связана с решением проблем развития нефтяной и газовой промышленности.</w:t>
      </w:r>
    </w:p>
    <w:p>
      <w:pPr>
        <w:pStyle w:val="0"/>
        <w:spacing w:before="200" w:line-rule="auto"/>
        <w:ind w:firstLine="540"/>
        <w:jc w:val="both"/>
      </w:pPr>
      <w:r>
        <w:rPr>
          <w:sz w:val="20"/>
        </w:rPr>
        <w:t xml:space="preserve">Вузовскую науку представляют 5 организаций, которые выполняют широкий спектр научных исследований и конкретные задания предприятий-заказчиков. На начало 2020 года в образовательных организациях высшего образования области создано 17 малых инновационных компаний. Большую роль в привлечении инвестиций для коммерческой реализации инновационных проектов выполняют технопарки и бизнес-инкубаторы тюменских вузов.</w:t>
      </w:r>
    </w:p>
    <w:p>
      <w:pPr>
        <w:pStyle w:val="0"/>
        <w:spacing w:before="200" w:line-rule="auto"/>
        <w:ind w:firstLine="540"/>
        <w:jc w:val="both"/>
      </w:pPr>
      <w:r>
        <w:rPr>
          <w:sz w:val="20"/>
        </w:rPr>
        <w:t xml:space="preserve">Общая численность персонала, занятого научными исследованиями и разработками, в 2018 году составила 6191 человек, численность исследователей - 4 373 человека.</w:t>
      </w:r>
    </w:p>
    <w:p>
      <w:pPr>
        <w:pStyle w:val="0"/>
        <w:spacing w:before="200" w:line-rule="auto"/>
        <w:ind w:firstLine="540"/>
        <w:jc w:val="both"/>
      </w:pPr>
      <w:r>
        <w:rPr>
          <w:sz w:val="20"/>
        </w:rPr>
        <w:t xml:space="preserve">Инновационная инфраструктура области активно развивается. С 2009 года в области работает Западно-Сибирский инновационный центр (Тюменский технопарк). Бизнес-инкубатор инновационного центра оказывает поддержку резидентам на этапе научной проработки идеи, в получении патентов и лицензий, продвижении продукта (технологии) на российских и международных рынках. С 2009 года резидентами получено более 80 патентов и лицензий, внедрено в производство более 155 технологических инноваций.</w:t>
      </w:r>
    </w:p>
    <w:p>
      <w:pPr>
        <w:pStyle w:val="0"/>
        <w:spacing w:before="200" w:line-rule="auto"/>
        <w:ind w:firstLine="540"/>
        <w:jc w:val="both"/>
      </w:pPr>
      <w:r>
        <w:rPr>
          <w:sz w:val="20"/>
        </w:rPr>
        <w:t xml:space="preserve">В Тюменской области работает пять центров молодежного инновационного творчества (ЦМИТ), которые обеспечивают вовлечение детей и молодежи в научно-техническую деятельность, предоставляя возможности для проверки и коммерциализации инновационных идей, формирование инженерных навыков.</w:t>
      </w:r>
    </w:p>
    <w:p>
      <w:pPr>
        <w:pStyle w:val="0"/>
        <w:spacing w:before="200" w:line-rule="auto"/>
        <w:ind w:firstLine="540"/>
        <w:jc w:val="both"/>
      </w:pPr>
      <w:r>
        <w:rPr>
          <w:sz w:val="20"/>
        </w:rPr>
        <w:t xml:space="preserve">С 2010 года Правительством Тюменской области реализуется система государственной поддержки инновационных компаний.</w:t>
      </w:r>
    </w:p>
    <w:p>
      <w:pPr>
        <w:pStyle w:val="0"/>
        <w:spacing w:before="200" w:line-rule="auto"/>
        <w:ind w:firstLine="540"/>
        <w:jc w:val="both"/>
      </w:pPr>
      <w:r>
        <w:rPr>
          <w:sz w:val="20"/>
        </w:rPr>
        <w:t xml:space="preserve">Технологическая результативность инновационной деятельности характеризуется ростом изобретательской активности (табл. 5).</w:t>
      </w:r>
    </w:p>
    <w:p>
      <w:pPr>
        <w:pStyle w:val="0"/>
        <w:jc w:val="both"/>
      </w:pPr>
      <w:r>
        <w:rPr>
          <w:sz w:val="20"/>
        </w:rPr>
      </w:r>
    </w:p>
    <w:p>
      <w:pPr>
        <w:pStyle w:val="2"/>
        <w:outlineLvl w:val="5"/>
        <w:ind w:firstLine="540"/>
        <w:jc w:val="both"/>
      </w:pPr>
      <w:r>
        <w:rPr>
          <w:sz w:val="20"/>
        </w:rPr>
        <w:t xml:space="preserve">Таблица 5 - Показатели результативности инновационной деятельности в Тюменской области за 2018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19"/>
        <w:gridCol w:w="1678"/>
        <w:gridCol w:w="1871"/>
        <w:gridCol w:w="1678"/>
      </w:tblGrid>
      <w:tr>
        <w:tc>
          <w:tcPr>
            <w:tcW w:w="3819" w:type="dxa"/>
          </w:tcPr>
          <w:p>
            <w:pPr>
              <w:pStyle w:val="0"/>
              <w:jc w:val="center"/>
            </w:pPr>
            <w:r>
              <w:rPr>
                <w:sz w:val="20"/>
              </w:rPr>
              <w:t xml:space="preserve">Показатель</w:t>
            </w:r>
          </w:p>
        </w:tc>
        <w:tc>
          <w:tcPr>
            <w:tcW w:w="1678" w:type="dxa"/>
          </w:tcPr>
          <w:p>
            <w:pPr>
              <w:pStyle w:val="0"/>
              <w:jc w:val="center"/>
            </w:pPr>
            <w:r>
              <w:rPr>
                <w:sz w:val="20"/>
              </w:rPr>
              <w:t xml:space="preserve">Тюменская область</w:t>
            </w:r>
          </w:p>
        </w:tc>
        <w:tc>
          <w:tcPr>
            <w:tcW w:w="1871" w:type="dxa"/>
          </w:tcPr>
          <w:p>
            <w:pPr>
              <w:pStyle w:val="0"/>
              <w:jc w:val="center"/>
            </w:pPr>
            <w:r>
              <w:rPr>
                <w:sz w:val="20"/>
              </w:rPr>
              <w:t xml:space="preserve">Уральский федеральный округ</w:t>
            </w:r>
          </w:p>
        </w:tc>
        <w:tc>
          <w:tcPr>
            <w:tcW w:w="1678" w:type="dxa"/>
          </w:tcPr>
          <w:p>
            <w:pPr>
              <w:pStyle w:val="0"/>
              <w:jc w:val="center"/>
            </w:pPr>
            <w:r>
              <w:rPr>
                <w:sz w:val="20"/>
              </w:rPr>
              <w:t xml:space="preserve">Российская Федерация</w:t>
            </w:r>
          </w:p>
        </w:tc>
      </w:tr>
      <w:tr>
        <w:tc>
          <w:tcPr>
            <w:tcW w:w="3819" w:type="dxa"/>
          </w:tcPr>
          <w:p>
            <w:pPr>
              <w:pStyle w:val="0"/>
            </w:pPr>
            <w:r>
              <w:rPr>
                <w:sz w:val="20"/>
              </w:rPr>
              <w:t xml:space="preserve">Удельный вес инновационных товаров, работ, услуг в общем объеме отгруженных товаров, выполненных работ, оказанных услуг, %</w:t>
            </w:r>
          </w:p>
        </w:tc>
        <w:tc>
          <w:tcPr>
            <w:tcW w:w="1678" w:type="dxa"/>
          </w:tcPr>
          <w:p>
            <w:pPr>
              <w:pStyle w:val="0"/>
              <w:jc w:val="center"/>
            </w:pPr>
            <w:r>
              <w:rPr>
                <w:sz w:val="20"/>
              </w:rPr>
              <w:t xml:space="preserve">19,5</w:t>
            </w:r>
          </w:p>
        </w:tc>
        <w:tc>
          <w:tcPr>
            <w:tcW w:w="1871" w:type="dxa"/>
          </w:tcPr>
          <w:p>
            <w:pPr>
              <w:pStyle w:val="0"/>
              <w:jc w:val="center"/>
            </w:pPr>
            <w:r>
              <w:rPr>
                <w:sz w:val="20"/>
              </w:rPr>
              <w:t xml:space="preserve">4,3</w:t>
            </w:r>
          </w:p>
        </w:tc>
        <w:tc>
          <w:tcPr>
            <w:tcW w:w="1678" w:type="dxa"/>
          </w:tcPr>
          <w:p>
            <w:pPr>
              <w:pStyle w:val="0"/>
              <w:jc w:val="center"/>
            </w:pPr>
            <w:r>
              <w:rPr>
                <w:sz w:val="20"/>
              </w:rPr>
              <w:t xml:space="preserve">6,5</w:t>
            </w:r>
          </w:p>
        </w:tc>
      </w:tr>
      <w:tr>
        <w:tc>
          <w:tcPr>
            <w:tcW w:w="3819" w:type="dxa"/>
          </w:tcPr>
          <w:p>
            <w:pPr>
              <w:pStyle w:val="0"/>
            </w:pPr>
            <w:r>
              <w:rPr>
                <w:sz w:val="20"/>
              </w:rPr>
              <w:t xml:space="preserve">Внутренние затраты организаций на научные исследования и разработки, млн рублей</w:t>
            </w:r>
          </w:p>
        </w:tc>
        <w:tc>
          <w:tcPr>
            <w:tcW w:w="1678" w:type="dxa"/>
          </w:tcPr>
          <w:p>
            <w:pPr>
              <w:pStyle w:val="0"/>
              <w:jc w:val="center"/>
            </w:pPr>
            <w:r>
              <w:rPr>
                <w:sz w:val="20"/>
              </w:rPr>
              <w:t xml:space="preserve">13591,4</w:t>
            </w:r>
          </w:p>
        </w:tc>
        <w:tc>
          <w:tcPr>
            <w:tcW w:w="1871" w:type="dxa"/>
          </w:tcPr>
          <w:p>
            <w:pPr>
              <w:pStyle w:val="0"/>
              <w:jc w:val="center"/>
            </w:pPr>
            <w:r>
              <w:rPr>
                <w:sz w:val="20"/>
              </w:rPr>
              <w:t xml:space="preserve">69032,4</w:t>
            </w:r>
          </w:p>
        </w:tc>
        <w:tc>
          <w:tcPr>
            <w:tcW w:w="1678" w:type="dxa"/>
          </w:tcPr>
          <w:p>
            <w:pPr>
              <w:pStyle w:val="0"/>
              <w:jc w:val="center"/>
            </w:pPr>
            <w:r>
              <w:rPr>
                <w:sz w:val="20"/>
              </w:rPr>
              <w:t xml:space="preserve">1028247,6</w:t>
            </w:r>
          </w:p>
        </w:tc>
      </w:tr>
      <w:tr>
        <w:tc>
          <w:tcPr>
            <w:tcW w:w="3819" w:type="dxa"/>
          </w:tcPr>
          <w:p>
            <w:pPr>
              <w:pStyle w:val="0"/>
            </w:pPr>
            <w:r>
              <w:rPr>
                <w:sz w:val="20"/>
              </w:rPr>
              <w:t xml:space="preserve">Доля внутренних затрат на исследования и разработки в ВРП, %</w:t>
            </w:r>
          </w:p>
        </w:tc>
        <w:tc>
          <w:tcPr>
            <w:tcW w:w="1678" w:type="dxa"/>
          </w:tcPr>
          <w:p>
            <w:pPr>
              <w:pStyle w:val="0"/>
              <w:jc w:val="center"/>
            </w:pPr>
            <w:r>
              <w:rPr>
                <w:sz w:val="20"/>
              </w:rPr>
              <w:t xml:space="preserve">1,3</w:t>
            </w:r>
          </w:p>
          <w:p>
            <w:pPr>
              <w:pStyle w:val="0"/>
              <w:jc w:val="center"/>
            </w:pPr>
            <w:r>
              <w:rPr>
                <w:sz w:val="20"/>
              </w:rPr>
              <w:t xml:space="preserve">2017 год</w:t>
            </w:r>
          </w:p>
        </w:tc>
        <w:tc>
          <w:tcPr>
            <w:tcW w:w="1871" w:type="dxa"/>
          </w:tcPr>
          <w:p>
            <w:pPr>
              <w:pStyle w:val="0"/>
              <w:jc w:val="center"/>
            </w:pPr>
            <w:r>
              <w:rPr>
                <w:sz w:val="20"/>
              </w:rPr>
              <w:t xml:space="preserve">0,67</w:t>
            </w:r>
          </w:p>
          <w:p>
            <w:pPr>
              <w:pStyle w:val="0"/>
              <w:jc w:val="center"/>
            </w:pPr>
            <w:r>
              <w:rPr>
                <w:sz w:val="20"/>
              </w:rPr>
              <w:t xml:space="preserve">2017 год</w:t>
            </w:r>
          </w:p>
        </w:tc>
        <w:tc>
          <w:tcPr>
            <w:tcW w:w="1678" w:type="dxa"/>
          </w:tcPr>
          <w:p>
            <w:pPr>
              <w:pStyle w:val="0"/>
              <w:jc w:val="center"/>
            </w:pPr>
            <w:r>
              <w:rPr>
                <w:sz w:val="20"/>
              </w:rPr>
              <w:t xml:space="preserve">1,36</w:t>
            </w:r>
          </w:p>
          <w:p>
            <w:pPr>
              <w:pStyle w:val="0"/>
              <w:jc w:val="center"/>
            </w:pPr>
            <w:r>
              <w:rPr>
                <w:sz w:val="20"/>
              </w:rPr>
              <w:t xml:space="preserve">2017 год</w:t>
            </w:r>
          </w:p>
        </w:tc>
      </w:tr>
      <w:tr>
        <w:tc>
          <w:tcPr>
            <w:tcW w:w="3819" w:type="dxa"/>
          </w:tcPr>
          <w:p>
            <w:pPr>
              <w:pStyle w:val="0"/>
            </w:pPr>
            <w:r>
              <w:rPr>
                <w:sz w:val="20"/>
              </w:rPr>
              <w:t xml:space="preserve">Удельный вес организаций, осуществляющих технологические инновации, в общем количестве обследованных организаций, %</w:t>
            </w:r>
          </w:p>
        </w:tc>
        <w:tc>
          <w:tcPr>
            <w:tcW w:w="1678" w:type="dxa"/>
          </w:tcPr>
          <w:p>
            <w:pPr>
              <w:pStyle w:val="0"/>
              <w:jc w:val="center"/>
            </w:pPr>
            <w:r>
              <w:rPr>
                <w:sz w:val="20"/>
              </w:rPr>
              <w:t xml:space="preserve">27,1</w:t>
            </w:r>
          </w:p>
        </w:tc>
        <w:tc>
          <w:tcPr>
            <w:tcW w:w="1871" w:type="dxa"/>
          </w:tcPr>
          <w:p>
            <w:pPr>
              <w:pStyle w:val="0"/>
              <w:jc w:val="center"/>
            </w:pPr>
            <w:r>
              <w:rPr>
                <w:sz w:val="20"/>
              </w:rPr>
              <w:t xml:space="preserve">23,3</w:t>
            </w:r>
          </w:p>
        </w:tc>
        <w:tc>
          <w:tcPr>
            <w:tcW w:w="1678" w:type="dxa"/>
          </w:tcPr>
          <w:p>
            <w:pPr>
              <w:pStyle w:val="0"/>
              <w:jc w:val="center"/>
            </w:pPr>
            <w:r>
              <w:rPr>
                <w:sz w:val="20"/>
              </w:rPr>
              <w:t xml:space="preserve">19,8</w:t>
            </w:r>
          </w:p>
        </w:tc>
      </w:tr>
    </w:tbl>
    <w:p>
      <w:pPr>
        <w:pStyle w:val="0"/>
        <w:jc w:val="both"/>
      </w:pPr>
      <w:r>
        <w:rPr>
          <w:sz w:val="20"/>
        </w:rPr>
      </w:r>
    </w:p>
    <w:p>
      <w:pPr>
        <w:pStyle w:val="0"/>
        <w:ind w:firstLine="540"/>
        <w:jc w:val="both"/>
      </w:pPr>
      <w:r>
        <w:rPr>
          <w:sz w:val="20"/>
        </w:rPr>
        <w:t xml:space="preserve">В 2018 году количество поданных патентных заявок на изобретения, полезные модели, промышленные образцы составило 192 единицы.</w:t>
      </w:r>
    </w:p>
    <w:p>
      <w:pPr>
        <w:pStyle w:val="0"/>
        <w:spacing w:before="200" w:line-rule="auto"/>
        <w:ind w:firstLine="540"/>
        <w:jc w:val="both"/>
      </w:pPr>
      <w:r>
        <w:rPr>
          <w:sz w:val="20"/>
        </w:rPr>
        <w:t xml:space="preserve">Разработки резидентов Тюменского технопарка востребованы в нефтегазовой сфере, в строительстве и на транспорте, сфере информационных технологий, медицине и сельском хозяйстве.</w:t>
      </w:r>
    </w:p>
    <w:p>
      <w:pPr>
        <w:pStyle w:val="0"/>
        <w:spacing w:before="200" w:line-rule="auto"/>
        <w:ind w:firstLine="540"/>
        <w:jc w:val="both"/>
      </w:pPr>
      <w:r>
        <w:rPr>
          <w:sz w:val="20"/>
        </w:rPr>
        <w:t xml:space="preserve">Конкурентные преимущества инновационной продукции тюменских предприятий позволяют им расширить географию сбыта и выйти на глобальный рынок. Отдельными резидентами технопарка уже налажены поставки инновационной продукции не только внутри страны, но и в Казахстан, Узбекистан, Азербайджан, Сербию, Литву, Нигерию.</w:t>
      </w:r>
    </w:p>
    <w:p>
      <w:pPr>
        <w:pStyle w:val="0"/>
        <w:spacing w:before="200" w:line-rule="auto"/>
        <w:ind w:firstLine="540"/>
        <w:jc w:val="both"/>
      </w:pPr>
      <w:r>
        <w:rPr>
          <w:sz w:val="20"/>
        </w:rPr>
        <w:t xml:space="preserve">Основные тренды научно-технического прогресса неразрывно связаны с развитием информационных технологий во всех отраслях экономики.</w:t>
      </w:r>
    </w:p>
    <w:p>
      <w:pPr>
        <w:pStyle w:val="2"/>
        <w:spacing w:before="200" w:line-rule="auto"/>
        <w:outlineLvl w:val="4"/>
        <w:ind w:firstLine="540"/>
        <w:jc w:val="both"/>
      </w:pPr>
      <w:r>
        <w:rPr>
          <w:sz w:val="20"/>
        </w:rPr>
        <w:t xml:space="preserve">Туризм</w:t>
      </w:r>
    </w:p>
    <w:p>
      <w:pPr>
        <w:pStyle w:val="0"/>
        <w:spacing w:before="200" w:line-rule="auto"/>
        <w:ind w:firstLine="540"/>
        <w:jc w:val="both"/>
      </w:pPr>
      <w:r>
        <w:rPr>
          <w:sz w:val="20"/>
        </w:rPr>
        <w:t xml:space="preserve">Развитие туризма основано на потенциале туристско-рекреационных ресурсов Тюменской области. Туристские услуги оказываются как населению региона, так и жителям других субъектов Российской Федерации и зарубежных стран. Сдерживающим фактором является низкая инвестиционная активность на рынке туристической индустрии.</w:t>
      </w:r>
    </w:p>
    <w:p>
      <w:pPr>
        <w:pStyle w:val="0"/>
        <w:spacing w:before="200" w:line-rule="auto"/>
        <w:ind w:firstLine="540"/>
        <w:jc w:val="both"/>
      </w:pPr>
      <w:r>
        <w:rPr>
          <w:sz w:val="20"/>
        </w:rPr>
        <w:t xml:space="preserve">В области насчитывается 1,9 тыс. объектов культурного наследия, в том числе 161 памятник федерального значения, 481 - регионального значения. Большая часть памятников градостроительства и архитектуры находится на территории городов (Тобольска, Тюмени, Ишима, Ялуторовска).</w:t>
      </w:r>
    </w:p>
    <w:p>
      <w:pPr>
        <w:pStyle w:val="0"/>
        <w:spacing w:before="200" w:line-rule="auto"/>
        <w:ind w:firstLine="540"/>
        <w:jc w:val="both"/>
      </w:pPr>
      <w:r>
        <w:rPr>
          <w:sz w:val="20"/>
        </w:rPr>
        <w:t xml:space="preserve">Инфраструктура туристской отрасли Тюменской области насчитывает более 300 коллективных средств размещения, в том числе более 200 гостиниц. Среди туристско-культурных ресурсов региона - музеи, театры, филармония и другие объекты.</w:t>
      </w:r>
    </w:p>
    <w:p>
      <w:pPr>
        <w:pStyle w:val="0"/>
        <w:spacing w:before="200" w:line-rule="auto"/>
        <w:ind w:firstLine="540"/>
        <w:jc w:val="both"/>
      </w:pPr>
      <w:r>
        <w:rPr>
          <w:sz w:val="20"/>
        </w:rPr>
        <w:t xml:space="preserve">Развитая сеть лечебно-оздоровительных организаций (18 санаторно-курортных учреждений, 19 специализированных детских лагерей, более 50 баз отдыха) в совокупности с уникальными природными ресурсами региона (лечебные грязи, минеральные воды, горячие источники) позволяет привлекать значительный поток туристов и обеспечивает широкие возможности для дальнейшего развития данного вида туризма.</w:t>
      </w:r>
    </w:p>
    <w:p>
      <w:pPr>
        <w:pStyle w:val="0"/>
        <w:spacing w:before="200" w:line-rule="auto"/>
        <w:ind w:firstLine="540"/>
        <w:jc w:val="both"/>
      </w:pPr>
      <w:r>
        <w:rPr>
          <w:sz w:val="20"/>
        </w:rPr>
        <w:t xml:space="preserve">В 2018 году объем туристского потока в Тюменской области составил 2,639 млн человек. Тюменская область обладает потенциалом для роста в различных сегментах туристической отрасли. К приоритетным видам туризма Тюменской области относятся историко-культурный, деловой, санаторно-курортный, промышленный, событийный, медицинский, экологический и охотничье-рыболовный.</w:t>
      </w:r>
    </w:p>
    <w:p>
      <w:pPr>
        <w:pStyle w:val="2"/>
        <w:spacing w:before="200" w:line-rule="auto"/>
        <w:outlineLvl w:val="4"/>
        <w:ind w:firstLine="540"/>
        <w:jc w:val="both"/>
      </w:pPr>
      <w:r>
        <w:rPr>
          <w:sz w:val="20"/>
        </w:rPr>
        <w:t xml:space="preserve">Потребительский рынок</w:t>
      </w:r>
    </w:p>
    <w:p>
      <w:pPr>
        <w:pStyle w:val="0"/>
        <w:spacing w:before="200" w:line-rule="auto"/>
        <w:ind w:firstLine="540"/>
        <w:jc w:val="both"/>
      </w:pPr>
      <w:r>
        <w:rPr>
          <w:sz w:val="20"/>
        </w:rPr>
        <w:t xml:space="preserve">Потребительский рынок, в том числе оптовая и розничная торговля, общественное питание и рынок платных услуг, является важной частью экономики Тюменской области. Доля валовой добавленной стоимости по виду экономической деятельности "Торговля оптовая и розничная; ремонт автотранспортных средств и мотоциклов" в 2017 году составила 13,6% в общем объеме ВРП. На долю торговли приходится 18,0% от общего количества занятых в экономике (по данным за 2018 год).</w:t>
      </w:r>
    </w:p>
    <w:p>
      <w:pPr>
        <w:pStyle w:val="0"/>
        <w:spacing w:before="200" w:line-rule="auto"/>
        <w:ind w:firstLine="540"/>
        <w:jc w:val="both"/>
      </w:pPr>
      <w:r>
        <w:rPr>
          <w:sz w:val="20"/>
        </w:rPr>
        <w:t xml:space="preserve">На конец 2018 года на потребительском рынке области функционировало более 19 тыс. объектов, в том числе 11 розничных рынков, более 10 тыс. объектов розничной и более 522 объекта оптовой торговли, 3,1 тыс. объектов общественного питания, более 5,5 тыс. объектов бытового обслуживания.</w:t>
      </w:r>
    </w:p>
    <w:p>
      <w:pPr>
        <w:pStyle w:val="0"/>
        <w:spacing w:before="200" w:line-rule="auto"/>
        <w:ind w:firstLine="540"/>
        <w:jc w:val="both"/>
      </w:pPr>
      <w:r>
        <w:rPr>
          <w:sz w:val="20"/>
        </w:rPr>
        <w:t xml:space="preserve">За 2007 - 2018 годы оборот розничной торговли вырос в действующих ценах в 3,2 раза, оборот общественного питания - в 2,6 раза, объем платных услуг - в 2,8 раза. Население области ежедневно приобретает товаров и услуг на сумму более 1 млрд рублей.</w:t>
      </w:r>
    </w:p>
    <w:p>
      <w:pPr>
        <w:pStyle w:val="0"/>
        <w:spacing w:before="200" w:line-rule="auto"/>
        <w:ind w:firstLine="540"/>
        <w:jc w:val="both"/>
      </w:pPr>
      <w:r>
        <w:rPr>
          <w:sz w:val="20"/>
        </w:rPr>
        <w:t xml:space="preserve">По обороту розничной торговли в расчете на душу населения за 2018 год Тюменская область занимает 7 место среди субъектов Российской Федерации и 3 место среди регионов Уральского федерального округа.</w:t>
      </w:r>
    </w:p>
    <w:p>
      <w:pPr>
        <w:pStyle w:val="0"/>
        <w:spacing w:before="200" w:line-rule="auto"/>
        <w:ind w:firstLine="540"/>
        <w:jc w:val="both"/>
      </w:pPr>
      <w:r>
        <w:rPr>
          <w:sz w:val="20"/>
        </w:rPr>
        <w:t xml:space="preserve">Развитию регионального потребительского рынка также способствует фактор присутствия в регионе крупных российских и иностранных торговых сетевых компаний.</w:t>
      </w:r>
    </w:p>
    <w:p>
      <w:pPr>
        <w:pStyle w:val="0"/>
        <w:jc w:val="both"/>
      </w:pPr>
      <w:r>
        <w:rPr>
          <w:sz w:val="20"/>
        </w:rPr>
      </w:r>
    </w:p>
    <w:p>
      <w:pPr>
        <w:pStyle w:val="2"/>
        <w:outlineLvl w:val="3"/>
        <w:ind w:firstLine="540"/>
        <w:jc w:val="both"/>
      </w:pPr>
      <w:r>
        <w:rPr>
          <w:sz w:val="20"/>
        </w:rPr>
        <w:t xml:space="preserve">Малое и среднее предпринимательство</w:t>
      </w:r>
    </w:p>
    <w:p>
      <w:pPr>
        <w:pStyle w:val="0"/>
        <w:spacing w:before="200" w:line-rule="auto"/>
        <w:ind w:firstLine="540"/>
        <w:jc w:val="both"/>
      </w:pPr>
      <w:r>
        <w:rPr>
          <w:sz w:val="20"/>
        </w:rPr>
        <w:t xml:space="preserve">Малое и среднее предпринимательство Тюменской области - это около 73 тысяч субъектов, обеспечивающих рабочими местами 197,7 тыс. человек (около 30% всех занятых в экономике).</w:t>
      </w:r>
    </w:p>
    <w:p>
      <w:pPr>
        <w:pStyle w:val="0"/>
        <w:spacing w:before="200" w:line-rule="auto"/>
        <w:ind w:firstLine="540"/>
        <w:jc w:val="both"/>
      </w:pPr>
      <w:r>
        <w:rPr>
          <w:sz w:val="20"/>
        </w:rPr>
        <w:t xml:space="preserve">По итогам 2018 года Тюменская область по обороту продукции (услуг), производимой субъектами малого и среднего предпринимательства, в расчете на 1 человека населения занимает 20 место в России, по количеству субъектов малого и среднего предпринимательства в расчете на душу населения - 16 место.</w:t>
      </w:r>
    </w:p>
    <w:p>
      <w:pPr>
        <w:pStyle w:val="0"/>
        <w:jc w:val="both"/>
      </w:pPr>
      <w:r>
        <w:rPr>
          <w:sz w:val="20"/>
        </w:rPr>
      </w:r>
    </w:p>
    <w:p>
      <w:pPr>
        <w:pStyle w:val="2"/>
        <w:outlineLvl w:val="4"/>
        <w:ind w:firstLine="540"/>
        <w:jc w:val="both"/>
      </w:pPr>
      <w:r>
        <w:rPr>
          <w:sz w:val="20"/>
        </w:rPr>
        <w:t xml:space="preserve">Таблица 6 - Показатели развития малого и среднего предпринимательства (МСП) в Тюменской области в 2018 году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82"/>
        <w:gridCol w:w="1559"/>
        <w:gridCol w:w="1928"/>
        <w:gridCol w:w="1700"/>
      </w:tblGrid>
      <w:tr>
        <w:tc>
          <w:tcPr>
            <w:tcW w:w="3882" w:type="dxa"/>
            <w:vAlign w:val="center"/>
          </w:tcPr>
          <w:p>
            <w:pPr>
              <w:pStyle w:val="0"/>
              <w:jc w:val="center"/>
            </w:pPr>
            <w:r>
              <w:rPr>
                <w:sz w:val="20"/>
              </w:rPr>
              <w:t xml:space="preserve">Показатель</w:t>
            </w:r>
          </w:p>
        </w:tc>
        <w:tc>
          <w:tcPr>
            <w:tcW w:w="1559" w:type="dxa"/>
            <w:vAlign w:val="center"/>
          </w:tcPr>
          <w:p>
            <w:pPr>
              <w:pStyle w:val="0"/>
              <w:jc w:val="center"/>
            </w:pPr>
            <w:r>
              <w:rPr>
                <w:sz w:val="20"/>
              </w:rPr>
              <w:t xml:space="preserve">Тюменская область</w:t>
            </w:r>
          </w:p>
        </w:tc>
        <w:tc>
          <w:tcPr>
            <w:tcW w:w="1928" w:type="dxa"/>
            <w:vAlign w:val="center"/>
          </w:tcPr>
          <w:p>
            <w:pPr>
              <w:pStyle w:val="0"/>
              <w:jc w:val="center"/>
            </w:pPr>
            <w:r>
              <w:rPr>
                <w:sz w:val="20"/>
              </w:rPr>
              <w:t xml:space="preserve">Уральский федеральный округ</w:t>
            </w:r>
          </w:p>
        </w:tc>
        <w:tc>
          <w:tcPr>
            <w:tcW w:w="1700" w:type="dxa"/>
            <w:vAlign w:val="center"/>
          </w:tcPr>
          <w:p>
            <w:pPr>
              <w:pStyle w:val="0"/>
              <w:jc w:val="center"/>
            </w:pPr>
            <w:r>
              <w:rPr>
                <w:sz w:val="20"/>
              </w:rPr>
              <w:t xml:space="preserve">Российская Федерация</w:t>
            </w:r>
          </w:p>
        </w:tc>
      </w:tr>
      <w:tr>
        <w:tc>
          <w:tcPr>
            <w:tcW w:w="3882" w:type="dxa"/>
            <w:vAlign w:val="center"/>
          </w:tcPr>
          <w:p>
            <w:pPr>
              <w:pStyle w:val="0"/>
            </w:pPr>
            <w:r>
              <w:rPr>
                <w:sz w:val="20"/>
              </w:rPr>
              <w:t xml:space="preserve">Количество субъектов малого и среднего предпринимательства (осуществляющих деятельность) на 1000 человек населения, единиц</w:t>
            </w:r>
          </w:p>
        </w:tc>
        <w:tc>
          <w:tcPr>
            <w:tcW w:w="1559" w:type="dxa"/>
            <w:vAlign w:val="center"/>
          </w:tcPr>
          <w:p>
            <w:pPr>
              <w:pStyle w:val="0"/>
              <w:jc w:val="center"/>
            </w:pPr>
            <w:r>
              <w:rPr>
                <w:sz w:val="20"/>
              </w:rPr>
              <w:t xml:space="preserve">38,8</w:t>
            </w:r>
          </w:p>
        </w:tc>
        <w:tc>
          <w:tcPr>
            <w:tcW w:w="1928" w:type="dxa"/>
            <w:vAlign w:val="center"/>
          </w:tcPr>
          <w:p>
            <w:pPr>
              <w:pStyle w:val="0"/>
              <w:jc w:val="center"/>
            </w:pPr>
            <w:r>
              <w:rPr>
                <w:sz w:val="20"/>
              </w:rPr>
              <w:t xml:space="preserve">36,2</w:t>
            </w:r>
          </w:p>
        </w:tc>
        <w:tc>
          <w:tcPr>
            <w:tcW w:w="1700" w:type="dxa"/>
            <w:vAlign w:val="center"/>
          </w:tcPr>
          <w:p>
            <w:pPr>
              <w:pStyle w:val="0"/>
              <w:jc w:val="center"/>
            </w:pPr>
            <w:r>
              <w:rPr>
                <w:sz w:val="20"/>
              </w:rPr>
              <w:t xml:space="preserve">36,1</w:t>
            </w:r>
          </w:p>
        </w:tc>
      </w:tr>
      <w:tr>
        <w:tc>
          <w:tcPr>
            <w:tcW w:w="3882" w:type="dxa"/>
            <w:vAlign w:val="center"/>
          </w:tcPr>
          <w:p>
            <w:pPr>
              <w:pStyle w:val="0"/>
            </w:pPr>
            <w:r>
              <w:rPr>
                <w:sz w:val="20"/>
              </w:rPr>
              <w:t xml:space="preserve">Оборот продукции (услуг), производимых субъектами малого и среднего предпринимательства, на 1000 человек населения, тыс. рублей</w:t>
            </w:r>
          </w:p>
        </w:tc>
        <w:tc>
          <w:tcPr>
            <w:tcW w:w="1559" w:type="dxa"/>
            <w:vAlign w:val="center"/>
          </w:tcPr>
          <w:p>
            <w:pPr>
              <w:pStyle w:val="0"/>
              <w:jc w:val="center"/>
            </w:pPr>
            <w:r>
              <w:rPr>
                <w:sz w:val="20"/>
              </w:rPr>
              <w:t xml:space="preserve">464</w:t>
            </w:r>
          </w:p>
        </w:tc>
        <w:tc>
          <w:tcPr>
            <w:tcW w:w="1928" w:type="dxa"/>
            <w:vAlign w:val="center"/>
          </w:tcPr>
          <w:p>
            <w:pPr>
              <w:pStyle w:val="0"/>
              <w:jc w:val="center"/>
            </w:pPr>
            <w:r>
              <w:rPr>
                <w:sz w:val="20"/>
              </w:rPr>
              <w:t xml:space="preserve">463</w:t>
            </w:r>
          </w:p>
        </w:tc>
        <w:tc>
          <w:tcPr>
            <w:tcW w:w="1700" w:type="dxa"/>
            <w:vAlign w:val="center"/>
          </w:tcPr>
          <w:p>
            <w:pPr>
              <w:pStyle w:val="0"/>
              <w:jc w:val="center"/>
            </w:pPr>
            <w:r>
              <w:rPr>
                <w:sz w:val="20"/>
              </w:rPr>
              <w:t xml:space="preserve">510</w:t>
            </w:r>
          </w:p>
        </w:tc>
      </w:tr>
      <w:tr>
        <w:tc>
          <w:tcPr>
            <w:tcW w:w="3882" w:type="dxa"/>
            <w:vAlign w:val="center"/>
          </w:tcPr>
          <w:p>
            <w:pPr>
              <w:pStyle w:val="0"/>
            </w:pPr>
            <w:r>
              <w:rPr>
                <w:sz w:val="20"/>
              </w:rPr>
              <w:t xml:space="preserve">Доля занятых в малом и среднем бизнесе в общем количестве занятых в экономике, %</w:t>
            </w:r>
          </w:p>
        </w:tc>
        <w:tc>
          <w:tcPr>
            <w:tcW w:w="1559" w:type="dxa"/>
            <w:vAlign w:val="center"/>
          </w:tcPr>
          <w:p>
            <w:pPr>
              <w:pStyle w:val="0"/>
              <w:jc w:val="center"/>
            </w:pPr>
            <w:r>
              <w:rPr>
                <w:sz w:val="20"/>
              </w:rPr>
              <w:t xml:space="preserve">27,1</w:t>
            </w:r>
          </w:p>
        </w:tc>
        <w:tc>
          <w:tcPr>
            <w:tcW w:w="1928" w:type="dxa"/>
            <w:vAlign w:val="center"/>
          </w:tcPr>
          <w:p>
            <w:pPr>
              <w:pStyle w:val="0"/>
              <w:jc w:val="center"/>
            </w:pPr>
            <w:r>
              <w:rPr>
                <w:sz w:val="20"/>
              </w:rPr>
              <w:t xml:space="preserve">24,7</w:t>
            </w:r>
          </w:p>
        </w:tc>
        <w:tc>
          <w:tcPr>
            <w:tcW w:w="1700" w:type="dxa"/>
            <w:vAlign w:val="center"/>
          </w:tcPr>
          <w:p>
            <w:pPr>
              <w:pStyle w:val="0"/>
              <w:jc w:val="center"/>
            </w:pPr>
            <w:r>
              <w:rPr>
                <w:sz w:val="20"/>
              </w:rPr>
              <w:t xml:space="preserve">25,4</w:t>
            </w:r>
          </w:p>
        </w:tc>
      </w:tr>
    </w:tbl>
    <w:p>
      <w:pPr>
        <w:pStyle w:val="0"/>
        <w:jc w:val="both"/>
      </w:pPr>
      <w:r>
        <w:rPr>
          <w:sz w:val="20"/>
        </w:rPr>
      </w:r>
    </w:p>
    <w:p>
      <w:pPr>
        <w:pStyle w:val="0"/>
        <w:ind w:firstLine="540"/>
        <w:jc w:val="both"/>
      </w:pPr>
      <w:r>
        <w:rPr>
          <w:sz w:val="20"/>
        </w:rPr>
        <w:t xml:space="preserve">В Тюменской области создана инфраструктура содействия развитию малого и среднего бизнеса, разработаны, применяются и постоянно совершенствуются государственные механизмы финансового, имущественного, информационного, консультационного, обучающего и иного содействия в развитии субъектов малого и среднего предпринимательства. Программы поддержки и развития малого и среднего предпринимательства реализуются во всех 26 муниципальных образованиях.</w:t>
      </w:r>
    </w:p>
    <w:p>
      <w:pPr>
        <w:pStyle w:val="0"/>
        <w:spacing w:before="200" w:line-rule="auto"/>
        <w:ind w:firstLine="540"/>
        <w:jc w:val="both"/>
      </w:pPr>
      <w:r>
        <w:rPr>
          <w:sz w:val="20"/>
        </w:rPr>
        <w:t xml:space="preserve">В целях популяризации предпринимательской деятельности и повышения экономической и правовой грамотности предпринимательского сообщества проводятся обучающие мероприятия, в том числе в муниципальных образованиях, что существенно повышает их доступность для сельских предпринимателей.</w:t>
      </w:r>
    </w:p>
    <w:p>
      <w:pPr>
        <w:pStyle w:val="0"/>
        <w:spacing w:before="200" w:line-rule="auto"/>
        <w:ind w:firstLine="540"/>
        <w:jc w:val="both"/>
      </w:pPr>
      <w:r>
        <w:rPr>
          <w:sz w:val="20"/>
        </w:rPr>
        <w:t xml:space="preserve">Приняты меры, направленные на недопущение ухудшения условий для бизнеса: законодательно закреплены налоговые каникулы для начинающих индивидуальных предпринимателей &lt;5&gt;; установлена патентная система налогообложения для микробизнеса &lt;6&gt;; для всех налогоплательщиков, применяющих упрощенную систему налогообложения с объектом налогообложения доходы, уменьшенные на величину расходов, до 31 декабря 2023 года включительно сохранена налоговая ставка в размере 5%, а для организаций, применяющих упрощенную систему налогообложения с объектом налогообложения доходы и осуществляющих деятельность в сфере информационных технологий, налоговая ставка снижена с 6% до 1%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24" w:tooltip="Закон Тюменской области от 31.03.2015 N 20 (ред. от 26.10.2022) &quot;Об установлении налоговой ставки в размере 0 процентов для отдельных категорий налогоплательщиков - индивидуальных предпринимателей при применении упрощенной системы налогообложения и патентной системы налогообложения в Тюменской области&quot; (принят Тюменской областной Думой 19.03.2015) {КонсультантПлюс}">
        <w:r>
          <w:rPr>
            <w:sz w:val="20"/>
            <w:color w:val="0000ff"/>
          </w:rPr>
          <w:t xml:space="preserve">Закон</w:t>
        </w:r>
      </w:hyperlink>
      <w:r>
        <w:rPr>
          <w:sz w:val="20"/>
        </w:rPr>
        <w:t xml:space="preserve"> Тюменской области от 31.03.2015 N 20 "Об установлении налоговой ставки в размере 0 процентов для отдельных категорий налогоплательщиков - индивидуальных предпринимателей при применении упрощенной системы налогообложения и патентной системы налогообложения в Тюменской области".</w:t>
      </w:r>
    </w:p>
    <w:p>
      <w:pPr>
        <w:pStyle w:val="0"/>
        <w:spacing w:before="200" w:line-rule="auto"/>
        <w:ind w:firstLine="540"/>
        <w:jc w:val="both"/>
      </w:pPr>
      <w:r>
        <w:rPr>
          <w:sz w:val="20"/>
        </w:rPr>
        <w:t xml:space="preserve">&lt;6&gt; </w:t>
      </w:r>
      <w:hyperlink w:history="0" r:id="rId25" w:tooltip="Закон Тюменской области от 27.11.2012 N 96 (ред. от 29.11.2021) &quot;О патентной системе налогообложения для индивидуальных предпринимателей&quot; (принят Тюменской областной Думой 22.11.2012) (с изм. и доп., вступающими в силу с 01.01.2022) {КонсультантПлюс}">
        <w:r>
          <w:rPr>
            <w:sz w:val="20"/>
            <w:color w:val="0000ff"/>
          </w:rPr>
          <w:t xml:space="preserve">Закон</w:t>
        </w:r>
      </w:hyperlink>
      <w:r>
        <w:rPr>
          <w:sz w:val="20"/>
        </w:rPr>
        <w:t xml:space="preserve"> Тюменской области от 27.11.2012 N 96 "О патентной системе налогообложения для индивидуальных предпринимателей".</w:t>
      </w:r>
    </w:p>
    <w:p>
      <w:pPr>
        <w:pStyle w:val="0"/>
        <w:spacing w:before="200" w:line-rule="auto"/>
        <w:ind w:firstLine="540"/>
        <w:jc w:val="both"/>
      </w:pPr>
      <w:r>
        <w:rPr>
          <w:sz w:val="20"/>
        </w:rPr>
        <w:t xml:space="preserve">&lt;7&gt; </w:t>
      </w:r>
      <w:hyperlink w:history="0" r:id="rId26" w:tooltip="Закон Тюменской области от 31.03.2015 N 21 (ред. от 05.07.2023) &quot;О моратории на повышение налоговой ставки для налогоплательщиков, применяющих упрощенную систему налогообложения&quot; (принят Тюменской областной Думой 19.03.2015) {КонсультантПлюс}">
        <w:r>
          <w:rPr>
            <w:sz w:val="20"/>
            <w:color w:val="0000ff"/>
          </w:rPr>
          <w:t xml:space="preserve">Закон</w:t>
        </w:r>
      </w:hyperlink>
      <w:r>
        <w:rPr>
          <w:sz w:val="20"/>
        </w:rPr>
        <w:t xml:space="preserve"> Тюменской области от 31.03.2015 N 21 "О моратории на повышение налоговой ставки для налогоплательщиков, применяющих упрощенную систему налогообложения".</w:t>
      </w:r>
    </w:p>
    <w:p>
      <w:pPr>
        <w:pStyle w:val="0"/>
        <w:jc w:val="both"/>
      </w:pPr>
      <w:r>
        <w:rPr>
          <w:sz w:val="20"/>
        </w:rPr>
      </w:r>
    </w:p>
    <w:p>
      <w:pPr>
        <w:pStyle w:val="0"/>
        <w:ind w:firstLine="540"/>
        <w:jc w:val="both"/>
      </w:pPr>
      <w:r>
        <w:rPr>
          <w:sz w:val="20"/>
        </w:rPr>
        <w:t xml:space="preserve">За 2008 - 2018 годы количество субъектов малого и среднего предпринимательства увеличилось в 1,6 раза. Рост оборота продукции (услуг), произведенных МСП в 2018 году к 2008 году, составил 129,0% в сопоставимых ценах.</w:t>
      </w:r>
    </w:p>
    <w:p>
      <w:pPr>
        <w:pStyle w:val="0"/>
        <w:spacing w:before="200" w:line-rule="auto"/>
        <w:ind w:firstLine="540"/>
        <w:jc w:val="both"/>
      </w:pPr>
      <w:r>
        <w:rPr>
          <w:sz w:val="20"/>
        </w:rPr>
        <w:t xml:space="preserve">Положительную динамику имеют показатели развития малых предприятий (включая микропредприятия): число предприятий возросло в 3,1 раза, среднесписочная численность работников - в 1,4 раза, рост оборота составил 145,9% в сопоставимых ценах (2018 год к 2008 году).</w:t>
      </w:r>
    </w:p>
    <w:p>
      <w:pPr>
        <w:pStyle w:val="0"/>
        <w:spacing w:before="200" w:line-rule="auto"/>
        <w:ind w:firstLine="540"/>
        <w:jc w:val="both"/>
      </w:pPr>
      <w:r>
        <w:rPr>
          <w:sz w:val="20"/>
        </w:rPr>
        <w:t xml:space="preserve">В общем обороте организаций области доля малых предприятий (включая микропредприятия) составляет 17%, в том числе: в строительстве - 44%; в торговле - 35%; транспорте - 10%. На малых предприятиях (включая микропредприятия) работают 39,3% работников сферы строительства; 27,2% специалистов обрабатывающих отраслей; 53,1% работников торговли.</w:t>
      </w:r>
    </w:p>
    <w:p>
      <w:pPr>
        <w:pStyle w:val="0"/>
        <w:spacing w:before="200" w:line-rule="auto"/>
        <w:ind w:firstLine="540"/>
        <w:jc w:val="both"/>
      </w:pPr>
      <w:r>
        <w:rPr>
          <w:sz w:val="20"/>
        </w:rPr>
        <w:t xml:space="preserve">В Тюменской области есть предпосылки развития творческих креативных индустрий, основанные на приоритете малых и средних предприятий, производящих творческие продукты и услуги.</w:t>
      </w:r>
    </w:p>
    <w:p>
      <w:pPr>
        <w:pStyle w:val="0"/>
        <w:jc w:val="both"/>
      </w:pPr>
      <w:r>
        <w:rPr>
          <w:sz w:val="20"/>
        </w:rPr>
      </w:r>
    </w:p>
    <w:p>
      <w:pPr>
        <w:pStyle w:val="2"/>
        <w:outlineLvl w:val="3"/>
        <w:ind w:firstLine="540"/>
        <w:jc w:val="both"/>
      </w:pPr>
      <w:r>
        <w:rPr>
          <w:sz w:val="20"/>
        </w:rPr>
        <w:t xml:space="preserve">Человеческий капитал и качество жизни населения</w:t>
      </w:r>
    </w:p>
    <w:p>
      <w:pPr>
        <w:pStyle w:val="2"/>
        <w:spacing w:before="200" w:line-rule="auto"/>
        <w:outlineLvl w:val="4"/>
        <w:ind w:firstLine="540"/>
        <w:jc w:val="both"/>
      </w:pPr>
      <w:r>
        <w:rPr>
          <w:sz w:val="20"/>
        </w:rPr>
        <w:t xml:space="preserve">Демографическая и миграционная ситуация</w:t>
      </w:r>
    </w:p>
    <w:p>
      <w:pPr>
        <w:pStyle w:val="0"/>
        <w:spacing w:before="200" w:line-rule="auto"/>
        <w:ind w:firstLine="540"/>
        <w:jc w:val="both"/>
      </w:pPr>
      <w:r>
        <w:rPr>
          <w:sz w:val="20"/>
        </w:rPr>
        <w:t xml:space="preserve">На начало 2019 года в Тюменской области проживало 1 518,7 тыс. человек - около 1% населения Российской Федерации. За 2007 - 2018 годы прирост населения составил 208,8 тыс. человек (за 2018 год - 19,9 тыс. человек).</w:t>
      </w:r>
    </w:p>
    <w:p>
      <w:pPr>
        <w:pStyle w:val="0"/>
        <w:spacing w:before="200" w:line-rule="auto"/>
        <w:ind w:firstLine="540"/>
        <w:jc w:val="both"/>
      </w:pPr>
      <w:r>
        <w:rPr>
          <w:sz w:val="20"/>
        </w:rPr>
        <w:t xml:space="preserve">Численность населения Тюменской области увеличивается за счет естественного и миграционного приростов.</w:t>
      </w:r>
    </w:p>
    <w:p>
      <w:pPr>
        <w:pStyle w:val="0"/>
        <w:spacing w:before="200" w:line-rule="auto"/>
        <w:ind w:firstLine="540"/>
        <w:jc w:val="both"/>
      </w:pPr>
      <w:r>
        <w:rPr>
          <w:sz w:val="20"/>
        </w:rPr>
        <w:t xml:space="preserve">Естественный прирост населения за 2007 - 2018 годы увеличился на 2,0 промилле за счет снижения смертности населения на 17,4%. Естественный прирост в 2018 году составил 2,8 промилле (уровень рождаемости - 13,7 промилле; уровень смертности - 10,9 промилле). По абсолютной величине естественного прироста населения Тюменская область входит в десятку регионов-лидеров.</w:t>
      </w:r>
    </w:p>
    <w:p>
      <w:pPr>
        <w:pStyle w:val="0"/>
        <w:spacing w:before="200" w:line-rule="auto"/>
        <w:ind w:firstLine="540"/>
        <w:jc w:val="both"/>
      </w:pPr>
      <w:r>
        <w:rPr>
          <w:sz w:val="20"/>
        </w:rPr>
        <w:t xml:space="preserve">Серьезной проблемой остается крайне высокая смертность мужчин в трудоспособном возрасте, особенно в сельской местности. В результате сохраняется значительный разрыв в продолжительности жизни при рождении женщин и мужчин: ожидаемая продолжительность жизни при рождении женщин в 2018 году составляла 77 лет 7 месяцев, мужчин - 66 лет 7 месяцев. При этом гендерная диспропорция сокращается: в среднем на каждую тысячу мужчин приходится 1,10 тыс. женщин, тогда как на начало 2007 года - 1,14 тыс. женщин.</w:t>
      </w:r>
    </w:p>
    <w:p>
      <w:pPr>
        <w:pStyle w:val="0"/>
        <w:spacing w:before="200" w:line-rule="auto"/>
        <w:ind w:firstLine="540"/>
        <w:jc w:val="both"/>
      </w:pPr>
      <w:r>
        <w:rPr>
          <w:sz w:val="20"/>
        </w:rPr>
        <w:t xml:space="preserve">Прирост численности населения Тюменской области в большей степени формируется за счет положительного сальдо миграции из соседних регионов и стран СНГ. За период с 2005 по 2018 год наибольший миграционный прирост отмечен в 2015 году - 17,9 тыс. человек. Миграционный прирост за счет международной миграции в 2018 году составил 4,8 тыс. человек (30,7% общего миграционного прироста) в основном из стран СНГ - Таджикистана, Узбекистана, Казахстана, Азербайджана, Украины. Наибольшая доля мигрантов - это люди в трудоспособном возрасте. Миграционный прирост за счет миграции из Ямало-Ненецкого автономного округа и Ханты-Мансийского автономного округа - Югры в 2018 году составил 6,1 тыс. человек (39,0% общего миграционного прироста).</w:t>
      </w:r>
    </w:p>
    <w:p>
      <w:pPr>
        <w:pStyle w:val="0"/>
        <w:spacing w:before="200" w:line-rule="auto"/>
        <w:ind w:firstLine="540"/>
        <w:jc w:val="both"/>
      </w:pPr>
      <w:r>
        <w:rPr>
          <w:sz w:val="20"/>
        </w:rPr>
        <w:t xml:space="preserve">Усиливается дисбаланс в возрастной структуре населения Тюменской области. За 2007 - 2018 годы сократилась доля населения в трудоспособном возрасте при одновременном увеличении долей детей и подростков и населения старшего возраста (табл. 7).</w:t>
      </w:r>
    </w:p>
    <w:p>
      <w:pPr>
        <w:pStyle w:val="0"/>
        <w:jc w:val="both"/>
      </w:pPr>
      <w:r>
        <w:rPr>
          <w:sz w:val="20"/>
        </w:rPr>
      </w:r>
    </w:p>
    <w:p>
      <w:pPr>
        <w:pStyle w:val="2"/>
        <w:outlineLvl w:val="5"/>
        <w:ind w:firstLine="540"/>
        <w:jc w:val="both"/>
      </w:pPr>
      <w:r>
        <w:rPr>
          <w:sz w:val="20"/>
        </w:rPr>
        <w:t xml:space="preserve">Таблица 7 - Возрастная структура населения Тюменской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78"/>
        <w:gridCol w:w="1418"/>
        <w:gridCol w:w="1531"/>
        <w:gridCol w:w="1417"/>
      </w:tblGrid>
      <w:tr>
        <w:tc>
          <w:tcPr>
            <w:tcW w:w="4678" w:type="dxa"/>
            <w:vAlign w:val="center"/>
          </w:tcPr>
          <w:p>
            <w:pPr>
              <w:pStyle w:val="0"/>
              <w:jc w:val="center"/>
            </w:pPr>
            <w:r>
              <w:rPr>
                <w:sz w:val="20"/>
              </w:rPr>
              <w:t xml:space="preserve">Показатель</w:t>
            </w:r>
          </w:p>
        </w:tc>
        <w:tc>
          <w:tcPr>
            <w:tcW w:w="1418" w:type="dxa"/>
            <w:vAlign w:val="center"/>
          </w:tcPr>
          <w:p>
            <w:pPr>
              <w:pStyle w:val="0"/>
              <w:jc w:val="center"/>
            </w:pPr>
            <w:r>
              <w:rPr>
                <w:sz w:val="20"/>
              </w:rPr>
              <w:t xml:space="preserve">2007 год</w:t>
            </w:r>
          </w:p>
        </w:tc>
        <w:tc>
          <w:tcPr>
            <w:tcW w:w="1531" w:type="dxa"/>
            <w:vAlign w:val="center"/>
          </w:tcPr>
          <w:p>
            <w:pPr>
              <w:pStyle w:val="0"/>
              <w:jc w:val="center"/>
            </w:pPr>
            <w:r>
              <w:rPr>
                <w:sz w:val="20"/>
              </w:rPr>
              <w:t xml:space="preserve">2019 год</w:t>
            </w:r>
          </w:p>
        </w:tc>
        <w:tc>
          <w:tcPr>
            <w:tcW w:w="1417" w:type="dxa"/>
            <w:vAlign w:val="center"/>
          </w:tcPr>
          <w:p>
            <w:pPr>
              <w:pStyle w:val="0"/>
              <w:jc w:val="center"/>
            </w:pPr>
            <w:r>
              <w:rPr>
                <w:sz w:val="20"/>
              </w:rPr>
              <w:t xml:space="preserve">2019 год</w:t>
            </w:r>
          </w:p>
          <w:p>
            <w:pPr>
              <w:pStyle w:val="0"/>
              <w:jc w:val="center"/>
            </w:pPr>
            <w:r>
              <w:rPr>
                <w:sz w:val="20"/>
              </w:rPr>
              <w:t xml:space="preserve">к 2007</w:t>
            </w:r>
          </w:p>
          <w:p>
            <w:pPr>
              <w:pStyle w:val="0"/>
              <w:jc w:val="center"/>
            </w:pPr>
            <w:r>
              <w:rPr>
                <w:sz w:val="20"/>
              </w:rPr>
              <w:t xml:space="preserve">году</w:t>
            </w:r>
          </w:p>
        </w:tc>
      </w:tr>
      <w:tr>
        <w:tc>
          <w:tcPr>
            <w:tcW w:w="4678" w:type="dxa"/>
            <w:vAlign w:val="center"/>
          </w:tcPr>
          <w:p>
            <w:pPr>
              <w:pStyle w:val="0"/>
            </w:pPr>
            <w:r>
              <w:rPr>
                <w:sz w:val="20"/>
              </w:rPr>
              <w:t xml:space="preserve">Численность населения на начало года, тыс. человек</w:t>
            </w:r>
          </w:p>
        </w:tc>
        <w:tc>
          <w:tcPr>
            <w:tcW w:w="1418" w:type="dxa"/>
            <w:vAlign w:val="center"/>
          </w:tcPr>
          <w:p>
            <w:pPr>
              <w:pStyle w:val="0"/>
              <w:jc w:val="center"/>
            </w:pPr>
            <w:r>
              <w:rPr>
                <w:sz w:val="20"/>
              </w:rPr>
              <w:t xml:space="preserve">1309,9</w:t>
            </w:r>
          </w:p>
        </w:tc>
        <w:tc>
          <w:tcPr>
            <w:tcW w:w="1531" w:type="dxa"/>
            <w:vAlign w:val="center"/>
          </w:tcPr>
          <w:p>
            <w:pPr>
              <w:pStyle w:val="0"/>
              <w:jc w:val="center"/>
            </w:pPr>
            <w:r>
              <w:rPr>
                <w:sz w:val="20"/>
              </w:rPr>
              <w:t xml:space="preserve">1518,7</w:t>
            </w:r>
          </w:p>
        </w:tc>
        <w:tc>
          <w:tcPr>
            <w:tcW w:w="1417" w:type="dxa"/>
            <w:vAlign w:val="center"/>
          </w:tcPr>
          <w:p>
            <w:pPr>
              <w:pStyle w:val="0"/>
              <w:jc w:val="center"/>
            </w:pPr>
            <w:r>
              <w:rPr>
                <w:sz w:val="20"/>
              </w:rPr>
              <w:t xml:space="preserve">208,8</w:t>
            </w:r>
          </w:p>
        </w:tc>
      </w:tr>
      <w:tr>
        <w:tc>
          <w:tcPr>
            <w:tcW w:w="4678" w:type="dxa"/>
            <w:vAlign w:val="center"/>
          </w:tcPr>
          <w:p>
            <w:pPr>
              <w:pStyle w:val="0"/>
              <w:jc w:val="center"/>
            </w:pPr>
            <w:r>
              <w:rPr>
                <w:sz w:val="20"/>
              </w:rPr>
              <w:t xml:space="preserve">в том числе в возрасте:</w:t>
            </w:r>
          </w:p>
        </w:tc>
        <w:tc>
          <w:tcPr>
            <w:tcW w:w="1418" w:type="dxa"/>
            <w:vAlign w:val="center"/>
          </w:tcPr>
          <w:p>
            <w:pPr>
              <w:pStyle w:val="0"/>
            </w:pPr>
            <w:r>
              <w:rPr>
                <w:sz w:val="20"/>
              </w:rPr>
            </w:r>
          </w:p>
        </w:tc>
        <w:tc>
          <w:tcPr>
            <w:tcW w:w="1531" w:type="dxa"/>
            <w:vAlign w:val="center"/>
          </w:tcPr>
          <w:p>
            <w:pPr>
              <w:pStyle w:val="0"/>
            </w:pPr>
            <w:r>
              <w:rPr>
                <w:sz w:val="20"/>
              </w:rPr>
            </w:r>
          </w:p>
        </w:tc>
        <w:tc>
          <w:tcPr>
            <w:tcW w:w="1417" w:type="dxa"/>
            <w:vAlign w:val="center"/>
          </w:tcPr>
          <w:p>
            <w:pPr>
              <w:pStyle w:val="0"/>
            </w:pPr>
            <w:r>
              <w:rPr>
                <w:sz w:val="20"/>
              </w:rPr>
            </w:r>
          </w:p>
        </w:tc>
      </w:tr>
      <w:tr>
        <w:tc>
          <w:tcPr>
            <w:tcW w:w="4678" w:type="dxa"/>
            <w:vAlign w:val="center"/>
          </w:tcPr>
          <w:p>
            <w:pPr>
              <w:pStyle w:val="0"/>
              <w:ind w:left="283"/>
            </w:pPr>
            <w:r>
              <w:rPr>
                <w:sz w:val="20"/>
              </w:rPr>
              <w:t xml:space="preserve">моложе трудоспособного возраста</w:t>
            </w:r>
          </w:p>
        </w:tc>
        <w:tc>
          <w:tcPr>
            <w:tcW w:w="1418" w:type="dxa"/>
            <w:vAlign w:val="center"/>
          </w:tcPr>
          <w:p>
            <w:pPr>
              <w:pStyle w:val="0"/>
              <w:jc w:val="center"/>
            </w:pPr>
            <w:r>
              <w:rPr>
                <w:sz w:val="20"/>
              </w:rPr>
              <w:t xml:space="preserve">230,3</w:t>
            </w:r>
          </w:p>
        </w:tc>
        <w:tc>
          <w:tcPr>
            <w:tcW w:w="1531" w:type="dxa"/>
            <w:vAlign w:val="center"/>
          </w:tcPr>
          <w:p>
            <w:pPr>
              <w:pStyle w:val="0"/>
              <w:jc w:val="center"/>
            </w:pPr>
            <w:r>
              <w:rPr>
                <w:sz w:val="20"/>
              </w:rPr>
              <w:t xml:space="preserve">329,9</w:t>
            </w:r>
          </w:p>
        </w:tc>
        <w:tc>
          <w:tcPr>
            <w:tcW w:w="1417" w:type="dxa"/>
            <w:vAlign w:val="center"/>
          </w:tcPr>
          <w:p>
            <w:pPr>
              <w:pStyle w:val="0"/>
              <w:jc w:val="center"/>
            </w:pPr>
            <w:r>
              <w:rPr>
                <w:sz w:val="20"/>
              </w:rPr>
              <w:t xml:space="preserve">+ 99,6</w:t>
            </w:r>
          </w:p>
        </w:tc>
      </w:tr>
      <w:tr>
        <w:tc>
          <w:tcPr>
            <w:tcW w:w="4678" w:type="dxa"/>
            <w:vAlign w:val="center"/>
          </w:tcPr>
          <w:p>
            <w:pPr>
              <w:pStyle w:val="0"/>
              <w:ind w:left="283"/>
            </w:pPr>
            <w:r>
              <w:rPr>
                <w:sz w:val="20"/>
              </w:rPr>
              <w:t xml:space="preserve">трудоспособном</w:t>
            </w:r>
          </w:p>
        </w:tc>
        <w:tc>
          <w:tcPr>
            <w:tcW w:w="1418" w:type="dxa"/>
            <w:vAlign w:val="center"/>
          </w:tcPr>
          <w:p>
            <w:pPr>
              <w:pStyle w:val="0"/>
              <w:jc w:val="center"/>
            </w:pPr>
            <w:r>
              <w:rPr>
                <w:sz w:val="20"/>
              </w:rPr>
              <w:t xml:space="preserve">852,7</w:t>
            </w:r>
          </w:p>
        </w:tc>
        <w:tc>
          <w:tcPr>
            <w:tcW w:w="1531" w:type="dxa"/>
            <w:vAlign w:val="center"/>
          </w:tcPr>
          <w:p>
            <w:pPr>
              <w:pStyle w:val="0"/>
              <w:jc w:val="center"/>
            </w:pPr>
            <w:r>
              <w:rPr>
                <w:sz w:val="20"/>
              </w:rPr>
              <w:t xml:space="preserve">851,5</w:t>
            </w:r>
          </w:p>
        </w:tc>
        <w:tc>
          <w:tcPr>
            <w:tcW w:w="1417" w:type="dxa"/>
            <w:vAlign w:val="center"/>
          </w:tcPr>
          <w:p>
            <w:pPr>
              <w:pStyle w:val="0"/>
              <w:jc w:val="center"/>
            </w:pPr>
            <w:r>
              <w:rPr>
                <w:sz w:val="20"/>
              </w:rPr>
              <w:t xml:space="preserve">- 1,2</w:t>
            </w:r>
          </w:p>
        </w:tc>
      </w:tr>
      <w:tr>
        <w:tc>
          <w:tcPr>
            <w:tcW w:w="4678" w:type="dxa"/>
            <w:vAlign w:val="center"/>
          </w:tcPr>
          <w:p>
            <w:pPr>
              <w:pStyle w:val="0"/>
              <w:ind w:left="283"/>
            </w:pPr>
            <w:r>
              <w:rPr>
                <w:sz w:val="20"/>
              </w:rPr>
              <w:t xml:space="preserve">старше трудоспособного</w:t>
            </w:r>
          </w:p>
        </w:tc>
        <w:tc>
          <w:tcPr>
            <w:tcW w:w="1418" w:type="dxa"/>
            <w:vAlign w:val="center"/>
          </w:tcPr>
          <w:p>
            <w:pPr>
              <w:pStyle w:val="0"/>
              <w:jc w:val="center"/>
            </w:pPr>
            <w:r>
              <w:rPr>
                <w:sz w:val="20"/>
              </w:rPr>
              <w:t xml:space="preserve">226,9</w:t>
            </w:r>
          </w:p>
        </w:tc>
        <w:tc>
          <w:tcPr>
            <w:tcW w:w="1531" w:type="dxa"/>
            <w:vAlign w:val="center"/>
          </w:tcPr>
          <w:p>
            <w:pPr>
              <w:pStyle w:val="0"/>
              <w:jc w:val="center"/>
            </w:pPr>
            <w:r>
              <w:rPr>
                <w:sz w:val="20"/>
              </w:rPr>
              <w:t xml:space="preserve">337,4</w:t>
            </w:r>
          </w:p>
        </w:tc>
        <w:tc>
          <w:tcPr>
            <w:tcW w:w="1417" w:type="dxa"/>
            <w:vAlign w:val="center"/>
          </w:tcPr>
          <w:p>
            <w:pPr>
              <w:pStyle w:val="0"/>
              <w:jc w:val="center"/>
            </w:pPr>
            <w:r>
              <w:rPr>
                <w:sz w:val="20"/>
              </w:rPr>
              <w:t xml:space="preserve">+ 110,5</w:t>
            </w:r>
          </w:p>
        </w:tc>
      </w:tr>
      <w:tr>
        <w:tc>
          <w:tcPr>
            <w:tcW w:w="4678" w:type="dxa"/>
            <w:vAlign w:val="center"/>
          </w:tcPr>
          <w:p>
            <w:pPr>
              <w:pStyle w:val="0"/>
            </w:pPr>
            <w:r>
              <w:rPr>
                <w:sz w:val="20"/>
              </w:rPr>
              <w:t xml:space="preserve">в процентах к итогу</w:t>
            </w:r>
          </w:p>
        </w:tc>
        <w:tc>
          <w:tcPr>
            <w:tcW w:w="1418" w:type="dxa"/>
            <w:vAlign w:val="center"/>
          </w:tcPr>
          <w:p>
            <w:pPr>
              <w:pStyle w:val="0"/>
              <w:jc w:val="center"/>
            </w:pPr>
            <w:r>
              <w:rPr>
                <w:sz w:val="20"/>
              </w:rPr>
              <w:t xml:space="preserve">100,0</w:t>
            </w:r>
          </w:p>
        </w:tc>
        <w:tc>
          <w:tcPr>
            <w:tcW w:w="1531" w:type="dxa"/>
            <w:vAlign w:val="center"/>
          </w:tcPr>
          <w:p>
            <w:pPr>
              <w:pStyle w:val="0"/>
              <w:jc w:val="center"/>
            </w:pPr>
            <w:r>
              <w:rPr>
                <w:sz w:val="20"/>
              </w:rPr>
              <w:t xml:space="preserve">100,0</w:t>
            </w:r>
          </w:p>
        </w:tc>
        <w:tc>
          <w:tcPr>
            <w:tcW w:w="1417" w:type="dxa"/>
            <w:vAlign w:val="center"/>
          </w:tcPr>
          <w:p>
            <w:pPr>
              <w:pStyle w:val="0"/>
              <w:jc w:val="center"/>
            </w:pPr>
            <w:r>
              <w:rPr>
                <w:sz w:val="20"/>
              </w:rPr>
              <w:t xml:space="preserve">100,0</w:t>
            </w:r>
          </w:p>
        </w:tc>
      </w:tr>
      <w:tr>
        <w:tc>
          <w:tcPr>
            <w:tcW w:w="4678" w:type="dxa"/>
            <w:vAlign w:val="center"/>
          </w:tcPr>
          <w:p>
            <w:pPr>
              <w:pStyle w:val="0"/>
              <w:jc w:val="center"/>
            </w:pPr>
            <w:r>
              <w:rPr>
                <w:sz w:val="20"/>
              </w:rPr>
              <w:t xml:space="preserve">в том числе в возрасте:</w:t>
            </w:r>
          </w:p>
        </w:tc>
        <w:tc>
          <w:tcPr>
            <w:tcW w:w="1418" w:type="dxa"/>
            <w:vAlign w:val="center"/>
          </w:tcPr>
          <w:p>
            <w:pPr>
              <w:pStyle w:val="0"/>
            </w:pPr>
            <w:r>
              <w:rPr>
                <w:sz w:val="20"/>
              </w:rPr>
            </w:r>
          </w:p>
        </w:tc>
        <w:tc>
          <w:tcPr>
            <w:tcW w:w="1531" w:type="dxa"/>
            <w:vAlign w:val="center"/>
          </w:tcPr>
          <w:p>
            <w:pPr>
              <w:pStyle w:val="0"/>
            </w:pPr>
            <w:r>
              <w:rPr>
                <w:sz w:val="20"/>
              </w:rPr>
            </w:r>
          </w:p>
        </w:tc>
        <w:tc>
          <w:tcPr>
            <w:tcW w:w="1417" w:type="dxa"/>
            <w:vAlign w:val="center"/>
          </w:tcPr>
          <w:p>
            <w:pPr>
              <w:pStyle w:val="0"/>
            </w:pPr>
            <w:r>
              <w:rPr>
                <w:sz w:val="20"/>
              </w:rPr>
            </w:r>
          </w:p>
        </w:tc>
      </w:tr>
      <w:tr>
        <w:tc>
          <w:tcPr>
            <w:tcW w:w="4678" w:type="dxa"/>
            <w:vAlign w:val="center"/>
          </w:tcPr>
          <w:p>
            <w:pPr>
              <w:pStyle w:val="0"/>
              <w:ind w:left="283"/>
            </w:pPr>
            <w:r>
              <w:rPr>
                <w:sz w:val="20"/>
              </w:rPr>
              <w:t xml:space="preserve">моложе трудоспособного возраста, %</w:t>
            </w:r>
          </w:p>
        </w:tc>
        <w:tc>
          <w:tcPr>
            <w:tcW w:w="1418" w:type="dxa"/>
            <w:vAlign w:val="center"/>
          </w:tcPr>
          <w:p>
            <w:pPr>
              <w:pStyle w:val="0"/>
              <w:jc w:val="center"/>
            </w:pPr>
            <w:r>
              <w:rPr>
                <w:sz w:val="20"/>
              </w:rPr>
              <w:t xml:space="preserve">17,6</w:t>
            </w:r>
          </w:p>
        </w:tc>
        <w:tc>
          <w:tcPr>
            <w:tcW w:w="1531" w:type="dxa"/>
            <w:vAlign w:val="center"/>
          </w:tcPr>
          <w:p>
            <w:pPr>
              <w:pStyle w:val="0"/>
              <w:jc w:val="center"/>
            </w:pPr>
            <w:r>
              <w:rPr>
                <w:sz w:val="20"/>
              </w:rPr>
              <w:t xml:space="preserve">21,7</w:t>
            </w:r>
          </w:p>
        </w:tc>
        <w:tc>
          <w:tcPr>
            <w:tcW w:w="1417" w:type="dxa"/>
            <w:vAlign w:val="center"/>
          </w:tcPr>
          <w:p>
            <w:pPr>
              <w:pStyle w:val="0"/>
              <w:jc w:val="center"/>
            </w:pPr>
            <w:r>
              <w:rPr>
                <w:sz w:val="20"/>
              </w:rPr>
              <w:t xml:space="preserve">+ 4,1</w:t>
            </w:r>
          </w:p>
        </w:tc>
      </w:tr>
      <w:tr>
        <w:tc>
          <w:tcPr>
            <w:tcW w:w="4678" w:type="dxa"/>
            <w:vAlign w:val="center"/>
          </w:tcPr>
          <w:p>
            <w:pPr>
              <w:pStyle w:val="0"/>
              <w:ind w:left="283"/>
            </w:pPr>
            <w:r>
              <w:rPr>
                <w:sz w:val="20"/>
              </w:rPr>
              <w:t xml:space="preserve">в трудоспособном возрасте, %</w:t>
            </w:r>
          </w:p>
        </w:tc>
        <w:tc>
          <w:tcPr>
            <w:tcW w:w="1418" w:type="dxa"/>
            <w:vAlign w:val="center"/>
          </w:tcPr>
          <w:p>
            <w:pPr>
              <w:pStyle w:val="0"/>
              <w:jc w:val="center"/>
            </w:pPr>
            <w:r>
              <w:rPr>
                <w:sz w:val="20"/>
              </w:rPr>
              <w:t xml:space="preserve">65,1</w:t>
            </w:r>
          </w:p>
        </w:tc>
        <w:tc>
          <w:tcPr>
            <w:tcW w:w="1531" w:type="dxa"/>
            <w:vAlign w:val="center"/>
          </w:tcPr>
          <w:p>
            <w:pPr>
              <w:pStyle w:val="0"/>
              <w:jc w:val="center"/>
            </w:pPr>
            <w:r>
              <w:rPr>
                <w:sz w:val="20"/>
              </w:rPr>
              <w:t xml:space="preserve">56,1</w:t>
            </w:r>
          </w:p>
        </w:tc>
        <w:tc>
          <w:tcPr>
            <w:tcW w:w="1417" w:type="dxa"/>
            <w:vAlign w:val="center"/>
          </w:tcPr>
          <w:p>
            <w:pPr>
              <w:pStyle w:val="0"/>
              <w:jc w:val="center"/>
            </w:pPr>
            <w:r>
              <w:rPr>
                <w:sz w:val="20"/>
              </w:rPr>
              <w:t xml:space="preserve">- 9,0</w:t>
            </w:r>
          </w:p>
        </w:tc>
      </w:tr>
      <w:tr>
        <w:tc>
          <w:tcPr>
            <w:tcW w:w="4678" w:type="dxa"/>
            <w:vAlign w:val="center"/>
          </w:tcPr>
          <w:p>
            <w:pPr>
              <w:pStyle w:val="0"/>
              <w:ind w:left="283"/>
            </w:pPr>
            <w:r>
              <w:rPr>
                <w:sz w:val="20"/>
              </w:rPr>
              <w:t xml:space="preserve">старше трудоспособного возраста, %</w:t>
            </w:r>
          </w:p>
        </w:tc>
        <w:tc>
          <w:tcPr>
            <w:tcW w:w="1418" w:type="dxa"/>
            <w:vAlign w:val="center"/>
          </w:tcPr>
          <w:p>
            <w:pPr>
              <w:pStyle w:val="0"/>
              <w:jc w:val="center"/>
            </w:pPr>
            <w:r>
              <w:rPr>
                <w:sz w:val="20"/>
              </w:rPr>
              <w:t xml:space="preserve">17,3</w:t>
            </w:r>
          </w:p>
        </w:tc>
        <w:tc>
          <w:tcPr>
            <w:tcW w:w="1531" w:type="dxa"/>
            <w:vAlign w:val="center"/>
          </w:tcPr>
          <w:p>
            <w:pPr>
              <w:pStyle w:val="0"/>
              <w:jc w:val="center"/>
            </w:pPr>
            <w:r>
              <w:rPr>
                <w:sz w:val="20"/>
              </w:rPr>
              <w:t xml:space="preserve">22,2</w:t>
            </w:r>
          </w:p>
        </w:tc>
        <w:tc>
          <w:tcPr>
            <w:tcW w:w="1417" w:type="dxa"/>
            <w:vAlign w:val="center"/>
          </w:tcPr>
          <w:p>
            <w:pPr>
              <w:pStyle w:val="0"/>
              <w:jc w:val="center"/>
            </w:pPr>
            <w:r>
              <w:rPr>
                <w:sz w:val="20"/>
              </w:rPr>
              <w:t xml:space="preserve">+ 4,9</w:t>
            </w:r>
          </w:p>
        </w:tc>
      </w:tr>
    </w:tbl>
    <w:p>
      <w:pPr>
        <w:pStyle w:val="0"/>
        <w:jc w:val="both"/>
      </w:pPr>
      <w:r>
        <w:rPr>
          <w:sz w:val="20"/>
        </w:rPr>
      </w:r>
    </w:p>
    <w:p>
      <w:pPr>
        <w:pStyle w:val="0"/>
        <w:ind w:firstLine="540"/>
        <w:jc w:val="both"/>
      </w:pPr>
      <w:r>
        <w:rPr>
          <w:sz w:val="20"/>
        </w:rPr>
        <w:t xml:space="preserve">Демографическая нагрузка &lt;8&gt; на трудоспособное население за рассматриваемый период увеличилась в 1,5 раза. На начало 2019 года на тысячу человек трудоспособного возраста приходится 784 человека моложе и старше трудоспособного возраста.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Демографическая нагрузка - обобщенная количественная характеристика возрастной структуры населения, показывающая нагрузку на общество непроизводительным населением. Рассчитывается как отношение общего числа детей, числа лиц старше трудоспособного возраста и общей их совокупности к численности населения трудоспособного возраста. (Энциклопедия статистических терминов в 8 томах. Раздел "Демографическая и социальная статистика". Том 5. - Федеральная служба государственной статистики, Москва, 2011).</w:t>
      </w:r>
    </w:p>
    <w:p>
      <w:pPr>
        <w:pStyle w:val="0"/>
        <w:jc w:val="both"/>
      </w:pPr>
      <w:r>
        <w:rPr>
          <w:sz w:val="20"/>
        </w:rPr>
      </w:r>
    </w:p>
    <w:p>
      <w:pPr>
        <w:pStyle w:val="2"/>
        <w:outlineLvl w:val="4"/>
        <w:ind w:firstLine="540"/>
        <w:jc w:val="both"/>
      </w:pPr>
      <w:r>
        <w:rPr>
          <w:sz w:val="20"/>
        </w:rPr>
        <w:t xml:space="preserve">Уровень жизни населения</w:t>
      </w:r>
    </w:p>
    <w:p>
      <w:pPr>
        <w:pStyle w:val="0"/>
        <w:spacing w:before="200" w:line-rule="auto"/>
        <w:ind w:firstLine="540"/>
        <w:jc w:val="both"/>
      </w:pPr>
      <w:r>
        <w:rPr>
          <w:sz w:val="20"/>
        </w:rPr>
        <w:t xml:space="preserve">Высокий уровень развития экономики Тюменской области и уровень жизни населения взаимосвязаны. Денежные доходы населения в расчете на одного жителя в 2018 году составили 29,2 тыс. рублей в месяц и выросли по сравнению с 2007 годом в 2,1 раза. В 2018 году уровень денежных доходов населения позволяет обеспечить 2,7 бюджета прожиточного минимума в среднем на душу населения по Тюменской области.</w:t>
      </w:r>
    </w:p>
    <w:p>
      <w:pPr>
        <w:pStyle w:val="0"/>
        <w:spacing w:before="200" w:line-rule="auto"/>
        <w:ind w:firstLine="540"/>
        <w:jc w:val="both"/>
      </w:pPr>
      <w:r>
        <w:rPr>
          <w:sz w:val="20"/>
        </w:rPr>
        <w:t xml:space="preserve">За анализируемый период среднемесячная заработная плата выросла в 2,8 раза (2018 год к 2007 году) и стабильно превышала среднероссийский уровень.</w:t>
      </w:r>
    </w:p>
    <w:p>
      <w:pPr>
        <w:pStyle w:val="0"/>
        <w:spacing w:before="200" w:line-rule="auto"/>
        <w:ind w:firstLine="540"/>
        <w:jc w:val="both"/>
      </w:pPr>
      <w:r>
        <w:rPr>
          <w:sz w:val="20"/>
        </w:rPr>
        <w:t xml:space="preserve">Заработная плата остается главным источником доходов населения, а ее доля в составе денежных доходов населения в 2018 году составляла 65,8% (40% в 2007 году). При этом удельный вес социальных трансфертов составлял 18,8% (10,2% в 2007 году).</w:t>
      </w:r>
    </w:p>
    <w:p>
      <w:pPr>
        <w:pStyle w:val="0"/>
        <w:spacing w:before="200" w:line-rule="auto"/>
        <w:ind w:firstLine="540"/>
        <w:jc w:val="both"/>
      </w:pPr>
      <w:r>
        <w:rPr>
          <w:sz w:val="20"/>
        </w:rPr>
        <w:t xml:space="preserve">Коэффициент Джини, характеризующий степень неравномерности распределения доходов, сократился с 0,417 в 2007 году до 0,384 в 2018 году (в Российской Федерации в 2018 году - 0,400). Среди основных причин дифференциации населения по уровню доходов выделяется различие заработной платы по видам экономической деятельности. В 2018 году разница между заработной платой по самому высокооплачиваемому виду экономической деятельности "добыча сырой нефти и природного газа" и по самому низкооплачиваемому виду экономической деятельности "текстильное и швейное производство" составляла 8,9 раза (в 2007 году - 6,9 раза).</w:t>
      </w:r>
    </w:p>
    <w:p>
      <w:pPr>
        <w:pStyle w:val="2"/>
        <w:spacing w:before="200" w:line-rule="auto"/>
        <w:outlineLvl w:val="4"/>
        <w:ind w:firstLine="540"/>
        <w:jc w:val="both"/>
      </w:pPr>
      <w:r>
        <w:rPr>
          <w:sz w:val="20"/>
        </w:rPr>
        <w:t xml:space="preserve">Рынок труда и занятость</w:t>
      </w:r>
    </w:p>
    <w:p>
      <w:pPr>
        <w:pStyle w:val="0"/>
        <w:spacing w:before="200" w:line-rule="auto"/>
        <w:ind w:firstLine="540"/>
        <w:jc w:val="both"/>
      </w:pPr>
      <w:r>
        <w:rPr>
          <w:sz w:val="20"/>
        </w:rPr>
        <w:t xml:space="preserve">Доли населения в трудоспособном возрасте (на начало 2019 года - 56,1%) и лиц в возрасте моложе трудоспособного (21,7%) в области выше, чем аналогичные показатели в стране (55,4% и 18,7%, соответственно).</w:t>
      </w:r>
    </w:p>
    <w:p>
      <w:pPr>
        <w:pStyle w:val="0"/>
        <w:spacing w:before="200" w:line-rule="auto"/>
        <w:ind w:firstLine="540"/>
        <w:jc w:val="both"/>
      </w:pPr>
      <w:r>
        <w:rPr>
          <w:sz w:val="20"/>
        </w:rPr>
        <w:t xml:space="preserve">Из общей численности населения в трудоспособном возрасте 729,5 тыс. человек заняты в экономике области (85,7%). Численность населения, не занятого в экономике, составляет 231,1 тыс. человек и является свободными трудовыми ресурсами, которые при определенных условиях и подготовке могут быть вовлечены в экономику Тюменской области.</w:t>
      </w:r>
    </w:p>
    <w:p>
      <w:pPr>
        <w:pStyle w:val="0"/>
        <w:spacing w:before="200" w:line-rule="auto"/>
        <w:ind w:firstLine="540"/>
        <w:jc w:val="both"/>
      </w:pPr>
      <w:r>
        <w:rPr>
          <w:sz w:val="20"/>
        </w:rPr>
        <w:t xml:space="preserve">Уровень безработицы по методологии Международной организации труда в 2018 году составил 4,5%. Отмечается сокращение численности официально зарегистрированных безработных граждан на конец 2018 года по отношению к 2007 году на 51,9%. При этом среднесписочная численность работников организаций увеличилась на 30,4 тыс. человек (на 7% по сравнению с 2007 годом) и в 2018 году составила 465,5 тыс. человек. Прирост наблюдается в секторах сферы услуг, в реальном секторе экономики численность работников сокращается.</w:t>
      </w:r>
    </w:p>
    <w:p>
      <w:pPr>
        <w:pStyle w:val="0"/>
        <w:spacing w:before="200" w:line-rule="auto"/>
        <w:ind w:firstLine="540"/>
        <w:jc w:val="both"/>
      </w:pPr>
      <w:r>
        <w:rPr>
          <w:sz w:val="20"/>
        </w:rPr>
        <w:t xml:space="preserve">В Тюменской области проводится работа по снижению неформальной занятости. Сферами деятельности, наиболее подверженными риску нелегальной занятости в регионе, являются торговля, транспорт, строительство, сельское хозяйство.</w:t>
      </w:r>
    </w:p>
    <w:p>
      <w:pPr>
        <w:pStyle w:val="0"/>
        <w:spacing w:before="200" w:line-rule="auto"/>
        <w:ind w:firstLine="540"/>
        <w:jc w:val="both"/>
      </w:pPr>
      <w:r>
        <w:rPr>
          <w:sz w:val="20"/>
        </w:rPr>
        <w:t xml:space="preserve">Дальнейшее развитие рынка труда и обеспечения занятости населения области связано с улучшением условий труда работающих, удовлетворением потребности отраслей экономики в высококвалифицированных кадрах, в специалистах в сфере разработки "сквозных" цифровых технологий.</w:t>
      </w:r>
    </w:p>
    <w:p>
      <w:pPr>
        <w:pStyle w:val="0"/>
        <w:jc w:val="both"/>
      </w:pPr>
      <w:r>
        <w:rPr>
          <w:sz w:val="20"/>
        </w:rPr>
      </w:r>
    </w:p>
    <w:p>
      <w:pPr>
        <w:pStyle w:val="2"/>
        <w:outlineLvl w:val="3"/>
        <w:ind w:firstLine="540"/>
        <w:jc w:val="both"/>
      </w:pPr>
      <w:r>
        <w:rPr>
          <w:sz w:val="20"/>
        </w:rPr>
        <w:t xml:space="preserve">Отрасли социальных услуг</w:t>
      </w:r>
    </w:p>
    <w:p>
      <w:pPr>
        <w:pStyle w:val="2"/>
        <w:spacing w:before="200" w:line-rule="auto"/>
        <w:outlineLvl w:val="4"/>
        <w:ind w:firstLine="540"/>
        <w:jc w:val="both"/>
      </w:pPr>
      <w:r>
        <w:rPr>
          <w:sz w:val="20"/>
        </w:rPr>
        <w:t xml:space="preserve">Жилищная политика и ЖКХ</w:t>
      </w:r>
    </w:p>
    <w:p>
      <w:pPr>
        <w:pStyle w:val="0"/>
        <w:spacing w:before="200" w:line-rule="auto"/>
        <w:ind w:firstLine="540"/>
        <w:jc w:val="both"/>
      </w:pPr>
      <w:r>
        <w:rPr>
          <w:sz w:val="20"/>
        </w:rPr>
        <w:t xml:space="preserve">Рынок жилья в Тюменской области динамично развивается благодаря росту объемов жилищного строительства, росту платежеспособного спроса и реализации программ для разных групп населения по поддержке в обеспечении жильем. В 2018 году ввод общей площади жилья составил 1348,4 тыс. кв. м, это в 1,4 раза выше показателя 2007 года.</w:t>
      </w:r>
    </w:p>
    <w:p>
      <w:pPr>
        <w:pStyle w:val="0"/>
        <w:spacing w:before="200" w:line-rule="auto"/>
        <w:ind w:firstLine="540"/>
        <w:jc w:val="both"/>
      </w:pPr>
      <w:r>
        <w:rPr>
          <w:sz w:val="20"/>
        </w:rPr>
        <w:t xml:space="preserve">В расчете на 1000 человек населения в 2018 году введено 893,7 кв. м жилья, что превышает среднероссийский показатель в 1,7 раза.</w:t>
      </w:r>
    </w:p>
    <w:p>
      <w:pPr>
        <w:pStyle w:val="0"/>
        <w:spacing w:before="200" w:line-rule="auto"/>
        <w:ind w:firstLine="540"/>
        <w:jc w:val="both"/>
      </w:pPr>
      <w:r>
        <w:rPr>
          <w:sz w:val="20"/>
        </w:rPr>
        <w:t xml:space="preserve">Жилищный фонд Тюменской области в 2018 году по сравнению с 2007 годом увеличился в 1,5 раза и составил 42,2 млн кв. м, из которых 95,1% находится в частной собственности.</w:t>
      </w:r>
    </w:p>
    <w:p>
      <w:pPr>
        <w:pStyle w:val="0"/>
        <w:spacing w:before="200" w:line-rule="auto"/>
        <w:ind w:firstLine="540"/>
        <w:jc w:val="both"/>
      </w:pPr>
      <w:r>
        <w:rPr>
          <w:sz w:val="20"/>
        </w:rPr>
        <w:t xml:space="preserve">Общая жилищная обеспеченность населения Тюменской области составила 27,8 кв. м на 1 человека (в 2007 году - 21,5 кв. м на чел.), что выше среднероссийского уровня (25,7 кв. м на 1 чел.).</w:t>
      </w:r>
    </w:p>
    <w:p>
      <w:pPr>
        <w:pStyle w:val="0"/>
        <w:spacing w:before="200" w:line-rule="auto"/>
        <w:ind w:firstLine="540"/>
        <w:jc w:val="both"/>
      </w:pPr>
      <w:r>
        <w:rPr>
          <w:sz w:val="20"/>
        </w:rPr>
        <w:t xml:space="preserve">Уровень благоустройства жилищного фонда Тюменской области находится на среднероссийском уровне: площадь жилищного фонда, оборудованного водопроводом, составляет 79,9%; канализацией - 74,7%; ваннами (душем) - 65,7%. В сельской местности эти показатели гораздо ниже: водопроводом оборудовано 56,3% жилищного фонда; канализацией - 42,9%; ваннами (душем) - 24,5%.</w:t>
      </w:r>
    </w:p>
    <w:p>
      <w:pPr>
        <w:pStyle w:val="0"/>
        <w:spacing w:before="200" w:line-rule="auto"/>
        <w:ind w:firstLine="540"/>
        <w:jc w:val="both"/>
      </w:pPr>
      <w:r>
        <w:rPr>
          <w:sz w:val="20"/>
        </w:rPr>
        <w:t xml:space="preserve">Системно ведется работа по обеспечению населения водой питьевого качества. До 88,2% возросла обеспеченность населения Тюменской области водой питьевого качества. Все города, районные центры и крупные сельские населенные пункты Тюменской области обеспечены централизованным водоснабжением и станциями водоочистки. В малочисленных населенных пунктах обеспечение водой питьевого качества ведется посредством установки локальных водоочистных станций малой производительности.</w:t>
      </w:r>
    </w:p>
    <w:p>
      <w:pPr>
        <w:pStyle w:val="0"/>
        <w:spacing w:before="200" w:line-rule="auto"/>
        <w:ind w:firstLine="540"/>
        <w:jc w:val="both"/>
      </w:pPr>
      <w:r>
        <w:rPr>
          <w:sz w:val="20"/>
        </w:rPr>
        <w:t xml:space="preserve">Доля газифицированных населенных пунктов в общем количестве населенных пунктов, подлежащих газификации, составила 74,8%, что соответствует общероссийскому уровню газификации. При этом доля жилья Тюменской области, отапливаемого посредством сжигания природного газа, составила 94,4%. Значительную роль в достижении указанных показателей сыграла реализуемая с 2014 года программа газификации Тюменской области. Реализация мероприятий по газификации населенных пунктов Тюменской области продолжена в рамках </w:t>
      </w:r>
      <w:hyperlink w:history="0" r:id="rId27" w:tooltip="Постановление Губернатора Тюменской области от 29.11.2019 N 169 (ред. от 30.11.2020) &quot;Об утверждении Программы газификации Тюменской области на 2019 - 2023 годы и признании утратившими силу некоторых нормативных правовых актов&quot; ------------ Утратил силу или отменен {КонсультантПлюс}">
        <w:r>
          <w:rPr>
            <w:sz w:val="20"/>
            <w:color w:val="0000ff"/>
          </w:rPr>
          <w:t xml:space="preserve">программы</w:t>
        </w:r>
      </w:hyperlink>
      <w:r>
        <w:rPr>
          <w:sz w:val="20"/>
        </w:rPr>
        <w:t xml:space="preserve"> газификации Тюменской области на 2019 - 2023 годы, утвержденной постановлением Губернатора Тюменской области от 29.11.2019 N 169.</w:t>
      </w:r>
    </w:p>
    <w:p>
      <w:pPr>
        <w:pStyle w:val="2"/>
        <w:spacing w:before="200" w:line-rule="auto"/>
        <w:outlineLvl w:val="4"/>
        <w:ind w:firstLine="540"/>
        <w:jc w:val="both"/>
      </w:pPr>
      <w:r>
        <w:rPr>
          <w:sz w:val="20"/>
        </w:rPr>
        <w:t xml:space="preserve">Социальная поддержка</w:t>
      </w:r>
    </w:p>
    <w:p>
      <w:pPr>
        <w:pStyle w:val="0"/>
        <w:spacing w:before="200" w:line-rule="auto"/>
        <w:ind w:firstLine="540"/>
        <w:jc w:val="both"/>
      </w:pPr>
      <w:r>
        <w:rPr>
          <w:sz w:val="20"/>
        </w:rPr>
        <w:t xml:space="preserve">В Тюменской области по состоянию на 01.01.2019 социальные услуги в рамках Федерального </w:t>
      </w:r>
      <w:hyperlink w:history="0" r:id="rId28" w:tooltip="Федеральный закон от 28.12.2013 N 442-ФЗ (ред. от 25.12.2023) &quot;Об основах социального обслуживания граждан в Российской Федерации&quot; {КонсультантПлюс}">
        <w:r>
          <w:rPr>
            <w:sz w:val="20"/>
            <w:color w:val="0000ff"/>
          </w:rPr>
          <w:t xml:space="preserve">закона</w:t>
        </w:r>
      </w:hyperlink>
      <w:r>
        <w:rPr>
          <w:sz w:val="20"/>
        </w:rPr>
        <w:t xml:space="preserve"> от 28.12.2013 N 442-ФЗ "Об основах социального обслуживания граждан в Российской Федерации" предоставляют 82 организации социального обслуживания, в том числе центры социального обслуживания населения, социально-реабилитационные центры для несовершеннолетних, центры социальной помощи, областной центр реабилитации инвалидов, стационарные учреждения социального обслуживания, негосударственные поставщики социальных услуг.</w:t>
      </w:r>
    </w:p>
    <w:p>
      <w:pPr>
        <w:pStyle w:val="0"/>
        <w:spacing w:before="200" w:line-rule="auto"/>
        <w:ind w:firstLine="540"/>
        <w:jc w:val="both"/>
      </w:pPr>
      <w:r>
        <w:rPr>
          <w:sz w:val="20"/>
        </w:rPr>
        <w:t xml:space="preserve">Существующая в Тюменской области сеть учреждений социального обслуживания населения представлена всеми формами социального обслуживания (на дому; стационарное; полустационарное, в том числе предоставление временного приюта лицам без определенного места жительства, освободившимся из мест лишения свободы).</w:t>
      </w:r>
    </w:p>
    <w:p>
      <w:pPr>
        <w:pStyle w:val="0"/>
        <w:spacing w:before="200" w:line-rule="auto"/>
        <w:ind w:firstLine="540"/>
        <w:jc w:val="both"/>
      </w:pPr>
      <w:r>
        <w:rPr>
          <w:sz w:val="20"/>
        </w:rPr>
        <w:t xml:space="preserve">Потребность в обеспечении социальными услугами во всех формах социального обслуживания удовлетворена в полном объеме. Отсутствует очередность на получение социальных услуг, в том числе в стационарной форме социального обслуживания.</w:t>
      </w:r>
    </w:p>
    <w:p>
      <w:pPr>
        <w:pStyle w:val="0"/>
        <w:spacing w:before="200" w:line-rule="auto"/>
        <w:ind w:firstLine="540"/>
        <w:jc w:val="both"/>
      </w:pPr>
      <w:r>
        <w:rPr>
          <w:sz w:val="20"/>
        </w:rPr>
        <w:t xml:space="preserve">Все учреждения социального обслуживания соответствуют требованиям пожарной и санитарно-эпидемиологической безопасности. Их материально-техническая база находится в нормативном состоянии и позволяет предоставлять весь спектр социальных услуг, проводить социально-реабилитационные мероприятия.</w:t>
      </w:r>
    </w:p>
    <w:p>
      <w:pPr>
        <w:pStyle w:val="0"/>
        <w:spacing w:before="200" w:line-rule="auto"/>
        <w:ind w:firstLine="540"/>
        <w:jc w:val="both"/>
      </w:pPr>
      <w:r>
        <w:rPr>
          <w:sz w:val="20"/>
        </w:rPr>
        <w:t xml:space="preserve">Все организации социального обслуживания максимально адаптированы к потребностям людей с ограниченными возможностями здоровья, оснащены необходимыми средствами для создания безбарьерной среды маломобильной категории граждан.</w:t>
      </w:r>
    </w:p>
    <w:p>
      <w:pPr>
        <w:pStyle w:val="0"/>
        <w:spacing w:before="200" w:line-rule="auto"/>
        <w:ind w:firstLine="540"/>
        <w:jc w:val="both"/>
      </w:pPr>
      <w:r>
        <w:rPr>
          <w:sz w:val="20"/>
        </w:rPr>
        <w:t xml:space="preserve">Для обеспечения адресности и доступности услуг в сфере социального обслуживания во всех муниципальных образованиях Тюменской области функционируют организации социального обслуживания, созданные с учетом особенностей демографической ситуации и социально-экономического развития Тюменской области, а также уровня востребованности видов и форм социального обслуживания основных категорий потребителей услуг.</w:t>
      </w:r>
    </w:p>
    <w:p>
      <w:pPr>
        <w:pStyle w:val="0"/>
        <w:spacing w:before="200" w:line-rule="auto"/>
        <w:ind w:firstLine="540"/>
        <w:jc w:val="both"/>
      </w:pPr>
      <w:r>
        <w:rPr>
          <w:sz w:val="20"/>
        </w:rPr>
        <w:t xml:space="preserve">Приоритетом региональной социальной политики в отношении граждан, нуждающихся в социальном обслуживании, является внедрение новых технологий и реализация эффективных методов работы социальных служб, направленных на повышение качества жизни данной категории граждан, в том числе развитие стационарозамещающих технологий социального обслуживания, обеспечивающих доступность ежедневного ухода на дому с учетом состояния здоровья граждан. Особое внимание уделяется вопросу предоставления социальных услуг в удаленных районах с применением участкового метода работы, обеспечивающего своевременное выявление нуждающихся в социальных услугах граждан и предоставление им в оперативном порядке необходимых услуг. В более 1200 сельских поселениях работают более 300 участковых специалистов, оказывающих услуги по месту проживания граждан, в том числе обеспечивают поддержку граждан старшего поколения, семей с детьми, осуществляется патронаж, подворовые обходы, рейды и прочие. Участковый принцип работы клиентоориентирован, обеспечивает индивидуальный подход к каждому получателю социальных услуг.</w:t>
      </w:r>
    </w:p>
    <w:p>
      <w:pPr>
        <w:pStyle w:val="0"/>
        <w:spacing w:before="200" w:line-rule="auto"/>
        <w:ind w:firstLine="540"/>
        <w:jc w:val="both"/>
      </w:pPr>
      <w:r>
        <w:rPr>
          <w:sz w:val="20"/>
        </w:rPr>
        <w:t xml:space="preserve">Кроме того, в регионе применяются выездные формы работы с населением, в том числе организация работы мобильных "мультидисциплинарных" бригад, позволяющих "доставить" населению нужную услугу сотрудниками различных ведомств и организаций, несмотря на отдаленность и труднодоступность их проживания. В состав бригад входят социальные работники, медицинские работники, сотрудники Отделения Пенсионного фонда Российской Федерации по Тюменской области, представители муниципалитета, работники служб быта и другие. Все мобильные бригады оснащены автотранспортом.</w:t>
      </w:r>
    </w:p>
    <w:p>
      <w:pPr>
        <w:pStyle w:val="0"/>
        <w:spacing w:before="200" w:line-rule="auto"/>
        <w:ind w:firstLine="540"/>
        <w:jc w:val="both"/>
      </w:pPr>
      <w:r>
        <w:rPr>
          <w:sz w:val="20"/>
        </w:rPr>
        <w:t xml:space="preserve">В целях определения потребностей граждан, утративших способность к самообслуживанию, в необходимой помощи в регионе проводится комплексный мониторинг социального положения пожилых людей, по результатам которого принимаются все необходимые меры.</w:t>
      </w:r>
    </w:p>
    <w:p>
      <w:pPr>
        <w:pStyle w:val="0"/>
        <w:spacing w:before="200" w:line-rule="auto"/>
        <w:ind w:firstLine="540"/>
        <w:jc w:val="both"/>
      </w:pPr>
      <w:r>
        <w:rPr>
          <w:sz w:val="20"/>
        </w:rPr>
        <w:t xml:space="preserve">В регионе организована работа служб транспортного обслуживания отдельных категорий граждан при центрах (комплексных центрах) социального обслуживания населения, реабилитационных центрах во всех муниципальных образованиях Тюменской области.</w:t>
      </w:r>
    </w:p>
    <w:p>
      <w:pPr>
        <w:pStyle w:val="0"/>
        <w:spacing w:before="200" w:line-rule="auto"/>
        <w:ind w:firstLine="540"/>
        <w:jc w:val="both"/>
      </w:pPr>
      <w:r>
        <w:rPr>
          <w:sz w:val="20"/>
        </w:rPr>
        <w:t xml:space="preserve">В целях обеспечения доступности информации о социальном обслуживании учреждениями используются различные средства коммуникации, в том числе официальные сайты, диспетчерские службы, онлайн-консультации, единая областная информационно-справочная служба.</w:t>
      </w:r>
    </w:p>
    <w:p>
      <w:pPr>
        <w:pStyle w:val="0"/>
        <w:spacing w:before="200" w:line-rule="auto"/>
        <w:ind w:firstLine="540"/>
        <w:jc w:val="both"/>
      </w:pPr>
      <w:r>
        <w:rPr>
          <w:sz w:val="20"/>
        </w:rPr>
        <w:t xml:space="preserve">Семейная политика, включающая комплекс мер по профилактике сиротства, поддержке многодетных и малоимущих семей, способствует росту численности семей, имеющих детей.</w:t>
      </w:r>
    </w:p>
    <w:p>
      <w:pPr>
        <w:pStyle w:val="0"/>
        <w:spacing w:before="200" w:line-rule="auto"/>
        <w:ind w:firstLine="540"/>
        <w:jc w:val="both"/>
      </w:pPr>
      <w:r>
        <w:rPr>
          <w:sz w:val="20"/>
        </w:rPr>
        <w:t xml:space="preserve">За 2009 - 2018 годы количество семей, имеющих детей, увеличилось почти на 82 тыс. и в 2018 году составило 237,7 тыс. семей с детьми, количество многодетных семей увеличилось на 15,7 тыс. и составило 25,4 тыс. семей.</w:t>
      </w:r>
    </w:p>
    <w:p>
      <w:pPr>
        <w:pStyle w:val="0"/>
        <w:spacing w:before="200" w:line-rule="auto"/>
        <w:ind w:firstLine="540"/>
        <w:jc w:val="both"/>
      </w:pPr>
      <w:r>
        <w:rPr>
          <w:sz w:val="20"/>
        </w:rPr>
        <w:t xml:space="preserve">В области в целях финансовой поддержки семей в связи с рождением детей предоставляются региональные меры социальной поддержки, в том числе региональный материнский (семейный) капитал, ежемесячная денежная выплата на третьего ребенка и последующих детей, единовременная выплата на приобретение жилого помещения (улучшение жилищных условий) при рождении одновременно трех и более детей.</w:t>
      </w:r>
    </w:p>
    <w:p>
      <w:pPr>
        <w:pStyle w:val="0"/>
        <w:spacing w:before="200" w:line-rule="auto"/>
        <w:ind w:firstLine="540"/>
        <w:jc w:val="both"/>
      </w:pPr>
      <w:r>
        <w:rPr>
          <w:sz w:val="20"/>
        </w:rPr>
        <w:t xml:space="preserve">В 2018 году различные меры социальной поддержки получали 432,8 тыс. человек - 29% от общей численности населения Тюменской области.</w:t>
      </w:r>
    </w:p>
    <w:p>
      <w:pPr>
        <w:pStyle w:val="0"/>
        <w:spacing w:before="200" w:line-rule="auto"/>
        <w:ind w:firstLine="540"/>
        <w:jc w:val="both"/>
      </w:pPr>
      <w:r>
        <w:rPr>
          <w:sz w:val="20"/>
        </w:rPr>
        <w:t xml:space="preserve">В области создаются условия для повышения качества жизни граждан старшего поколения на основе развития сети учреждений социального обслуживания и совершенствования их деятельности, обеспечения доступности медицинской помощи, образовательных, культурно-досуговых и иных услуг, содействия активному участию пожилых граждан в жизни общества.</w:t>
      </w:r>
    </w:p>
    <w:p>
      <w:pPr>
        <w:pStyle w:val="0"/>
        <w:spacing w:before="200" w:line-rule="auto"/>
        <w:ind w:firstLine="540"/>
        <w:jc w:val="both"/>
      </w:pPr>
      <w:r>
        <w:rPr>
          <w:sz w:val="20"/>
        </w:rPr>
        <w:t xml:space="preserve">Приоритетом развития сферы социального обслуживания является создание системы долговременного ухода за гражданами пожилого возраста и инвалидами с учетом межведомственного взаимодействия, включая внедрение инновационных технологий, в том числе стационарозамещающих, направленных на обеспечение проживания в домашних условиях граждан, нуждающихся в постороннем уходе, имеющих психические заболевания, на их социализацию в обществе, самореализацию и удовлетворение творческих, познавательных и иных потребностей.</w:t>
      </w:r>
    </w:p>
    <w:p>
      <w:pPr>
        <w:pStyle w:val="0"/>
        <w:spacing w:before="200" w:line-rule="auto"/>
        <w:ind w:firstLine="540"/>
        <w:jc w:val="both"/>
      </w:pPr>
      <w:r>
        <w:rPr>
          <w:sz w:val="20"/>
        </w:rPr>
        <w:t xml:space="preserve">В целях создания конкурентной среды и, как следствие, повышения качества социального обслуживания в регионе развивается негосударственный сектор, повышается доступ социально ориентированных некоммерческих организаций (СО НКО) к бюджетным средствам на оказание социальных услуг. На рынке социальных услуг в рамках Федерального </w:t>
      </w:r>
      <w:hyperlink w:history="0" r:id="rId29" w:tooltip="Федеральный закон от 28.12.2013 N 442-ФЗ (ред. от 25.12.2023) &quot;Об основах социального обслуживания граждан в Российской Федерации&quot; {КонсультантПлюс}">
        <w:r>
          <w:rPr>
            <w:sz w:val="20"/>
            <w:color w:val="0000ff"/>
          </w:rPr>
          <w:t xml:space="preserve">закона</w:t>
        </w:r>
      </w:hyperlink>
      <w:r>
        <w:rPr>
          <w:sz w:val="20"/>
        </w:rPr>
        <w:t xml:space="preserve"> от 28.12.2013 N 442-ФЗ "Об основах социального обслуживания граждан в Российской Федерации" работают 35 негосударственных поставщиков социальных услуг, удельный вес негосударственных организаций, оказывающих социальные услуги, от общего количества организаций всех форм собственности составляет 42,7%, что почти в 2,4 раза превышает среднероссийский показатель (18%), утвержденный государственной </w:t>
      </w:r>
      <w:hyperlink w:history="0" r:id="rId30" w:tooltip="Постановление Правительства РФ от 15.04.2014 N 296 (ред. от 11.12.2023) &quot;Об утверждении государственной программы Российской Федерации &quot;Социальная поддержка граждан&quot; {КонсультантПлюс}">
        <w:r>
          <w:rPr>
            <w:sz w:val="20"/>
            <w:color w:val="0000ff"/>
          </w:rPr>
          <w:t xml:space="preserve">программой</w:t>
        </w:r>
      </w:hyperlink>
      <w:r>
        <w:rPr>
          <w:sz w:val="20"/>
        </w:rPr>
        <w:t xml:space="preserve"> Российской Федерации "Социальная поддержка граждан" и </w:t>
      </w:r>
      <w:hyperlink w:history="0" r:id="rId31" w:tooltip="Распоряжение Правительства РФ от 08.06.2016 N 1144-р &lt;Об утверждении плана мероприятий (&quot;дорожной карты&quot;) &quot;Поддержка доступа негосударственных организаций к предоставлению услуг в социальной сфере&quot;&gt; {КонсультантПлюс}">
        <w:r>
          <w:rPr>
            <w:sz w:val="20"/>
            <w:color w:val="0000ff"/>
          </w:rPr>
          <w:t xml:space="preserve">планом</w:t>
        </w:r>
      </w:hyperlink>
      <w:r>
        <w:rPr>
          <w:sz w:val="20"/>
        </w:rPr>
        <w:t xml:space="preserve"> мероприятий ("дорожной картой") "Поддержка доступа негосударственных организаций к предоставлению услуг в социальной сфере", утвержденным распоряжением Правительства Российской Федерации от 08.06.2016 N 1144-р. В регионе созданы условия для развития конкуренции в сфере социального обслуживания.</w:t>
      </w:r>
    </w:p>
    <w:p>
      <w:pPr>
        <w:pStyle w:val="2"/>
        <w:spacing w:before="200" w:line-rule="auto"/>
        <w:outlineLvl w:val="4"/>
        <w:ind w:firstLine="540"/>
        <w:jc w:val="both"/>
      </w:pPr>
      <w:r>
        <w:rPr>
          <w:sz w:val="20"/>
        </w:rPr>
        <w:t xml:space="preserve">Образование</w:t>
      </w:r>
    </w:p>
    <w:p>
      <w:pPr>
        <w:pStyle w:val="0"/>
        <w:spacing w:before="200" w:line-rule="auto"/>
        <w:ind w:firstLine="540"/>
        <w:jc w:val="both"/>
      </w:pPr>
      <w:r>
        <w:rPr>
          <w:sz w:val="20"/>
        </w:rPr>
        <w:t xml:space="preserve">В Тюменской области на начало 2019 года услуги детям дошкольного возраста оказывали 502 организации, среди которых муниципальные дошкольные образовательные учреждения, комплексы "начальная школа - детский сад", общеобразовательные организации с отделениями и группами дошкольного образования, государственные и негосударственные дошкольные организации.</w:t>
      </w:r>
    </w:p>
    <w:p>
      <w:pPr>
        <w:pStyle w:val="0"/>
        <w:spacing w:before="200" w:line-rule="auto"/>
        <w:ind w:firstLine="540"/>
        <w:jc w:val="both"/>
      </w:pPr>
      <w:r>
        <w:rPr>
          <w:sz w:val="20"/>
        </w:rPr>
        <w:t xml:space="preserve">Дошкольное образование получали 107,6 тыс. воспитанников. Доступность дошкольного образования для детей в возрасте от 3 до 7 лет составила 100%, для детей раннего дошкольного возраста - 86%.</w:t>
      </w:r>
    </w:p>
    <w:p>
      <w:pPr>
        <w:pStyle w:val="0"/>
        <w:spacing w:before="200" w:line-rule="auto"/>
        <w:ind w:firstLine="540"/>
        <w:jc w:val="both"/>
      </w:pPr>
      <w:r>
        <w:rPr>
          <w:sz w:val="20"/>
        </w:rPr>
        <w:t xml:space="preserve">В результате активного строительства новых зданий детских садов, использования внутренних резервов системы образования, приобретения помещений у частных инвесторов за последние 10 лет создано дополнительно более 29,4 тыс. мест для детей дошкольного возраста.</w:t>
      </w:r>
    </w:p>
    <w:p>
      <w:pPr>
        <w:pStyle w:val="0"/>
        <w:spacing w:before="200" w:line-rule="auto"/>
        <w:ind w:firstLine="540"/>
        <w:jc w:val="both"/>
      </w:pPr>
      <w:r>
        <w:rPr>
          <w:sz w:val="20"/>
        </w:rPr>
        <w:t xml:space="preserve">В системе общего образования - 474 школы (201,5 тыс. учащихся), продолжается увеличение численности первоклассников (2017 год - 22,9 тыс. человек, 2018 год - 23,4 тыс. человек).</w:t>
      </w:r>
    </w:p>
    <w:p>
      <w:pPr>
        <w:pStyle w:val="0"/>
        <w:spacing w:before="200" w:line-rule="auto"/>
        <w:ind w:firstLine="540"/>
        <w:jc w:val="both"/>
      </w:pPr>
      <w:r>
        <w:rPr>
          <w:sz w:val="20"/>
        </w:rPr>
        <w:t xml:space="preserve">Реализация комплекса мер по модернизации системы общего образования региона, включая строительство новых школ, и мер по эффективному и рациональному использованию имеющихся площадей, в условиях увеличения численности детей школьного возраста позволила сохранить долю школьников, обучающихся в первую смену, на уровне выше среднероссийского.</w:t>
      </w:r>
    </w:p>
    <w:p>
      <w:pPr>
        <w:pStyle w:val="0"/>
        <w:spacing w:before="200" w:line-rule="auto"/>
        <w:ind w:firstLine="540"/>
        <w:jc w:val="both"/>
      </w:pPr>
      <w:r>
        <w:rPr>
          <w:sz w:val="20"/>
        </w:rPr>
        <w:t xml:space="preserve">За последние 10 лет в регионе введена в эксплуатацию 41 новая школа. В 2018 году введена новая школа на 1 200 учебных мест в микрорайоне Ямальский-2 города Тюмени, две сельские школы - в селе Тоболово Ишимского района (250 мест) и в селе Малая Зоркальцева Тобольского района (132 места).</w:t>
      </w:r>
    </w:p>
    <w:p>
      <w:pPr>
        <w:pStyle w:val="0"/>
        <w:spacing w:before="200" w:line-rule="auto"/>
        <w:ind w:firstLine="540"/>
        <w:jc w:val="both"/>
      </w:pPr>
      <w:r>
        <w:rPr>
          <w:sz w:val="20"/>
        </w:rPr>
        <w:t xml:space="preserve">Исходя из долгосрочного прогноза демографического роста детского населения корректируются планируемые темпы увеличения количества мест в учреждениях общего образования с учетом территории проживания и перспективного развития муниципальных образований. Прирост мест в среднем соответствует приросту обучающихся (около 2 тысяч мест ежегодно). В результате укрепления материально-технической базы доля государственных (муниципальных) общеобразовательных организаций, соответствующих современным требованиям обучения, стабильно составляет 95%.</w:t>
      </w:r>
    </w:p>
    <w:p>
      <w:pPr>
        <w:pStyle w:val="0"/>
        <w:spacing w:before="200" w:line-rule="auto"/>
        <w:ind w:firstLine="540"/>
        <w:jc w:val="both"/>
      </w:pPr>
      <w:r>
        <w:rPr>
          <w:sz w:val="20"/>
        </w:rPr>
        <w:t xml:space="preserve">Система профобразования Тюменской области на начало 2018/2019 учебного года включает 6 организаций высшего образования и 14 организаций профессионального образования.</w:t>
      </w:r>
    </w:p>
    <w:p>
      <w:pPr>
        <w:pStyle w:val="0"/>
        <w:spacing w:before="200" w:line-rule="auto"/>
        <w:ind w:firstLine="540"/>
        <w:jc w:val="both"/>
      </w:pPr>
      <w:r>
        <w:rPr>
          <w:sz w:val="20"/>
        </w:rPr>
        <w:t xml:space="preserve">В 2018 году Тюменская область продолжила участие в пилотном проекте по реализации Регионального стандарта кадрового обеспечения промышленного роста, включающего механизмы обеспечения высокотехнологичных отраслей промышленности по сквозным рабочим профессиям на основе международных стандартов подготовки кадров, внедрение элементов системы дуального обучения и системы мониторинга качества подготовки кадров.</w:t>
      </w:r>
    </w:p>
    <w:p>
      <w:pPr>
        <w:pStyle w:val="0"/>
        <w:spacing w:before="200" w:line-rule="auto"/>
        <w:ind w:firstLine="540"/>
        <w:jc w:val="both"/>
      </w:pPr>
      <w:r>
        <w:rPr>
          <w:sz w:val="20"/>
        </w:rPr>
        <w:t xml:space="preserve">В Тюменской области проводится работа по внедрению новых образовательных технологий, раскрытию и оптимизации образовательного потенциала. Сформирован один из первых опорных вузов в России - Тюменский индустриальный университет, образованный объединением Тюменского государственного нефтегазового университета и Тюменского государственного архитектурно-строительного университета. Тюменскому индустриальному университету присвоен также статус опорного вуза компании "Газпром". Повышению уровня квалификации выпускников строительных специальностей вуза способствует сотрудничество с Росавтодором.</w:t>
      </w:r>
    </w:p>
    <w:p>
      <w:pPr>
        <w:pStyle w:val="0"/>
        <w:spacing w:before="200" w:line-rule="auto"/>
        <w:ind w:firstLine="540"/>
        <w:jc w:val="both"/>
      </w:pPr>
      <w:r>
        <w:rPr>
          <w:sz w:val="20"/>
        </w:rPr>
        <w:t xml:space="preserve">Тюменский государственный университет вошел в проект Минобрнауки России "5-100", нацеленный на повышение конкурентоспособности ведущих российских университетов и укрепление их позиций в международных рейтингах.</w:t>
      </w:r>
    </w:p>
    <w:p>
      <w:pPr>
        <w:pStyle w:val="0"/>
        <w:spacing w:before="200" w:line-rule="auto"/>
        <w:ind w:firstLine="540"/>
        <w:jc w:val="both"/>
      </w:pPr>
      <w:r>
        <w:rPr>
          <w:sz w:val="20"/>
        </w:rPr>
        <w:t xml:space="preserve">Проведена содержательная модернизация профессиональных образовательных программ с учетом требований профессиональных стандартов среднего профессионального образования, доля модернизированных программам в соответствии с требованиями WorldSkills составила 80%.</w:t>
      </w:r>
    </w:p>
    <w:p>
      <w:pPr>
        <w:pStyle w:val="0"/>
        <w:spacing w:before="200" w:line-rule="auto"/>
        <w:ind w:firstLine="540"/>
        <w:jc w:val="both"/>
      </w:pPr>
      <w:r>
        <w:rPr>
          <w:sz w:val="20"/>
        </w:rPr>
        <w:t xml:space="preserve">В Тюменской области действует многовариантная сеть учреждений дополнительного образования детей, которая состоит из 164 организаций государственного и негосударственного сектора: дома детского творчества, дворцы, детско-юношеские центры, спортивные школы, школы искусств, загородные оздоровительно-образовательные центры.</w:t>
      </w:r>
    </w:p>
    <w:p>
      <w:pPr>
        <w:pStyle w:val="0"/>
        <w:spacing w:before="200" w:line-rule="auto"/>
        <w:ind w:firstLine="540"/>
        <w:jc w:val="both"/>
      </w:pPr>
      <w:r>
        <w:rPr>
          <w:sz w:val="20"/>
        </w:rPr>
        <w:t xml:space="preserve">Организовано сетевое взаимодействие учреждений дополнительного образования с общеобразовательными организациями, а также с дошкольными организациями, профессиональными образовательными организациями и вузами.</w:t>
      </w:r>
    </w:p>
    <w:p>
      <w:pPr>
        <w:pStyle w:val="0"/>
        <w:spacing w:before="200" w:line-rule="auto"/>
        <w:ind w:firstLine="540"/>
        <w:jc w:val="both"/>
      </w:pPr>
      <w:r>
        <w:rPr>
          <w:sz w:val="20"/>
        </w:rPr>
        <w:t xml:space="preserve">Программами дополнительного образования охвачено около 86% детей в возрасте 5 - 18 лет, проживающих в регионе.</w:t>
      </w:r>
    </w:p>
    <w:p>
      <w:pPr>
        <w:pStyle w:val="0"/>
        <w:spacing w:before="200" w:line-rule="auto"/>
        <w:ind w:firstLine="540"/>
        <w:jc w:val="both"/>
      </w:pPr>
      <w:r>
        <w:rPr>
          <w:sz w:val="20"/>
        </w:rPr>
        <w:t xml:space="preserve">Ядром региональной системы дополнительного образования детей в Тюменской области, проектным офисом приоритетного проекта "Доступное дополнительное образование для детей" является региональный модельный центр на базе Дворца творчества и спорта "Пионер". Региональный модельный центр разрабатывает и реализует современные программы дополнительного образования, сопровождает систему дополнительного образования по программам, методикам, кадрам, информации и иным вопросам.</w:t>
      </w:r>
    </w:p>
    <w:p>
      <w:pPr>
        <w:pStyle w:val="0"/>
        <w:spacing w:before="200" w:line-rule="auto"/>
        <w:ind w:firstLine="540"/>
        <w:jc w:val="both"/>
      </w:pPr>
      <w:r>
        <w:rPr>
          <w:sz w:val="20"/>
        </w:rPr>
        <w:t xml:space="preserve">Разработана и реализована модель персонифицированного финансирования дополнительного образования детей, которая предполагает предоставление сертификатов с закрепленным финансовым обеспечением. Вслед за выбором ребенка образовательной программы бюджетное финансирование может быть направлено в организации дополнительного образования любой организационно-правовой формы.</w:t>
      </w:r>
    </w:p>
    <w:p>
      <w:pPr>
        <w:pStyle w:val="0"/>
        <w:spacing w:before="200" w:line-rule="auto"/>
        <w:ind w:firstLine="540"/>
        <w:jc w:val="both"/>
      </w:pPr>
      <w:r>
        <w:rPr>
          <w:sz w:val="20"/>
        </w:rPr>
        <w:t xml:space="preserve">Организована работа по развитию естественнонаучного и технического направлений дополнительного образования детей. В рамках приоритетного проекта "Доступное дополнительное образование для детей" организована работа детского технопарка "Кванториум".</w:t>
      </w:r>
    </w:p>
    <w:p>
      <w:pPr>
        <w:pStyle w:val="0"/>
        <w:spacing w:before="200" w:line-rule="auto"/>
        <w:ind w:firstLine="540"/>
        <w:jc w:val="both"/>
      </w:pPr>
      <w:r>
        <w:rPr>
          <w:sz w:val="20"/>
        </w:rPr>
        <w:t xml:space="preserve">В регионе выстроена система поддержки и продвижения талантов, создана региональная база талантливых детей и молодежи. Определен перечень мер поддержки, реализуются проекты развития и продвижения талантливых детей и молодежи Тюменской области.</w:t>
      </w:r>
    </w:p>
    <w:p>
      <w:pPr>
        <w:pStyle w:val="2"/>
        <w:spacing w:before="200" w:line-rule="auto"/>
        <w:outlineLvl w:val="4"/>
        <w:ind w:firstLine="540"/>
        <w:jc w:val="both"/>
      </w:pPr>
      <w:r>
        <w:rPr>
          <w:sz w:val="20"/>
        </w:rPr>
        <w:t xml:space="preserve">Здравоохранение</w:t>
      </w:r>
    </w:p>
    <w:p>
      <w:pPr>
        <w:pStyle w:val="0"/>
        <w:spacing w:before="200" w:line-rule="auto"/>
        <w:ind w:firstLine="540"/>
        <w:jc w:val="both"/>
      </w:pPr>
      <w:r>
        <w:rPr>
          <w:sz w:val="20"/>
        </w:rPr>
        <w:t xml:space="preserve">Система здравоохранения Тюменской области включает все виды услуг от первичного звена до высокотехнологичной помощи и восстановительного лечения.</w:t>
      </w:r>
    </w:p>
    <w:p>
      <w:pPr>
        <w:pStyle w:val="0"/>
        <w:spacing w:before="200" w:line-rule="auto"/>
        <w:ind w:firstLine="540"/>
        <w:jc w:val="both"/>
      </w:pPr>
      <w:r>
        <w:rPr>
          <w:sz w:val="20"/>
        </w:rPr>
        <w:t xml:space="preserve">Основной целью в сфере здравоохранения является формирование системы, обеспечивающей доступность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w:t>
      </w:r>
    </w:p>
    <w:p>
      <w:pPr>
        <w:pStyle w:val="0"/>
        <w:spacing w:before="200" w:line-rule="auto"/>
        <w:ind w:firstLine="540"/>
        <w:jc w:val="both"/>
      </w:pPr>
      <w:r>
        <w:rPr>
          <w:sz w:val="20"/>
        </w:rPr>
        <w:t xml:space="preserve">Сеть медицинских организаций государственной системы здравоохранения Тюменской области представлена 57 медицинскими организациями системы государственного здравоохранения, из них: 55 организаций областного подчинения, имеющие в своем составе 86 филиалов, и две - федерального подчинения, а также филиал ФГБУ Томского научно-исследовательского медицинского центра РАН - "Тюменский кардиологический центр".</w:t>
      </w:r>
    </w:p>
    <w:p>
      <w:pPr>
        <w:pStyle w:val="0"/>
        <w:spacing w:before="200" w:line-rule="auto"/>
        <w:ind w:firstLine="540"/>
        <w:jc w:val="both"/>
      </w:pPr>
      <w:r>
        <w:rPr>
          <w:sz w:val="20"/>
        </w:rPr>
        <w:t xml:space="preserve">В целях обеспечения доступности первичной медико-санитарной помощи в сельской местности и на удаленных территориях Тюменской области функционируют 12 номерных областных больниц, 10 районных больниц (филиалы), 17 участковых больниц, 45 врачебных амбулаторий, 653 фельдшерско-акушерских пункта, 91 домовое хозяйство, осуществляется выездная работа мобильных медицинских бригад. Улучшение материально-технической базы медицинских организаций в сельских районах повысило доступность медицинской помощи (число посещений на 1 сельского жителя в 2018 году составило 8,0 (2017 год - 7,2; 2010 год - 6,7).</w:t>
      </w:r>
    </w:p>
    <w:p>
      <w:pPr>
        <w:pStyle w:val="0"/>
        <w:spacing w:before="200" w:line-rule="auto"/>
        <w:ind w:firstLine="540"/>
        <w:jc w:val="both"/>
      </w:pPr>
      <w:r>
        <w:rPr>
          <w:sz w:val="20"/>
        </w:rPr>
        <w:t xml:space="preserve">Действуют три передвижных медицинских комплекса для обеспечения доступности медицинской помощи населению отдаленных и труднодоступных территорий, в том числе в населенных пунктах с численностью населения менее 100 человек, находящихся на расстоянии свыше 6 км до ближайшей медицинской организации. В медицинских организациях сформированы выездные мобильные медицинские бригады для проведения профилактических мероприятий для населения, проживающих на территориях, значительно удаленных от медицинской организации и/или имеющих низкую транспортную доступность с учетом климатогеографических условий. В 2018 году функционировало 95 выездных бригад, которые осуществили более 3,4 тыс. выездов, сотрудниками выездных мобильных бригад обслужено более 76,2 тыс. пациентов.</w:t>
      </w:r>
    </w:p>
    <w:p>
      <w:pPr>
        <w:pStyle w:val="0"/>
        <w:spacing w:before="200" w:line-rule="auto"/>
        <w:ind w:firstLine="540"/>
        <w:jc w:val="both"/>
      </w:pPr>
      <w:r>
        <w:rPr>
          <w:sz w:val="20"/>
        </w:rPr>
        <w:t xml:space="preserve">В 2018 году профилактическими медицинскими осмотрами охвачено более 221 тысячи человек. Ведется региональный регистр лиц с факторами риска развития хронических неинфекционных заболеваний для динамического наблюдения и коррекции. Комплексными осмотрами в Центрах здоровья для взрослого населения охвачено более 91 тысячи человек, в Центрах здоровья детского населения - около 22 тысяч детей.</w:t>
      </w:r>
    </w:p>
    <w:p>
      <w:pPr>
        <w:pStyle w:val="0"/>
        <w:spacing w:before="200" w:line-rule="auto"/>
        <w:ind w:firstLine="540"/>
        <w:jc w:val="both"/>
      </w:pPr>
      <w:r>
        <w:rPr>
          <w:sz w:val="20"/>
        </w:rPr>
        <w:t xml:space="preserve">Развивается выездная работа врачебных бригад, в том числе для приближения специализированной помощи населению по профилям: офтальмология, кардиология, онкология, травматология, эндокринология и другим.</w:t>
      </w:r>
    </w:p>
    <w:p>
      <w:pPr>
        <w:pStyle w:val="0"/>
        <w:spacing w:before="200" w:line-rule="auto"/>
        <w:ind w:firstLine="540"/>
        <w:jc w:val="both"/>
      </w:pPr>
      <w:r>
        <w:rPr>
          <w:sz w:val="20"/>
        </w:rPr>
        <w:t xml:space="preserve">В целях повышения доступности специализированной медицинской помощи создано четыре межтерриториальных центра в городах Ишиме, Тобольске, Заводоуковске, Ялуторовске. В городах Тюмень, Тобольск, Ишим работают перинатальные центры. В регионе 14 организаций здравоохранения различной формы собственности имеют лицензии на оказание высокотехнологичной медицинской помощи.</w:t>
      </w:r>
    </w:p>
    <w:p>
      <w:pPr>
        <w:pStyle w:val="0"/>
        <w:spacing w:before="200" w:line-rule="auto"/>
        <w:ind w:firstLine="540"/>
        <w:jc w:val="both"/>
      </w:pPr>
      <w:r>
        <w:rPr>
          <w:sz w:val="20"/>
        </w:rPr>
        <w:t xml:space="preserve">Высокотехнологичная медицинская помощь оказывается практически по всем профилям, определенным Минздравом России. Показатель обеспеченности населения высокотехнологичной медицинской помощью в Тюменской области составил в 2018 году 1 091,1, в 2017 году - 965,7 случая на 100 000 населения (по Российской Федерации - 769,9 и 707,4 случая на 100 000 населения соответственно).</w:t>
      </w:r>
    </w:p>
    <w:p>
      <w:pPr>
        <w:pStyle w:val="0"/>
        <w:spacing w:before="200" w:line-rule="auto"/>
        <w:ind w:firstLine="540"/>
        <w:jc w:val="both"/>
      </w:pPr>
      <w:r>
        <w:rPr>
          <w:sz w:val="20"/>
        </w:rPr>
        <w:t xml:space="preserve">ГАУЗ ТО "Многопрофильный клинический медицинский центр "Медицинский город" обеспечивает специализированной помощью жителей Тюменской области (в том числе автономных округов), 30% всех пациентов - жители Ханты-Мансийского автономного округа - Югры и Ямало-Ненецкого автономного округа. В Федеральном центре нейрохирургии, оснащенном современным медицинским оборудованием, проводятся сложные операции по малоинвазивным методикам. В Радиологическом центре используются самые передовые технологии, применяемые в мировой практике. На базе АО МСЧ "Нефтяник" выполняются робот-ассистированные операции. Ведется работа по обеспечению доступности и качества оказания высокотехнологичной медицинской помощи.</w:t>
      </w:r>
    </w:p>
    <w:p>
      <w:pPr>
        <w:pStyle w:val="0"/>
        <w:spacing w:before="200" w:line-rule="auto"/>
        <w:ind w:firstLine="540"/>
        <w:jc w:val="both"/>
      </w:pPr>
      <w:r>
        <w:rPr>
          <w:sz w:val="20"/>
        </w:rPr>
        <w:t xml:space="preserve">Паллиативная помощь на территории Тюменской области оказывается в амбулаторных и стационарных условиях в 33 медицинских организациях, в том числе в 9 медицинских организациях паллиативная медицинская помощь оказывается детскому населению.</w:t>
      </w:r>
    </w:p>
    <w:p>
      <w:pPr>
        <w:pStyle w:val="0"/>
        <w:spacing w:before="200" w:line-rule="auto"/>
        <w:ind w:firstLine="540"/>
        <w:jc w:val="both"/>
      </w:pPr>
      <w:r>
        <w:rPr>
          <w:sz w:val="20"/>
        </w:rPr>
        <w:t xml:space="preserve">Оказание паллиативной медицинской помощи в амбулаторных условиях осуществляется на базе кабинетов паллиативной помощи в составе отделений медико-социальной помощи, в 2018 году количество случаев оказания паллиативной помощи в амбулаторных условиях составило более 7,5 тысяч. Для оказания паллиативной помощи в стационарных условиях в области развернуто 122 койки: на базе ГАУЗ ТО "Многопрофильный клинический медицинский центр "Медицинский город" (Центр паллиативной помощи и реабилитации больных), ГБУЗ ТО "Хоспис", ГБУЗ ТО "Областная больница N 4" (г. Ишим) и ГБУЗ ТО "Областная больница N 20" (с. Уват).</w:t>
      </w:r>
    </w:p>
    <w:p>
      <w:pPr>
        <w:pStyle w:val="0"/>
        <w:spacing w:before="200" w:line-rule="auto"/>
        <w:ind w:firstLine="540"/>
        <w:jc w:val="both"/>
      </w:pPr>
      <w:r>
        <w:rPr>
          <w:sz w:val="20"/>
        </w:rPr>
        <w:t xml:space="preserve">Кроме того, в каждой медицинской организации, имеющей в своей структуре стационарные койки, обеспечивается функционирование не менее трех коек для оказания паллиативной помощи.</w:t>
      </w:r>
    </w:p>
    <w:p>
      <w:pPr>
        <w:pStyle w:val="0"/>
        <w:spacing w:before="200" w:line-rule="auto"/>
        <w:ind w:firstLine="540"/>
        <w:jc w:val="both"/>
      </w:pPr>
      <w:r>
        <w:rPr>
          <w:sz w:val="20"/>
        </w:rPr>
        <w:t xml:space="preserve">Обеспеченность паллиативными койками взрослого населения Тюменской области составила 10,6 на 100 тыс. населения. В 2018 году количество случаев оказания паллиативной помощи в стационарных условиях составило более 9 тысяч, в том числе 1,5 тыс. случаев оказания помощи пациентам онкологического профиля. Функционирует 18 отделений сестринского ухода на базе 6 областных больниц на 264 койки, оказывающих помощь пациентам в терминальных стадиях хронических заболеваний; пожилым и престарелым пациентам, нуждающимся в постороннем уходе.</w:t>
      </w:r>
    </w:p>
    <w:p>
      <w:pPr>
        <w:pStyle w:val="0"/>
        <w:spacing w:before="200" w:line-rule="auto"/>
        <w:ind w:firstLine="540"/>
        <w:jc w:val="both"/>
      </w:pPr>
      <w:r>
        <w:rPr>
          <w:sz w:val="20"/>
        </w:rPr>
        <w:t xml:space="preserve">Скорая медицинская помощь, в том числе специализированная, оказывается в 12 медицинских организациях Тюменской области с филиалами. По итогам 2018 года показатель доезда бригад скорой медицинской помощи со временем доезда до больного менее 20 минут составил 91,1%, в том числе на ДТП - 96,8%.</w:t>
      </w:r>
    </w:p>
    <w:p>
      <w:pPr>
        <w:pStyle w:val="0"/>
        <w:spacing w:before="200" w:line-rule="auto"/>
        <w:ind w:firstLine="540"/>
        <w:jc w:val="both"/>
      </w:pPr>
      <w:r>
        <w:rPr>
          <w:sz w:val="20"/>
        </w:rPr>
        <w:t xml:space="preserve">В Тюменской области разработан и реализуется комплекс мероприятий по сохранению и развитию кадрового потенциала отрасли здравоохранения, повышению его профессионального уровня и устранению кадрового дефицита. Обеспеченность врачами, оказывающими первичную медико-санитарную помощь, в настоящее время составляет 26,1 на 10 тыс. населения, средним медицинским персоналом - 46,4 на 10 тыс. населения. К концу 2024 года обеспеченность врачами, оказывающими первичную медико-санитарную помощь, должна составить 27,1 на 10 тыс. населения, средним медицинским персоналом - 48,5 на 10 тыс. населения.</w:t>
      </w:r>
    </w:p>
    <w:p>
      <w:pPr>
        <w:pStyle w:val="0"/>
        <w:spacing w:before="200" w:line-rule="auto"/>
        <w:ind w:firstLine="540"/>
        <w:jc w:val="both"/>
      </w:pPr>
      <w:r>
        <w:rPr>
          <w:sz w:val="20"/>
        </w:rPr>
        <w:t xml:space="preserve">Ведущим механизмом устранения кадрового дисбаланса и закрепления кадров на сегодняшний день является целевое обучение. Численность студентов, обучающихся по целевому набору в ФГБОУ ВО "Тюменский государственный медицинский университет" Минздрава России (далее - ТюмГМУ) для медицинских организаций Тюменской области, составляет более 600 человек в год.</w:t>
      </w:r>
    </w:p>
    <w:p>
      <w:pPr>
        <w:pStyle w:val="0"/>
        <w:spacing w:before="200" w:line-rule="auto"/>
        <w:ind w:firstLine="540"/>
        <w:jc w:val="both"/>
      </w:pPr>
      <w:r>
        <w:rPr>
          <w:sz w:val="20"/>
        </w:rPr>
        <w:t xml:space="preserve">В рамках целевой подготовки специалистов по программам высшей квалификации за счет федерального и областного бюджетов обучались в ординатуре в 2019 году - 40 ординаторов первого года обучения, 31 ординатор второго года обучения. Указанные специалисты после окончания обучения будут трудоустроены в медицинские организации Тюменской области.</w:t>
      </w:r>
    </w:p>
    <w:p>
      <w:pPr>
        <w:pStyle w:val="0"/>
        <w:spacing w:before="200" w:line-rule="auto"/>
        <w:ind w:firstLine="540"/>
        <w:jc w:val="both"/>
      </w:pPr>
      <w:r>
        <w:rPr>
          <w:sz w:val="20"/>
        </w:rPr>
        <w:t xml:space="preserve">С 2013 года студенты 4, 5 и 6 курса, интерны, ординаторы, обучающиеся в рамках целевого набора за счет средств федерального бюджета, получают меры социальной поддержки в размере 1 500 рублей ежемесячно. Ординаторам, заключившим договор о целевом обучении и обучающимся за счет средств федерального бюджета, предусмотрена выплата в размере 6 443 рубля в месяц; обучающимся за счет средств областного бюджета - 15 тыс. рублей в месяц.</w:t>
      </w:r>
    </w:p>
    <w:p>
      <w:pPr>
        <w:pStyle w:val="0"/>
        <w:spacing w:before="200" w:line-rule="auto"/>
        <w:ind w:firstLine="540"/>
        <w:jc w:val="both"/>
      </w:pPr>
      <w:r>
        <w:rPr>
          <w:sz w:val="20"/>
        </w:rPr>
        <w:t xml:space="preserve">Вместе с тем в целях увеличения объема целевого обучения студентам 4 - 6 курсов ТюмГМУ, обучающимся на бюджетной и внебюджетной основе, предлагается заключать договоры о целевом обучении для медицинских организаций региона с гарантированным предоставлением места работы и мер социальной поддержки.</w:t>
      </w:r>
    </w:p>
    <w:p>
      <w:pPr>
        <w:pStyle w:val="0"/>
        <w:spacing w:before="200" w:line-rule="auto"/>
        <w:ind w:firstLine="540"/>
        <w:jc w:val="both"/>
      </w:pPr>
      <w:r>
        <w:rPr>
          <w:sz w:val="20"/>
        </w:rPr>
        <w:t xml:space="preserve">Подготовка специалистов со средним медицинским образованием для учреждений здравоохранения Тюменской области осуществляется в трех медицинских колледжах. В связи с большой потребностью учреждений здравоохранения в средних медицинских работниках государственное задание для колледжей с 2012 года увеличено на 56%, прием в колледжи составляет ежегодно 775 человек.</w:t>
      </w:r>
    </w:p>
    <w:p>
      <w:pPr>
        <w:pStyle w:val="0"/>
        <w:spacing w:before="200" w:line-rule="auto"/>
        <w:ind w:firstLine="540"/>
        <w:jc w:val="both"/>
      </w:pPr>
      <w:r>
        <w:rPr>
          <w:sz w:val="20"/>
        </w:rPr>
        <w:t xml:space="preserve">Более 50% населения записывается на прием к врачу дистанционно. Успешно реализован проект по внедрению электронной медицинской карты во всех поликлиниках города Тюмени и в 11 стационарах Тюменской области, что составляет 44% от всех стационаров. Переход амбулаторно-поликлинических подразделений медицинских организаций региона на электронную медицинскую карту позволил освободить фронт-офис регистратур от бумажных картотек, высвободившиеся помещения трансформировать в комфортные холлы для пациентов, выделить зоны для обучения навыкам дистанционных способов записи и ознакомления с документами. С 2016 года функционирует личный кабинет пациента, который позволяет выбрать медицинскую организацию, записаться к врачу и на профилактические осмотры, получить документы из электронной медицинской карты.</w:t>
      </w:r>
    </w:p>
    <w:p>
      <w:pPr>
        <w:pStyle w:val="0"/>
        <w:spacing w:before="200" w:line-rule="auto"/>
        <w:ind w:firstLine="540"/>
        <w:jc w:val="both"/>
      </w:pPr>
      <w:r>
        <w:rPr>
          <w:sz w:val="20"/>
        </w:rPr>
        <w:t xml:space="preserve">Медицинский туризм - это еще одно перспективное направление.</w:t>
      </w:r>
    </w:p>
    <w:p>
      <w:pPr>
        <w:pStyle w:val="0"/>
        <w:spacing w:before="200" w:line-rule="auto"/>
        <w:ind w:firstLine="540"/>
        <w:jc w:val="both"/>
      </w:pPr>
      <w:r>
        <w:rPr>
          <w:sz w:val="20"/>
        </w:rPr>
        <w:t xml:space="preserve">Для комплексной координации и системного подхода к экспорту медицинских услуг в Тюменской области в 2018 году принято решение об интеграции ресурсов (финансовых, кадровых, организационных) четырех ведущих медицинских организаций города Тюмени. В рамках реализации регионального проекта "Развитие экспорта медицинских услуг" определен участник - координатор проекта - ГАУЗ ТО МКМЦ "Медицинский город". Проект реализуется под единым брендом "Medical City Visit Tyumen", включает реализацию мероприятий, направленных на повышение уровня информированности иностранных граждан о медицинских услугах, оказываемых на территории Тюменской области; комплекс мероприятий, направленных на повышение конкурентоспособности медицинских организаций; формирование корпоративной системы; реализацию маркетинговой политики в медицинских организациях, участвующих в проекте, а также мероприятия, направленные на улучшение инфраструктуры медицинских организаций, участвующих в проекте, и создание системы навигации.</w:t>
      </w:r>
    </w:p>
    <w:p>
      <w:pPr>
        <w:pStyle w:val="0"/>
        <w:spacing w:before="200" w:line-rule="auto"/>
        <w:ind w:firstLine="540"/>
        <w:jc w:val="both"/>
      </w:pPr>
      <w:r>
        <w:rPr>
          <w:sz w:val="20"/>
        </w:rPr>
        <w:t xml:space="preserve">Увеличивается количество пациентов, прибывающих в клиники Тюменской области из других регионов и государств. Среди востребованных направлений выделяется кардиохирургия детей и взрослых, нейрохирургия, неврология, диагностика и лечение пациентов с онкологической патологией, робот-ассистированные операции в урологии, онкоурология, гинекология, лапароскопические методики.</w:t>
      </w:r>
    </w:p>
    <w:p>
      <w:pPr>
        <w:pStyle w:val="0"/>
        <w:spacing w:before="200" w:line-rule="auto"/>
        <w:ind w:firstLine="540"/>
        <w:jc w:val="both"/>
      </w:pPr>
      <w:r>
        <w:rPr>
          <w:sz w:val="20"/>
        </w:rPr>
        <w:t xml:space="preserve">С 2007 года в Тюменской области сохраняется тенденция улучшения медико-демографической ситуации в целом, что отражается в снижении смертности от всех причин, младенческой и материнской смертности, а также росте продолжительности жизни при рождении.</w:t>
      </w:r>
    </w:p>
    <w:p>
      <w:pPr>
        <w:pStyle w:val="0"/>
        <w:spacing w:before="200" w:line-rule="auto"/>
        <w:ind w:firstLine="540"/>
        <w:jc w:val="both"/>
      </w:pPr>
      <w:r>
        <w:rPr>
          <w:sz w:val="20"/>
        </w:rPr>
        <w:t xml:space="preserve">Отрасль имеет достаточный потенциал для развития, роста объемов медико-реабилитационных услуг за счет удовлетворения потребностей жителей области, автономных округов, жителей других регионов России.</w:t>
      </w:r>
    </w:p>
    <w:p>
      <w:pPr>
        <w:pStyle w:val="0"/>
        <w:spacing w:before="200" w:line-rule="auto"/>
        <w:ind w:firstLine="540"/>
        <w:jc w:val="both"/>
      </w:pPr>
      <w:r>
        <w:rPr>
          <w:sz w:val="20"/>
        </w:rPr>
        <w:t xml:space="preserve">Обеспечению высокого качества жизни населения Тюменской области способствует как хороший уровень медицинского обслуживания, так и развитие физической культуры и спорта.</w:t>
      </w:r>
    </w:p>
    <w:p>
      <w:pPr>
        <w:pStyle w:val="2"/>
        <w:spacing w:before="200" w:line-rule="auto"/>
        <w:outlineLvl w:val="4"/>
        <w:ind w:firstLine="540"/>
        <w:jc w:val="both"/>
      </w:pPr>
      <w:r>
        <w:rPr>
          <w:sz w:val="20"/>
        </w:rPr>
        <w:t xml:space="preserve">Физическая культура, спорт</w:t>
      </w:r>
    </w:p>
    <w:p>
      <w:pPr>
        <w:pStyle w:val="0"/>
        <w:spacing w:before="200" w:line-rule="auto"/>
        <w:ind w:firstLine="540"/>
        <w:jc w:val="both"/>
      </w:pPr>
      <w:r>
        <w:rPr>
          <w:sz w:val="20"/>
        </w:rPr>
        <w:t xml:space="preserve">Большое внимание в регионе уделяется развитию массового спорта, подготовке спортивного резерва и спорту высших достижений.</w:t>
      </w:r>
    </w:p>
    <w:p>
      <w:pPr>
        <w:pStyle w:val="0"/>
        <w:spacing w:before="200" w:line-rule="auto"/>
        <w:ind w:firstLine="540"/>
        <w:jc w:val="both"/>
      </w:pPr>
      <w:r>
        <w:rPr>
          <w:sz w:val="20"/>
        </w:rPr>
        <w:t xml:space="preserve">В 2018 году доля граждан, систематически занимающихся физической культурой и спортом, в общей численности населения Тюменской области в возрасте от 3 до 79 лет, составила 43,5%, или 605 тыс. человек.</w:t>
      </w:r>
    </w:p>
    <w:p>
      <w:pPr>
        <w:pStyle w:val="0"/>
        <w:spacing w:before="200" w:line-rule="auto"/>
        <w:ind w:firstLine="540"/>
        <w:jc w:val="both"/>
      </w:pPr>
      <w:r>
        <w:rPr>
          <w:sz w:val="20"/>
        </w:rPr>
        <w:t xml:space="preserve">В целях повышения доступности услуг в Тюменской области совершенствуется материально-спортивная база, повышается эффективность использования сети существующих спортивных сооружений. В области насчитывается порядка 3,6 тыс. спортивных сооружений (стадионы, спорткомплексы, ледовые дворцы, лыжные базы, бассейны, спортивные залы и другое). Существенно повышена доступность и безопасность спорта, в том числе для инвалидов. Возросла обеспеченность населения объектами спорта до 55,3% при среднероссийском значении 50%.</w:t>
      </w:r>
    </w:p>
    <w:p>
      <w:pPr>
        <w:pStyle w:val="0"/>
        <w:spacing w:before="200" w:line-rule="auto"/>
        <w:ind w:firstLine="540"/>
        <w:jc w:val="both"/>
      </w:pPr>
      <w:r>
        <w:rPr>
          <w:sz w:val="20"/>
        </w:rPr>
        <w:t xml:space="preserve">Для активизации работы по месту жительства, повышения доступности, качества и привлекательности для населения спортивно-оздоровительных услуг активно развивается институт социально ориентированных некоммерческих организаций. Сформирована система мер поддержки. Инфраструктура поддержки СО НКО в регионе включает в себя развитые информационные ресурсы в сети Интернет, действующие ресурсные и консультационные центры, финансовые меры поддержки.</w:t>
      </w:r>
    </w:p>
    <w:p>
      <w:pPr>
        <w:pStyle w:val="0"/>
        <w:spacing w:before="200" w:line-rule="auto"/>
        <w:ind w:firstLine="540"/>
        <w:jc w:val="both"/>
      </w:pPr>
      <w:r>
        <w:rPr>
          <w:sz w:val="20"/>
        </w:rPr>
        <w:t xml:space="preserve">В 2018 году 41 социально ориентированная некоммерческая организация получила финансовые средства из регионального бюджета на реализацию проектов и программ в сфере физической культуры и спорта.</w:t>
      </w:r>
    </w:p>
    <w:p>
      <w:pPr>
        <w:pStyle w:val="0"/>
        <w:spacing w:before="200" w:line-rule="auto"/>
        <w:ind w:firstLine="540"/>
        <w:jc w:val="both"/>
      </w:pPr>
      <w:r>
        <w:rPr>
          <w:sz w:val="20"/>
        </w:rPr>
        <w:t xml:space="preserve">Особенно стоит отметить популярный проект "Здравый смысл", который реализуется в регионе Фондом поддержки спорта и общественного правопорядка при поддержке Правительства Тюменской области. Проект включает в себя серию социальных проектов в сфере здорового образа жизни. Самые известные из них - это "Общие тренировки", "Турник в каждый двор" и экстремальный забег "Стальной характер". Данный проект стал победителем сразу в двух престижных премиях - лауреатом в номинации "Спонсорство социальных проектов" на Russia Sponsorship Awards 2018 и "Лучшим проектом продвижения ЗОЖ" на крупнейшей в Восточной Европе премии в сфере коммуникаций Eventiada IPRA Golden World Awards 2018.</w:t>
      </w:r>
    </w:p>
    <w:p>
      <w:pPr>
        <w:pStyle w:val="0"/>
        <w:spacing w:before="200" w:line-rule="auto"/>
        <w:ind w:firstLine="540"/>
        <w:jc w:val="both"/>
      </w:pPr>
      <w:r>
        <w:rPr>
          <w:sz w:val="20"/>
        </w:rPr>
        <w:t xml:space="preserve">В муниципальных образованиях Тюменской области работает более 40 спортивных школ, в которых ежегодно занимается более 46 тысяч детей по 60 видам спорта. В ряде муниципальных образований осуществляется подготовка по зимним и летним видам спорта для инвалидов (более тысячи детей и подростков с ограниченными физическими возможностями).</w:t>
      </w:r>
    </w:p>
    <w:p>
      <w:pPr>
        <w:pStyle w:val="0"/>
        <w:spacing w:before="200" w:line-rule="auto"/>
        <w:ind w:firstLine="540"/>
        <w:jc w:val="both"/>
      </w:pPr>
      <w:r>
        <w:rPr>
          <w:sz w:val="20"/>
        </w:rPr>
        <w:t xml:space="preserve">Активно развивается сеть негосударственных спортивных клубов (2018 год - 562 клуба, 2016 год - 260 клубов, 2012 год - 64 клуба).</w:t>
      </w:r>
    </w:p>
    <w:p>
      <w:pPr>
        <w:pStyle w:val="0"/>
        <w:spacing w:before="200" w:line-rule="auto"/>
        <w:ind w:firstLine="540"/>
        <w:jc w:val="both"/>
      </w:pPr>
      <w:r>
        <w:rPr>
          <w:sz w:val="20"/>
        </w:rPr>
        <w:t xml:space="preserve">В Тюменской области традиционно проводятся крупные международные мероприятия по биатлону и лыжным гонкам, которые привлекают туристов из России и других стран мира. Город Тюмень является одним из ведущих тренировочных центров сборных команд России по указанным видам спорта и по дзюдо. Визитной карточкой области является Центр зимних видов спорта "Жемчужина Сибири". В Центре олимпийской подготовки "Тюмень-Дзюдо" регулярно проводятся соревнования всероссийского уровня по дзюдо и боксу.</w:t>
      </w:r>
    </w:p>
    <w:p>
      <w:pPr>
        <w:pStyle w:val="2"/>
        <w:spacing w:before="200" w:line-rule="auto"/>
        <w:outlineLvl w:val="4"/>
        <w:ind w:firstLine="540"/>
        <w:jc w:val="both"/>
      </w:pPr>
      <w:r>
        <w:rPr>
          <w:sz w:val="20"/>
        </w:rPr>
        <w:t xml:space="preserve">Молодежная политика</w:t>
      </w:r>
    </w:p>
    <w:p>
      <w:pPr>
        <w:pStyle w:val="0"/>
        <w:spacing w:before="200" w:line-rule="auto"/>
        <w:ind w:firstLine="540"/>
        <w:jc w:val="both"/>
      </w:pPr>
      <w:r>
        <w:rPr>
          <w:sz w:val="20"/>
        </w:rPr>
        <w:t xml:space="preserve">Приоритетные направления социально-экономического развития в сфере молодежной политики разработаны в соответствии с </w:t>
      </w:r>
      <w:hyperlink w:history="0" r:id="rId32" w:tooltip="Распоряжение Правительства РФ от 29.11.2014 N 2403-р &lt;Об утверждении Основ государственной молодежной политики Российской Федерации на период до 2025 года&gt; {КонсультантПлюс}">
        <w:r>
          <w:rPr>
            <w:sz w:val="20"/>
            <w:color w:val="0000ff"/>
          </w:rPr>
          <w:t xml:space="preserve">Основами</w:t>
        </w:r>
      </w:hyperlink>
      <w:r>
        <w:rPr>
          <w:sz w:val="20"/>
        </w:rPr>
        <w:t xml:space="preserve"> государственной молодежной политики Российской Федерации на период до 2025 года, утвержденными распоряжением Правительства Российской Федерации от 29 ноября 2014 года N 2403-р.</w:t>
      </w:r>
    </w:p>
    <w:p>
      <w:pPr>
        <w:pStyle w:val="0"/>
        <w:spacing w:before="200" w:line-rule="auto"/>
        <w:ind w:firstLine="540"/>
        <w:jc w:val="both"/>
      </w:pPr>
      <w:r>
        <w:rPr>
          <w:sz w:val="20"/>
        </w:rPr>
        <w:t xml:space="preserve">Ключевыми региональными учреждениями отрасли являются: Региональный центр допризывной подготовки и патриотического воспитания "Аванпост", Дворец творчества и спорта "Пионер", "Агентство современных коммуникаций", осуществляющие координацию работы, организационное и методическое сопровождение деятельности муниципальных учреждений, ведущие работу с детьми и молодежью. В 2018 году удельный вес молодежи, вовлеченной в деятельность по направлениям молодежной политики (от общего количества молодежи) составил 43,1%.</w:t>
      </w:r>
    </w:p>
    <w:p>
      <w:pPr>
        <w:pStyle w:val="0"/>
        <w:spacing w:before="200" w:line-rule="auto"/>
        <w:ind w:firstLine="540"/>
        <w:jc w:val="both"/>
      </w:pPr>
      <w:r>
        <w:rPr>
          <w:sz w:val="20"/>
        </w:rPr>
        <w:t xml:space="preserve">На постоянной основе осуществляется вовлечение молодежи в социальную практику посредством участия в проектах, направленных на развитие студенческого творчества, интеллектуального движения, международного молодежного сотрудничества, обеспечения участия в федеральных мероприятиях (в том числе в рамках форумной кампании). Один из ключевых приоритетов - выявление, сопровождение поддержка и продюсирование молодежных сообществ и СО НКО. Существенное внимание уделяется расширению форматов и механизмов поддержки молодежных инициатив, повышению надпрофессиональных компетенций, реализации проектов по новым молодежным тематикам и направлениям (в том числе киберспорт, медиа и другим), информированию молодежи о возможностях для самореализации и выбора траекторий развития. Важным направлением молодежной политики является работа со студенческой аудиторией.</w:t>
      </w:r>
    </w:p>
    <w:p>
      <w:pPr>
        <w:pStyle w:val="0"/>
        <w:spacing w:before="200" w:line-rule="auto"/>
        <w:ind w:firstLine="540"/>
        <w:jc w:val="both"/>
      </w:pPr>
      <w:r>
        <w:rPr>
          <w:sz w:val="20"/>
        </w:rPr>
        <w:t xml:space="preserve">Основой проводимой работы является поддержка деятельности современных общественных пространств и точек притяжения молодежи: мультицентры в городе Тюмени и крупных муниципальных образованиях Тюменской области - городе Тобольске и городе Ишиме, молодежный театральный центр "Космос", мультицентр "Контора пароходства", Студенческий центр Тюменской области.</w:t>
      </w:r>
    </w:p>
    <w:p>
      <w:pPr>
        <w:pStyle w:val="0"/>
        <w:spacing w:before="200" w:line-rule="auto"/>
        <w:ind w:firstLine="540"/>
        <w:jc w:val="both"/>
      </w:pPr>
      <w:r>
        <w:rPr>
          <w:sz w:val="20"/>
        </w:rPr>
        <w:t xml:space="preserve">Обеспечена реализация мероприятий в рамках национального проекта "Образование" (федеральный и региональный проекты "Социальная активность").</w:t>
      </w:r>
    </w:p>
    <w:p>
      <w:pPr>
        <w:pStyle w:val="0"/>
        <w:spacing w:before="200" w:line-rule="auto"/>
        <w:ind w:firstLine="540"/>
        <w:jc w:val="both"/>
      </w:pPr>
      <w:r>
        <w:rPr>
          <w:sz w:val="20"/>
        </w:rPr>
        <w:t xml:space="preserve">Действуют региональные отделения Российского движения школьников, Юнармии, поискового движения России, добровольческое (волонтерское) движение и другие детские общественные организации и объединения. Порядка 12,5 тысячи молодых людей занимаются по различным направлениям добровольной подготовки к военной службе.</w:t>
      </w:r>
    </w:p>
    <w:p>
      <w:pPr>
        <w:pStyle w:val="0"/>
        <w:spacing w:before="200" w:line-rule="auto"/>
        <w:ind w:firstLine="540"/>
        <w:jc w:val="both"/>
      </w:pPr>
      <w:r>
        <w:rPr>
          <w:sz w:val="20"/>
        </w:rPr>
        <w:t xml:space="preserve">Создана инфраструктура по развитию добровольческого (волонтерского) движения. В регионе действуют опорные центры по развитию различных направлений добровольчества: спортивное, "Волонтеры Победы", социально-благотворительное, инклюзивное, "Волонтеры - медики", "Серебряное добровольчество" и т.д. Общей площадкой выступает региональный Координационный ресурсный центр развития добровольческого движения, действующий на базе ГАУ ДО ТО "Дворец творчества и спорта "Пионер". Порядка 200 тысяч жителей региона разово или на постоянной основе принимают участие в добровольческой деятельности.</w:t>
      </w:r>
    </w:p>
    <w:p>
      <w:pPr>
        <w:pStyle w:val="2"/>
        <w:spacing w:before="200" w:line-rule="auto"/>
        <w:outlineLvl w:val="4"/>
        <w:ind w:firstLine="540"/>
        <w:jc w:val="both"/>
      </w:pPr>
      <w:r>
        <w:rPr>
          <w:sz w:val="20"/>
        </w:rPr>
        <w:t xml:space="preserve">Культура и творчество</w:t>
      </w:r>
    </w:p>
    <w:p>
      <w:pPr>
        <w:pStyle w:val="0"/>
        <w:spacing w:before="200" w:line-rule="auto"/>
        <w:ind w:firstLine="540"/>
        <w:jc w:val="both"/>
      </w:pPr>
      <w:r>
        <w:rPr>
          <w:sz w:val="20"/>
        </w:rPr>
        <w:t xml:space="preserve">Культура Тюменской области представляет собой динамично развивающуюся сферу, основной задачей которой является духовное обогащение общества, укрепление и развитие единого культурного пространства, распространение культурных благ, традиций, обычаев как на территории региона, так и за его пределами.</w:t>
      </w:r>
    </w:p>
    <w:p>
      <w:pPr>
        <w:pStyle w:val="0"/>
        <w:spacing w:before="200" w:line-rule="auto"/>
        <w:ind w:firstLine="540"/>
        <w:jc w:val="both"/>
      </w:pPr>
      <w:r>
        <w:rPr>
          <w:sz w:val="20"/>
        </w:rPr>
        <w:t xml:space="preserve">На территории Тюменской области функционируют государственные и муниципальные учреждения культуры (включая структурные подразделения): 469 библиотек, 568 учреждений клубного типа, 4 юридических лица - музея, которые имеют в составе 25 структурных подразделений, а также 13 музейных учреждений, расположенных на территории муниципальных образований, 29 учреждений дополнительного образования детей, 4 театра, 1 филармония, 2 информационно-(организационно)-аналитических центра.</w:t>
      </w:r>
    </w:p>
    <w:p>
      <w:pPr>
        <w:pStyle w:val="0"/>
        <w:spacing w:before="200" w:line-rule="auto"/>
        <w:ind w:firstLine="540"/>
        <w:jc w:val="both"/>
      </w:pPr>
      <w:r>
        <w:rPr>
          <w:sz w:val="20"/>
        </w:rPr>
        <w:t xml:space="preserve">Наряду с государственными и муниципальными учреждениями культуры активную культурную деятельность в регионе осуществляют и учреждения негосударственного сектора: это порядка 15 театров и театральных студий, историко-культурные центры и частные музеи, концертно-танцевальный зал, 14 кинотеатров, более 40 парков, в 4 из них созданы рекреационные зоны и аттракционы (города Тюмень, Ишим, Ялуторовск), а также филиал Федерального казенного предприятия "Российская государственная цирковая компания" "Тюменский государственный цирк".</w:t>
      </w:r>
    </w:p>
    <w:p>
      <w:pPr>
        <w:pStyle w:val="0"/>
        <w:spacing w:before="200" w:line-rule="auto"/>
        <w:ind w:firstLine="540"/>
        <w:jc w:val="both"/>
      </w:pPr>
      <w:r>
        <w:rPr>
          <w:sz w:val="20"/>
        </w:rPr>
        <w:t xml:space="preserve">Организацию досуга жителей малонаселенных пунктов, не имеющих стационарных учреждений культуры, осуществляют 32 передвижных культурных комплекса и 5 отделов при районных Домах культуры.</w:t>
      </w:r>
    </w:p>
    <w:p>
      <w:pPr>
        <w:pStyle w:val="0"/>
        <w:spacing w:before="200" w:line-rule="auto"/>
        <w:ind w:firstLine="540"/>
        <w:jc w:val="both"/>
      </w:pPr>
      <w:r>
        <w:rPr>
          <w:sz w:val="20"/>
        </w:rPr>
        <w:t xml:space="preserve">Обеспеченность учреждениями культуры Тюменской области с учетом учреждений всех форм собственности (ведомственные и вневедомственные учреждения) составляет &lt;9&gt;: библиотеками - 102%; музеями - 137%; театрами - 133%; концертными организациями - 171%; цирками - 300%; культурно-досуговыми учреждениями - 128%; парками культуры и отдыха - 133%; зоопарками - 100%; кинозалами - 161%.</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Нормативы обеспеченности рассчитаны в соответствии с Методическими </w:t>
      </w:r>
      <w:hyperlink w:history="0" r:id="rId33" w:tooltip="Распоряжение Минкультуры России от 02.08.2017 N Р-965 &l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gt; ------------ Утратил силу или отменен {КонсультантПлюс}">
        <w:r>
          <w:rPr>
            <w:sz w:val="20"/>
            <w:color w:val="0000ff"/>
          </w:rPr>
          <w:t xml:space="preserve">рекомендациями</w:t>
        </w:r>
      </w:hyperlink>
      <w:r>
        <w:rPr>
          <w:sz w:val="20"/>
        </w:rPr>
        <w:t xml:space="preserve"> Минкультуры России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(утверждены распоряжением Минкультуры России от 02.08.2017 N Р-965).</w:t>
      </w:r>
    </w:p>
    <w:p>
      <w:pPr>
        <w:pStyle w:val="0"/>
        <w:jc w:val="both"/>
      </w:pPr>
      <w:r>
        <w:rPr>
          <w:sz w:val="20"/>
        </w:rPr>
      </w:r>
    </w:p>
    <w:p>
      <w:pPr>
        <w:pStyle w:val="0"/>
        <w:ind w:firstLine="540"/>
        <w:jc w:val="both"/>
      </w:pPr>
      <w:r>
        <w:rPr>
          <w:sz w:val="20"/>
        </w:rPr>
        <w:t xml:space="preserve">Конкурентные преимущества Тюменской области в сфере культуры, способствующие развитию творческих (креативных) индустрий (деятельности в области искусства и культуры, дизайна, медиа и коммуникаций) заключаются в наличии обширной многопрофильной сети учреждений культуры и искусства, уникальных коллекций и собраний в музеях и библиотеках; поддержке масштабных проектов, направленных на развитие культуры в Тюменской области; развитии системы грантовой поддержки проектов в сфере культуры.</w:t>
      </w:r>
    </w:p>
    <w:p>
      <w:pPr>
        <w:pStyle w:val="0"/>
        <w:spacing w:before="200" w:line-rule="auto"/>
        <w:ind w:firstLine="540"/>
        <w:jc w:val="both"/>
      </w:pPr>
      <w:r>
        <w:rPr>
          <w:sz w:val="20"/>
        </w:rPr>
        <w:t xml:space="preserve">В целях модернизации деятельности учреждений культуры и повышения качества и разнообразия предоставления услуг в регионе был применен уникальный опыт объединения государственных учреждений культуры в единое музейное, библиотечное и театральное пространства. Создание более укрупненных учреждений позволяет сформировать комплексные программы развития данных сфер деятельности для привлечения большего количества посетителей как из Тюменской области, так и из других регионов России.</w:t>
      </w:r>
    </w:p>
    <w:p>
      <w:pPr>
        <w:pStyle w:val="0"/>
        <w:spacing w:before="200" w:line-rule="auto"/>
        <w:ind w:firstLine="540"/>
        <w:jc w:val="both"/>
      </w:pPr>
      <w:r>
        <w:rPr>
          <w:sz w:val="20"/>
        </w:rPr>
        <w:t xml:space="preserve">Ежегодно на территории Тюменской области проводится порядка 50 областных мероприятий в сфере культуры и искусства. Например, ежегодный фестиваль симфонической музыки "Лето в Тобольском Кремле", который входит в Национальный календарь Минкультуры России, ежегодно посещают более 4 тыс. человек.</w:t>
      </w:r>
    </w:p>
    <w:p>
      <w:pPr>
        <w:pStyle w:val="0"/>
        <w:spacing w:before="200" w:line-rule="auto"/>
        <w:ind w:firstLine="540"/>
        <w:jc w:val="both"/>
      </w:pPr>
      <w:r>
        <w:rPr>
          <w:sz w:val="20"/>
        </w:rPr>
        <w:t xml:space="preserve">Тюменская область регулярно принимает участников российских и международных культурных событий, таких как: молодежные "Дельфийские игры" России, фестиваль театров малых городов России, межрегиональный фестиваль-смотр этнокультурных центров коренных малочисленных народов Севера, Сибири и Дальнего Востока и другие.</w:t>
      </w:r>
    </w:p>
    <w:p>
      <w:pPr>
        <w:pStyle w:val="2"/>
        <w:spacing w:before="200" w:line-rule="auto"/>
        <w:outlineLvl w:val="4"/>
        <w:ind w:firstLine="540"/>
        <w:jc w:val="both"/>
      </w:pPr>
      <w:r>
        <w:rPr>
          <w:sz w:val="20"/>
        </w:rPr>
        <w:t xml:space="preserve">Социальное партнерство органов власти и институтов гражданского общества</w:t>
      </w:r>
    </w:p>
    <w:p>
      <w:pPr>
        <w:pStyle w:val="0"/>
        <w:spacing w:before="200" w:line-rule="auto"/>
        <w:ind w:firstLine="540"/>
        <w:jc w:val="both"/>
      </w:pPr>
      <w:r>
        <w:rPr>
          <w:sz w:val="20"/>
        </w:rPr>
        <w:t xml:space="preserve">В Тюменской области сформирована система взаимодействия органов государственной власти, местного самоуправления и институтов гражданского общества.</w:t>
      </w:r>
    </w:p>
    <w:p>
      <w:pPr>
        <w:pStyle w:val="0"/>
        <w:spacing w:before="200" w:line-rule="auto"/>
        <w:ind w:firstLine="540"/>
        <w:jc w:val="both"/>
      </w:pPr>
      <w:r>
        <w:rPr>
          <w:sz w:val="20"/>
        </w:rPr>
        <w:t xml:space="preserve">Представители общественных объединений и некоммерческих организаций активно участвуют в реализации важнейших социально-экономических программ и проектов. Всего на конец 2019 года в Тюменской области зарегистрировано 2103 некоммерческие организации, в том числе: 705 общественных организаций, 125 профессиональных союзов, 29 национально-культурных автономий, 18 казачьих обществ, 446 автономных некоммерческих организаций, 780 иных некоммерческих организаций и общественных объединений.</w:t>
      </w:r>
    </w:p>
    <w:p>
      <w:pPr>
        <w:pStyle w:val="0"/>
        <w:spacing w:before="200" w:line-rule="auto"/>
        <w:ind w:firstLine="540"/>
        <w:jc w:val="both"/>
      </w:pPr>
      <w:r>
        <w:rPr>
          <w:sz w:val="20"/>
        </w:rPr>
        <w:t xml:space="preserve">В Тюменской области, первом из субъектов Российской Федерации, создана Общественная палата, которая явилась продолжением традиций и истории Гражданского форума Тюменской области.</w:t>
      </w:r>
    </w:p>
    <w:p>
      <w:pPr>
        <w:pStyle w:val="0"/>
        <w:spacing w:before="200" w:line-rule="auto"/>
        <w:ind w:firstLine="540"/>
        <w:jc w:val="both"/>
      </w:pPr>
      <w:r>
        <w:rPr>
          <w:sz w:val="20"/>
        </w:rPr>
        <w:t xml:space="preserve">Эта гражданская площадка открывает широкие возможности для вовлечения потенциала общественных объединений, национально-культурных автономий, религиозных организаций в актуальные для жителей области программы и проекты, способствует обмену опытом и формированию новых форм взаимодействия органов власти и гражданского общества.</w:t>
      </w:r>
    </w:p>
    <w:p>
      <w:pPr>
        <w:pStyle w:val="0"/>
        <w:spacing w:before="200" w:line-rule="auto"/>
        <w:ind w:firstLine="540"/>
        <w:jc w:val="both"/>
      </w:pPr>
      <w:r>
        <w:rPr>
          <w:sz w:val="20"/>
        </w:rPr>
        <w:t xml:space="preserve">В области созданы и действуют 26 муниципальных общественных палат и советов, 18 общественных советов при региональных органах исполнительной власти, Координационный совет по вопросам развития и поддержки социально ориентированных некоммерческих организаций в Тюменской области.</w:t>
      </w:r>
    </w:p>
    <w:p>
      <w:pPr>
        <w:pStyle w:val="0"/>
        <w:spacing w:before="200" w:line-rule="auto"/>
        <w:ind w:firstLine="540"/>
        <w:jc w:val="both"/>
      </w:pPr>
      <w:r>
        <w:rPr>
          <w:sz w:val="20"/>
        </w:rPr>
        <w:t xml:space="preserve">В рамках развития инфраструктуры поддержки некоммерческих организаций в Тюменской области создана сеть специализированных региональных и муниципальных ресурсных центров поддержки социально ориентированных некоммерческих организаций (СО НКО), работающих по различным направлениям деятельности: оказание содействия в создании СО НКО, поддержка гражданских лидеров и молодежных сообществ, оказание содействия в участии в конкурсах грантов Президента Российской Федерации, развитие социального предпринимательства, разработка сайтов для СО НКО и т.п.</w:t>
      </w:r>
    </w:p>
    <w:p>
      <w:pPr>
        <w:pStyle w:val="0"/>
        <w:spacing w:before="200" w:line-rule="auto"/>
        <w:ind w:firstLine="540"/>
        <w:jc w:val="both"/>
      </w:pPr>
      <w:r>
        <w:rPr>
          <w:sz w:val="20"/>
        </w:rPr>
        <w:t xml:space="preserve">Для развития системы социального партнерства в сфере труда в Тюменской области налажено взаимодействие между органами государственной власти, органами местного самоуправления, профсоюзными организациями и объединениями (ассоциациями) работодателей.</w:t>
      </w:r>
    </w:p>
    <w:p>
      <w:pPr>
        <w:pStyle w:val="0"/>
        <w:spacing w:before="200" w:line-rule="auto"/>
        <w:ind w:firstLine="540"/>
        <w:jc w:val="both"/>
      </w:pPr>
      <w:r>
        <w:rPr>
          <w:sz w:val="20"/>
        </w:rPr>
        <w:t xml:space="preserve">Основой взаимодействия является региональное соглашение между Правительством Тюменской области, Союзом "Тюменское межрегиональное объединение организаций профсоюзов "Тюменский областной совет профессиональных союзов" и Союзом "Региональное объединение работодателей Тюменской области". Соглашение устанавливает общие принципы регулирования социально-трудовых отношений и связанных с ними экономических отношений в Тюменской области.</w:t>
      </w:r>
    </w:p>
    <w:p>
      <w:pPr>
        <w:pStyle w:val="0"/>
        <w:spacing w:before="200" w:line-rule="auto"/>
        <w:ind w:firstLine="540"/>
        <w:jc w:val="both"/>
      </w:pPr>
      <w:r>
        <w:rPr>
          <w:sz w:val="20"/>
        </w:rPr>
        <w:t xml:space="preserve">Согласование интересов сторон социального партнерства осуществляется в рамках деятельности областной и территориальных трехсторонних комиссий по регулированию социально-трудовых отношений.</w:t>
      </w:r>
    </w:p>
    <w:p>
      <w:pPr>
        <w:pStyle w:val="0"/>
        <w:spacing w:before="200" w:line-rule="auto"/>
        <w:ind w:firstLine="540"/>
        <w:jc w:val="both"/>
      </w:pPr>
      <w:r>
        <w:rPr>
          <w:sz w:val="20"/>
        </w:rPr>
        <w:t xml:space="preserve">Основные направления взаимодействия сторон социального партнерства - повышение уровня и качества жизни населения, создание условий для эффективного экономического развития региона.</w:t>
      </w:r>
    </w:p>
    <w:p>
      <w:pPr>
        <w:pStyle w:val="0"/>
        <w:spacing w:before="200" w:line-rule="auto"/>
        <w:ind w:firstLine="540"/>
        <w:jc w:val="both"/>
      </w:pPr>
      <w:r>
        <w:rPr>
          <w:sz w:val="20"/>
        </w:rPr>
        <w:t xml:space="preserve">Сторонами социального партнерства принимаются меры по повышению размера </w:t>
      </w:r>
      <w:hyperlink w:history="0" r:id="rId34" w:tooltip="Справочная информация: &quot;Размер минимальной заработной платы в Тюменской области&quot; (Материал подготовлен специалистами КонсультантПлюс) {КонсультантПлюс}">
        <w:r>
          <w:rPr>
            <w:sz w:val="20"/>
            <w:color w:val="0000ff"/>
          </w:rPr>
          <w:t xml:space="preserve">минимальной заработной платы</w:t>
        </w:r>
      </w:hyperlink>
      <w:r>
        <w:rPr>
          <w:sz w:val="20"/>
        </w:rPr>
        <w:t xml:space="preserve"> в Тюменской области, ведется работа по расширению договорного регулирования трудовых отношений. С 2006 года охват работников коллективными договорами увеличился с 49,1% до 70% в 2019 году, количество заключенных соглашений выросло с 31 до 55 единиц.</w:t>
      </w:r>
    </w:p>
    <w:p>
      <w:pPr>
        <w:pStyle w:val="0"/>
        <w:spacing w:before="200" w:line-rule="auto"/>
        <w:ind w:firstLine="540"/>
        <w:jc w:val="both"/>
      </w:pPr>
      <w:r>
        <w:rPr>
          <w:sz w:val="20"/>
        </w:rPr>
        <w:t xml:space="preserve">Реализуемые направления и формы сотрудничества органов социального партнерства обеспечивают сохранение социальной стабильности, в результате чего с 2006 года коллективных трудовых споров в Тюменской области не зарегистрировано.</w:t>
      </w:r>
    </w:p>
    <w:p>
      <w:pPr>
        <w:pStyle w:val="2"/>
        <w:spacing w:before="200" w:line-rule="auto"/>
        <w:outlineLvl w:val="4"/>
        <w:ind w:firstLine="540"/>
        <w:jc w:val="both"/>
      </w:pPr>
      <w:r>
        <w:rPr>
          <w:sz w:val="20"/>
        </w:rPr>
        <w:t xml:space="preserve">Экологическая безопасность</w:t>
      </w:r>
    </w:p>
    <w:p>
      <w:pPr>
        <w:pStyle w:val="0"/>
        <w:spacing w:before="200" w:line-rule="auto"/>
        <w:ind w:firstLine="540"/>
        <w:jc w:val="both"/>
      </w:pPr>
      <w:r>
        <w:rPr>
          <w:sz w:val="20"/>
        </w:rPr>
        <w:t xml:space="preserve">В 2018 году общее количество отходящих загрязняющих веществ от стационарных источников составило 286,2 тыс. т (в 2007 году - 108,4 тыс. т), из них 55% выброшено без очистки. Большая часть загрязнений связана с добычей нефти и нефтяного газа, а также их транспортировкой по трубопроводам.</w:t>
      </w:r>
    </w:p>
    <w:p>
      <w:pPr>
        <w:pStyle w:val="0"/>
        <w:spacing w:before="200" w:line-rule="auto"/>
        <w:ind w:firstLine="540"/>
        <w:jc w:val="both"/>
      </w:pPr>
      <w:r>
        <w:rPr>
          <w:sz w:val="20"/>
        </w:rPr>
        <w:t xml:space="preserve">Число источников выбросов возросло более, чем на 15%, при этом значительное увеличение доли уловленных и обезвреженных загрязняющих атмосферу веществ (с 22,9% в 2007 году до 45% в 2018 году) указывает на экологически ориентированный рост экономики и внедрение предприятиями экологически эффективных инновационных технологий.</w:t>
      </w:r>
    </w:p>
    <w:p>
      <w:pPr>
        <w:pStyle w:val="0"/>
        <w:spacing w:before="200" w:line-rule="auto"/>
        <w:ind w:firstLine="540"/>
        <w:jc w:val="both"/>
      </w:pPr>
      <w:r>
        <w:rPr>
          <w:sz w:val="20"/>
        </w:rPr>
        <w:t xml:space="preserve">Снижению содержания более вредных веществ в выбросах стационарных источников способствуют мероприятия по газификации населенных пунктов и переводу котельных на газообразное топливо. Сокращению выбросов продуктов горения попутного нефтяного газа способствует увеличение объемов его использования с 2012 по 2016 год почти в 5,5 раза.</w:t>
      </w:r>
    </w:p>
    <w:p>
      <w:pPr>
        <w:pStyle w:val="0"/>
        <w:spacing w:before="200" w:line-rule="auto"/>
        <w:ind w:firstLine="540"/>
        <w:jc w:val="both"/>
      </w:pPr>
      <w:r>
        <w:rPr>
          <w:sz w:val="20"/>
        </w:rPr>
        <w:t xml:space="preserve">Существенный вклад в загрязнение атмосферного воздуха вносят передвижные источники. В 2018 году в Тюменской области эксплуатировалось 677,9 тыс. ед. автотранспорта, в атмосферный воздух от автотранспорта поступило загрязняющих веществ 187,4 тыс. тонн. Оптимизации транспортных потоков, оказывающих влияние на выбросы автотранспорта, способствует строительство Тюменской кольцевой автодороги, крупных транспортных развязок, позволяющих сократить транзитный транспортный поток, проходящий через областной центр, уменьшить заторы на дорогах.</w:t>
      </w:r>
    </w:p>
    <w:p>
      <w:pPr>
        <w:pStyle w:val="0"/>
        <w:spacing w:before="200" w:line-rule="auto"/>
        <w:ind w:firstLine="540"/>
        <w:jc w:val="both"/>
      </w:pPr>
      <w:r>
        <w:rPr>
          <w:sz w:val="20"/>
        </w:rPr>
        <w:t xml:space="preserve">Расширение использования природного газа в качестве газомоторного топлива снижает негативное воздействие автомобильного транспорта на окружающую среду в сравнении с применением бензина и дизельного топлива.</w:t>
      </w:r>
    </w:p>
    <w:p>
      <w:pPr>
        <w:pStyle w:val="0"/>
        <w:spacing w:before="200" w:line-rule="auto"/>
        <w:ind w:firstLine="540"/>
        <w:jc w:val="both"/>
      </w:pPr>
      <w:r>
        <w:rPr>
          <w:sz w:val="20"/>
        </w:rPr>
        <w:t xml:space="preserve">В Тюменской области действует одна автомобильная газонаполнительная компрессорная станция. Для развития рынка газомоторного топлива между Правительством Тюменской области и ООО "Газпром газомоторное топливо" заключено соглашение о расширении использования природного газа в качестве моторного топлива, предусматривающего строительство объектов газомоторной инфраструктуры, их эксплуатацию за счет собственных инвестиций ООО "Газпром газомоторное топливо". Правительство Тюменской области оказывает организационное содействие при предоставлении земельных участков, принимает меры, способствующие приобретению транспорта, использующего природный газ в качестве топлива и переводу транспорта на данный вид топлива.</w:t>
      </w:r>
    </w:p>
    <w:p>
      <w:pPr>
        <w:pStyle w:val="0"/>
        <w:spacing w:before="200" w:line-rule="auto"/>
        <w:ind w:firstLine="540"/>
        <w:jc w:val="both"/>
      </w:pPr>
      <w:r>
        <w:rPr>
          <w:sz w:val="20"/>
        </w:rPr>
        <w:t xml:space="preserve">Меры по стимулированию использования газомоторного топлива и развитию газозаправочной инфраструктуры предусмотрены региональной программой Тюменской области "Энергосбережение и повышение энергетической эффективности" до 2020 года (распоряжение Правительства Тюменской области от 06.02.2017 N 85-рп).</w:t>
      </w:r>
    </w:p>
    <w:p>
      <w:pPr>
        <w:pStyle w:val="0"/>
        <w:spacing w:before="200" w:line-rule="auto"/>
        <w:ind w:firstLine="540"/>
        <w:jc w:val="both"/>
      </w:pPr>
      <w:r>
        <w:rPr>
          <w:sz w:val="20"/>
        </w:rPr>
        <w:t xml:space="preserve">На территории Тюменской области в 2018 году создан лесопарковый зеленый пояс вокруг города Тюмени. Его площадь составляет 66 849 га. Лесопарковый зеленый пояс включает в себя территории, на которых расположены леса, водные объекты, природные ландшафты и территории зеленого фонда в границах городских населенных пунктов, которые прилегают к лесам или составляют с ними единую естественную экологическую систему и выполняют средообразующие, природоохранные, экологические, санитарно-гигиенические и рекреационные функции.</w:t>
      </w:r>
    </w:p>
    <w:p>
      <w:pPr>
        <w:pStyle w:val="0"/>
        <w:spacing w:before="200" w:line-rule="auto"/>
        <w:ind w:firstLine="540"/>
        <w:jc w:val="both"/>
      </w:pPr>
      <w:r>
        <w:rPr>
          <w:sz w:val="20"/>
        </w:rPr>
        <w:t xml:space="preserve">Тюменская область характеризуется высокой обеспеченностью водными ресурсами. Важной проблемой в области является загрязнение поверхностных вод. Свыше 87,3% сточных вод, подлежащих очистке, сбрасываются в водные объекты загрязненными. По сравнению с 2007 годом суммарный объем отведения сточных вод в области уменьшился на 46,2 млн куб. м (12,5%) в связи с уменьшением сброса нормативно чистых и загрязненных вод. Объем сброса загрязненных стоков уменьшился на 22,02 млн куб. м (21,0%).</w:t>
      </w:r>
    </w:p>
    <w:p>
      <w:pPr>
        <w:pStyle w:val="0"/>
        <w:spacing w:before="200" w:line-rule="auto"/>
        <w:ind w:firstLine="540"/>
        <w:jc w:val="both"/>
      </w:pPr>
      <w:r>
        <w:rPr>
          <w:sz w:val="20"/>
        </w:rPr>
        <w:t xml:space="preserve">Размещение отходов на полигонах и свалках остается основным способом обращения с твердыми коммунальными отходами. Ожидается увеличение количества отходов, образуемых в Тюменской области, в размере не более 10% в год, что требует принятия соответствующих мер. В общем объеме отходов значительную долю составляют отходы V класса (практически неопасные) - 46,3% и IV класса (малоопасные) - 51,4%, а на отходы I - III классов опасности (чрезвычайно, высоко- и умеренно опасные) приходится 2,3%.</w:t>
      </w:r>
    </w:p>
    <w:p>
      <w:pPr>
        <w:pStyle w:val="0"/>
        <w:spacing w:before="200" w:line-rule="auto"/>
        <w:ind w:firstLine="540"/>
        <w:jc w:val="both"/>
      </w:pPr>
      <w:r>
        <w:rPr>
          <w:sz w:val="20"/>
        </w:rPr>
        <w:t xml:space="preserve">Отходы промышленного производства являются наиболее перспективными для использования в рециклинге (повторном применении).</w:t>
      </w:r>
    </w:p>
    <w:p>
      <w:pPr>
        <w:pStyle w:val="0"/>
        <w:spacing w:before="200" w:line-rule="auto"/>
        <w:ind w:firstLine="540"/>
        <w:jc w:val="both"/>
      </w:pPr>
      <w:r>
        <w:rPr>
          <w:sz w:val="20"/>
        </w:rPr>
        <w:t xml:space="preserve">Функционирует 2 заказника федерального значения общей площадью 71 тыс. га, 99 особо охраняемых природных территорий регионального значения (36 заказников, 62 памятника природы, один экологический полигон). Особо охраняемые природные территории регионального значения занимают 5,2% площади Тюменской области.</w:t>
      </w:r>
    </w:p>
    <w:p>
      <w:pPr>
        <w:pStyle w:val="0"/>
        <w:spacing w:before="200" w:line-rule="auto"/>
        <w:ind w:firstLine="540"/>
        <w:jc w:val="both"/>
      </w:pPr>
      <w:r>
        <w:rPr>
          <w:sz w:val="20"/>
        </w:rPr>
        <w:t xml:space="preserve">Согласно </w:t>
      </w:r>
      <w:hyperlink w:history="0" r:id="rId35" w:tooltip="Постановление Правительства Тюменской области от 30.12.2014 N 735-п (ред. от 21.02.2018) &quot;О мероприятиях по определению и резервированию земель особо охраняемых природных территорий регионального значения&quot; ------------ Утратил силу или отменен {КонсультантПлюс}">
        <w:r>
          <w:rPr>
            <w:sz w:val="20"/>
            <w:color w:val="0000ff"/>
          </w:rPr>
          <w:t xml:space="preserve">Схеме</w:t>
        </w:r>
      </w:hyperlink>
      <w:r>
        <w:rPr>
          <w:sz w:val="20"/>
        </w:rPr>
        <w:t xml:space="preserve"> развития и размещения системы особо охраняемых природных территорий регионального значения Тюменской области, утвержденной постановлением Правительства Тюменской области от 30.12.2014 N 735-п, предусмотрено создание ООПТ регионального значения еще на 24 участках, общей площадью 787,7 тыс. га, что с учетом уже функционирующих ООПТ составит 10,1% от площади территории Тюменской области.</w:t>
      </w:r>
    </w:p>
    <w:p>
      <w:pPr>
        <w:pStyle w:val="0"/>
        <w:jc w:val="both"/>
      </w:pPr>
      <w:r>
        <w:rPr>
          <w:sz w:val="20"/>
        </w:rPr>
      </w:r>
    </w:p>
    <w:p>
      <w:pPr>
        <w:pStyle w:val="2"/>
        <w:outlineLvl w:val="3"/>
        <w:ind w:firstLine="540"/>
        <w:jc w:val="both"/>
      </w:pPr>
      <w:r>
        <w:rPr>
          <w:sz w:val="20"/>
        </w:rPr>
        <w:t xml:space="preserve">Общественная безопасность</w:t>
      </w:r>
    </w:p>
    <w:p>
      <w:pPr>
        <w:pStyle w:val="0"/>
        <w:spacing w:before="200" w:line-rule="auto"/>
        <w:ind w:firstLine="540"/>
        <w:jc w:val="both"/>
      </w:pPr>
      <w:r>
        <w:rPr>
          <w:sz w:val="20"/>
        </w:rPr>
        <w:t xml:space="preserve">Несмотря на снижение числа зарегистрированных преступлений (2007 год - 54240 единиц; 2018 год - 25639) значения показателя по Тюменской области остаются высокими. По итогам 2017 года Тюменская область занимала по данному показателю 20 место среди субъектов Российской Федерации (данные Росстата). В 2018 году отмечается снижение общего числа зарегистрированных преступлений на 3% к уровню 2017 года.</w:t>
      </w:r>
    </w:p>
    <w:p>
      <w:pPr>
        <w:pStyle w:val="0"/>
        <w:spacing w:before="200" w:line-rule="auto"/>
        <w:ind w:firstLine="540"/>
        <w:jc w:val="both"/>
      </w:pPr>
      <w:r>
        <w:rPr>
          <w:sz w:val="20"/>
        </w:rPr>
        <w:t xml:space="preserve">Число погибших за 2007 - 2018 годы в дорожно-транспортных происшествиях сократилось на 52,5% (с 400 человек в 2007 году до 190 человек в 2018 году).</w:t>
      </w:r>
    </w:p>
    <w:p>
      <w:pPr>
        <w:pStyle w:val="0"/>
        <w:spacing w:before="200" w:line-rule="auto"/>
        <w:ind w:firstLine="540"/>
        <w:jc w:val="both"/>
      </w:pPr>
      <w:r>
        <w:rPr>
          <w:sz w:val="20"/>
        </w:rPr>
        <w:t xml:space="preserve">Количество деструктивных событий (чрезвычайных ситуаций, пожаров, происшествий на водных объектах) в 2018 году (1 824 ед.) сократилось на 18,4% по сравнению с уровнем 2007 года (2 235 ед.). Число погибших при этих событиях сократилось на 40,4% (с 339 человек до 202 человек).</w:t>
      </w:r>
    </w:p>
    <w:p>
      <w:pPr>
        <w:pStyle w:val="0"/>
        <w:spacing w:before="200" w:line-rule="auto"/>
        <w:ind w:firstLine="540"/>
        <w:jc w:val="both"/>
      </w:pPr>
      <w:r>
        <w:rPr>
          <w:sz w:val="20"/>
        </w:rPr>
        <w:t xml:space="preserve">Ситуация в межнациональной и религиозной сферах в Тюменской области стабильная, прогнозируемая, управляемая и сохраняет позитивную динамику развития. Эффективность мер по обеспечению этноконфессионального согласия подтверждается отсутствием в 2018 году протестных акций, публичных конфликтов на этнической и религиозной почвах. По результатам социологических исследований, 83,5% населения положительно оценивают уровень общественно-политической стабильности, 85,8% удовлетворены состоянием межнациональных отношений в регионе.</w:t>
      </w:r>
    </w:p>
    <w:p>
      <w:pPr>
        <w:pStyle w:val="0"/>
        <w:jc w:val="both"/>
      </w:pPr>
      <w:r>
        <w:rPr>
          <w:sz w:val="20"/>
        </w:rPr>
      </w:r>
    </w:p>
    <w:p>
      <w:pPr>
        <w:pStyle w:val="2"/>
        <w:outlineLvl w:val="3"/>
        <w:ind w:firstLine="540"/>
        <w:jc w:val="both"/>
      </w:pPr>
      <w:r>
        <w:rPr>
          <w:sz w:val="20"/>
        </w:rPr>
        <w:t xml:space="preserve">Пространственное развитие</w:t>
      </w:r>
    </w:p>
    <w:p>
      <w:pPr>
        <w:pStyle w:val="0"/>
        <w:spacing w:before="200" w:line-rule="auto"/>
        <w:ind w:firstLine="540"/>
        <w:jc w:val="both"/>
      </w:pPr>
      <w:r>
        <w:rPr>
          <w:sz w:val="20"/>
        </w:rPr>
        <w:t xml:space="preserve">Тюменская область расположена на юге Западной Сибири в бассейне реки Иртыш. С севера на юг проходят лесная и лесостепная зоны.</w:t>
      </w:r>
    </w:p>
    <w:p>
      <w:pPr>
        <w:pStyle w:val="0"/>
        <w:spacing w:before="200" w:line-rule="auto"/>
        <w:ind w:firstLine="540"/>
        <w:jc w:val="both"/>
      </w:pPr>
      <w:r>
        <w:rPr>
          <w:sz w:val="20"/>
        </w:rPr>
        <w:t xml:space="preserve">Тюменская область входит в состав Уральского федерального округа. Граничит с Курганской, Свердловской, Омской областями, Ханты-Мансийским автономным округом - Югрой, с Республикой Казахстан.</w:t>
      </w:r>
    </w:p>
    <w:p>
      <w:pPr>
        <w:pStyle w:val="0"/>
        <w:spacing w:before="200" w:line-rule="auto"/>
        <w:ind w:firstLine="540"/>
        <w:jc w:val="both"/>
      </w:pPr>
      <w:r>
        <w:rPr>
          <w:sz w:val="20"/>
        </w:rPr>
        <w:t xml:space="preserve">Внешнеэкономические связи Тюменской области охватывают более 90 стран.</w:t>
      </w:r>
    </w:p>
    <w:p>
      <w:pPr>
        <w:pStyle w:val="0"/>
        <w:spacing w:before="200" w:line-rule="auto"/>
        <w:ind w:firstLine="540"/>
        <w:jc w:val="both"/>
      </w:pPr>
      <w:r>
        <w:rPr>
          <w:sz w:val="20"/>
        </w:rPr>
        <w:t xml:space="preserve">Ведущее место во внешней торговле в 2018 году занимали: Нидерланды - 17,4% от общего стоимостного объема внешнеторгового оборота, Германия - 14,0%, Франция - 10,5%, Великобритания - 6,5%, Швеция - 6,1%, Польша - 5,7%, Бельгия - 5,2%, Финляндия - 3,9%, США - 3,9%, Китай - 3,5%.</w:t>
      </w:r>
    </w:p>
    <w:p>
      <w:pPr>
        <w:pStyle w:val="0"/>
        <w:spacing w:before="200" w:line-rule="auto"/>
        <w:ind w:firstLine="540"/>
        <w:jc w:val="both"/>
      </w:pPr>
      <w:r>
        <w:rPr>
          <w:sz w:val="20"/>
        </w:rPr>
        <w:t xml:space="preserve">Партнерские отношения у Тюменской области сложились со многими странами СНГ - с Казахстаном, Республикой Беларусь, Узбекистаном, Азербайджаном, Киргизией, Таджикистаном.</w:t>
      </w:r>
    </w:p>
    <w:p>
      <w:pPr>
        <w:pStyle w:val="0"/>
        <w:spacing w:before="200" w:line-rule="auto"/>
        <w:ind w:firstLine="540"/>
        <w:jc w:val="both"/>
      </w:pPr>
      <w:r>
        <w:rPr>
          <w:sz w:val="20"/>
        </w:rPr>
        <w:t xml:space="preserve">Внешнеторговый оборот с учетом взаимной торговли со странами ЕАЭС в 2018 году составил 5279,7 млн долл. США (экспорт - 3761,5 млн долл. США и импорт - 1518,2 млн долл. США).</w:t>
      </w:r>
    </w:p>
    <w:p>
      <w:pPr>
        <w:pStyle w:val="0"/>
        <w:spacing w:before="200" w:line-rule="auto"/>
        <w:ind w:firstLine="540"/>
        <w:jc w:val="both"/>
      </w:pPr>
      <w:r>
        <w:rPr>
          <w:sz w:val="20"/>
        </w:rPr>
        <w:t xml:space="preserve">В структуре экспорта наибольший удельный вес (67,4%) занимали товары топливно-энергетического комплекса - нефть и нефтепродукты (в основном, дизельное топливо и сжиженные углеводородные газы). Второе место в экспортной составляющей (29,3%) - продукция химической промышленности, прежде всего, органические химические соединения и полипропилен. Доля экспорта продукции деревообработки (фанера клееная, пиломатериалы) составила 1,2%; машин, оборудования и транспортных средств - 1,2%; продовольственных товаров и сельскохозяйственного сырья (кроме текстильного) - 0,4%.</w:t>
      </w:r>
    </w:p>
    <w:p>
      <w:pPr>
        <w:pStyle w:val="0"/>
        <w:spacing w:before="200" w:line-rule="auto"/>
        <w:ind w:firstLine="540"/>
        <w:jc w:val="both"/>
      </w:pPr>
      <w:r>
        <w:rPr>
          <w:sz w:val="20"/>
        </w:rPr>
        <w:t xml:space="preserve">В товарной структуре импорта преобладали машины, оборудование и транспортные средства - 75,8%, металлы и изделия из них - 15,3%, продукция химической промышленности - 6,0%.</w:t>
      </w:r>
    </w:p>
    <w:p>
      <w:pPr>
        <w:pStyle w:val="0"/>
        <w:spacing w:before="200" w:line-rule="auto"/>
        <w:ind w:firstLine="540"/>
        <w:jc w:val="both"/>
      </w:pPr>
      <w:r>
        <w:rPr>
          <w:sz w:val="20"/>
        </w:rPr>
        <w:t xml:space="preserve">Перспективы внешнеэкономической деятельности Тюменской области связаны с укреплением имеющегося экономического потенциала и развитием отношений со странами Таможенного союза ЕАЭС, СНГ, БРИКС, ШОС и ЕС. Важную роль в развитии сотрудничества играет фактор высокой политической стабильности, положительный имидж области среди делового российского и зарубежного сообществ. К числу отрицательных факторов относится недостаток положительной информации о регионе, сдерживающий широкое продвижение продукции на внешние рынки.</w:t>
      </w:r>
    </w:p>
    <w:p>
      <w:pPr>
        <w:pStyle w:val="0"/>
        <w:spacing w:before="200" w:line-rule="auto"/>
        <w:ind w:firstLine="540"/>
        <w:jc w:val="both"/>
      </w:pPr>
      <w:r>
        <w:rPr>
          <w:sz w:val="20"/>
        </w:rPr>
        <w:t xml:space="preserve">Сотрудничество Тюменской области с субъектами Российской Федерации строится на базе укрепления добрососедских отношений в сфере экономики, торговли потребительскими товарами и продукцией производственно-технического назначения и формирования общего гуманитарного пространства. Соглашения о межрегиональном торгово-экономическом, научно-техническом и культурном сотрудничестве Тюменской области заключены с Челябинской, Курганской, Свердловской, Новгородской областями, Республикой Татарстан, Республикой Башкортостан, городами Москвой и Санкт-Петербургом, Кабардино-Балкарской Республикой, Чувашской Республикой.</w:t>
      </w:r>
    </w:p>
    <w:p>
      <w:pPr>
        <w:pStyle w:val="0"/>
        <w:spacing w:before="200" w:line-rule="auto"/>
        <w:ind w:firstLine="540"/>
        <w:jc w:val="both"/>
      </w:pPr>
      <w:r>
        <w:rPr>
          <w:sz w:val="20"/>
        </w:rPr>
        <w:t xml:space="preserve">Развитие интеграционных процессов в экономике и социальной сфере Тюменской области, Ханты-Мансийского автономного округа - Югры и Ямало-Ненецкого автономного округа строятся на базе Договора между органами государственной власти Тюменской области, Ханты-Мансийского автономного округа - Югры и Ямало-Ненецкого автономного округа, действующего с 2004 года.</w:t>
      </w:r>
    </w:p>
    <w:p>
      <w:pPr>
        <w:pStyle w:val="0"/>
        <w:spacing w:before="200" w:line-rule="auto"/>
        <w:ind w:firstLine="540"/>
        <w:jc w:val="both"/>
      </w:pPr>
      <w:r>
        <w:rPr>
          <w:sz w:val="20"/>
        </w:rPr>
        <w:t xml:space="preserve">Муниципально-территориальное устройство Тюменской области представлено 6 городскими округами, 20 муниципальными районами. Административный центр - город Тюмень с населением 788,7 тыс. человек на 01.01.2019, городские округа с городским населением: город Тобольск (102,2 тыс. человек, из которых городское население - 98,9 тыс. человек), город Ишим (64,7 тыс. человек), город Ялуторовск (39,9 тыс. человек), Заводоуковский городской округ (46,6 тыс. человек, из которых городское население - 26,2 тыс. человек).</w:t>
      </w:r>
    </w:p>
    <w:p>
      <w:pPr>
        <w:pStyle w:val="0"/>
        <w:spacing w:before="200" w:line-rule="auto"/>
        <w:ind w:firstLine="540"/>
        <w:jc w:val="both"/>
      </w:pPr>
      <w:r>
        <w:rPr>
          <w:sz w:val="20"/>
        </w:rPr>
        <w:t xml:space="preserve">Наиболее активные агломерационные взаимодействия складываются в условиях развития социального и хозяйственного потенциала населенных пунктов, находящихся на расстоянии до 40 км от города Тюмени (Боровское, Московское, Переваловское, Винзилинское, Богандинское, Каскаринское муниципальные образования Тюменского района).</w:t>
      </w:r>
    </w:p>
    <w:p>
      <w:pPr>
        <w:pStyle w:val="0"/>
        <w:spacing w:before="200" w:line-rule="auto"/>
        <w:ind w:firstLine="540"/>
        <w:jc w:val="both"/>
      </w:pPr>
      <w:r>
        <w:rPr>
          <w:sz w:val="20"/>
        </w:rPr>
        <w:t xml:space="preserve">Абзац утратил силу. - </w:t>
      </w:r>
      <w:hyperlink w:history="0" r:id="rId36" w:tooltip="Закон Тюменской области от 27.03.2024 N 11 &quot;О признании утратившим силу абзаца четырнадцатого подраздела &quot;Пространственное развитие&quot; раздела 1.1 &quot;Оценка достигнутых целей и уровня социально-экономического развития Тюменской области&quot; части 1 &quot;Анализ социально-экономического развития Тюменской области&quot; приложения к Закону Тюменской области &quot;Об утверждении Стратегии социально-экономического развития Тюменской области до 2030 года&quot; (принят Тюменской областной Думой 21.03.2024) {КонсультантПлюс}">
        <w:r>
          <w:rPr>
            <w:sz w:val="20"/>
            <w:color w:val="0000ff"/>
          </w:rPr>
          <w:t xml:space="preserve">Закон</w:t>
        </w:r>
      </w:hyperlink>
      <w:r>
        <w:rPr>
          <w:sz w:val="20"/>
        </w:rPr>
        <w:t xml:space="preserve"> Тюменской области от 27.03.2024 N 11.</w:t>
      </w:r>
    </w:p>
    <w:p>
      <w:pPr>
        <w:pStyle w:val="0"/>
        <w:spacing w:before="200" w:line-rule="auto"/>
        <w:ind w:firstLine="540"/>
        <w:jc w:val="both"/>
      </w:pPr>
      <w:r>
        <w:rPr>
          <w:sz w:val="20"/>
        </w:rPr>
        <w:t xml:space="preserve">Тюменский, Тобольский и Уватский промышленные узлы формируют пространственный каркас, на который опирается промышленное развитие Тюменской области.</w:t>
      </w:r>
    </w:p>
    <w:p>
      <w:pPr>
        <w:pStyle w:val="0"/>
        <w:spacing w:before="200" w:line-rule="auto"/>
        <w:ind w:firstLine="540"/>
        <w:jc w:val="both"/>
      </w:pPr>
      <w:r>
        <w:rPr>
          <w:sz w:val="20"/>
        </w:rPr>
        <w:t xml:space="preserve">Для развития обрабатывающих отраслей экономики, производства новых видов продукции и внедрения новых технологий производства создаются зоны экономического развития. С 2016 года развивается сеть индустриальных парков, резиденты которых получают льготы по аренде земельных участков, региональные налоговые льготы, доступ к готовой инфраструктуре (сети и дороги), инструментам финансовой поддержки.</w:t>
      </w:r>
    </w:p>
    <w:p>
      <w:pPr>
        <w:pStyle w:val="0"/>
        <w:spacing w:before="200" w:line-rule="auto"/>
        <w:ind w:firstLine="540"/>
        <w:jc w:val="both"/>
      </w:pPr>
      <w:r>
        <w:rPr>
          <w:sz w:val="20"/>
        </w:rPr>
        <w:t xml:space="preserve">Развитие территорий Тюменской области происходит неравномерно. Уровень и качество жизни сельского населения в целом существенно отстают от уровня жизни в городах, углубляется информационный и инновационный разрыв между городской и сельской местностью, что ведет к росту миграционного оттока сельского населения и усилению урбанизации. Доля сельского населения Тюменской области, на начало 2007 года составлявшая 41,1% от общей численности населения, к концу 2018 года сократилась до 32,9% (на 01.01.2019 по Российской Федерации - 25,4%, по Уральскому федеральному округу - 18,5%).</w:t>
      </w:r>
    </w:p>
    <w:p>
      <w:pPr>
        <w:pStyle w:val="0"/>
        <w:spacing w:before="200" w:line-rule="auto"/>
        <w:ind w:firstLine="540"/>
        <w:jc w:val="both"/>
      </w:pPr>
      <w:r>
        <w:rPr>
          <w:sz w:val="20"/>
        </w:rPr>
        <w:t xml:space="preserve">В области реализуется комплекс мер, направленный на создание благоприятных социально-экономических условий для устойчивого развития сельских территорий: улучшение жилищных условий граждан, развитие инженерной, транспортной и социальной инфраструктуры.</w:t>
      </w:r>
    </w:p>
    <w:p>
      <w:pPr>
        <w:pStyle w:val="0"/>
        <w:jc w:val="both"/>
      </w:pPr>
      <w:r>
        <w:rPr>
          <w:sz w:val="20"/>
        </w:rPr>
      </w:r>
    </w:p>
    <w:p>
      <w:pPr>
        <w:pStyle w:val="2"/>
        <w:outlineLvl w:val="2"/>
        <w:jc w:val="center"/>
      </w:pPr>
      <w:r>
        <w:rPr>
          <w:sz w:val="20"/>
        </w:rPr>
        <w:t xml:space="preserve">1.2. Анализ внутренних и внешних факторов, возможностей</w:t>
      </w:r>
    </w:p>
    <w:p>
      <w:pPr>
        <w:pStyle w:val="2"/>
        <w:jc w:val="center"/>
      </w:pPr>
      <w:r>
        <w:rPr>
          <w:sz w:val="20"/>
        </w:rPr>
        <w:t xml:space="preserve">и ограничений развития Тюменской области</w:t>
      </w:r>
    </w:p>
    <w:p>
      <w:pPr>
        <w:pStyle w:val="0"/>
        <w:jc w:val="both"/>
      </w:pPr>
      <w:r>
        <w:rPr>
          <w:sz w:val="20"/>
        </w:rPr>
      </w:r>
    </w:p>
    <w:p>
      <w:pPr>
        <w:pStyle w:val="0"/>
        <w:ind w:firstLine="540"/>
        <w:jc w:val="both"/>
      </w:pPr>
      <w:r>
        <w:rPr>
          <w:sz w:val="20"/>
        </w:rPr>
        <w:t xml:space="preserve">Анализ сильных и слабых сторон Тюменской области, возможностей и угроз развития, выявление политических, экономических, социальных, технологических факторов позволяет сделать вывод о высоком уровне конкурентоспособности Тюменской области как среди регионов Уральского федерального округа, так и в общефедеральном масштабе. Выгодное географическое расположение и природно-ресурсный потенциал, устойчивый экономический рост на протяжении последних лет, рост доходов населения и положительная динамика естественного и миграционного прироста населения создают основу конкурентоспособного развития Тюменской области в перспективе (</w:t>
      </w:r>
      <w:hyperlink w:history="0" w:anchor="P743" w:tooltip="Таблица 8 - Анализ факторов развития экономики Тюменской области">
        <w:r>
          <w:rPr>
            <w:sz w:val="20"/>
            <w:color w:val="0000ff"/>
          </w:rPr>
          <w:t xml:space="preserve">табл. 8</w:t>
        </w:r>
      </w:hyperlink>
      <w:r>
        <w:rPr>
          <w:sz w:val="20"/>
        </w:rPr>
        <w:t xml:space="preserve"> и </w:t>
      </w:r>
      <w:hyperlink w:history="0" w:anchor="P840" w:tooltip="Таблица 9 - Анализ факторов развития социальной сферы Тюменской области">
        <w:r>
          <w:rPr>
            <w:sz w:val="20"/>
            <w:color w:val="0000ff"/>
          </w:rPr>
          <w:t xml:space="preserve">табл. 9</w:t>
        </w:r>
      </w:hyperlink>
      <w:r>
        <w:rPr>
          <w:sz w:val="20"/>
        </w:rPr>
        <w:t xml:space="preserve">).</w:t>
      </w:r>
    </w:p>
    <w:p>
      <w:pPr>
        <w:pStyle w:val="0"/>
        <w:jc w:val="both"/>
      </w:pPr>
      <w:r>
        <w:rPr>
          <w:sz w:val="20"/>
        </w:rPr>
      </w:r>
    </w:p>
    <w:bookmarkStart w:id="743" w:name="P743"/>
    <w:bookmarkEnd w:id="743"/>
    <w:p>
      <w:pPr>
        <w:pStyle w:val="2"/>
        <w:outlineLvl w:val="3"/>
        <w:ind w:firstLine="540"/>
        <w:jc w:val="both"/>
      </w:pPr>
      <w:r>
        <w:rPr>
          <w:sz w:val="20"/>
        </w:rPr>
        <w:t xml:space="preserve">Таблица 8 - Анализ факторов развития экономики Тюменской области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4989"/>
        <w:gridCol w:w="454"/>
        <w:gridCol w:w="4819"/>
      </w:tblGrid>
      <w:tr>
        <w:tc>
          <w:tcPr>
            <w:gridSpan w:val="2"/>
            <w:tcW w:w="5443" w:type="dxa"/>
            <w:vAlign w:val="center"/>
          </w:tcPr>
          <w:p>
            <w:pPr>
              <w:pStyle w:val="0"/>
              <w:jc w:val="center"/>
            </w:pPr>
            <w:r>
              <w:rPr>
                <w:sz w:val="20"/>
              </w:rPr>
              <w:t xml:space="preserve">Сильные стороны</w:t>
            </w:r>
          </w:p>
        </w:tc>
        <w:tc>
          <w:tcPr>
            <w:gridSpan w:val="2"/>
            <w:tcW w:w="5273" w:type="dxa"/>
            <w:vAlign w:val="center"/>
          </w:tcPr>
          <w:p>
            <w:pPr>
              <w:pStyle w:val="0"/>
              <w:jc w:val="center"/>
            </w:pPr>
            <w:r>
              <w:rPr>
                <w:sz w:val="20"/>
              </w:rPr>
              <w:t xml:space="preserve">Слабые стороны</w:t>
            </w:r>
          </w:p>
        </w:tc>
      </w:tr>
      <w:tr>
        <w:tc>
          <w:tcPr>
            <w:tcW w:w="454" w:type="dxa"/>
            <w:vAlign w:val="center"/>
          </w:tcPr>
          <w:p>
            <w:pPr>
              <w:pStyle w:val="0"/>
              <w:jc w:val="center"/>
            </w:pPr>
            <w:r>
              <w:rPr>
                <w:sz w:val="20"/>
              </w:rPr>
              <w:t xml:space="preserve">1</w:t>
            </w:r>
          </w:p>
        </w:tc>
        <w:tc>
          <w:tcPr>
            <w:tcW w:w="4989" w:type="dxa"/>
            <w:vAlign w:val="center"/>
          </w:tcPr>
          <w:p>
            <w:pPr>
              <w:pStyle w:val="0"/>
            </w:pPr>
            <w:r>
              <w:rPr>
                <w:sz w:val="20"/>
              </w:rPr>
              <w:t xml:space="preserve">Выгодное географическое положение. Наличие Транссибирской железнодорожной магистрали, международного аэропорта, речных портов и сети автомобильных дорог, магистральных нефте- и газопроводов, продуктопроводов, основных транспортных коридоров, обеспечивающих связь территорий ХМАО - Югры и ЯНАО с сетью транспортных магистралей страны</w:t>
            </w:r>
          </w:p>
        </w:tc>
        <w:tc>
          <w:tcPr>
            <w:tcW w:w="454" w:type="dxa"/>
            <w:vAlign w:val="center"/>
          </w:tcPr>
          <w:p>
            <w:pPr>
              <w:pStyle w:val="0"/>
              <w:jc w:val="center"/>
            </w:pPr>
            <w:r>
              <w:rPr>
                <w:sz w:val="20"/>
              </w:rPr>
              <w:t xml:space="preserve">1</w:t>
            </w:r>
          </w:p>
        </w:tc>
        <w:tc>
          <w:tcPr>
            <w:tcW w:w="4819" w:type="dxa"/>
            <w:vAlign w:val="center"/>
          </w:tcPr>
          <w:p>
            <w:pPr>
              <w:pStyle w:val="0"/>
            </w:pPr>
            <w:r>
              <w:rPr>
                <w:sz w:val="20"/>
              </w:rPr>
              <w:t xml:space="preserve">Удаленность от рынков сбыта Европейской части России, стран Европейского союза, Южной, Юго-Восточной Азии, а также от морских портов страны</w:t>
            </w:r>
          </w:p>
        </w:tc>
      </w:tr>
      <w:tr>
        <w:tc>
          <w:tcPr>
            <w:tcW w:w="454" w:type="dxa"/>
            <w:vAlign w:val="center"/>
          </w:tcPr>
          <w:p>
            <w:pPr>
              <w:pStyle w:val="0"/>
              <w:jc w:val="center"/>
            </w:pPr>
            <w:r>
              <w:rPr>
                <w:sz w:val="20"/>
              </w:rPr>
              <w:t xml:space="preserve">2</w:t>
            </w:r>
          </w:p>
        </w:tc>
        <w:tc>
          <w:tcPr>
            <w:tcW w:w="4989" w:type="dxa"/>
            <w:vAlign w:val="center"/>
          </w:tcPr>
          <w:p>
            <w:pPr>
              <w:pStyle w:val="0"/>
            </w:pPr>
            <w:r>
              <w:rPr>
                <w:sz w:val="20"/>
              </w:rPr>
              <w:t xml:space="preserve">Значительный природно-ресурсный потенциал (углеводородное сырье, лесные ресурсы, торф, общераспространенные полезные ископаемые, сапропель и другие, значительные площади сельхозугодий, наличие на отдельных территориях высокопродуктивных почв)</w:t>
            </w:r>
          </w:p>
        </w:tc>
        <w:tc>
          <w:tcPr>
            <w:tcW w:w="454" w:type="dxa"/>
            <w:vAlign w:val="center"/>
          </w:tcPr>
          <w:p>
            <w:pPr>
              <w:pStyle w:val="0"/>
              <w:jc w:val="center"/>
            </w:pPr>
            <w:r>
              <w:rPr>
                <w:sz w:val="20"/>
              </w:rPr>
              <w:t xml:space="preserve">2</w:t>
            </w:r>
          </w:p>
        </w:tc>
        <w:tc>
          <w:tcPr>
            <w:tcW w:w="4819" w:type="dxa"/>
            <w:vAlign w:val="center"/>
          </w:tcPr>
          <w:p>
            <w:pPr>
              <w:pStyle w:val="0"/>
            </w:pPr>
            <w:r>
              <w:rPr>
                <w:sz w:val="20"/>
              </w:rPr>
              <w:t xml:space="preserve">Недостаточная степень использования природно-ресурсного потенциала</w:t>
            </w:r>
          </w:p>
        </w:tc>
      </w:tr>
      <w:tr>
        <w:tc>
          <w:tcPr>
            <w:tcW w:w="454" w:type="dxa"/>
            <w:vAlign w:val="center"/>
          </w:tcPr>
          <w:p>
            <w:pPr>
              <w:pStyle w:val="0"/>
              <w:jc w:val="center"/>
            </w:pPr>
            <w:r>
              <w:rPr>
                <w:sz w:val="20"/>
              </w:rPr>
              <w:t xml:space="preserve">3</w:t>
            </w:r>
          </w:p>
        </w:tc>
        <w:tc>
          <w:tcPr>
            <w:tcW w:w="4989" w:type="dxa"/>
            <w:vAlign w:val="center"/>
          </w:tcPr>
          <w:p>
            <w:pPr>
              <w:pStyle w:val="0"/>
            </w:pPr>
            <w:r>
              <w:rPr>
                <w:sz w:val="20"/>
              </w:rPr>
              <w:t xml:space="preserve">Благоприятный инвестиционный и предпринимательский климат, высокий уровень предпринимательской инициативы, развитая система государственной поддержки предприятий</w:t>
            </w:r>
          </w:p>
        </w:tc>
        <w:tc>
          <w:tcPr>
            <w:tcW w:w="454" w:type="dxa"/>
            <w:vAlign w:val="center"/>
          </w:tcPr>
          <w:p>
            <w:pPr>
              <w:pStyle w:val="0"/>
              <w:jc w:val="center"/>
            </w:pPr>
            <w:r>
              <w:rPr>
                <w:sz w:val="20"/>
              </w:rPr>
              <w:t xml:space="preserve">3</w:t>
            </w:r>
          </w:p>
        </w:tc>
        <w:tc>
          <w:tcPr>
            <w:tcW w:w="4819" w:type="dxa"/>
            <w:vAlign w:val="center"/>
          </w:tcPr>
          <w:p>
            <w:pPr>
              <w:pStyle w:val="0"/>
            </w:pPr>
            <w:r>
              <w:rPr>
                <w:sz w:val="20"/>
              </w:rPr>
              <w:t xml:space="preserve">Низкие финансовые возможности предприятий по заимствованию капитала в количествах, необходимых для полной и быстрой модернизации производств</w:t>
            </w:r>
          </w:p>
        </w:tc>
      </w:tr>
      <w:tr>
        <w:tc>
          <w:tcPr>
            <w:tcW w:w="454" w:type="dxa"/>
            <w:vAlign w:val="center"/>
          </w:tcPr>
          <w:p>
            <w:pPr>
              <w:pStyle w:val="0"/>
              <w:jc w:val="center"/>
            </w:pPr>
            <w:r>
              <w:rPr>
                <w:sz w:val="20"/>
              </w:rPr>
              <w:t xml:space="preserve">4</w:t>
            </w:r>
          </w:p>
        </w:tc>
        <w:tc>
          <w:tcPr>
            <w:tcW w:w="4989" w:type="dxa"/>
            <w:vAlign w:val="center"/>
          </w:tcPr>
          <w:p>
            <w:pPr>
              <w:pStyle w:val="0"/>
            </w:pPr>
            <w:r>
              <w:rPr>
                <w:sz w:val="20"/>
              </w:rPr>
              <w:t xml:space="preserve">Высокая политическая стабильность региона, положительный имидж области среди делового сообщества</w:t>
            </w:r>
          </w:p>
        </w:tc>
        <w:tc>
          <w:tcPr>
            <w:tcW w:w="454" w:type="dxa"/>
            <w:vAlign w:val="center"/>
          </w:tcPr>
          <w:p>
            <w:pPr>
              <w:pStyle w:val="0"/>
              <w:jc w:val="center"/>
            </w:pPr>
            <w:r>
              <w:rPr>
                <w:sz w:val="20"/>
              </w:rPr>
              <w:t xml:space="preserve">4</w:t>
            </w:r>
          </w:p>
        </w:tc>
        <w:tc>
          <w:tcPr>
            <w:tcW w:w="4819" w:type="dxa"/>
            <w:vAlign w:val="center"/>
          </w:tcPr>
          <w:p>
            <w:pPr>
              <w:pStyle w:val="0"/>
            </w:pPr>
            <w:r>
              <w:rPr>
                <w:sz w:val="20"/>
              </w:rPr>
              <w:t xml:space="preserve">Недостаток информации о регионе, сдерживающий инвестиционную активность и широкое продвижение продукции на внешние рынки</w:t>
            </w:r>
          </w:p>
        </w:tc>
      </w:tr>
      <w:tr>
        <w:tc>
          <w:tcPr>
            <w:tcW w:w="454" w:type="dxa"/>
            <w:vAlign w:val="center"/>
          </w:tcPr>
          <w:p>
            <w:pPr>
              <w:pStyle w:val="0"/>
              <w:jc w:val="center"/>
            </w:pPr>
            <w:r>
              <w:rPr>
                <w:sz w:val="20"/>
              </w:rPr>
              <w:t xml:space="preserve">5</w:t>
            </w:r>
          </w:p>
        </w:tc>
        <w:tc>
          <w:tcPr>
            <w:tcW w:w="4989" w:type="dxa"/>
            <w:vAlign w:val="center"/>
          </w:tcPr>
          <w:p>
            <w:pPr>
              <w:pStyle w:val="0"/>
            </w:pPr>
            <w:r>
              <w:rPr>
                <w:sz w:val="20"/>
              </w:rPr>
              <w:t xml:space="preserve">Устойчивый экономический рост, значительные объемы собственных доходов регионального бюджета, низкий уровень государственного долга</w:t>
            </w:r>
          </w:p>
        </w:tc>
        <w:tc>
          <w:tcPr>
            <w:tcW w:w="454" w:type="dxa"/>
            <w:vAlign w:val="center"/>
          </w:tcPr>
          <w:p>
            <w:pPr>
              <w:pStyle w:val="0"/>
              <w:jc w:val="center"/>
            </w:pPr>
            <w:r>
              <w:rPr>
                <w:sz w:val="20"/>
              </w:rPr>
              <w:t xml:space="preserve">5</w:t>
            </w:r>
          </w:p>
        </w:tc>
        <w:tc>
          <w:tcPr>
            <w:tcW w:w="4819" w:type="dxa"/>
            <w:vAlign w:val="center"/>
          </w:tcPr>
          <w:p>
            <w:pPr>
              <w:pStyle w:val="0"/>
            </w:pPr>
            <w:r>
              <w:rPr>
                <w:sz w:val="20"/>
              </w:rPr>
              <w:t xml:space="preserve">Высокая зависимость доходов бюджета от результатов работы нефтегазовой отрасли</w:t>
            </w:r>
          </w:p>
        </w:tc>
      </w:tr>
      <w:tr>
        <w:tc>
          <w:tcPr>
            <w:tcW w:w="454" w:type="dxa"/>
            <w:vAlign w:val="center"/>
          </w:tcPr>
          <w:p>
            <w:pPr>
              <w:pStyle w:val="0"/>
              <w:jc w:val="center"/>
            </w:pPr>
            <w:r>
              <w:rPr>
                <w:sz w:val="20"/>
              </w:rPr>
              <w:t xml:space="preserve">6</w:t>
            </w:r>
          </w:p>
        </w:tc>
        <w:tc>
          <w:tcPr>
            <w:tcW w:w="4989" w:type="dxa"/>
            <w:vAlign w:val="center"/>
          </w:tcPr>
          <w:p>
            <w:pPr>
              <w:pStyle w:val="0"/>
            </w:pPr>
            <w:r>
              <w:rPr>
                <w:sz w:val="20"/>
              </w:rPr>
              <w:t xml:space="preserve">Диверсифицированная структура экономики:</w:t>
            </w:r>
          </w:p>
          <w:p>
            <w:pPr>
              <w:pStyle w:val="0"/>
            </w:pPr>
            <w:r>
              <w:rPr>
                <w:sz w:val="20"/>
              </w:rPr>
              <w:t xml:space="preserve">многоотраслевая промышленность, в том числе добыча нефти и переработка углеводородов, машиностроение, металлургия и металлообработка, лесопереработка, пищевая, электроэнергетика и другие;</w:t>
            </w:r>
          </w:p>
          <w:p>
            <w:pPr>
              <w:pStyle w:val="0"/>
            </w:pPr>
            <w:r>
              <w:rPr>
                <w:sz w:val="20"/>
              </w:rPr>
              <w:t xml:space="preserve">развитое сельское хозяйство;</w:t>
            </w:r>
          </w:p>
          <w:p>
            <w:pPr>
              <w:pStyle w:val="0"/>
            </w:pPr>
            <w:r>
              <w:rPr>
                <w:sz w:val="20"/>
              </w:rPr>
              <w:t xml:space="preserve">развитый строительный сектор;</w:t>
            </w:r>
          </w:p>
          <w:p>
            <w:pPr>
              <w:pStyle w:val="0"/>
            </w:pPr>
            <w:r>
              <w:rPr>
                <w:sz w:val="20"/>
              </w:rPr>
              <w:t xml:space="preserve">развитие сервисных отраслей</w:t>
            </w:r>
          </w:p>
        </w:tc>
        <w:tc>
          <w:tcPr>
            <w:tcW w:w="454" w:type="dxa"/>
            <w:vAlign w:val="center"/>
          </w:tcPr>
          <w:p>
            <w:pPr>
              <w:pStyle w:val="0"/>
              <w:jc w:val="center"/>
            </w:pPr>
            <w:r>
              <w:rPr>
                <w:sz w:val="20"/>
              </w:rPr>
              <w:t xml:space="preserve">6</w:t>
            </w:r>
          </w:p>
        </w:tc>
        <w:tc>
          <w:tcPr>
            <w:tcW w:w="4819" w:type="dxa"/>
            <w:vAlign w:val="center"/>
          </w:tcPr>
          <w:p>
            <w:pPr>
              <w:pStyle w:val="0"/>
            </w:pPr>
            <w:r>
              <w:rPr>
                <w:sz w:val="20"/>
              </w:rPr>
              <w:t xml:space="preserve">Недостаточное развитие отдельных видов инфраструктур (транспортно-логистической, инженерной, социальной, туристско-рекреационной)</w:t>
            </w:r>
          </w:p>
        </w:tc>
      </w:tr>
      <w:tr>
        <w:tc>
          <w:tcPr>
            <w:tcW w:w="454" w:type="dxa"/>
            <w:vAlign w:val="center"/>
          </w:tcPr>
          <w:p>
            <w:pPr>
              <w:pStyle w:val="0"/>
              <w:jc w:val="center"/>
            </w:pPr>
            <w:r>
              <w:rPr>
                <w:sz w:val="20"/>
              </w:rPr>
              <w:t xml:space="preserve">7</w:t>
            </w:r>
          </w:p>
        </w:tc>
        <w:tc>
          <w:tcPr>
            <w:tcW w:w="4989" w:type="dxa"/>
            <w:vAlign w:val="center"/>
          </w:tcPr>
          <w:p>
            <w:pPr>
              <w:pStyle w:val="0"/>
            </w:pPr>
            <w:r>
              <w:rPr>
                <w:sz w:val="20"/>
              </w:rPr>
              <w:t xml:space="preserve">Развитая инфраструктура поддержки инноваций. Наличие инновационно активных предприятий</w:t>
            </w:r>
          </w:p>
        </w:tc>
        <w:tc>
          <w:tcPr>
            <w:tcW w:w="454" w:type="dxa"/>
            <w:vAlign w:val="center"/>
          </w:tcPr>
          <w:p>
            <w:pPr>
              <w:pStyle w:val="0"/>
              <w:jc w:val="center"/>
            </w:pPr>
            <w:r>
              <w:rPr>
                <w:sz w:val="20"/>
              </w:rPr>
              <w:t xml:space="preserve">7</w:t>
            </w:r>
          </w:p>
        </w:tc>
        <w:tc>
          <w:tcPr>
            <w:tcW w:w="4819" w:type="dxa"/>
            <w:vAlign w:val="center"/>
          </w:tcPr>
          <w:p>
            <w:pPr>
              <w:pStyle w:val="0"/>
            </w:pPr>
            <w:r>
              <w:rPr>
                <w:sz w:val="20"/>
              </w:rPr>
              <w:t xml:space="preserve">Недостаточный технологический уровень и высокий моральный и физический износ производственных фондов в ряде отраслей, в частности в ЖКХ</w:t>
            </w:r>
          </w:p>
        </w:tc>
      </w:tr>
      <w:tr>
        <w:tc>
          <w:tcPr>
            <w:tcW w:w="454" w:type="dxa"/>
            <w:vAlign w:val="center"/>
          </w:tcPr>
          <w:p>
            <w:pPr>
              <w:pStyle w:val="0"/>
              <w:jc w:val="center"/>
            </w:pPr>
            <w:r>
              <w:rPr>
                <w:sz w:val="20"/>
              </w:rPr>
              <w:t xml:space="preserve">8</w:t>
            </w:r>
          </w:p>
        </w:tc>
        <w:tc>
          <w:tcPr>
            <w:tcW w:w="4989" w:type="dxa"/>
            <w:vAlign w:val="center"/>
          </w:tcPr>
          <w:p>
            <w:pPr>
              <w:pStyle w:val="0"/>
            </w:pPr>
            <w:r>
              <w:rPr>
                <w:sz w:val="20"/>
              </w:rPr>
              <w:t xml:space="preserve">Наличие конкурентоспособных на мировом рынке отраслей: нефтедобычи, переработки углеводородного сырья и нефтегазохимии</w:t>
            </w:r>
          </w:p>
        </w:tc>
        <w:tc>
          <w:tcPr>
            <w:tcW w:w="454" w:type="dxa"/>
            <w:vAlign w:val="center"/>
          </w:tcPr>
          <w:p>
            <w:pPr>
              <w:pStyle w:val="0"/>
              <w:jc w:val="center"/>
            </w:pPr>
            <w:r>
              <w:rPr>
                <w:sz w:val="20"/>
              </w:rPr>
              <w:t xml:space="preserve">8</w:t>
            </w:r>
          </w:p>
        </w:tc>
        <w:tc>
          <w:tcPr>
            <w:tcW w:w="4819" w:type="dxa"/>
            <w:vAlign w:val="center"/>
          </w:tcPr>
          <w:p>
            <w:pPr>
              <w:pStyle w:val="0"/>
            </w:pPr>
            <w:r>
              <w:rPr>
                <w:sz w:val="20"/>
              </w:rPr>
              <w:t xml:space="preserve">Зависимость от стратегий развития крупных компаний, работающих в регионе. Высокая зависимость ряда отраслей от заказов предприятий нефтегазового сектора</w:t>
            </w:r>
          </w:p>
        </w:tc>
      </w:tr>
      <w:tr>
        <w:tc>
          <w:tcPr>
            <w:tcW w:w="454" w:type="dxa"/>
            <w:vAlign w:val="center"/>
          </w:tcPr>
          <w:p>
            <w:pPr>
              <w:pStyle w:val="0"/>
              <w:jc w:val="center"/>
            </w:pPr>
            <w:r>
              <w:rPr>
                <w:sz w:val="20"/>
              </w:rPr>
              <w:t xml:space="preserve">9</w:t>
            </w:r>
          </w:p>
        </w:tc>
        <w:tc>
          <w:tcPr>
            <w:tcW w:w="4989" w:type="dxa"/>
            <w:vAlign w:val="center"/>
          </w:tcPr>
          <w:p>
            <w:pPr>
              <w:pStyle w:val="0"/>
            </w:pPr>
            <w:r>
              <w:rPr>
                <w:sz w:val="20"/>
              </w:rPr>
              <w:t xml:space="preserve">Низкая стоимость энергоресурсов</w:t>
            </w:r>
          </w:p>
        </w:tc>
        <w:tc>
          <w:tcPr>
            <w:tcW w:w="454" w:type="dxa"/>
            <w:vAlign w:val="center"/>
          </w:tcPr>
          <w:p>
            <w:pPr>
              <w:pStyle w:val="0"/>
              <w:jc w:val="center"/>
            </w:pPr>
            <w:r>
              <w:rPr>
                <w:sz w:val="20"/>
              </w:rPr>
              <w:t xml:space="preserve">9</w:t>
            </w:r>
          </w:p>
        </w:tc>
        <w:tc>
          <w:tcPr>
            <w:tcW w:w="4819" w:type="dxa"/>
            <w:vAlign w:val="center"/>
          </w:tcPr>
          <w:p>
            <w:pPr>
              <w:pStyle w:val="0"/>
            </w:pPr>
            <w:r>
              <w:rPr>
                <w:sz w:val="20"/>
              </w:rPr>
              <w:t xml:space="preserve">Недостаток высококвалифицированных кадров в отдельных отраслях. Завышенные ожидания работников по заработной плате</w:t>
            </w:r>
          </w:p>
        </w:tc>
      </w:tr>
      <w:tr>
        <w:tc>
          <w:tcPr>
            <w:tcW w:w="454" w:type="dxa"/>
            <w:vAlign w:val="center"/>
            <w:vMerge w:val="restart"/>
          </w:tcPr>
          <w:p>
            <w:pPr>
              <w:pStyle w:val="0"/>
              <w:jc w:val="center"/>
            </w:pPr>
            <w:r>
              <w:rPr>
                <w:sz w:val="20"/>
              </w:rPr>
              <w:t xml:space="preserve">10</w:t>
            </w:r>
          </w:p>
        </w:tc>
        <w:tc>
          <w:tcPr>
            <w:tcW w:w="4989" w:type="dxa"/>
            <w:vAlign w:val="center"/>
            <w:vMerge w:val="restart"/>
          </w:tcPr>
          <w:p>
            <w:pPr>
              <w:pStyle w:val="0"/>
            </w:pPr>
            <w:r>
              <w:rPr>
                <w:sz w:val="20"/>
              </w:rPr>
              <w:t xml:space="preserve">Рекреационный и туристический потенциал территории</w:t>
            </w:r>
          </w:p>
        </w:tc>
        <w:tc>
          <w:tcPr>
            <w:tcW w:w="454" w:type="dxa"/>
            <w:vAlign w:val="center"/>
          </w:tcPr>
          <w:p>
            <w:pPr>
              <w:pStyle w:val="0"/>
              <w:jc w:val="center"/>
            </w:pPr>
            <w:r>
              <w:rPr>
                <w:sz w:val="20"/>
              </w:rPr>
              <w:t xml:space="preserve">10</w:t>
            </w:r>
          </w:p>
        </w:tc>
        <w:tc>
          <w:tcPr>
            <w:tcW w:w="4819" w:type="dxa"/>
            <w:vAlign w:val="center"/>
          </w:tcPr>
          <w:p>
            <w:pPr>
              <w:pStyle w:val="0"/>
            </w:pPr>
            <w:r>
              <w:rPr>
                <w:sz w:val="20"/>
              </w:rPr>
              <w:t xml:space="preserve">Значительная зависимость жилищного строительства от спроса со стороны жителей других регионов (главным образом ХМАО - Югры, ЯНАО)</w:t>
            </w:r>
          </w:p>
        </w:tc>
      </w:tr>
      <w:tr>
        <w:tc>
          <w:tcPr>
            <w:vMerge w:val="continue"/>
          </w:tcPr>
          <w:p/>
        </w:tc>
        <w:tc>
          <w:tcPr>
            <w:vMerge w:val="continue"/>
          </w:tcPr>
          <w:p/>
        </w:tc>
        <w:tc>
          <w:tcPr>
            <w:tcW w:w="454" w:type="dxa"/>
            <w:vAlign w:val="center"/>
          </w:tcPr>
          <w:p>
            <w:pPr>
              <w:pStyle w:val="0"/>
              <w:jc w:val="center"/>
            </w:pPr>
            <w:r>
              <w:rPr>
                <w:sz w:val="20"/>
              </w:rPr>
              <w:t xml:space="preserve">11</w:t>
            </w:r>
          </w:p>
        </w:tc>
        <w:tc>
          <w:tcPr>
            <w:tcW w:w="4819" w:type="dxa"/>
            <w:vAlign w:val="center"/>
          </w:tcPr>
          <w:p>
            <w:pPr>
              <w:pStyle w:val="0"/>
            </w:pPr>
            <w:r>
              <w:rPr>
                <w:sz w:val="20"/>
              </w:rPr>
              <w:t xml:space="preserve">Территориальные диспропорции экономического развития области</w:t>
            </w:r>
          </w:p>
        </w:tc>
      </w:tr>
      <w:tr>
        <w:tc>
          <w:tcPr>
            <w:gridSpan w:val="2"/>
            <w:tcW w:w="5443" w:type="dxa"/>
            <w:vAlign w:val="center"/>
          </w:tcPr>
          <w:p>
            <w:pPr>
              <w:pStyle w:val="0"/>
              <w:jc w:val="center"/>
            </w:pPr>
            <w:r>
              <w:rPr>
                <w:sz w:val="20"/>
              </w:rPr>
              <w:t xml:space="preserve">Возможности</w:t>
            </w:r>
          </w:p>
        </w:tc>
        <w:tc>
          <w:tcPr>
            <w:gridSpan w:val="2"/>
            <w:tcW w:w="5273" w:type="dxa"/>
            <w:vAlign w:val="center"/>
          </w:tcPr>
          <w:p>
            <w:pPr>
              <w:pStyle w:val="0"/>
              <w:jc w:val="center"/>
            </w:pPr>
            <w:r>
              <w:rPr>
                <w:sz w:val="20"/>
              </w:rPr>
              <w:t xml:space="preserve">Угрозы</w:t>
            </w:r>
          </w:p>
        </w:tc>
      </w:tr>
      <w:tr>
        <w:tc>
          <w:tcPr>
            <w:tcW w:w="454" w:type="dxa"/>
            <w:vAlign w:val="center"/>
          </w:tcPr>
          <w:p>
            <w:pPr>
              <w:pStyle w:val="0"/>
              <w:jc w:val="center"/>
            </w:pPr>
            <w:r>
              <w:rPr>
                <w:sz w:val="20"/>
              </w:rPr>
              <w:t xml:space="preserve">1</w:t>
            </w:r>
          </w:p>
        </w:tc>
        <w:tc>
          <w:tcPr>
            <w:tcW w:w="4989" w:type="dxa"/>
            <w:vAlign w:val="center"/>
          </w:tcPr>
          <w:p>
            <w:pPr>
              <w:pStyle w:val="0"/>
            </w:pPr>
            <w:r>
              <w:rPr>
                <w:sz w:val="20"/>
              </w:rPr>
              <w:t xml:space="preserve">Государственная политика Российской Федерации по развитию инноваций и повышению производительности труда</w:t>
            </w:r>
          </w:p>
        </w:tc>
        <w:tc>
          <w:tcPr>
            <w:tcW w:w="454" w:type="dxa"/>
            <w:vAlign w:val="center"/>
          </w:tcPr>
          <w:p>
            <w:pPr>
              <w:pStyle w:val="0"/>
              <w:jc w:val="center"/>
            </w:pPr>
            <w:r>
              <w:rPr>
                <w:sz w:val="20"/>
              </w:rPr>
              <w:t xml:space="preserve">1</w:t>
            </w:r>
          </w:p>
        </w:tc>
        <w:tc>
          <w:tcPr>
            <w:tcW w:w="4819" w:type="dxa"/>
            <w:vAlign w:val="center"/>
          </w:tcPr>
          <w:p>
            <w:pPr>
              <w:pStyle w:val="0"/>
            </w:pPr>
            <w:r>
              <w:rPr>
                <w:sz w:val="20"/>
              </w:rPr>
              <w:t xml:space="preserve">Замедление темпов роста мировой экономики, приводящее, в том числе, к падению спроса на традиционные товары российского экспорта</w:t>
            </w:r>
          </w:p>
        </w:tc>
      </w:tr>
      <w:tr>
        <w:tc>
          <w:tcPr>
            <w:tcW w:w="454" w:type="dxa"/>
            <w:vAlign w:val="center"/>
          </w:tcPr>
          <w:p>
            <w:pPr>
              <w:pStyle w:val="0"/>
              <w:jc w:val="center"/>
            </w:pPr>
            <w:r>
              <w:rPr>
                <w:sz w:val="20"/>
              </w:rPr>
              <w:t xml:space="preserve">2</w:t>
            </w:r>
          </w:p>
        </w:tc>
        <w:tc>
          <w:tcPr>
            <w:tcW w:w="4989" w:type="dxa"/>
            <w:vAlign w:val="center"/>
          </w:tcPr>
          <w:p>
            <w:pPr>
              <w:pStyle w:val="0"/>
            </w:pPr>
            <w:r>
              <w:rPr>
                <w:sz w:val="20"/>
              </w:rPr>
              <w:t xml:space="preserve">Увеличение спроса на мировом рынке углеводородного сырья</w:t>
            </w:r>
          </w:p>
        </w:tc>
        <w:tc>
          <w:tcPr>
            <w:tcW w:w="454" w:type="dxa"/>
            <w:vAlign w:val="center"/>
          </w:tcPr>
          <w:p>
            <w:pPr>
              <w:pStyle w:val="0"/>
              <w:jc w:val="center"/>
            </w:pPr>
            <w:r>
              <w:rPr>
                <w:sz w:val="20"/>
              </w:rPr>
              <w:t xml:space="preserve">2</w:t>
            </w:r>
          </w:p>
        </w:tc>
        <w:tc>
          <w:tcPr>
            <w:tcW w:w="4819" w:type="dxa"/>
            <w:vAlign w:val="center"/>
          </w:tcPr>
          <w:p>
            <w:pPr>
              <w:pStyle w:val="0"/>
            </w:pPr>
            <w:r>
              <w:rPr>
                <w:sz w:val="20"/>
              </w:rPr>
              <w:t xml:space="preserve">Сохранение цен на нефть и другие основные товары российского экспорта на низком уровне и/или их дальнейшее снижение на мировых рынках</w:t>
            </w:r>
          </w:p>
        </w:tc>
      </w:tr>
      <w:tr>
        <w:tc>
          <w:tcPr>
            <w:tcW w:w="454" w:type="dxa"/>
            <w:vAlign w:val="center"/>
          </w:tcPr>
          <w:p>
            <w:pPr>
              <w:pStyle w:val="0"/>
              <w:jc w:val="center"/>
            </w:pPr>
            <w:r>
              <w:rPr>
                <w:sz w:val="20"/>
              </w:rPr>
              <w:t xml:space="preserve">3</w:t>
            </w:r>
          </w:p>
        </w:tc>
        <w:tc>
          <w:tcPr>
            <w:tcW w:w="4989" w:type="dxa"/>
            <w:vAlign w:val="center"/>
          </w:tcPr>
          <w:p>
            <w:pPr>
              <w:pStyle w:val="0"/>
            </w:pPr>
            <w:r>
              <w:rPr>
                <w:sz w:val="20"/>
              </w:rPr>
              <w:t xml:space="preserve">Возможности для наращивания объемов добычи углеводородного сырья с учетом дальнейшего геологического изучения территории</w:t>
            </w:r>
          </w:p>
        </w:tc>
        <w:tc>
          <w:tcPr>
            <w:tcW w:w="454" w:type="dxa"/>
            <w:vAlign w:val="center"/>
          </w:tcPr>
          <w:p>
            <w:pPr>
              <w:pStyle w:val="0"/>
              <w:jc w:val="center"/>
            </w:pPr>
            <w:r>
              <w:rPr>
                <w:sz w:val="20"/>
              </w:rPr>
              <w:t xml:space="preserve">3</w:t>
            </w:r>
          </w:p>
        </w:tc>
        <w:tc>
          <w:tcPr>
            <w:tcW w:w="4819" w:type="dxa"/>
            <w:vAlign w:val="center"/>
          </w:tcPr>
          <w:p>
            <w:pPr>
              <w:pStyle w:val="0"/>
            </w:pPr>
            <w:r>
              <w:rPr>
                <w:sz w:val="20"/>
              </w:rPr>
              <w:t xml:space="preserve">Снижение спроса на углеводородное сырье на мировом рынке вследствие развития альтернативной энергетики</w:t>
            </w:r>
          </w:p>
        </w:tc>
      </w:tr>
      <w:tr>
        <w:tc>
          <w:tcPr>
            <w:tcW w:w="454" w:type="dxa"/>
            <w:vAlign w:val="center"/>
          </w:tcPr>
          <w:p>
            <w:pPr>
              <w:pStyle w:val="0"/>
              <w:jc w:val="center"/>
            </w:pPr>
            <w:r>
              <w:rPr>
                <w:sz w:val="20"/>
              </w:rPr>
              <w:t xml:space="preserve">4</w:t>
            </w:r>
          </w:p>
        </w:tc>
        <w:tc>
          <w:tcPr>
            <w:tcW w:w="4989" w:type="dxa"/>
            <w:vAlign w:val="center"/>
          </w:tcPr>
          <w:p>
            <w:pPr>
              <w:pStyle w:val="0"/>
            </w:pPr>
            <w:r>
              <w:rPr>
                <w:sz w:val="20"/>
              </w:rPr>
              <w:t xml:space="preserve">Растущие потребности российского и зарубежных рынков в продукции нефтегазохимического, лесного, агропромышленного комплексов</w:t>
            </w:r>
          </w:p>
        </w:tc>
        <w:tc>
          <w:tcPr>
            <w:tcW w:w="454" w:type="dxa"/>
            <w:vAlign w:val="center"/>
          </w:tcPr>
          <w:p>
            <w:pPr>
              <w:pStyle w:val="0"/>
              <w:jc w:val="center"/>
            </w:pPr>
            <w:r>
              <w:rPr>
                <w:sz w:val="20"/>
              </w:rPr>
              <w:t xml:space="preserve">4</w:t>
            </w:r>
          </w:p>
        </w:tc>
        <w:tc>
          <w:tcPr>
            <w:tcW w:w="4819" w:type="dxa"/>
            <w:vAlign w:val="center"/>
          </w:tcPr>
          <w:p>
            <w:pPr>
              <w:pStyle w:val="0"/>
            </w:pPr>
            <w:r>
              <w:rPr>
                <w:sz w:val="20"/>
              </w:rPr>
              <w:t xml:space="preserve">Ускорение инфляции, приводящее к снижению реальных доходов населения и падению потребительского спроса населения</w:t>
            </w:r>
          </w:p>
        </w:tc>
      </w:tr>
      <w:tr>
        <w:tc>
          <w:tcPr>
            <w:tcW w:w="454" w:type="dxa"/>
            <w:vAlign w:val="center"/>
          </w:tcPr>
          <w:p>
            <w:pPr>
              <w:pStyle w:val="0"/>
              <w:jc w:val="center"/>
            </w:pPr>
            <w:r>
              <w:rPr>
                <w:sz w:val="20"/>
              </w:rPr>
              <w:t xml:space="preserve">5</w:t>
            </w:r>
          </w:p>
        </w:tc>
        <w:tc>
          <w:tcPr>
            <w:tcW w:w="4989" w:type="dxa"/>
            <w:vAlign w:val="center"/>
          </w:tcPr>
          <w:p>
            <w:pPr>
              <w:pStyle w:val="0"/>
            </w:pPr>
            <w:r>
              <w:rPr>
                <w:sz w:val="20"/>
              </w:rPr>
              <w:t xml:space="preserve">Реализация федеральной политики в сфере применения информационных и коммуникационных технологий, направленных на развитие информационного общества, формирование национальной цифровой экономики</w:t>
            </w:r>
          </w:p>
        </w:tc>
        <w:tc>
          <w:tcPr>
            <w:tcW w:w="454" w:type="dxa"/>
            <w:vAlign w:val="center"/>
          </w:tcPr>
          <w:p>
            <w:pPr>
              <w:pStyle w:val="0"/>
              <w:jc w:val="center"/>
            </w:pPr>
            <w:r>
              <w:rPr>
                <w:sz w:val="20"/>
              </w:rPr>
              <w:t xml:space="preserve">5</w:t>
            </w:r>
          </w:p>
        </w:tc>
        <w:tc>
          <w:tcPr>
            <w:tcW w:w="4819" w:type="dxa"/>
            <w:vAlign w:val="center"/>
          </w:tcPr>
          <w:p>
            <w:pPr>
              <w:pStyle w:val="0"/>
            </w:pPr>
            <w:r>
              <w:rPr>
                <w:sz w:val="20"/>
              </w:rPr>
              <w:t xml:space="preserve">Сохранение и/или ужесточение санкционных режимов, в том числе приводящее к ограничению доступа к заемному финансированию для российских компаний и привлечению современных технологий из-за рубежа</w:t>
            </w:r>
          </w:p>
        </w:tc>
      </w:tr>
      <w:tr>
        <w:tc>
          <w:tcPr>
            <w:tcW w:w="454" w:type="dxa"/>
            <w:vAlign w:val="center"/>
          </w:tcPr>
          <w:p>
            <w:pPr>
              <w:pStyle w:val="0"/>
              <w:jc w:val="center"/>
            </w:pPr>
            <w:r>
              <w:rPr>
                <w:sz w:val="20"/>
              </w:rPr>
              <w:t xml:space="preserve">6</w:t>
            </w:r>
          </w:p>
        </w:tc>
        <w:tc>
          <w:tcPr>
            <w:tcW w:w="4989" w:type="dxa"/>
            <w:vAlign w:val="center"/>
          </w:tcPr>
          <w:p>
            <w:pPr>
              <w:pStyle w:val="0"/>
            </w:pPr>
            <w:r>
              <w:rPr>
                <w:sz w:val="20"/>
              </w:rPr>
              <w:t xml:space="preserve">Повышение роли внутреннего и въездного туризма</w:t>
            </w:r>
          </w:p>
        </w:tc>
        <w:tc>
          <w:tcPr>
            <w:tcW w:w="454" w:type="dxa"/>
            <w:vAlign w:val="center"/>
          </w:tcPr>
          <w:p>
            <w:pPr>
              <w:pStyle w:val="0"/>
              <w:jc w:val="center"/>
            </w:pPr>
            <w:r>
              <w:rPr>
                <w:sz w:val="20"/>
              </w:rPr>
              <w:t xml:space="preserve">6</w:t>
            </w:r>
          </w:p>
        </w:tc>
        <w:tc>
          <w:tcPr>
            <w:tcW w:w="4819" w:type="dxa"/>
            <w:vAlign w:val="center"/>
          </w:tcPr>
          <w:p>
            <w:pPr>
              <w:pStyle w:val="0"/>
            </w:pPr>
            <w:r>
              <w:rPr>
                <w:sz w:val="20"/>
              </w:rPr>
              <w:t xml:space="preserve">Отток инвестиционного капитала</w:t>
            </w:r>
          </w:p>
        </w:tc>
      </w:tr>
      <w:tr>
        <w:tc>
          <w:tcPr>
            <w:tcW w:w="454" w:type="dxa"/>
            <w:vAlign w:val="center"/>
          </w:tcPr>
          <w:p>
            <w:pPr>
              <w:pStyle w:val="0"/>
              <w:jc w:val="center"/>
            </w:pPr>
            <w:r>
              <w:rPr>
                <w:sz w:val="20"/>
              </w:rPr>
              <w:t xml:space="preserve">7</w:t>
            </w:r>
          </w:p>
        </w:tc>
        <w:tc>
          <w:tcPr>
            <w:tcW w:w="4989" w:type="dxa"/>
            <w:vAlign w:val="center"/>
          </w:tcPr>
          <w:p>
            <w:pPr>
              <w:pStyle w:val="0"/>
            </w:pPr>
            <w:r>
              <w:rPr>
                <w:sz w:val="20"/>
              </w:rPr>
              <w:t xml:space="preserve">Развитие деловых связей с зарубежными партнерами</w:t>
            </w:r>
          </w:p>
        </w:tc>
        <w:tc>
          <w:tcPr>
            <w:tcW w:w="454" w:type="dxa"/>
            <w:vAlign w:val="center"/>
          </w:tcPr>
          <w:p>
            <w:pPr>
              <w:pStyle w:val="0"/>
              <w:jc w:val="center"/>
            </w:pPr>
            <w:r>
              <w:rPr>
                <w:sz w:val="20"/>
              </w:rPr>
              <w:t xml:space="preserve">7</w:t>
            </w:r>
          </w:p>
        </w:tc>
        <w:tc>
          <w:tcPr>
            <w:tcW w:w="4819" w:type="dxa"/>
            <w:vAlign w:val="center"/>
          </w:tcPr>
          <w:p>
            <w:pPr>
              <w:pStyle w:val="0"/>
            </w:pPr>
            <w:r>
              <w:rPr>
                <w:sz w:val="20"/>
              </w:rPr>
              <w:t xml:space="preserve">Резкие колебания обменного курса рубля</w:t>
            </w:r>
          </w:p>
        </w:tc>
      </w:tr>
      <w:tr>
        <w:tc>
          <w:tcPr>
            <w:tcW w:w="454" w:type="dxa"/>
            <w:vAlign w:val="center"/>
          </w:tcPr>
          <w:p>
            <w:pPr>
              <w:pStyle w:val="0"/>
              <w:jc w:val="center"/>
            </w:pPr>
            <w:r>
              <w:rPr>
                <w:sz w:val="20"/>
              </w:rPr>
              <w:t xml:space="preserve">8</w:t>
            </w:r>
          </w:p>
        </w:tc>
        <w:tc>
          <w:tcPr>
            <w:tcW w:w="4989" w:type="dxa"/>
            <w:vAlign w:val="center"/>
          </w:tcPr>
          <w:p>
            <w:pPr>
              <w:pStyle w:val="0"/>
            </w:pPr>
            <w:r>
              <w:rPr>
                <w:sz w:val="20"/>
              </w:rPr>
              <w:t xml:space="preserve">Взвешенная таможенно-тарифная политика, предполагающая противодействие международным санкциям и поддержку отечественного производителя</w:t>
            </w:r>
          </w:p>
        </w:tc>
        <w:tc>
          <w:tcPr>
            <w:tcW w:w="454" w:type="dxa"/>
            <w:vAlign w:val="center"/>
          </w:tcPr>
          <w:p>
            <w:pPr>
              <w:pStyle w:val="0"/>
              <w:jc w:val="center"/>
            </w:pPr>
            <w:r>
              <w:rPr>
                <w:sz w:val="20"/>
              </w:rPr>
              <w:t xml:space="preserve">8</w:t>
            </w:r>
          </w:p>
        </w:tc>
        <w:tc>
          <w:tcPr>
            <w:tcW w:w="4819" w:type="dxa"/>
            <w:vAlign w:val="center"/>
          </w:tcPr>
          <w:p>
            <w:pPr>
              <w:pStyle w:val="0"/>
            </w:pPr>
            <w:r>
              <w:rPr>
                <w:sz w:val="20"/>
              </w:rPr>
              <w:t xml:space="preserve">Усиление протекционизма, ограничение доступа российских товаров и услуг на рынки зарубежных стран</w:t>
            </w:r>
          </w:p>
        </w:tc>
      </w:tr>
      <w:tr>
        <w:tc>
          <w:tcPr>
            <w:tcW w:w="454" w:type="dxa"/>
            <w:vAlign w:val="center"/>
          </w:tcPr>
          <w:p>
            <w:pPr>
              <w:pStyle w:val="0"/>
              <w:jc w:val="center"/>
            </w:pPr>
            <w:r>
              <w:rPr>
                <w:sz w:val="20"/>
              </w:rPr>
              <w:t xml:space="preserve">9</w:t>
            </w:r>
          </w:p>
        </w:tc>
        <w:tc>
          <w:tcPr>
            <w:tcW w:w="4989" w:type="dxa"/>
            <w:vAlign w:val="center"/>
          </w:tcPr>
          <w:p>
            <w:pPr>
              <w:pStyle w:val="0"/>
            </w:pPr>
            <w:r>
              <w:rPr>
                <w:sz w:val="20"/>
              </w:rPr>
              <w:t xml:space="preserve">Формируемые международные и внутренние транспортные коридоры, проходящие через территорию Тюменской области</w:t>
            </w:r>
          </w:p>
        </w:tc>
        <w:tc>
          <w:tcPr>
            <w:tcW w:w="454" w:type="dxa"/>
            <w:vAlign w:val="center"/>
          </w:tcPr>
          <w:p>
            <w:pPr>
              <w:pStyle w:val="0"/>
              <w:jc w:val="center"/>
            </w:pPr>
            <w:r>
              <w:rPr>
                <w:sz w:val="20"/>
              </w:rPr>
              <w:t xml:space="preserve">9</w:t>
            </w:r>
          </w:p>
        </w:tc>
        <w:tc>
          <w:tcPr>
            <w:tcW w:w="4819" w:type="dxa"/>
            <w:vAlign w:val="center"/>
          </w:tcPr>
          <w:p>
            <w:pPr>
              <w:pStyle w:val="0"/>
            </w:pPr>
            <w:r>
              <w:rPr>
                <w:sz w:val="20"/>
              </w:rPr>
              <w:t xml:space="preserve">Усиление межрегиональной конкуренции</w:t>
            </w:r>
          </w:p>
        </w:tc>
      </w:tr>
      <w:tr>
        <w:tc>
          <w:tcPr>
            <w:tcW w:w="454" w:type="dxa"/>
            <w:vAlign w:val="center"/>
          </w:tcPr>
          <w:p>
            <w:pPr>
              <w:pStyle w:val="0"/>
              <w:jc w:val="center"/>
            </w:pPr>
            <w:r>
              <w:rPr>
                <w:sz w:val="20"/>
              </w:rPr>
              <w:t xml:space="preserve">10</w:t>
            </w:r>
          </w:p>
        </w:tc>
        <w:tc>
          <w:tcPr>
            <w:tcW w:w="4989" w:type="dxa"/>
            <w:vAlign w:val="center"/>
          </w:tcPr>
          <w:p>
            <w:pPr>
              <w:pStyle w:val="0"/>
            </w:pPr>
            <w:r>
              <w:rPr>
                <w:sz w:val="20"/>
              </w:rPr>
              <w:t xml:space="preserve">Развитие государственно-частного и муниципально-частного партнерства и иных механизмов привлечения внебюджетных средств в развитие экономики региона</w:t>
            </w:r>
          </w:p>
        </w:tc>
        <w:tc>
          <w:tcPr>
            <w:tcW w:w="454" w:type="dxa"/>
            <w:vAlign w:val="center"/>
          </w:tcPr>
          <w:p>
            <w:pPr>
              <w:pStyle w:val="0"/>
              <w:jc w:val="center"/>
            </w:pPr>
            <w:r>
              <w:rPr>
                <w:sz w:val="20"/>
              </w:rPr>
              <w:t xml:space="preserve">10</w:t>
            </w:r>
          </w:p>
        </w:tc>
        <w:tc>
          <w:tcPr>
            <w:tcW w:w="4819" w:type="dxa"/>
            <w:vAlign w:val="center"/>
          </w:tcPr>
          <w:p>
            <w:pPr>
              <w:pStyle w:val="0"/>
            </w:pPr>
            <w:r>
              <w:rPr>
                <w:sz w:val="20"/>
              </w:rPr>
              <w:t xml:space="preserve">Нестабильность налоговой и бюджетной политики Российской Федерации, в том числе изменение межбюджетных отношений, ухудшающее положение региона</w:t>
            </w:r>
          </w:p>
        </w:tc>
      </w:tr>
      <w:tr>
        <w:tc>
          <w:tcPr>
            <w:tcW w:w="454" w:type="dxa"/>
            <w:vAlign w:val="center"/>
          </w:tcPr>
          <w:p>
            <w:pPr>
              <w:pStyle w:val="0"/>
            </w:pPr>
            <w:r>
              <w:rPr>
                <w:sz w:val="20"/>
              </w:rPr>
            </w:r>
          </w:p>
        </w:tc>
        <w:tc>
          <w:tcPr>
            <w:tcW w:w="4989" w:type="dxa"/>
            <w:vAlign w:val="center"/>
          </w:tcPr>
          <w:p>
            <w:pPr>
              <w:pStyle w:val="0"/>
            </w:pPr>
            <w:r>
              <w:rPr>
                <w:sz w:val="20"/>
              </w:rPr>
            </w:r>
          </w:p>
        </w:tc>
        <w:tc>
          <w:tcPr>
            <w:tcW w:w="454" w:type="dxa"/>
            <w:vAlign w:val="center"/>
          </w:tcPr>
          <w:p>
            <w:pPr>
              <w:pStyle w:val="0"/>
              <w:jc w:val="center"/>
            </w:pPr>
            <w:r>
              <w:rPr>
                <w:sz w:val="20"/>
              </w:rPr>
              <w:t xml:space="preserve">11</w:t>
            </w:r>
          </w:p>
        </w:tc>
        <w:tc>
          <w:tcPr>
            <w:tcW w:w="4819" w:type="dxa"/>
            <w:vAlign w:val="center"/>
          </w:tcPr>
          <w:p>
            <w:pPr>
              <w:pStyle w:val="0"/>
            </w:pPr>
            <w:r>
              <w:rPr>
                <w:sz w:val="20"/>
              </w:rPr>
              <w:t xml:space="preserve">Сокращение расходов на реализацию инфраструктурных проектов вследствие снижения темпов роста доходной базы и увеличения социальной нагрузки на бюджет</w:t>
            </w:r>
          </w:p>
        </w:tc>
      </w:tr>
    </w:tbl>
    <w:p>
      <w:pPr>
        <w:pStyle w:val="0"/>
        <w:jc w:val="both"/>
      </w:pPr>
      <w:r>
        <w:rPr>
          <w:sz w:val="20"/>
        </w:rPr>
      </w:r>
    </w:p>
    <w:bookmarkStart w:id="840" w:name="P840"/>
    <w:bookmarkEnd w:id="840"/>
    <w:p>
      <w:pPr>
        <w:pStyle w:val="2"/>
        <w:outlineLvl w:val="3"/>
        <w:ind w:firstLine="540"/>
        <w:jc w:val="both"/>
      </w:pPr>
      <w:r>
        <w:rPr>
          <w:sz w:val="20"/>
        </w:rPr>
        <w:t xml:space="preserve">Таблица 9 - Анализ факторов развития социальной сферы Тюменской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4989"/>
        <w:gridCol w:w="454"/>
        <w:gridCol w:w="4819"/>
      </w:tblGrid>
      <w:tr>
        <w:tc>
          <w:tcPr>
            <w:gridSpan w:val="2"/>
            <w:tcW w:w="5443" w:type="dxa"/>
            <w:vAlign w:val="center"/>
          </w:tcPr>
          <w:p>
            <w:pPr>
              <w:pStyle w:val="0"/>
              <w:jc w:val="center"/>
            </w:pPr>
            <w:r>
              <w:rPr>
                <w:sz w:val="20"/>
              </w:rPr>
              <w:t xml:space="preserve">Сильные стороны</w:t>
            </w:r>
          </w:p>
        </w:tc>
        <w:tc>
          <w:tcPr>
            <w:gridSpan w:val="2"/>
            <w:tcW w:w="5273" w:type="dxa"/>
            <w:vAlign w:val="center"/>
          </w:tcPr>
          <w:p>
            <w:pPr>
              <w:pStyle w:val="0"/>
              <w:jc w:val="center"/>
            </w:pPr>
            <w:r>
              <w:rPr>
                <w:sz w:val="20"/>
              </w:rPr>
              <w:t xml:space="preserve">Слабые стороны</w:t>
            </w:r>
          </w:p>
        </w:tc>
      </w:tr>
      <w:tr>
        <w:tc>
          <w:tcPr>
            <w:tcW w:w="454" w:type="dxa"/>
            <w:vAlign w:val="center"/>
          </w:tcPr>
          <w:p>
            <w:pPr>
              <w:pStyle w:val="0"/>
              <w:jc w:val="center"/>
            </w:pPr>
            <w:r>
              <w:rPr>
                <w:sz w:val="20"/>
              </w:rPr>
              <w:t xml:space="preserve">1</w:t>
            </w:r>
          </w:p>
        </w:tc>
        <w:tc>
          <w:tcPr>
            <w:tcW w:w="4989" w:type="dxa"/>
            <w:vAlign w:val="center"/>
          </w:tcPr>
          <w:p>
            <w:pPr>
              <w:pStyle w:val="0"/>
            </w:pPr>
            <w:r>
              <w:rPr>
                <w:sz w:val="20"/>
              </w:rPr>
              <w:t xml:space="preserve">Рост численности населения за счет естественного и миграционного приростов</w:t>
            </w:r>
          </w:p>
        </w:tc>
        <w:tc>
          <w:tcPr>
            <w:tcW w:w="454" w:type="dxa"/>
            <w:vAlign w:val="center"/>
          </w:tcPr>
          <w:p>
            <w:pPr>
              <w:pStyle w:val="0"/>
              <w:jc w:val="center"/>
            </w:pPr>
            <w:r>
              <w:rPr>
                <w:sz w:val="20"/>
              </w:rPr>
              <w:t xml:space="preserve">1</w:t>
            </w:r>
          </w:p>
        </w:tc>
        <w:tc>
          <w:tcPr>
            <w:tcW w:w="4819" w:type="dxa"/>
            <w:vAlign w:val="center"/>
          </w:tcPr>
          <w:p>
            <w:pPr>
              <w:pStyle w:val="0"/>
            </w:pPr>
            <w:r>
              <w:rPr>
                <w:sz w:val="20"/>
              </w:rPr>
              <w:t xml:space="preserve">Высокая дифференциация доходов населения</w:t>
            </w:r>
          </w:p>
        </w:tc>
      </w:tr>
      <w:tr>
        <w:tc>
          <w:tcPr>
            <w:tcW w:w="454" w:type="dxa"/>
            <w:vAlign w:val="center"/>
          </w:tcPr>
          <w:p>
            <w:pPr>
              <w:pStyle w:val="0"/>
              <w:jc w:val="center"/>
            </w:pPr>
            <w:r>
              <w:rPr>
                <w:sz w:val="20"/>
              </w:rPr>
              <w:t xml:space="preserve">2</w:t>
            </w:r>
          </w:p>
        </w:tc>
        <w:tc>
          <w:tcPr>
            <w:tcW w:w="4989" w:type="dxa"/>
            <w:vAlign w:val="center"/>
          </w:tcPr>
          <w:p>
            <w:pPr>
              <w:pStyle w:val="0"/>
            </w:pPr>
            <w:r>
              <w:rPr>
                <w:sz w:val="20"/>
              </w:rPr>
              <w:t xml:space="preserve">Высокий уровень занятости населения</w:t>
            </w:r>
          </w:p>
        </w:tc>
        <w:tc>
          <w:tcPr>
            <w:tcW w:w="454" w:type="dxa"/>
            <w:vAlign w:val="center"/>
          </w:tcPr>
          <w:p>
            <w:pPr>
              <w:pStyle w:val="0"/>
              <w:jc w:val="center"/>
            </w:pPr>
            <w:r>
              <w:rPr>
                <w:sz w:val="20"/>
              </w:rPr>
              <w:t xml:space="preserve">2</w:t>
            </w:r>
          </w:p>
        </w:tc>
        <w:tc>
          <w:tcPr>
            <w:tcW w:w="4819" w:type="dxa"/>
            <w:vAlign w:val="center"/>
          </w:tcPr>
          <w:p>
            <w:pPr>
              <w:pStyle w:val="0"/>
            </w:pPr>
            <w:r>
              <w:rPr>
                <w:sz w:val="20"/>
              </w:rPr>
              <w:t xml:space="preserve">Недостаточный уровень благоустройства жилищного фонда, в том числе доступности объектов для людей с инвалидностью</w:t>
            </w:r>
          </w:p>
        </w:tc>
      </w:tr>
      <w:tr>
        <w:tc>
          <w:tcPr>
            <w:tcW w:w="454" w:type="dxa"/>
            <w:vAlign w:val="center"/>
          </w:tcPr>
          <w:p>
            <w:pPr>
              <w:pStyle w:val="0"/>
              <w:jc w:val="center"/>
            </w:pPr>
            <w:r>
              <w:rPr>
                <w:sz w:val="20"/>
              </w:rPr>
              <w:t xml:space="preserve">3</w:t>
            </w:r>
          </w:p>
        </w:tc>
        <w:tc>
          <w:tcPr>
            <w:tcW w:w="4989" w:type="dxa"/>
            <w:vAlign w:val="center"/>
          </w:tcPr>
          <w:p>
            <w:pPr>
              <w:pStyle w:val="0"/>
            </w:pPr>
            <w:r>
              <w:rPr>
                <w:sz w:val="20"/>
              </w:rPr>
              <w:t xml:space="preserve">Уровень заработной платы выше среднероссийского</w:t>
            </w:r>
          </w:p>
        </w:tc>
        <w:tc>
          <w:tcPr>
            <w:tcW w:w="454" w:type="dxa"/>
            <w:vAlign w:val="center"/>
          </w:tcPr>
          <w:p>
            <w:pPr>
              <w:pStyle w:val="0"/>
              <w:jc w:val="center"/>
            </w:pPr>
            <w:r>
              <w:rPr>
                <w:sz w:val="20"/>
              </w:rPr>
              <w:t xml:space="preserve">3</w:t>
            </w:r>
          </w:p>
        </w:tc>
        <w:tc>
          <w:tcPr>
            <w:tcW w:w="4819" w:type="dxa"/>
            <w:vAlign w:val="center"/>
          </w:tcPr>
          <w:p>
            <w:pPr>
              <w:pStyle w:val="0"/>
            </w:pPr>
            <w:r>
              <w:rPr>
                <w:sz w:val="20"/>
              </w:rPr>
              <w:t xml:space="preserve">Высокий уровень преступности</w:t>
            </w:r>
          </w:p>
        </w:tc>
      </w:tr>
      <w:tr>
        <w:tc>
          <w:tcPr>
            <w:tcW w:w="454" w:type="dxa"/>
            <w:vAlign w:val="center"/>
          </w:tcPr>
          <w:p>
            <w:pPr>
              <w:pStyle w:val="0"/>
              <w:jc w:val="center"/>
            </w:pPr>
            <w:r>
              <w:rPr>
                <w:sz w:val="20"/>
              </w:rPr>
              <w:t xml:space="preserve">4</w:t>
            </w:r>
          </w:p>
        </w:tc>
        <w:tc>
          <w:tcPr>
            <w:tcW w:w="4989" w:type="dxa"/>
            <w:vAlign w:val="center"/>
          </w:tcPr>
          <w:p>
            <w:pPr>
              <w:pStyle w:val="0"/>
            </w:pPr>
            <w:r>
              <w:rPr>
                <w:sz w:val="20"/>
              </w:rPr>
              <w:t xml:space="preserve">Уровень обеспеченности жильем выше среднероссийского</w:t>
            </w:r>
          </w:p>
        </w:tc>
        <w:tc>
          <w:tcPr>
            <w:tcW w:w="454" w:type="dxa"/>
            <w:vAlign w:val="center"/>
          </w:tcPr>
          <w:p>
            <w:pPr>
              <w:pStyle w:val="0"/>
              <w:jc w:val="center"/>
            </w:pPr>
            <w:r>
              <w:rPr>
                <w:sz w:val="20"/>
              </w:rPr>
              <w:t xml:space="preserve">4</w:t>
            </w:r>
          </w:p>
        </w:tc>
        <w:tc>
          <w:tcPr>
            <w:tcW w:w="4819" w:type="dxa"/>
            <w:vAlign w:val="center"/>
          </w:tcPr>
          <w:p>
            <w:pPr>
              <w:pStyle w:val="0"/>
            </w:pPr>
            <w:r>
              <w:rPr>
                <w:sz w:val="20"/>
              </w:rPr>
              <w:t xml:space="preserve">Неготовность общественности и педагогического сообщества к паритетным партнерским взаимоотношениям и взаимообусловленному межотраслевому сотрудничеству</w:t>
            </w:r>
          </w:p>
        </w:tc>
      </w:tr>
      <w:tr>
        <w:tc>
          <w:tcPr>
            <w:tcW w:w="454" w:type="dxa"/>
            <w:vAlign w:val="center"/>
          </w:tcPr>
          <w:p>
            <w:pPr>
              <w:pStyle w:val="0"/>
              <w:jc w:val="center"/>
            </w:pPr>
            <w:r>
              <w:rPr>
                <w:sz w:val="20"/>
              </w:rPr>
              <w:t xml:space="preserve">5</w:t>
            </w:r>
          </w:p>
        </w:tc>
        <w:tc>
          <w:tcPr>
            <w:tcW w:w="4989" w:type="dxa"/>
            <w:vAlign w:val="center"/>
          </w:tcPr>
          <w:p>
            <w:pPr>
              <w:pStyle w:val="0"/>
            </w:pPr>
            <w:r>
              <w:rPr>
                <w:sz w:val="20"/>
              </w:rPr>
              <w:t xml:space="preserve">Наличие социально ответственных предприятий</w:t>
            </w:r>
          </w:p>
        </w:tc>
        <w:tc>
          <w:tcPr>
            <w:tcW w:w="454" w:type="dxa"/>
            <w:vAlign w:val="center"/>
          </w:tcPr>
          <w:p>
            <w:pPr>
              <w:pStyle w:val="0"/>
              <w:jc w:val="center"/>
            </w:pPr>
            <w:r>
              <w:rPr>
                <w:sz w:val="20"/>
              </w:rPr>
              <w:t xml:space="preserve">5</w:t>
            </w:r>
          </w:p>
        </w:tc>
        <w:tc>
          <w:tcPr>
            <w:tcW w:w="4819" w:type="dxa"/>
            <w:vAlign w:val="center"/>
          </w:tcPr>
          <w:p>
            <w:pPr>
              <w:pStyle w:val="0"/>
            </w:pPr>
            <w:r>
              <w:rPr>
                <w:sz w:val="20"/>
              </w:rPr>
              <w:t xml:space="preserve">Ожидаемая продолжительность жизни при рождении ниже среднероссийского уровня и существенно ниже уровня развитых экономик</w:t>
            </w:r>
          </w:p>
        </w:tc>
      </w:tr>
      <w:tr>
        <w:tc>
          <w:tcPr>
            <w:tcW w:w="454" w:type="dxa"/>
            <w:vAlign w:val="center"/>
          </w:tcPr>
          <w:p>
            <w:pPr>
              <w:pStyle w:val="0"/>
              <w:jc w:val="center"/>
            </w:pPr>
            <w:r>
              <w:rPr>
                <w:sz w:val="20"/>
              </w:rPr>
              <w:t xml:space="preserve">6</w:t>
            </w:r>
          </w:p>
        </w:tc>
        <w:tc>
          <w:tcPr>
            <w:tcW w:w="4989" w:type="dxa"/>
            <w:vAlign w:val="center"/>
          </w:tcPr>
          <w:p>
            <w:pPr>
              <w:pStyle w:val="0"/>
            </w:pPr>
            <w:r>
              <w:rPr>
                <w:sz w:val="20"/>
              </w:rPr>
              <w:t xml:space="preserve">Наличие образовательного и научного потенциала. Развитие информационно-образовательной среды</w:t>
            </w:r>
          </w:p>
        </w:tc>
        <w:tc>
          <w:tcPr>
            <w:tcW w:w="454" w:type="dxa"/>
            <w:vAlign w:val="center"/>
          </w:tcPr>
          <w:p>
            <w:pPr>
              <w:pStyle w:val="0"/>
              <w:jc w:val="center"/>
            </w:pPr>
            <w:r>
              <w:rPr>
                <w:sz w:val="20"/>
              </w:rPr>
              <w:t xml:space="preserve">6</w:t>
            </w:r>
          </w:p>
        </w:tc>
        <w:tc>
          <w:tcPr>
            <w:tcW w:w="4819" w:type="dxa"/>
            <w:vAlign w:val="center"/>
          </w:tcPr>
          <w:p>
            <w:pPr>
              <w:pStyle w:val="0"/>
            </w:pPr>
            <w:r>
              <w:rPr>
                <w:sz w:val="20"/>
              </w:rPr>
              <w:t xml:space="preserve">Недостаточность развития креативной среды, творческих индустрий</w:t>
            </w:r>
          </w:p>
        </w:tc>
      </w:tr>
      <w:tr>
        <w:tc>
          <w:tcPr>
            <w:tcW w:w="454" w:type="dxa"/>
            <w:vAlign w:val="center"/>
          </w:tcPr>
          <w:p>
            <w:pPr>
              <w:pStyle w:val="0"/>
              <w:jc w:val="center"/>
            </w:pPr>
            <w:r>
              <w:rPr>
                <w:sz w:val="20"/>
              </w:rPr>
              <w:t xml:space="preserve">7</w:t>
            </w:r>
          </w:p>
        </w:tc>
        <w:tc>
          <w:tcPr>
            <w:tcW w:w="4989" w:type="dxa"/>
            <w:vAlign w:val="center"/>
          </w:tcPr>
          <w:p>
            <w:pPr>
              <w:pStyle w:val="0"/>
            </w:pPr>
            <w:r>
              <w:rPr>
                <w:sz w:val="20"/>
              </w:rPr>
              <w:t xml:space="preserve">Ориентированность системы профессионального образования на потребности экономики</w:t>
            </w:r>
          </w:p>
        </w:tc>
        <w:tc>
          <w:tcPr>
            <w:tcW w:w="454" w:type="dxa"/>
            <w:vAlign w:val="center"/>
          </w:tcPr>
          <w:p>
            <w:pPr>
              <w:pStyle w:val="0"/>
              <w:jc w:val="center"/>
            </w:pPr>
            <w:r>
              <w:rPr>
                <w:sz w:val="20"/>
              </w:rPr>
              <w:t xml:space="preserve">7</w:t>
            </w:r>
          </w:p>
        </w:tc>
        <w:tc>
          <w:tcPr>
            <w:tcW w:w="4819" w:type="dxa"/>
            <w:vAlign w:val="center"/>
          </w:tcPr>
          <w:p>
            <w:pPr>
              <w:pStyle w:val="0"/>
            </w:pPr>
            <w:r>
              <w:rPr>
                <w:sz w:val="20"/>
              </w:rPr>
              <w:t xml:space="preserve">Высокий износ основных фондов в отдельных отраслях социальной сферы</w:t>
            </w:r>
          </w:p>
        </w:tc>
      </w:tr>
      <w:tr>
        <w:tc>
          <w:tcPr>
            <w:tcW w:w="454" w:type="dxa"/>
            <w:vAlign w:val="center"/>
          </w:tcPr>
          <w:p>
            <w:pPr>
              <w:pStyle w:val="0"/>
              <w:jc w:val="center"/>
            </w:pPr>
            <w:r>
              <w:rPr>
                <w:sz w:val="20"/>
              </w:rPr>
              <w:t xml:space="preserve">8</w:t>
            </w:r>
          </w:p>
        </w:tc>
        <w:tc>
          <w:tcPr>
            <w:tcW w:w="4989" w:type="dxa"/>
            <w:vAlign w:val="center"/>
          </w:tcPr>
          <w:p>
            <w:pPr>
              <w:pStyle w:val="0"/>
            </w:pPr>
            <w:r>
              <w:rPr>
                <w:sz w:val="20"/>
              </w:rPr>
              <w:t xml:space="preserve">Развитая система оказания высокотехнологичных видов медицинской помощи</w:t>
            </w:r>
          </w:p>
        </w:tc>
        <w:tc>
          <w:tcPr>
            <w:tcW w:w="454" w:type="dxa"/>
            <w:vAlign w:val="center"/>
          </w:tcPr>
          <w:p>
            <w:pPr>
              <w:pStyle w:val="0"/>
            </w:pPr>
            <w:r>
              <w:rPr>
                <w:sz w:val="20"/>
              </w:rPr>
            </w:r>
          </w:p>
        </w:tc>
        <w:tc>
          <w:tcPr>
            <w:tcW w:w="4819" w:type="dxa"/>
            <w:vAlign w:val="center"/>
          </w:tcPr>
          <w:p>
            <w:pPr>
              <w:pStyle w:val="0"/>
            </w:pPr>
            <w:r>
              <w:rPr>
                <w:sz w:val="20"/>
              </w:rPr>
            </w:r>
          </w:p>
        </w:tc>
      </w:tr>
      <w:tr>
        <w:tc>
          <w:tcPr>
            <w:tcW w:w="454" w:type="dxa"/>
            <w:vAlign w:val="center"/>
          </w:tcPr>
          <w:p>
            <w:pPr>
              <w:pStyle w:val="0"/>
              <w:jc w:val="center"/>
            </w:pPr>
            <w:r>
              <w:rPr>
                <w:sz w:val="20"/>
              </w:rPr>
              <w:t xml:space="preserve">9</w:t>
            </w:r>
          </w:p>
        </w:tc>
        <w:tc>
          <w:tcPr>
            <w:tcW w:w="4989" w:type="dxa"/>
            <w:vAlign w:val="center"/>
          </w:tcPr>
          <w:p>
            <w:pPr>
              <w:pStyle w:val="0"/>
            </w:pPr>
            <w:r>
              <w:rPr>
                <w:sz w:val="20"/>
              </w:rPr>
              <w:t xml:space="preserve">Наличие многопрофильной сети учреждений культуры и искусства, объектов культурного наследия, памятников истории и культуры</w:t>
            </w:r>
          </w:p>
        </w:tc>
        <w:tc>
          <w:tcPr>
            <w:tcW w:w="454" w:type="dxa"/>
            <w:vAlign w:val="center"/>
          </w:tcPr>
          <w:p>
            <w:pPr>
              <w:pStyle w:val="0"/>
            </w:pPr>
            <w:r>
              <w:rPr>
                <w:sz w:val="20"/>
              </w:rPr>
            </w:r>
          </w:p>
        </w:tc>
        <w:tc>
          <w:tcPr>
            <w:tcW w:w="4819" w:type="dxa"/>
            <w:vAlign w:val="center"/>
          </w:tcPr>
          <w:p>
            <w:pPr>
              <w:pStyle w:val="0"/>
            </w:pPr>
            <w:r>
              <w:rPr>
                <w:sz w:val="20"/>
              </w:rPr>
            </w:r>
          </w:p>
        </w:tc>
      </w:tr>
      <w:tr>
        <w:tc>
          <w:tcPr>
            <w:tcW w:w="454" w:type="dxa"/>
            <w:vAlign w:val="center"/>
          </w:tcPr>
          <w:p>
            <w:pPr>
              <w:pStyle w:val="0"/>
              <w:jc w:val="center"/>
            </w:pPr>
            <w:r>
              <w:rPr>
                <w:sz w:val="20"/>
              </w:rPr>
              <w:t xml:space="preserve">10</w:t>
            </w:r>
          </w:p>
        </w:tc>
        <w:tc>
          <w:tcPr>
            <w:tcW w:w="4989" w:type="dxa"/>
            <w:vAlign w:val="center"/>
          </w:tcPr>
          <w:p>
            <w:pPr>
              <w:pStyle w:val="0"/>
            </w:pPr>
            <w:r>
              <w:rPr>
                <w:sz w:val="20"/>
              </w:rPr>
              <w:t xml:space="preserve">Наличие профессиональных и самодеятельных творческих коллективов, известных в России и за рубежом</w:t>
            </w:r>
          </w:p>
        </w:tc>
        <w:tc>
          <w:tcPr>
            <w:tcW w:w="454" w:type="dxa"/>
            <w:vAlign w:val="center"/>
          </w:tcPr>
          <w:p>
            <w:pPr>
              <w:pStyle w:val="0"/>
            </w:pPr>
            <w:r>
              <w:rPr>
                <w:sz w:val="20"/>
              </w:rPr>
            </w:r>
          </w:p>
        </w:tc>
        <w:tc>
          <w:tcPr>
            <w:tcW w:w="4819" w:type="dxa"/>
            <w:vAlign w:val="center"/>
          </w:tcPr>
          <w:p>
            <w:pPr>
              <w:pStyle w:val="0"/>
            </w:pPr>
            <w:r>
              <w:rPr>
                <w:sz w:val="20"/>
              </w:rPr>
            </w:r>
          </w:p>
        </w:tc>
      </w:tr>
      <w:tr>
        <w:tc>
          <w:tcPr>
            <w:tcW w:w="454" w:type="dxa"/>
            <w:vAlign w:val="center"/>
          </w:tcPr>
          <w:p>
            <w:pPr>
              <w:pStyle w:val="0"/>
              <w:jc w:val="center"/>
            </w:pPr>
            <w:r>
              <w:rPr>
                <w:sz w:val="20"/>
              </w:rPr>
              <w:t xml:space="preserve">11</w:t>
            </w:r>
          </w:p>
        </w:tc>
        <w:tc>
          <w:tcPr>
            <w:tcW w:w="4989" w:type="dxa"/>
            <w:vAlign w:val="center"/>
          </w:tcPr>
          <w:p>
            <w:pPr>
              <w:pStyle w:val="0"/>
            </w:pPr>
            <w:r>
              <w:rPr>
                <w:sz w:val="20"/>
              </w:rPr>
              <w:t xml:space="preserve">Наличие развитой сети социально ориентированных некоммерческих организаций и инфраструктуры для их поддержки</w:t>
            </w:r>
          </w:p>
        </w:tc>
        <w:tc>
          <w:tcPr>
            <w:tcW w:w="454" w:type="dxa"/>
            <w:vAlign w:val="center"/>
          </w:tcPr>
          <w:p>
            <w:pPr>
              <w:pStyle w:val="0"/>
            </w:pPr>
            <w:r>
              <w:rPr>
                <w:sz w:val="20"/>
              </w:rPr>
            </w:r>
          </w:p>
        </w:tc>
        <w:tc>
          <w:tcPr>
            <w:tcW w:w="4819" w:type="dxa"/>
            <w:vAlign w:val="center"/>
          </w:tcPr>
          <w:p>
            <w:pPr>
              <w:pStyle w:val="0"/>
            </w:pPr>
            <w:r>
              <w:rPr>
                <w:sz w:val="20"/>
              </w:rPr>
            </w:r>
          </w:p>
        </w:tc>
      </w:tr>
      <w:tr>
        <w:tc>
          <w:tcPr>
            <w:tcW w:w="454" w:type="dxa"/>
            <w:vAlign w:val="center"/>
          </w:tcPr>
          <w:p>
            <w:pPr>
              <w:pStyle w:val="0"/>
              <w:jc w:val="center"/>
            </w:pPr>
            <w:r>
              <w:rPr>
                <w:sz w:val="20"/>
              </w:rPr>
              <w:t xml:space="preserve">12</w:t>
            </w:r>
          </w:p>
        </w:tc>
        <w:tc>
          <w:tcPr>
            <w:tcW w:w="4989" w:type="dxa"/>
            <w:vAlign w:val="center"/>
          </w:tcPr>
          <w:p>
            <w:pPr>
              <w:pStyle w:val="0"/>
            </w:pPr>
            <w:r>
              <w:rPr>
                <w:sz w:val="20"/>
              </w:rPr>
              <w:t xml:space="preserve">Высокая гражданская активность населения</w:t>
            </w:r>
          </w:p>
        </w:tc>
        <w:tc>
          <w:tcPr>
            <w:tcW w:w="454" w:type="dxa"/>
            <w:vAlign w:val="center"/>
          </w:tcPr>
          <w:p>
            <w:pPr>
              <w:pStyle w:val="0"/>
            </w:pPr>
            <w:r>
              <w:rPr>
                <w:sz w:val="20"/>
              </w:rPr>
            </w:r>
          </w:p>
        </w:tc>
        <w:tc>
          <w:tcPr>
            <w:tcW w:w="4819" w:type="dxa"/>
            <w:vAlign w:val="center"/>
          </w:tcPr>
          <w:p>
            <w:pPr>
              <w:pStyle w:val="0"/>
            </w:pPr>
            <w:r>
              <w:rPr>
                <w:sz w:val="20"/>
              </w:rPr>
            </w:r>
          </w:p>
        </w:tc>
      </w:tr>
      <w:tr>
        <w:tc>
          <w:tcPr>
            <w:gridSpan w:val="2"/>
            <w:tcW w:w="5443" w:type="dxa"/>
            <w:vAlign w:val="center"/>
          </w:tcPr>
          <w:p>
            <w:pPr>
              <w:pStyle w:val="0"/>
              <w:jc w:val="center"/>
            </w:pPr>
            <w:r>
              <w:rPr>
                <w:sz w:val="20"/>
              </w:rPr>
              <w:t xml:space="preserve">Возможности</w:t>
            </w:r>
          </w:p>
        </w:tc>
        <w:tc>
          <w:tcPr>
            <w:gridSpan w:val="2"/>
            <w:tcW w:w="5273" w:type="dxa"/>
            <w:vAlign w:val="center"/>
          </w:tcPr>
          <w:p>
            <w:pPr>
              <w:pStyle w:val="0"/>
              <w:jc w:val="center"/>
            </w:pPr>
            <w:r>
              <w:rPr>
                <w:sz w:val="20"/>
              </w:rPr>
              <w:t xml:space="preserve">Угрозы</w:t>
            </w:r>
          </w:p>
        </w:tc>
      </w:tr>
      <w:tr>
        <w:tc>
          <w:tcPr>
            <w:tcW w:w="454" w:type="dxa"/>
            <w:vAlign w:val="center"/>
          </w:tcPr>
          <w:p>
            <w:pPr>
              <w:pStyle w:val="0"/>
              <w:jc w:val="center"/>
            </w:pPr>
            <w:r>
              <w:rPr>
                <w:sz w:val="20"/>
              </w:rPr>
              <w:t xml:space="preserve">1</w:t>
            </w:r>
          </w:p>
        </w:tc>
        <w:tc>
          <w:tcPr>
            <w:tcW w:w="4989" w:type="dxa"/>
            <w:vAlign w:val="center"/>
          </w:tcPr>
          <w:p>
            <w:pPr>
              <w:pStyle w:val="0"/>
            </w:pPr>
            <w:r>
              <w:rPr>
                <w:sz w:val="20"/>
              </w:rPr>
              <w:t xml:space="preserve">Возможности совершенствования системы обеспечения населения доступным жильем, повышения качества предоставления жилищно-коммунальных услуг</w:t>
            </w:r>
          </w:p>
        </w:tc>
        <w:tc>
          <w:tcPr>
            <w:tcW w:w="454" w:type="dxa"/>
            <w:vAlign w:val="center"/>
          </w:tcPr>
          <w:p>
            <w:pPr>
              <w:pStyle w:val="0"/>
              <w:jc w:val="center"/>
            </w:pPr>
            <w:r>
              <w:rPr>
                <w:sz w:val="20"/>
              </w:rPr>
              <w:t xml:space="preserve">1</w:t>
            </w:r>
          </w:p>
        </w:tc>
        <w:tc>
          <w:tcPr>
            <w:tcW w:w="4819" w:type="dxa"/>
            <w:vAlign w:val="center"/>
          </w:tcPr>
          <w:p>
            <w:pPr>
              <w:pStyle w:val="0"/>
            </w:pPr>
            <w:r>
              <w:rPr>
                <w:sz w:val="20"/>
              </w:rPr>
              <w:t xml:space="preserve">Ухудшение демографического профиля региона в связи с увеличением доли старших возрастных групп и ростом числа иждивенцев по соотношению к численности трудоспособного населения</w:t>
            </w:r>
          </w:p>
        </w:tc>
      </w:tr>
      <w:tr>
        <w:tc>
          <w:tcPr>
            <w:tcW w:w="454" w:type="dxa"/>
            <w:vAlign w:val="center"/>
          </w:tcPr>
          <w:p>
            <w:pPr>
              <w:pStyle w:val="0"/>
              <w:jc w:val="center"/>
            </w:pPr>
            <w:r>
              <w:rPr>
                <w:sz w:val="20"/>
              </w:rPr>
              <w:t xml:space="preserve">2</w:t>
            </w:r>
          </w:p>
        </w:tc>
        <w:tc>
          <w:tcPr>
            <w:tcW w:w="4989" w:type="dxa"/>
            <w:vAlign w:val="center"/>
          </w:tcPr>
          <w:p>
            <w:pPr>
              <w:pStyle w:val="0"/>
            </w:pPr>
            <w:r>
              <w:rPr>
                <w:sz w:val="20"/>
              </w:rPr>
              <w:t xml:space="preserve">Возможности развития системы дошкольного, начального и среднего, в том числе инклюзивного, общего образования, соответствующей демографической ситуации на территории</w:t>
            </w:r>
          </w:p>
        </w:tc>
        <w:tc>
          <w:tcPr>
            <w:tcW w:w="454" w:type="dxa"/>
            <w:vAlign w:val="center"/>
          </w:tcPr>
          <w:p>
            <w:pPr>
              <w:pStyle w:val="0"/>
              <w:jc w:val="center"/>
            </w:pPr>
            <w:r>
              <w:rPr>
                <w:sz w:val="20"/>
              </w:rPr>
              <w:t xml:space="preserve">2</w:t>
            </w:r>
          </w:p>
        </w:tc>
        <w:tc>
          <w:tcPr>
            <w:tcW w:w="4819" w:type="dxa"/>
            <w:vAlign w:val="center"/>
          </w:tcPr>
          <w:p>
            <w:pPr>
              <w:pStyle w:val="0"/>
            </w:pPr>
            <w:r>
              <w:rPr>
                <w:sz w:val="20"/>
              </w:rPr>
              <w:t xml:space="preserve">Увеличение дифференциации доходов населения</w:t>
            </w:r>
          </w:p>
        </w:tc>
      </w:tr>
      <w:tr>
        <w:tc>
          <w:tcPr>
            <w:tcW w:w="454" w:type="dxa"/>
            <w:vAlign w:val="center"/>
          </w:tcPr>
          <w:p>
            <w:pPr>
              <w:pStyle w:val="0"/>
              <w:jc w:val="center"/>
            </w:pPr>
            <w:r>
              <w:rPr>
                <w:sz w:val="20"/>
              </w:rPr>
              <w:t xml:space="preserve">3</w:t>
            </w:r>
          </w:p>
        </w:tc>
        <w:tc>
          <w:tcPr>
            <w:tcW w:w="4989" w:type="dxa"/>
            <w:vAlign w:val="center"/>
          </w:tcPr>
          <w:p>
            <w:pPr>
              <w:pStyle w:val="0"/>
            </w:pPr>
            <w:r>
              <w:rPr>
                <w:sz w:val="20"/>
              </w:rPr>
              <w:t xml:space="preserve">Модернизация и обеспечение инновационного развития сети организаций культуры и искусства, создание системы развития творческого ресурса отрасли</w:t>
            </w:r>
          </w:p>
        </w:tc>
        <w:tc>
          <w:tcPr>
            <w:tcW w:w="454" w:type="dxa"/>
            <w:vAlign w:val="center"/>
          </w:tcPr>
          <w:p>
            <w:pPr>
              <w:pStyle w:val="0"/>
              <w:jc w:val="center"/>
            </w:pPr>
            <w:r>
              <w:rPr>
                <w:sz w:val="20"/>
              </w:rPr>
              <w:t xml:space="preserve">3</w:t>
            </w:r>
          </w:p>
        </w:tc>
        <w:tc>
          <w:tcPr>
            <w:tcW w:w="4819" w:type="dxa"/>
            <w:vAlign w:val="center"/>
          </w:tcPr>
          <w:p>
            <w:pPr>
              <w:pStyle w:val="0"/>
            </w:pPr>
            <w:r>
              <w:rPr>
                <w:sz w:val="20"/>
              </w:rPr>
              <w:t xml:space="preserve">Невысокий рост реальных доходов населения</w:t>
            </w:r>
          </w:p>
        </w:tc>
      </w:tr>
      <w:tr>
        <w:tc>
          <w:tcPr>
            <w:tcW w:w="454" w:type="dxa"/>
            <w:vAlign w:val="center"/>
          </w:tcPr>
          <w:p>
            <w:pPr>
              <w:pStyle w:val="0"/>
              <w:jc w:val="center"/>
            </w:pPr>
            <w:r>
              <w:rPr>
                <w:sz w:val="20"/>
              </w:rPr>
              <w:t xml:space="preserve">4</w:t>
            </w:r>
          </w:p>
        </w:tc>
        <w:tc>
          <w:tcPr>
            <w:tcW w:w="4989" w:type="dxa"/>
            <w:vAlign w:val="center"/>
          </w:tcPr>
          <w:p>
            <w:pPr>
              <w:pStyle w:val="0"/>
            </w:pPr>
            <w:r>
              <w:rPr>
                <w:sz w:val="20"/>
              </w:rPr>
              <w:t xml:space="preserve">Формирование новой технологической основы для развития социальной сферы, в том числе за счет привлечения негосударственного сектора</w:t>
            </w:r>
          </w:p>
        </w:tc>
        <w:tc>
          <w:tcPr>
            <w:tcW w:w="454" w:type="dxa"/>
            <w:vAlign w:val="center"/>
          </w:tcPr>
          <w:p>
            <w:pPr>
              <w:pStyle w:val="0"/>
              <w:jc w:val="center"/>
            </w:pPr>
            <w:r>
              <w:rPr>
                <w:sz w:val="20"/>
              </w:rPr>
              <w:t xml:space="preserve">4</w:t>
            </w:r>
          </w:p>
        </w:tc>
        <w:tc>
          <w:tcPr>
            <w:tcW w:w="4819" w:type="dxa"/>
            <w:vAlign w:val="center"/>
          </w:tcPr>
          <w:p>
            <w:pPr>
              <w:pStyle w:val="0"/>
            </w:pPr>
            <w:r>
              <w:rPr>
                <w:sz w:val="20"/>
              </w:rPr>
              <w:t xml:space="preserve">Ухудшение внутренней и внешней конъюнктуры, снижение темпов роста экономики, доходной базы бюджета</w:t>
            </w:r>
          </w:p>
        </w:tc>
      </w:tr>
      <w:tr>
        <w:tc>
          <w:tcPr>
            <w:tcW w:w="454" w:type="dxa"/>
            <w:vAlign w:val="center"/>
          </w:tcPr>
          <w:p>
            <w:pPr>
              <w:pStyle w:val="0"/>
              <w:jc w:val="center"/>
            </w:pPr>
            <w:r>
              <w:rPr>
                <w:sz w:val="20"/>
              </w:rPr>
              <w:t xml:space="preserve">5</w:t>
            </w:r>
          </w:p>
        </w:tc>
        <w:tc>
          <w:tcPr>
            <w:tcW w:w="4989" w:type="dxa"/>
            <w:vAlign w:val="center"/>
          </w:tcPr>
          <w:p>
            <w:pPr>
              <w:pStyle w:val="0"/>
            </w:pPr>
            <w:r>
              <w:rPr>
                <w:sz w:val="20"/>
              </w:rPr>
              <w:t xml:space="preserve">Перепрофилирование работников с учетом потребности рынка труда и перспективных направлений развития экономики региона</w:t>
            </w:r>
          </w:p>
        </w:tc>
        <w:tc>
          <w:tcPr>
            <w:tcW w:w="454" w:type="dxa"/>
            <w:vAlign w:val="center"/>
          </w:tcPr>
          <w:p>
            <w:pPr>
              <w:pStyle w:val="0"/>
              <w:jc w:val="center"/>
            </w:pPr>
            <w:r>
              <w:rPr>
                <w:sz w:val="20"/>
              </w:rPr>
              <w:t xml:space="preserve">5</w:t>
            </w:r>
          </w:p>
        </w:tc>
        <w:tc>
          <w:tcPr>
            <w:tcW w:w="4819" w:type="dxa"/>
            <w:vAlign w:val="center"/>
          </w:tcPr>
          <w:p>
            <w:pPr>
              <w:pStyle w:val="0"/>
            </w:pPr>
            <w:r>
              <w:rPr>
                <w:sz w:val="20"/>
              </w:rPr>
              <w:t xml:space="preserve">Внутрирегиональные диспропорции в обеспечении населения отдельными видами услуг отраслей социальной сферы</w:t>
            </w:r>
          </w:p>
        </w:tc>
      </w:tr>
      <w:tr>
        <w:tc>
          <w:tcPr>
            <w:tcW w:w="454" w:type="dxa"/>
            <w:vAlign w:val="center"/>
          </w:tcPr>
          <w:p>
            <w:pPr>
              <w:pStyle w:val="0"/>
              <w:jc w:val="center"/>
            </w:pPr>
            <w:r>
              <w:rPr>
                <w:sz w:val="20"/>
              </w:rPr>
              <w:t xml:space="preserve">6</w:t>
            </w:r>
          </w:p>
        </w:tc>
        <w:tc>
          <w:tcPr>
            <w:tcW w:w="4989" w:type="dxa"/>
            <w:vAlign w:val="center"/>
          </w:tcPr>
          <w:p>
            <w:pPr>
              <w:pStyle w:val="0"/>
            </w:pPr>
            <w:r>
              <w:rPr>
                <w:sz w:val="20"/>
              </w:rPr>
              <w:t xml:space="preserve">Возможности существенного увеличения объемов предоставления медицинских услуг (в том числе высокотехнологичных) как жителям области, так и других регионов, вследствие роста спроса на данные услуги в результате изменения возрастной структуры населения и повышения благосостояния</w:t>
            </w:r>
          </w:p>
        </w:tc>
        <w:tc>
          <w:tcPr>
            <w:tcW w:w="454" w:type="dxa"/>
            <w:vAlign w:val="center"/>
          </w:tcPr>
          <w:p>
            <w:pPr>
              <w:pStyle w:val="0"/>
              <w:jc w:val="center"/>
            </w:pPr>
            <w:r>
              <w:rPr>
                <w:sz w:val="20"/>
              </w:rPr>
              <w:t xml:space="preserve">6</w:t>
            </w:r>
          </w:p>
        </w:tc>
        <w:tc>
          <w:tcPr>
            <w:tcW w:w="4819" w:type="dxa"/>
            <w:vAlign w:val="center"/>
          </w:tcPr>
          <w:p>
            <w:pPr>
              <w:pStyle w:val="0"/>
            </w:pPr>
            <w:r>
              <w:rPr>
                <w:sz w:val="20"/>
              </w:rPr>
              <w:t xml:space="preserve">Отток населения из сельской местности</w:t>
            </w:r>
          </w:p>
        </w:tc>
      </w:tr>
      <w:tr>
        <w:tc>
          <w:tcPr>
            <w:tcW w:w="454" w:type="dxa"/>
            <w:vAlign w:val="center"/>
          </w:tcPr>
          <w:p>
            <w:pPr>
              <w:pStyle w:val="0"/>
              <w:jc w:val="center"/>
            </w:pPr>
            <w:r>
              <w:rPr>
                <w:sz w:val="20"/>
              </w:rPr>
              <w:t xml:space="preserve">7</w:t>
            </w:r>
          </w:p>
        </w:tc>
        <w:tc>
          <w:tcPr>
            <w:tcW w:w="4989" w:type="dxa"/>
            <w:vAlign w:val="center"/>
          </w:tcPr>
          <w:p>
            <w:pPr>
              <w:pStyle w:val="0"/>
            </w:pPr>
            <w:r>
              <w:rPr>
                <w:sz w:val="20"/>
              </w:rPr>
              <w:t xml:space="preserve">Потенциал увеличения продолжительности жизни населения</w:t>
            </w:r>
          </w:p>
        </w:tc>
        <w:tc>
          <w:tcPr>
            <w:tcW w:w="454" w:type="dxa"/>
            <w:vAlign w:val="center"/>
          </w:tcPr>
          <w:p>
            <w:pPr>
              <w:pStyle w:val="0"/>
              <w:jc w:val="center"/>
            </w:pPr>
            <w:r>
              <w:rPr>
                <w:sz w:val="20"/>
              </w:rPr>
              <w:t xml:space="preserve">7</w:t>
            </w:r>
          </w:p>
        </w:tc>
        <w:tc>
          <w:tcPr>
            <w:tcW w:w="4819" w:type="dxa"/>
            <w:vAlign w:val="center"/>
          </w:tcPr>
          <w:p>
            <w:pPr>
              <w:pStyle w:val="0"/>
            </w:pPr>
            <w:r>
              <w:rPr>
                <w:sz w:val="20"/>
              </w:rPr>
              <w:t xml:space="preserve">Трансграничный перенос загрязняющих веществ с соседних регионов</w:t>
            </w:r>
          </w:p>
        </w:tc>
      </w:tr>
      <w:tr>
        <w:tc>
          <w:tcPr>
            <w:tcW w:w="454" w:type="dxa"/>
            <w:vAlign w:val="center"/>
          </w:tcPr>
          <w:p>
            <w:pPr>
              <w:pStyle w:val="0"/>
            </w:pPr>
            <w:r>
              <w:rPr>
                <w:sz w:val="20"/>
              </w:rPr>
            </w:r>
          </w:p>
        </w:tc>
        <w:tc>
          <w:tcPr>
            <w:tcW w:w="4989" w:type="dxa"/>
            <w:vAlign w:val="center"/>
          </w:tcPr>
          <w:p>
            <w:pPr>
              <w:pStyle w:val="0"/>
            </w:pPr>
            <w:r>
              <w:rPr>
                <w:sz w:val="20"/>
              </w:rPr>
            </w:r>
          </w:p>
        </w:tc>
        <w:tc>
          <w:tcPr>
            <w:tcW w:w="454" w:type="dxa"/>
            <w:vAlign w:val="center"/>
          </w:tcPr>
          <w:p>
            <w:pPr>
              <w:pStyle w:val="0"/>
              <w:jc w:val="center"/>
            </w:pPr>
            <w:r>
              <w:rPr>
                <w:sz w:val="20"/>
              </w:rPr>
              <w:t xml:space="preserve">8</w:t>
            </w:r>
          </w:p>
        </w:tc>
        <w:tc>
          <w:tcPr>
            <w:tcW w:w="4819" w:type="dxa"/>
            <w:vAlign w:val="center"/>
          </w:tcPr>
          <w:p>
            <w:pPr>
              <w:pStyle w:val="0"/>
            </w:pPr>
            <w:r>
              <w:rPr>
                <w:sz w:val="20"/>
              </w:rPr>
              <w:t xml:space="preserve">Деструктивная гражданская активность, активность ради пиара</w:t>
            </w:r>
          </w:p>
        </w:tc>
      </w:tr>
    </w:tbl>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Анализ сильных и слабых сторон, составляющих совокупность факторов социально-экономического развития Тюменской области, свидетельствует о существенных конкурентных преимуществах региона, заключающихся в наличии значительного стратегического потенциала как в развитии экономики, так и в социальной сфере. Это выражается, в первую очередь, в наличии необходимого объема различных видов ресурсов, высоком уровне развития производительных сил и социальной сферы, выгодном географическом положении региона.</w:t>
      </w:r>
    </w:p>
    <w:p>
      <w:pPr>
        <w:pStyle w:val="0"/>
        <w:spacing w:before="200" w:line-rule="auto"/>
        <w:ind w:firstLine="540"/>
        <w:jc w:val="both"/>
      </w:pPr>
      <w:r>
        <w:rPr>
          <w:sz w:val="20"/>
        </w:rPr>
        <w:t xml:space="preserve">Слабые стороны состояния экономики и социальной сферы региона заключаются, главным образом, в неудовлетворительном состоянии основных производственных фондов в производственной сфере и жилищно-коммунальном хозяйстве, ограничении финансовых возможностей по заимствованию капитала предприятий, низком уровне внедрения инновационно-технологических разработок, высокой зависимости ряда отраслей от заказов предприятий нефтегазового сектора.</w:t>
      </w:r>
    </w:p>
    <w:p>
      <w:pPr>
        <w:pStyle w:val="0"/>
        <w:spacing w:before="200" w:line-rule="auto"/>
        <w:ind w:firstLine="540"/>
        <w:jc w:val="both"/>
      </w:pPr>
      <w:r>
        <w:rPr>
          <w:sz w:val="20"/>
        </w:rPr>
        <w:t xml:space="preserve">Наличие благоприятного инвестиционного климата, возможностей и перспектив инновационного пути развития, внедрения инновационных технологий, предполагающих повышение производительности труда и сокращение удельных затрат, являются возможностями преодоления слабых сторон.</w:t>
      </w:r>
    </w:p>
    <w:p>
      <w:pPr>
        <w:pStyle w:val="0"/>
        <w:spacing w:before="200" w:line-rule="auto"/>
        <w:ind w:firstLine="540"/>
        <w:jc w:val="both"/>
      </w:pPr>
      <w:r>
        <w:rPr>
          <w:sz w:val="20"/>
        </w:rPr>
        <w:t xml:space="preserve">Угрозы связаны, главным образом, с возможным обострением геополитической ситуации и ограничением доступа к заемному финансированию и привлечению зарубежных технологий, что в сочетании со слабыми сторонами развития области создает риски для развития экономики и социальной сферы. Преодоление указанных рисков предполагается в том числе за счет использования сильных сторон, включающих устойчивый экономический рост на протяжении последних лет; значительные объемы собственных доходов регионального бюджета, низкий уровень государственного долга, позволяющие осуществлять устойчивую региональную политику.</w:t>
      </w:r>
    </w:p>
    <w:p>
      <w:pPr>
        <w:pStyle w:val="0"/>
        <w:spacing w:before="200" w:line-rule="auto"/>
        <w:ind w:firstLine="540"/>
        <w:jc w:val="both"/>
      </w:pPr>
      <w:r>
        <w:rPr>
          <w:sz w:val="20"/>
        </w:rPr>
        <w:t xml:space="preserve">Выстраивание системы стратегического целеполагания базируется на основе проведенного анализа и определяет стратегическое видение развития Тюменской области.</w:t>
      </w:r>
    </w:p>
    <w:p>
      <w:pPr>
        <w:pStyle w:val="0"/>
        <w:spacing w:before="200" w:line-rule="auto"/>
        <w:ind w:firstLine="540"/>
        <w:jc w:val="both"/>
      </w:pPr>
      <w:r>
        <w:rPr>
          <w:sz w:val="20"/>
        </w:rPr>
        <w:t xml:space="preserve">Эффективная государственная политика и реализация комплекса мероприятий, базирующихся на активизации сильных сторон, позволит успешно использовать возможности и преодолеть слабые стороны социально-экономического развития Тюменской области.</w:t>
      </w:r>
    </w:p>
    <w:p>
      <w:pPr>
        <w:pStyle w:val="0"/>
        <w:spacing w:before="200" w:line-rule="auto"/>
        <w:ind w:firstLine="540"/>
        <w:jc w:val="both"/>
      </w:pPr>
      <w:r>
        <w:rPr>
          <w:sz w:val="20"/>
        </w:rPr>
        <w:t xml:space="preserve">Выбор приоритетов, целей, задач и направлений развития Тюменской области определяется интересами и ресурсами субъектов стратегического развития (население, хозяйствующие субъекты, органы управления), которые влияют на ее социально-экономическое развитие. Достижение баланса интересов субъектов стратегического развития способствует эффективному развитию Тюменской области. Типологизация и определение интересов субъектов стратегического развития Тюменской области представлены в </w:t>
      </w:r>
      <w:hyperlink w:history="0" w:anchor="P3271" w:tooltip="Таблица - Типологизация и определение интересов субъектов">
        <w:r>
          <w:rPr>
            <w:sz w:val="20"/>
            <w:color w:val="0000ff"/>
          </w:rPr>
          <w:t xml:space="preserve">приложении 2</w:t>
        </w:r>
      </w:hyperlink>
      <w:r>
        <w:rPr>
          <w:sz w:val="20"/>
        </w:rPr>
        <w:t xml:space="preserve">.</w:t>
      </w:r>
    </w:p>
    <w:p>
      <w:pPr>
        <w:pStyle w:val="0"/>
        <w:jc w:val="both"/>
      </w:pPr>
      <w:r>
        <w:rPr>
          <w:sz w:val="20"/>
        </w:rPr>
      </w:r>
    </w:p>
    <w:p>
      <w:pPr>
        <w:pStyle w:val="2"/>
        <w:outlineLvl w:val="1"/>
        <w:jc w:val="center"/>
      </w:pPr>
      <w:r>
        <w:rPr>
          <w:sz w:val="20"/>
        </w:rPr>
        <w:t xml:space="preserve">2. Сценарии развития Тюменской области</w:t>
      </w:r>
    </w:p>
    <w:p>
      <w:pPr>
        <w:pStyle w:val="0"/>
        <w:jc w:val="both"/>
      </w:pPr>
      <w:r>
        <w:rPr>
          <w:sz w:val="20"/>
        </w:rPr>
      </w:r>
    </w:p>
    <w:p>
      <w:pPr>
        <w:pStyle w:val="0"/>
        <w:ind w:firstLine="540"/>
        <w:jc w:val="both"/>
      </w:pPr>
      <w:r>
        <w:rPr>
          <w:sz w:val="20"/>
        </w:rPr>
        <w:t xml:space="preserve">Стратегия предполагает возможность реализации по двум сценариям в зависимости от сочетания внутренних и внешних условий.</w:t>
      </w:r>
    </w:p>
    <w:p>
      <w:pPr>
        <w:pStyle w:val="0"/>
        <w:spacing w:before="200" w:line-rule="auto"/>
        <w:ind w:firstLine="540"/>
        <w:jc w:val="both"/>
      </w:pPr>
      <w:r>
        <w:rPr>
          <w:sz w:val="20"/>
        </w:rPr>
        <w:t xml:space="preserve">Тенденции развития национальной экономики и внешнеэкономические условия определяют параметры внешней среды. Внутренние факторы связаны с особенностями экономического развития области и спецификой стоящих перед областью целей и задач.</w:t>
      </w:r>
    </w:p>
    <w:p>
      <w:pPr>
        <w:pStyle w:val="0"/>
        <w:spacing w:before="200" w:line-rule="auto"/>
        <w:ind w:firstLine="540"/>
        <w:jc w:val="both"/>
      </w:pPr>
      <w:r>
        <w:rPr>
          <w:sz w:val="20"/>
        </w:rPr>
        <w:t xml:space="preserve">При формировании сценариев учтены тенденции социально-экономического развития области, в том числе демографического и научно-технического развития, состояния окружающей среды и природных ресурсов; прогнозы социально-экономического развития Российской Федерации и Тюменской области на среднесрочный и долгосрочный периоды.</w:t>
      </w:r>
    </w:p>
    <w:p>
      <w:pPr>
        <w:pStyle w:val="2"/>
        <w:spacing w:before="200" w:line-rule="auto"/>
        <w:outlineLvl w:val="2"/>
        <w:ind w:firstLine="540"/>
        <w:jc w:val="both"/>
      </w:pPr>
      <w:r>
        <w:rPr>
          <w:sz w:val="20"/>
        </w:rPr>
        <w:t xml:space="preserve">Консервативный сценарий</w:t>
      </w:r>
    </w:p>
    <w:p>
      <w:pPr>
        <w:pStyle w:val="0"/>
        <w:spacing w:before="200" w:line-rule="auto"/>
        <w:ind w:firstLine="540"/>
        <w:jc w:val="both"/>
      </w:pPr>
      <w:r>
        <w:rPr>
          <w:sz w:val="20"/>
        </w:rPr>
        <w:t xml:space="preserve">Реализация консервативного сценария для Тюменской области предполагает умеренные темпы роста экономики за счет дальнейшего развития его современной специализации и традиционных секторов без их существенной структурной перестройки, в том числе из-за невысокого инвестиционного спроса.</w:t>
      </w:r>
    </w:p>
    <w:p>
      <w:pPr>
        <w:pStyle w:val="0"/>
        <w:spacing w:before="200" w:line-rule="auto"/>
        <w:ind w:firstLine="540"/>
        <w:jc w:val="both"/>
      </w:pPr>
      <w:r>
        <w:rPr>
          <w:sz w:val="20"/>
        </w:rPr>
        <w:t xml:space="preserve">Индустриальный потенциал Тюменской области будет реализован за счет модернизации и развития нефтедобычи и нефтегазохимической промышленности, машиностроения, пищевой промышленности. Новые крупные инвестиционные проекты в промышленности, реализация которых начнется в период реализации Стратегии, будут единичны и иметь значительно меньшие масштабы, чем проекты, запущенные в реализацию в период 2007 - 2018 годов, а темпы модернизации существующих основных фондов будут близки к сложившимся в кризисный период 2014 - 2015 годов. Значимый рост инвестиций к 2030 году по сравнению с 2018 годом предполагается лишь в отраслях транспорта и связи, а также в ряде отраслей обрабатывающего сектора.</w:t>
      </w:r>
    </w:p>
    <w:p>
      <w:pPr>
        <w:pStyle w:val="0"/>
        <w:spacing w:before="200" w:line-rule="auto"/>
        <w:ind w:firstLine="540"/>
        <w:jc w:val="both"/>
      </w:pPr>
      <w:r>
        <w:rPr>
          <w:sz w:val="20"/>
        </w:rPr>
        <w:t xml:space="preserve">Неблагоприятное развитие внешних условий, касающихся Российской Федерации, усилит негативное влияние на экономическую динамику Тюменской области, обуславливая невысокие внешние стимулы для роста и нарастание уровня износа основных производственных фондов.</w:t>
      </w:r>
    </w:p>
    <w:p>
      <w:pPr>
        <w:pStyle w:val="0"/>
        <w:spacing w:before="200" w:line-rule="auto"/>
        <w:ind w:firstLine="540"/>
        <w:jc w:val="both"/>
      </w:pPr>
      <w:r>
        <w:rPr>
          <w:sz w:val="20"/>
        </w:rPr>
        <w:t xml:space="preserve">Тенденции в экономической сфере будут определять сохранение структуры и преобладание традиционных товаров экспорта и импорта при незначительном увеличении числа участников внешнеэкономической деятельности, а также невысокий уровень их инвестиционной активности.</w:t>
      </w:r>
    </w:p>
    <w:p>
      <w:pPr>
        <w:pStyle w:val="0"/>
        <w:spacing w:before="200" w:line-rule="auto"/>
        <w:ind w:firstLine="540"/>
        <w:jc w:val="both"/>
      </w:pPr>
      <w:r>
        <w:rPr>
          <w:sz w:val="20"/>
        </w:rPr>
        <w:t xml:space="preserve">Консервативный сценарий предусматривает более низкие темпы роста доходов населения, что обусловит более низкие темпы роста потребительского спроса.</w:t>
      </w:r>
    </w:p>
    <w:p>
      <w:pPr>
        <w:pStyle w:val="2"/>
        <w:spacing w:before="200" w:line-rule="auto"/>
        <w:outlineLvl w:val="2"/>
        <w:ind w:firstLine="540"/>
        <w:jc w:val="both"/>
      </w:pPr>
      <w:r>
        <w:rPr>
          <w:sz w:val="20"/>
        </w:rPr>
        <w:t xml:space="preserve">Базовый сценарий</w:t>
      </w:r>
    </w:p>
    <w:p>
      <w:pPr>
        <w:pStyle w:val="0"/>
        <w:spacing w:before="200" w:line-rule="auto"/>
        <w:ind w:firstLine="540"/>
        <w:jc w:val="both"/>
      </w:pPr>
      <w:r>
        <w:rPr>
          <w:sz w:val="20"/>
        </w:rPr>
        <w:t xml:space="preserve">Перспективы экономического развития и роста ВРП по базовому сценарию обеспечиваются:</w:t>
      </w:r>
    </w:p>
    <w:p>
      <w:pPr>
        <w:pStyle w:val="0"/>
        <w:spacing w:before="200" w:line-rule="auto"/>
        <w:ind w:firstLine="540"/>
        <w:jc w:val="both"/>
      </w:pPr>
      <w:r>
        <w:rPr>
          <w:sz w:val="20"/>
        </w:rPr>
        <w:t xml:space="preserve">модернизацией традиционных отраслей промышленности;</w:t>
      </w:r>
    </w:p>
    <w:p>
      <w:pPr>
        <w:pStyle w:val="0"/>
        <w:spacing w:before="200" w:line-rule="auto"/>
        <w:ind w:firstLine="540"/>
        <w:jc w:val="both"/>
      </w:pPr>
      <w:r>
        <w:rPr>
          <w:sz w:val="20"/>
        </w:rPr>
        <w:t xml:space="preserve">развитием производств в сфере глубокой переработки углеводородного сырья, связанных с выпуском продукции с высокой добавленной стоимостью; высокотехнологичных производств в обрабатывающем секторе и агропромышленном комплексе, основанных на эффективном использовании собственной сырьевой базы; сервисного сектора экономики;</w:t>
      </w:r>
    </w:p>
    <w:p>
      <w:pPr>
        <w:pStyle w:val="0"/>
        <w:spacing w:before="200" w:line-rule="auto"/>
        <w:ind w:firstLine="540"/>
        <w:jc w:val="both"/>
      </w:pPr>
      <w:r>
        <w:rPr>
          <w:sz w:val="20"/>
        </w:rPr>
        <w:t xml:space="preserve">усилением в этих процессах роли инновационных факторов, включающих наличие высокотехнологичных производств, развитие цифровой экономики, активную инвестиционную политику в условиях расширения предпринимательской инициативы, а также развитие региональной инновационной и социальной системы.</w:t>
      </w:r>
    </w:p>
    <w:p>
      <w:pPr>
        <w:pStyle w:val="0"/>
        <w:spacing w:before="200" w:line-rule="auto"/>
        <w:ind w:firstLine="540"/>
        <w:jc w:val="both"/>
      </w:pPr>
      <w:r>
        <w:rPr>
          <w:sz w:val="20"/>
        </w:rPr>
        <w:t xml:space="preserve">Развитие кластеров будет способствовать обеспечению устойчивых темпов роста обрабатывающей промышленности, технологической модернизации и расширению производственных мощностей, повышению технологического уровня отраслей, обеспечению диверсификации экономики, интенсификации развития малого бизнеса, становлению региона как сервисной территории освоения Арктической зоны Российской Федерации.</w:t>
      </w:r>
    </w:p>
    <w:p>
      <w:pPr>
        <w:pStyle w:val="0"/>
        <w:spacing w:before="200" w:line-rule="auto"/>
        <w:ind w:firstLine="540"/>
        <w:jc w:val="both"/>
      </w:pPr>
      <w:r>
        <w:rPr>
          <w:sz w:val="20"/>
        </w:rPr>
        <w:t xml:space="preserve">Развитие научно-образовательного потенциала позволит поддержать инновационное развитие отраслей экономики и осуществление инвестиционно-инновационных проектов в сферах здравоохранения и образования.</w:t>
      </w:r>
    </w:p>
    <w:p>
      <w:pPr>
        <w:pStyle w:val="0"/>
        <w:spacing w:before="200" w:line-rule="auto"/>
        <w:ind w:firstLine="540"/>
        <w:jc w:val="both"/>
      </w:pPr>
      <w:r>
        <w:rPr>
          <w:sz w:val="20"/>
        </w:rPr>
        <w:t xml:space="preserve">В соответствии с базовым сценарием планируется реализация ряда крупных инвестиционных проектов в промышленности, предполагается ускорение темпов модернизации действующих основных фондов до уровня, обеспечивающего своевременную замену изношенного оборудования и снижение накопленного износа, активизация строительства автомобильных и железных дорог, электроэнергетической инфраструктуры и систем ЖКХ, новых систем связи и телекоммуникаций, благоустройства населенных пунктов, объектов социальной сферы, инфраструктуры развлечений, отдыха и рекреации.</w:t>
      </w:r>
    </w:p>
    <w:p>
      <w:pPr>
        <w:pStyle w:val="0"/>
        <w:spacing w:before="200" w:line-rule="auto"/>
        <w:ind w:firstLine="540"/>
        <w:jc w:val="both"/>
      </w:pPr>
      <w:r>
        <w:rPr>
          <w:sz w:val="20"/>
        </w:rPr>
        <w:t xml:space="preserve">Повышение конкурентоспособности товаров местных производителей, устойчивый рост числа малых и средних предприятий приведет к увеличению экспорта продукции высокой степени переработки, изменению структуры регионального экспорта, увеличению числа участников внешнеэкономической деятельности и их инвестиционной активности.</w:t>
      </w:r>
    </w:p>
    <w:p>
      <w:pPr>
        <w:pStyle w:val="0"/>
        <w:spacing w:before="200" w:line-rule="auto"/>
        <w:ind w:firstLine="540"/>
        <w:jc w:val="both"/>
      </w:pPr>
      <w:r>
        <w:rPr>
          <w:sz w:val="20"/>
        </w:rPr>
        <w:t xml:space="preserve">По мере роста доходов и заработной платы населения ожидается постепенный рост потребительской активности.</w:t>
      </w:r>
    </w:p>
    <w:p>
      <w:pPr>
        <w:pStyle w:val="0"/>
        <w:spacing w:before="200" w:line-rule="auto"/>
        <w:ind w:firstLine="540"/>
        <w:jc w:val="both"/>
      </w:pPr>
      <w:r>
        <w:rPr>
          <w:sz w:val="20"/>
        </w:rPr>
        <w:t xml:space="preserve">Создание технологичных производств, обеспечивающих высокий уровень заработной платы, развитие сферы услуг, стимулирование развития малого предпринимательства, реализация программ самозанятости населения будут способствовать закреплению населения и стимулировать миграционный приток, а также обеспечивать рост благосостояния граждан, снижение дифференциации населения по уровню доходов, поддерживать благоприятный демографический профиль.</w:t>
      </w:r>
    </w:p>
    <w:p>
      <w:pPr>
        <w:pStyle w:val="0"/>
        <w:spacing w:before="200" w:line-rule="auto"/>
        <w:ind w:firstLine="540"/>
        <w:jc w:val="both"/>
      </w:pPr>
      <w:r>
        <w:rPr>
          <w:sz w:val="20"/>
        </w:rPr>
        <w:t xml:space="preserve">Консервативный сценарий основан на предположениях относительно развития Тюменской области в рамках сложившейся экспортно-сырьевой модели роста. Сценарий предполагает сохранение сложившихся тенденций в развитии производства и социальной сферы.</w:t>
      </w:r>
    </w:p>
    <w:p>
      <w:pPr>
        <w:pStyle w:val="0"/>
        <w:spacing w:before="200" w:line-rule="auto"/>
        <w:ind w:firstLine="540"/>
        <w:jc w:val="both"/>
      </w:pPr>
      <w:r>
        <w:rPr>
          <w:sz w:val="20"/>
        </w:rPr>
        <w:t xml:space="preserve">Качественно иной тип экономического роста, связанный с усилением фактора развития высокотехнологичных и сервисных отраслей в условиях использования возможностей и перспектив инновационного пути развития, внедрения инновационных технологий, а также социально ориентированной модели роста, предполагается в рамках базового сценария развития, который определяет перспективы развития региона путем модернизационно-инновационного и кластерного развития экономики России и региона.</w:t>
      </w:r>
    </w:p>
    <w:p>
      <w:pPr>
        <w:pStyle w:val="0"/>
        <w:spacing w:before="200" w:line-rule="auto"/>
        <w:ind w:firstLine="540"/>
        <w:jc w:val="both"/>
      </w:pPr>
      <w:r>
        <w:rPr>
          <w:sz w:val="20"/>
        </w:rPr>
        <w:t xml:space="preserve">В качестве целевого варианта развития выбран базовый сценарий.</w:t>
      </w:r>
    </w:p>
    <w:p>
      <w:pPr>
        <w:pStyle w:val="0"/>
        <w:spacing w:before="200" w:line-rule="auto"/>
        <w:ind w:firstLine="540"/>
        <w:jc w:val="both"/>
      </w:pPr>
      <w:r>
        <w:rPr>
          <w:sz w:val="20"/>
        </w:rPr>
        <w:t xml:space="preserve">Реализация базового сценария должна привести к изменению структуры экономики Тюменской области, увеличению в ВРП доли высокотехнологичных производств, росту производительности труда, повышению уровня и качества жизни населения, развитию инфраструктуры, росту конкурентоспособности Тюменской области на внутрироссийском и международном рынках.</w:t>
      </w:r>
    </w:p>
    <w:p>
      <w:pPr>
        <w:pStyle w:val="0"/>
        <w:jc w:val="both"/>
      </w:pPr>
      <w:r>
        <w:rPr>
          <w:sz w:val="20"/>
        </w:rPr>
      </w:r>
    </w:p>
    <w:p>
      <w:pPr>
        <w:pStyle w:val="2"/>
        <w:outlineLvl w:val="1"/>
        <w:jc w:val="center"/>
      </w:pPr>
      <w:r>
        <w:rPr>
          <w:sz w:val="20"/>
        </w:rPr>
        <w:t xml:space="preserve">3. Приоритеты социально-экономического развития</w:t>
      </w:r>
    </w:p>
    <w:p>
      <w:pPr>
        <w:pStyle w:val="2"/>
        <w:jc w:val="center"/>
      </w:pPr>
      <w:r>
        <w:rPr>
          <w:sz w:val="20"/>
        </w:rPr>
        <w:t xml:space="preserve">Тюменской области</w:t>
      </w:r>
    </w:p>
    <w:p>
      <w:pPr>
        <w:pStyle w:val="0"/>
        <w:jc w:val="both"/>
      </w:pPr>
      <w:r>
        <w:rPr>
          <w:sz w:val="20"/>
        </w:rPr>
      </w:r>
    </w:p>
    <w:p>
      <w:pPr>
        <w:pStyle w:val="2"/>
        <w:outlineLvl w:val="2"/>
        <w:jc w:val="center"/>
      </w:pPr>
      <w:r>
        <w:rPr>
          <w:sz w:val="20"/>
        </w:rPr>
        <w:t xml:space="preserve">3.1. Стратегическое видение социально-экономического</w:t>
      </w:r>
    </w:p>
    <w:p>
      <w:pPr>
        <w:pStyle w:val="2"/>
        <w:jc w:val="center"/>
      </w:pPr>
      <w:r>
        <w:rPr>
          <w:sz w:val="20"/>
        </w:rPr>
        <w:t xml:space="preserve">развития Тюменской области</w:t>
      </w:r>
    </w:p>
    <w:p>
      <w:pPr>
        <w:pStyle w:val="0"/>
        <w:jc w:val="both"/>
      </w:pPr>
      <w:r>
        <w:rPr>
          <w:sz w:val="20"/>
        </w:rPr>
      </w:r>
    </w:p>
    <w:p>
      <w:pPr>
        <w:pStyle w:val="0"/>
        <w:ind w:firstLine="540"/>
        <w:jc w:val="both"/>
      </w:pPr>
      <w:r>
        <w:rPr>
          <w:sz w:val="20"/>
        </w:rPr>
        <w:t xml:space="preserve">Образ желаемого будущего Тюменской области сформирован с учетом роли и вектора развития региона во внешней среде, участия в реализации приоритетов Российской Федерации и Уральского федерального округа.</w:t>
      </w:r>
    </w:p>
    <w:p>
      <w:pPr>
        <w:pStyle w:val="0"/>
        <w:spacing w:before="200" w:line-rule="auto"/>
        <w:ind w:firstLine="540"/>
        <w:jc w:val="both"/>
      </w:pPr>
      <w:r>
        <w:rPr>
          <w:sz w:val="20"/>
        </w:rPr>
        <w:t xml:space="preserve">Тюменская область - инновационный регион России с диверсифицированной экономикой, представленной конкурентоспособными, высокотехнологичными производственным и сервисным секторами, креативными индустриями, обеспечивающими высокий уровень и качество жизни населения, активно участвующего в управлении регионом, и устойчивое, гармоничное развитие в интересах нынешних и будущих поколений.</w:t>
      </w:r>
    </w:p>
    <w:p>
      <w:pPr>
        <w:pStyle w:val="0"/>
        <w:spacing w:before="200" w:line-rule="auto"/>
        <w:ind w:firstLine="540"/>
        <w:jc w:val="both"/>
      </w:pPr>
      <w:r>
        <w:rPr>
          <w:sz w:val="20"/>
        </w:rPr>
        <w:t xml:space="preserve">Стратегической целью развития Тюменской области является устойчивый рост уровня и качества жизни населения на основе инновационного развития экономики и эффективного использования природно-экономического, производственного, научно-технического, кадрового потенциала и конкурентных преимуществ, совершенствования пространственной организации региона.</w:t>
      </w:r>
    </w:p>
    <w:p>
      <w:pPr>
        <w:pStyle w:val="0"/>
        <w:spacing w:before="200" w:line-rule="auto"/>
        <w:ind w:firstLine="540"/>
        <w:jc w:val="both"/>
      </w:pPr>
      <w:r>
        <w:rPr>
          <w:sz w:val="20"/>
        </w:rPr>
        <w:t xml:space="preserve">Стратегическая цель Тюменской области определяется системой стратегических приоритетов, сформированных на основе выявленных проблем, ограничений, конкурентных преимуществ и потенциала социально-экономического развития Тюменской области, согласованных с приоритетами и целями социально-экономического развития Российской Федерации.</w:t>
      </w:r>
    </w:p>
    <w:p>
      <w:pPr>
        <w:pStyle w:val="0"/>
        <w:spacing w:before="200" w:line-rule="auto"/>
        <w:ind w:firstLine="540"/>
        <w:jc w:val="both"/>
      </w:pPr>
      <w:r>
        <w:rPr>
          <w:sz w:val="20"/>
        </w:rPr>
        <w:t xml:space="preserve">Стратегические приоритеты увязаны с национальными целями развития и национальными проектами, обозначенными в </w:t>
      </w:r>
      <w:hyperlink w:history="0" r:id="rId39"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Указе</w:t>
        </w:r>
      </w:hyperlink>
      <w:r>
        <w:rPr>
          <w:sz w:val="20"/>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Региональные проекты, реализуемые в области в рамках национальных проектов, также направлены на достижение национальных целей.</w:t>
      </w:r>
    </w:p>
    <w:p>
      <w:pPr>
        <w:pStyle w:val="0"/>
        <w:jc w:val="both"/>
      </w:pPr>
      <w:r>
        <w:rPr>
          <w:sz w:val="20"/>
        </w:rPr>
      </w:r>
    </w:p>
    <w:p>
      <w:pPr>
        <w:pStyle w:val="2"/>
        <w:outlineLvl w:val="2"/>
        <w:jc w:val="center"/>
      </w:pPr>
      <w:r>
        <w:rPr>
          <w:sz w:val="20"/>
        </w:rPr>
        <w:t xml:space="preserve">3.2. Стратегические приоритеты, цели, задачи и направления</w:t>
      </w:r>
    </w:p>
    <w:p>
      <w:pPr>
        <w:pStyle w:val="2"/>
        <w:jc w:val="center"/>
      </w:pPr>
      <w:r>
        <w:rPr>
          <w:sz w:val="20"/>
        </w:rPr>
        <w:t xml:space="preserve">социально-экономической политики Тюменской области</w:t>
      </w:r>
    </w:p>
    <w:p>
      <w:pPr>
        <w:pStyle w:val="0"/>
        <w:jc w:val="both"/>
      </w:pPr>
      <w:r>
        <w:rPr>
          <w:sz w:val="20"/>
        </w:rPr>
      </w:r>
    </w:p>
    <w:p>
      <w:pPr>
        <w:pStyle w:val="0"/>
        <w:ind w:firstLine="540"/>
        <w:jc w:val="both"/>
      </w:pPr>
      <w:r>
        <w:rPr>
          <w:sz w:val="20"/>
        </w:rPr>
        <w:t xml:space="preserve">Сформированная система целеполагания согласована с документами стратегического планирования федерального уровня.</w:t>
      </w:r>
    </w:p>
    <w:p>
      <w:pPr>
        <w:pStyle w:val="0"/>
        <w:spacing w:before="200" w:line-rule="auto"/>
        <w:ind w:firstLine="540"/>
        <w:jc w:val="both"/>
      </w:pPr>
      <w:r>
        <w:rPr>
          <w:sz w:val="20"/>
        </w:rPr>
        <w:t xml:space="preserve">Выделяется три стратегических приоритета развития Тюменской области, каждый из которых находит свое отражение в более конкретных целях и задачах. В совокупности стратегические цели и задачи, соотнесенные со стратегическими приоритетами, образуют комплексную систему стратегического социально-экономического целеполагания (табл. 10).</w:t>
      </w:r>
    </w:p>
    <w:p>
      <w:pPr>
        <w:pStyle w:val="0"/>
        <w:jc w:val="both"/>
      </w:pPr>
      <w:r>
        <w:rPr>
          <w:sz w:val="20"/>
        </w:rPr>
      </w:r>
    </w:p>
    <w:p>
      <w:pPr>
        <w:pStyle w:val="2"/>
        <w:outlineLvl w:val="3"/>
        <w:ind w:firstLine="540"/>
        <w:jc w:val="both"/>
      </w:pPr>
      <w:r>
        <w:rPr>
          <w:sz w:val="20"/>
        </w:rPr>
        <w:t xml:space="preserve">Таблица 10 - Приоритеты, цели и задачи социально-экономического развития Тюменской области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3683"/>
        <w:gridCol w:w="6463"/>
      </w:tblGrid>
      <w:tr>
        <w:tc>
          <w:tcPr>
            <w:tcW w:w="2324" w:type="dxa"/>
          </w:tcPr>
          <w:p>
            <w:pPr>
              <w:pStyle w:val="0"/>
              <w:jc w:val="center"/>
            </w:pPr>
            <w:r>
              <w:rPr>
                <w:sz w:val="20"/>
              </w:rPr>
              <w:t xml:space="preserve">Приоритеты</w:t>
            </w:r>
          </w:p>
        </w:tc>
        <w:tc>
          <w:tcPr>
            <w:tcW w:w="3683" w:type="dxa"/>
          </w:tcPr>
          <w:p>
            <w:pPr>
              <w:pStyle w:val="0"/>
              <w:jc w:val="center"/>
            </w:pPr>
            <w:r>
              <w:rPr>
                <w:sz w:val="20"/>
              </w:rPr>
              <w:t xml:space="preserve">Цели</w:t>
            </w:r>
          </w:p>
        </w:tc>
        <w:tc>
          <w:tcPr>
            <w:tcW w:w="6463" w:type="dxa"/>
          </w:tcPr>
          <w:p>
            <w:pPr>
              <w:pStyle w:val="0"/>
              <w:jc w:val="center"/>
            </w:pPr>
            <w:r>
              <w:rPr>
                <w:sz w:val="20"/>
              </w:rPr>
              <w:t xml:space="preserve">Задачи</w:t>
            </w:r>
          </w:p>
        </w:tc>
      </w:tr>
      <w:tr>
        <w:tc>
          <w:tcPr>
            <w:tcW w:w="2324" w:type="dxa"/>
            <w:vMerge w:val="restart"/>
          </w:tcPr>
          <w:p>
            <w:pPr>
              <w:pStyle w:val="0"/>
            </w:pPr>
            <w:r>
              <w:rPr>
                <w:sz w:val="20"/>
              </w:rPr>
              <w:t xml:space="preserve">Приоритет 1.</w:t>
            </w:r>
          </w:p>
          <w:p>
            <w:pPr>
              <w:pStyle w:val="0"/>
            </w:pPr>
            <w:r>
              <w:rPr>
                <w:sz w:val="20"/>
              </w:rPr>
              <w:t xml:space="preserve">ЧЕЛОВЕК.</w:t>
            </w:r>
          </w:p>
          <w:p>
            <w:pPr>
              <w:pStyle w:val="0"/>
            </w:pPr>
            <w:r>
              <w:rPr>
                <w:sz w:val="20"/>
              </w:rPr>
              <w:t xml:space="preserve">Высокое качество</w:t>
            </w:r>
          </w:p>
          <w:p>
            <w:pPr>
              <w:pStyle w:val="0"/>
            </w:pPr>
            <w:r>
              <w:rPr>
                <w:sz w:val="20"/>
              </w:rPr>
              <w:t xml:space="preserve">жизни населения и</w:t>
            </w:r>
          </w:p>
          <w:p>
            <w:pPr>
              <w:pStyle w:val="0"/>
            </w:pPr>
            <w:r>
              <w:rPr>
                <w:sz w:val="20"/>
              </w:rPr>
              <w:t xml:space="preserve">человеческий</w:t>
            </w:r>
          </w:p>
          <w:p>
            <w:pPr>
              <w:pStyle w:val="0"/>
            </w:pPr>
            <w:r>
              <w:rPr>
                <w:sz w:val="20"/>
              </w:rPr>
              <w:t xml:space="preserve">капитал</w:t>
            </w:r>
          </w:p>
        </w:tc>
        <w:tc>
          <w:tcPr>
            <w:tcW w:w="3683" w:type="dxa"/>
          </w:tcPr>
          <w:p>
            <w:pPr>
              <w:pStyle w:val="0"/>
            </w:pPr>
            <w:r>
              <w:rPr>
                <w:sz w:val="20"/>
              </w:rPr>
              <w:t xml:space="preserve">1.1. ПОВЫШЕНИЕ УРОВНЯ ЖИЗНИ. Повышение уровня жизни населения</w:t>
            </w:r>
          </w:p>
        </w:tc>
        <w:tc>
          <w:tcPr>
            <w:tcW w:w="6463" w:type="dxa"/>
          </w:tcPr>
          <w:p>
            <w:pPr>
              <w:pStyle w:val="0"/>
            </w:pPr>
            <w:r>
              <w:rPr>
                <w:sz w:val="20"/>
              </w:rPr>
              <w:t xml:space="preserve">1.1.1. БЛАГОСОСТОЯНИЕ, ЭФФЕКТИВНАЯ ЗАНЯТОСТЬ, КАДРОВЫЙ ПОТЕНЦИАЛ. Рост благосостояния граждан, повышение эффективной занятости населения и развитие кадрового потенциала</w:t>
            </w:r>
          </w:p>
          <w:p>
            <w:pPr>
              <w:pStyle w:val="0"/>
            </w:pPr>
            <w:r>
              <w:rPr>
                <w:sz w:val="20"/>
              </w:rPr>
              <w:t xml:space="preserve">1.1.2. СОЦИАЛЬНАЯ ЗАЩИТА. Обеспечение эффективного функционирования системы социальных гарантий (социальной защиты) населения</w:t>
            </w:r>
          </w:p>
          <w:p>
            <w:pPr>
              <w:pStyle w:val="0"/>
            </w:pPr>
            <w:r>
              <w:rPr>
                <w:sz w:val="20"/>
              </w:rPr>
              <w:t xml:space="preserve">1.1.3. ДОСТУПНОЕ И КОМФОРТНОЕ ЖИЛЬЕ. Обеспечение населения доступным и комфортным жильем</w:t>
            </w:r>
          </w:p>
          <w:p>
            <w:pPr>
              <w:pStyle w:val="0"/>
            </w:pPr>
            <w:r>
              <w:rPr>
                <w:sz w:val="20"/>
              </w:rPr>
              <w:t xml:space="preserve">1.1.4. БЕЗОПАСНОСТЬ. Повышение безопасности жизни населения</w:t>
            </w:r>
          </w:p>
        </w:tc>
      </w:tr>
      <w:tr>
        <w:tc>
          <w:tcPr>
            <w:vMerge w:val="continue"/>
          </w:tcPr>
          <w:p/>
        </w:tc>
        <w:tc>
          <w:tcPr>
            <w:tcW w:w="3683" w:type="dxa"/>
          </w:tcPr>
          <w:p>
            <w:pPr>
              <w:pStyle w:val="0"/>
            </w:pPr>
            <w:r>
              <w:rPr>
                <w:sz w:val="20"/>
              </w:rPr>
              <w:t xml:space="preserve">1.2. РАЗВИТИЕ ЧЕЛОВЕЧЕСКОГО КАПИТАЛА.</w:t>
            </w:r>
          </w:p>
          <w:p>
            <w:pPr>
              <w:pStyle w:val="0"/>
            </w:pPr>
            <w:r>
              <w:rPr>
                <w:sz w:val="20"/>
              </w:rPr>
              <w:t xml:space="preserve">Развитие человеческого капитала, обеспечивающего конкурентоспособность Тюменской области и создание новых форматов качества и образа жизни</w:t>
            </w:r>
          </w:p>
        </w:tc>
        <w:tc>
          <w:tcPr>
            <w:tcW w:w="6463" w:type="dxa"/>
          </w:tcPr>
          <w:p>
            <w:pPr>
              <w:pStyle w:val="0"/>
            </w:pPr>
            <w:r>
              <w:rPr>
                <w:sz w:val="20"/>
              </w:rPr>
              <w:t xml:space="preserve">1.2.1. ЗДОРОВЬЕ И ДОЛГОЛЕТИЕ. Повышение уровня здоровья и продление активного долголетия населения</w:t>
            </w:r>
          </w:p>
          <w:p>
            <w:pPr>
              <w:pStyle w:val="0"/>
            </w:pPr>
            <w:r>
              <w:rPr>
                <w:sz w:val="20"/>
              </w:rPr>
              <w:t xml:space="preserve">1.2.2. ЗДОРОВЫЙ ОБРАЗ ЖИЗНИ. Создание условий, стимулирующих граждан к ведению здорового образа жизни</w:t>
            </w:r>
          </w:p>
          <w:p>
            <w:pPr>
              <w:pStyle w:val="0"/>
            </w:pPr>
            <w:r>
              <w:rPr>
                <w:sz w:val="20"/>
              </w:rPr>
              <w:t xml:space="preserve">1.2.3. СЕМЬЯ. ДЕМОГРАФИЧЕСКОЕ РАЗВИТИЕ. Укрепление института семьи и сохранение традиций семейных отношений. Демографическое развитие</w:t>
            </w:r>
          </w:p>
          <w:p>
            <w:pPr>
              <w:pStyle w:val="0"/>
            </w:pPr>
            <w:r>
              <w:rPr>
                <w:sz w:val="20"/>
              </w:rPr>
              <w:t xml:space="preserve">1.2.4. ОБРАЗОВАНИЕ. Обеспечение высокого качества образования, развития системы поиска, поддержки и удержания талантов</w:t>
            </w:r>
          </w:p>
          <w:p>
            <w:pPr>
              <w:pStyle w:val="0"/>
            </w:pPr>
            <w:r>
              <w:rPr>
                <w:sz w:val="20"/>
              </w:rPr>
              <w:t xml:space="preserve">1.2.5. КУЛЬТУРА, ТВОРЧЕСТВО, ГРАЖДАНСТВЕННОСТЬ. Развитие единого культурного пространства и условий для творческой и гражданской самореализации жителей</w:t>
            </w:r>
          </w:p>
          <w:p>
            <w:pPr>
              <w:pStyle w:val="0"/>
            </w:pPr>
            <w:r>
              <w:rPr>
                <w:sz w:val="20"/>
              </w:rPr>
              <w:t xml:space="preserve">1.2.6. ИНФОРМАЦИЯ. Обеспечение населения полной, своевременной и объективной информацией</w:t>
            </w:r>
          </w:p>
        </w:tc>
      </w:tr>
      <w:tr>
        <w:tc>
          <w:tcPr>
            <w:tcW w:w="2324" w:type="dxa"/>
            <w:vMerge w:val="restart"/>
          </w:tcPr>
          <w:p>
            <w:pPr>
              <w:pStyle w:val="0"/>
            </w:pPr>
            <w:r>
              <w:rPr>
                <w:sz w:val="20"/>
              </w:rPr>
              <w:t xml:space="preserve">Приоритет 2.</w:t>
            </w:r>
          </w:p>
          <w:p>
            <w:pPr>
              <w:pStyle w:val="0"/>
            </w:pPr>
            <w:r>
              <w:rPr>
                <w:sz w:val="20"/>
              </w:rPr>
              <w:t xml:space="preserve">ЭКОНОМИКА.</w:t>
            </w:r>
          </w:p>
          <w:p>
            <w:pPr>
              <w:pStyle w:val="0"/>
            </w:pPr>
            <w:r>
              <w:rPr>
                <w:sz w:val="20"/>
              </w:rPr>
              <w:t xml:space="preserve">Устойчивое</w:t>
            </w:r>
          </w:p>
          <w:p>
            <w:pPr>
              <w:pStyle w:val="0"/>
            </w:pPr>
            <w:r>
              <w:rPr>
                <w:sz w:val="20"/>
              </w:rPr>
              <w:t xml:space="preserve">экономическое</w:t>
            </w:r>
          </w:p>
          <w:p>
            <w:pPr>
              <w:pStyle w:val="0"/>
            </w:pPr>
            <w:r>
              <w:rPr>
                <w:sz w:val="20"/>
              </w:rPr>
              <w:t xml:space="preserve">развитие</w:t>
            </w:r>
          </w:p>
        </w:tc>
        <w:tc>
          <w:tcPr>
            <w:tcW w:w="3683" w:type="dxa"/>
          </w:tcPr>
          <w:p>
            <w:pPr>
              <w:pStyle w:val="0"/>
            </w:pPr>
            <w:r>
              <w:rPr>
                <w:sz w:val="20"/>
              </w:rPr>
              <w:t xml:space="preserve">2.1. РАЗВИТИЕ ПРОИЗВОДСТВА И СЕРВИСА.</w:t>
            </w:r>
          </w:p>
          <w:p>
            <w:pPr>
              <w:pStyle w:val="0"/>
            </w:pPr>
            <w:r>
              <w:rPr>
                <w:sz w:val="20"/>
              </w:rPr>
              <w:t xml:space="preserve">Развитие производственного и сервисного секторов экономики, малого и среднего предпринимательства</w:t>
            </w:r>
          </w:p>
        </w:tc>
        <w:tc>
          <w:tcPr>
            <w:tcW w:w="6463" w:type="dxa"/>
          </w:tcPr>
          <w:p>
            <w:pPr>
              <w:pStyle w:val="0"/>
            </w:pPr>
            <w:r>
              <w:rPr>
                <w:sz w:val="20"/>
              </w:rPr>
              <w:t xml:space="preserve">2.1.1. ИНВЕСТКЛИМАТ. ИНВЕСТСТРАТЕГИЯ. Создание максимально комфортных условий для бизнеса, развитие эффективной системы привлечения инвестиций. Инвестиционная стратегия Тюменской области</w:t>
            </w:r>
          </w:p>
          <w:p>
            <w:pPr>
              <w:pStyle w:val="0"/>
            </w:pPr>
            <w:r>
              <w:rPr>
                <w:sz w:val="20"/>
              </w:rPr>
              <w:t xml:space="preserve">2.1.2. КОНКУРЕНТОСПОСОБНАЯ ПРОМЫШЛЕННОСТЬ. Обеспечение устойчивых темпов роста и повышение конкурентоспособности промышленности</w:t>
            </w:r>
          </w:p>
          <w:p>
            <w:pPr>
              <w:pStyle w:val="0"/>
            </w:pPr>
            <w:r>
              <w:rPr>
                <w:sz w:val="20"/>
              </w:rPr>
              <w:t xml:space="preserve">2.1.3. КОНКУРЕНТОСПОСОБНЫЙ ПРОМЫШЛЕННЫЙ СЕРВИС. Развитие конкурентоспособного сектора промышленного сервиса</w:t>
            </w:r>
          </w:p>
          <w:p>
            <w:pPr>
              <w:pStyle w:val="0"/>
            </w:pPr>
            <w:r>
              <w:rPr>
                <w:sz w:val="20"/>
              </w:rPr>
              <w:t xml:space="preserve">2.1.4. АГРОПРОМЫШЛЕННЫЙ КОМПЛЕКС. Развитие агропромышленного комплекса</w:t>
            </w:r>
          </w:p>
          <w:p>
            <w:pPr>
              <w:pStyle w:val="0"/>
            </w:pPr>
            <w:r>
              <w:rPr>
                <w:sz w:val="20"/>
              </w:rPr>
              <w:t xml:space="preserve">2.1.5. ПОТРЕБИТЕЛЬСКИЙ СЕРВИС. Развитие потребительского сервиса, обеспечивающего удовлетворение потребностей населения в товарах и услугах</w:t>
            </w:r>
          </w:p>
          <w:p>
            <w:pPr>
              <w:pStyle w:val="0"/>
            </w:pPr>
            <w:r>
              <w:rPr>
                <w:sz w:val="20"/>
              </w:rPr>
              <w:t xml:space="preserve">2.1.6. МАЛОЕ И СРЕДНЕЕ ПРЕДПРИНИМАТЕЛЬСТВО. Развитие малого и среднего предпринимательства</w:t>
            </w:r>
          </w:p>
        </w:tc>
      </w:tr>
      <w:tr>
        <w:tc>
          <w:tcPr>
            <w:vMerge w:val="continue"/>
          </w:tcPr>
          <w:p/>
        </w:tc>
        <w:tc>
          <w:tcPr>
            <w:tcW w:w="3683" w:type="dxa"/>
          </w:tcPr>
          <w:p>
            <w:pPr>
              <w:pStyle w:val="0"/>
            </w:pPr>
            <w:r>
              <w:rPr>
                <w:sz w:val="20"/>
              </w:rPr>
              <w:t xml:space="preserve">2.2. РАЗВИТИЕ ИННОВАЦИЙ И ИНФОРМАЦИОННЫХ ТЕХНОЛОГИЙ.</w:t>
            </w:r>
          </w:p>
          <w:p>
            <w:pPr>
              <w:pStyle w:val="0"/>
            </w:pPr>
            <w:r>
              <w:rPr>
                <w:sz w:val="20"/>
              </w:rPr>
              <w:t xml:space="preserve">Развитие научно-инновационной сферы и информационных технологий</w:t>
            </w:r>
          </w:p>
        </w:tc>
        <w:tc>
          <w:tcPr>
            <w:tcW w:w="6463" w:type="dxa"/>
          </w:tcPr>
          <w:p>
            <w:pPr>
              <w:pStyle w:val="0"/>
            </w:pPr>
            <w:r>
              <w:rPr>
                <w:sz w:val="20"/>
              </w:rPr>
              <w:t xml:space="preserve">2.2.1. КУЛЬТУРА ИННОВАЦИЙ. Развитие культуры инноваций</w:t>
            </w:r>
          </w:p>
          <w:p>
            <w:pPr>
              <w:pStyle w:val="0"/>
            </w:pPr>
            <w:r>
              <w:rPr>
                <w:sz w:val="20"/>
              </w:rPr>
              <w:t xml:space="preserve">2.2.2. ВНЕДРЕНИЕ ИННОВАЦИЙ. Содействие интеграции научно-технической сферы и производства, обеспечивающей внедрение новых технологий</w:t>
            </w:r>
          </w:p>
          <w:p>
            <w:pPr>
              <w:pStyle w:val="0"/>
            </w:pPr>
            <w:r>
              <w:rPr>
                <w:sz w:val="20"/>
              </w:rPr>
              <w:t xml:space="preserve">2.2.3. РАЗВИТИЕ ОТРАСЛИ ИНФОРМАЦИОННЫХ ТЕХНОЛОГИЙ. Развитие отрасли информационных технологий</w:t>
            </w:r>
          </w:p>
        </w:tc>
      </w:tr>
      <w:tr>
        <w:tc>
          <w:tcPr>
            <w:vMerge w:val="continue"/>
          </w:tcPr>
          <w:p/>
        </w:tc>
        <w:tc>
          <w:tcPr>
            <w:tcW w:w="3683" w:type="dxa"/>
          </w:tcPr>
          <w:p>
            <w:pPr>
              <w:pStyle w:val="0"/>
            </w:pPr>
            <w:r>
              <w:rPr>
                <w:sz w:val="20"/>
              </w:rPr>
              <w:t xml:space="preserve">2.3. РАЦИОНАЛЬНОЕ ПРИРОДОПОЛЬЗОВАНИЕ.</w:t>
            </w:r>
          </w:p>
          <w:p>
            <w:pPr>
              <w:pStyle w:val="0"/>
            </w:pPr>
            <w:r>
              <w:rPr>
                <w:sz w:val="20"/>
              </w:rPr>
              <w:t xml:space="preserve">Улучшение качества природной среды и условий жизни человека, рациональное природопользование и развитие "зеленой" экономики</w:t>
            </w:r>
          </w:p>
        </w:tc>
        <w:tc>
          <w:tcPr>
            <w:tcW w:w="6463" w:type="dxa"/>
          </w:tcPr>
          <w:p>
            <w:pPr>
              <w:pStyle w:val="0"/>
            </w:pPr>
            <w:r>
              <w:rPr>
                <w:sz w:val="20"/>
              </w:rPr>
              <w:t xml:space="preserve">2.3.1. ЭКОЛОГИЧЕСКОЕ ВОСПИТАНИЕ. Развитие бережного отношения к природе</w:t>
            </w:r>
          </w:p>
          <w:p>
            <w:pPr>
              <w:pStyle w:val="0"/>
            </w:pPr>
            <w:r>
              <w:rPr>
                <w:sz w:val="20"/>
              </w:rPr>
              <w:t xml:space="preserve">2.3.2. ЭКОЛОГИЯ ПРИРОДНОЙ СРЕДЫ, ЭКОЛОГИЯ ЧЕЛОВЕКА. Сохранение и защита природной среды, создание экологически безопасной и комфортной обстановки для населения</w:t>
            </w:r>
          </w:p>
          <w:p>
            <w:pPr>
              <w:pStyle w:val="0"/>
            </w:pPr>
            <w:r>
              <w:rPr>
                <w:sz w:val="20"/>
              </w:rPr>
              <w:t xml:space="preserve">2.3.3. ЭКОЛОГИЯ ПРОИЗВОДСТВА, ЭКОБИЗНЕС. Стимулирование снижения ресурсопотребления и внедрения "зеленых технологий"</w:t>
            </w:r>
          </w:p>
        </w:tc>
      </w:tr>
      <w:tr>
        <w:tc>
          <w:tcPr>
            <w:tcW w:w="2324" w:type="dxa"/>
            <w:vMerge w:val="restart"/>
          </w:tcPr>
          <w:p>
            <w:pPr>
              <w:pStyle w:val="0"/>
            </w:pPr>
            <w:r>
              <w:rPr>
                <w:sz w:val="20"/>
              </w:rPr>
              <w:t xml:space="preserve">Приоритет 3.</w:t>
            </w:r>
          </w:p>
          <w:p>
            <w:pPr>
              <w:pStyle w:val="0"/>
            </w:pPr>
            <w:r>
              <w:rPr>
                <w:sz w:val="20"/>
              </w:rPr>
              <w:t xml:space="preserve">ПРОСТРАНСТВО.</w:t>
            </w:r>
          </w:p>
          <w:p>
            <w:pPr>
              <w:pStyle w:val="0"/>
            </w:pPr>
            <w:r>
              <w:rPr>
                <w:sz w:val="20"/>
              </w:rPr>
              <w:t xml:space="preserve">Сбалансированное пространственное развитие</w:t>
            </w:r>
          </w:p>
        </w:tc>
        <w:tc>
          <w:tcPr>
            <w:tcW w:w="3683" w:type="dxa"/>
          </w:tcPr>
          <w:p>
            <w:pPr>
              <w:pStyle w:val="0"/>
            </w:pPr>
            <w:r>
              <w:rPr>
                <w:sz w:val="20"/>
              </w:rPr>
              <w:t xml:space="preserve">3.1. ЭФФЕКТИВНАЯ СИСТЕМА РАССЕЛЕНИЯ И РАСПРЕДЕЛЕНИЯ ПРОИЗВОДИТЕЛЬНЫХ СИЛ.</w:t>
            </w:r>
          </w:p>
          <w:p>
            <w:pPr>
              <w:pStyle w:val="0"/>
            </w:pPr>
            <w:r>
              <w:rPr>
                <w:sz w:val="20"/>
              </w:rPr>
              <w:t xml:space="preserve">Организация эффективной системы расселения и распределения производительных сил</w:t>
            </w:r>
          </w:p>
        </w:tc>
        <w:tc>
          <w:tcPr>
            <w:tcW w:w="6463" w:type="dxa"/>
          </w:tcPr>
          <w:p>
            <w:pPr>
              <w:pStyle w:val="0"/>
            </w:pPr>
            <w:r>
              <w:rPr>
                <w:sz w:val="20"/>
              </w:rPr>
              <w:t xml:space="preserve">3.1.1. ИНФРАСТРУКТУРНАЯ СВЯЗАННОСТЬ. Обеспечение инфраструктурной связанности, открывающей доступ территориям и их населению к источникам социально-экономического роста</w:t>
            </w:r>
          </w:p>
          <w:p>
            <w:pPr>
              <w:pStyle w:val="0"/>
            </w:pPr>
            <w:r>
              <w:rPr>
                <w:sz w:val="20"/>
              </w:rPr>
              <w:t xml:space="preserve">3.1.2. СБАЛАНСИРОВАННОЕ РАЗВИТИЕ ТЕРРИТОРИИ. Содействие ускоренному социально-экономическому развитию городских и сельских муниципальных образований за счет эффективного распределения производительных сил</w:t>
            </w:r>
          </w:p>
        </w:tc>
      </w:tr>
      <w:tr>
        <w:tc>
          <w:tcPr>
            <w:vMerge w:val="continue"/>
          </w:tcPr>
          <w:p/>
        </w:tc>
        <w:tc>
          <w:tcPr>
            <w:tcW w:w="3683" w:type="dxa"/>
          </w:tcPr>
          <w:p>
            <w:pPr>
              <w:pStyle w:val="0"/>
            </w:pPr>
            <w:r>
              <w:rPr>
                <w:sz w:val="20"/>
              </w:rPr>
              <w:t xml:space="preserve">3.2. РАЗВИТИЕ МЕЖРЕГИОНАЛЬНЫХ И ВНЕШНЕЭКОНОМИЧЕСКИХ СВЯЗЕЙ.</w:t>
            </w:r>
          </w:p>
          <w:p>
            <w:pPr>
              <w:pStyle w:val="0"/>
            </w:pPr>
            <w:r>
              <w:rPr>
                <w:sz w:val="20"/>
              </w:rPr>
              <w:t xml:space="preserve">Интеграция в межрегиональные и глобальные социально-экономические отношения</w:t>
            </w:r>
          </w:p>
        </w:tc>
        <w:tc>
          <w:tcPr>
            <w:tcW w:w="6463" w:type="dxa"/>
          </w:tcPr>
          <w:p>
            <w:pPr>
              <w:pStyle w:val="0"/>
            </w:pPr>
            <w:r>
              <w:rPr>
                <w:sz w:val="20"/>
              </w:rPr>
              <w:t xml:space="preserve">3.2.1. МЕЖРЕГИОНАЛЬНЫЕ СВЯЗИ. Развитие межрегиональных связей</w:t>
            </w:r>
          </w:p>
          <w:p>
            <w:pPr>
              <w:pStyle w:val="0"/>
            </w:pPr>
            <w:r>
              <w:rPr>
                <w:sz w:val="20"/>
              </w:rPr>
              <w:t xml:space="preserve">3.2.2. ВНЕШНЕЭКОНОМИЧЕСКИЕ СВЯЗИ. ЭКСПОРТНАЯ СТРАТЕГИЯ. Развитие внешнеэкономических связей. Стратегия в области обеспечения благоприятных условий для ведения экспортной деятельности</w:t>
            </w:r>
          </w:p>
        </w:tc>
      </w:tr>
    </w:tbl>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Приоритет 1. ЧЕЛОВЕК</w:t>
      </w:r>
    </w:p>
    <w:p>
      <w:pPr>
        <w:pStyle w:val="0"/>
        <w:spacing w:before="200" w:line-rule="auto"/>
        <w:ind w:firstLine="540"/>
        <w:jc w:val="both"/>
      </w:pPr>
      <w:r>
        <w:rPr>
          <w:sz w:val="20"/>
        </w:rPr>
        <w:t xml:space="preserve">Высокое качество жизни населения и человеческий капитал</w:t>
      </w:r>
    </w:p>
    <w:p>
      <w:pPr>
        <w:pStyle w:val="0"/>
        <w:spacing w:before="200" w:line-rule="auto"/>
        <w:ind w:firstLine="540"/>
        <w:jc w:val="both"/>
      </w:pPr>
      <w:r>
        <w:rPr>
          <w:sz w:val="20"/>
        </w:rPr>
        <w:t xml:space="preserve">Социально-экономическое развитие Тюменской области предполагает опору на человеческий капитал как обязательное условие формирования и развития инновационной экономики и общества знаний.</w:t>
      </w:r>
    </w:p>
    <w:p>
      <w:pPr>
        <w:pStyle w:val="0"/>
        <w:spacing w:before="200" w:line-rule="auto"/>
        <w:ind w:firstLine="540"/>
        <w:jc w:val="both"/>
      </w:pPr>
      <w:r>
        <w:rPr>
          <w:sz w:val="20"/>
        </w:rPr>
        <w:t xml:space="preserve">Повышение уровня жизни предполагает не только удовлетворение первичных потребностей человека или семьи - в питании, одежде, жилье, безопасности, а достижение уровня благосостояния, материального достатка, который позволяет человеку и семье оптимально реализовать индивидуальные потребности для развития.</w:t>
      </w:r>
    </w:p>
    <w:p>
      <w:pPr>
        <w:pStyle w:val="0"/>
        <w:spacing w:before="200" w:line-rule="auto"/>
        <w:ind w:firstLine="540"/>
        <w:jc w:val="both"/>
      </w:pPr>
      <w:r>
        <w:rPr>
          <w:sz w:val="20"/>
        </w:rPr>
        <w:t xml:space="preserve">Развитие системы социальной защиты в отношении отдельных категорий граждан (пожилых, инвалидов и маломобильных групп населения, семей, имеющих детей, в том числе многодетных и других), которым по объективным причинам требуется забота общества, строится на принципах социальной справедливости и адресности (реальной нуждаемости).</w:t>
      </w:r>
    </w:p>
    <w:p>
      <w:pPr>
        <w:pStyle w:val="0"/>
        <w:spacing w:before="200" w:line-rule="auto"/>
        <w:ind w:firstLine="540"/>
        <w:jc w:val="both"/>
      </w:pPr>
      <w:r>
        <w:rPr>
          <w:sz w:val="20"/>
        </w:rPr>
        <w:t xml:space="preserve">Под развитием человеческого капитала понимается развитие человека как носителя знаний и способностей, профессионально-трудовых навыков, культурных и духовных ценностей, сохранение его здоровья, социальных, в том числе семейных отношений, создание возможностей для реализации человека как личности и как члена общества.</w:t>
      </w:r>
    </w:p>
    <w:p>
      <w:pPr>
        <w:pStyle w:val="0"/>
        <w:jc w:val="both"/>
      </w:pPr>
      <w:r>
        <w:rPr>
          <w:sz w:val="20"/>
        </w:rPr>
      </w:r>
    </w:p>
    <w:p>
      <w:pPr>
        <w:pStyle w:val="2"/>
        <w:outlineLvl w:val="4"/>
        <w:ind w:firstLine="540"/>
        <w:jc w:val="both"/>
      </w:pPr>
      <w:r>
        <w:rPr>
          <w:sz w:val="20"/>
        </w:rPr>
        <w:t xml:space="preserve">Цель 1.1. Повышение уровня жизни населения (ПОВЫШЕНИЕ УРОВНЯ ЖИЗНИ)</w:t>
      </w:r>
    </w:p>
    <w:p>
      <w:pPr>
        <w:pStyle w:val="2"/>
        <w:spacing w:before="200" w:line-rule="auto"/>
        <w:outlineLvl w:val="5"/>
        <w:ind w:firstLine="540"/>
        <w:jc w:val="both"/>
      </w:pPr>
      <w:r>
        <w:rPr>
          <w:sz w:val="20"/>
        </w:rPr>
        <w:t xml:space="preserve">Задача 1.1.1. Рост благосостояния граждан, повышение эффективной занятости населения и развитие кадрового потенциала (БЛАГОСОСТОЯНИЕ, ЭФФЕКТИВНАЯ ЗАНЯТОСТЬ, КАДРОВЫЙ ПОТЕНЦИАЛ)</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обеспечение роста благосостояния граждан за счет установления высоких темпов экономического роста, создания высокопроизводительных рабочих мест, обеспечения роста заработной платы, повышения реальных доходов населения, стимулирования самозанятости, сокращения неформальной занятости населения;</w:t>
      </w:r>
    </w:p>
    <w:p>
      <w:pPr>
        <w:pStyle w:val="0"/>
        <w:spacing w:before="200" w:line-rule="auto"/>
        <w:ind w:firstLine="540"/>
        <w:jc w:val="both"/>
      </w:pPr>
      <w:r>
        <w:rPr>
          <w:sz w:val="20"/>
        </w:rPr>
        <w:t xml:space="preserve">- расширение и улучшение использования трудового потенциала при сложившихся демографических условиях за счет повышения эффективности его использования, уровня экономической активности населения, уменьшения безработицы, повышения профессиональной мобильности, использования потенциала формирующейся Тюменской агломерации;</w:t>
      </w:r>
    </w:p>
    <w:p>
      <w:pPr>
        <w:pStyle w:val="0"/>
        <w:spacing w:before="200" w:line-rule="auto"/>
        <w:ind w:firstLine="540"/>
        <w:jc w:val="both"/>
      </w:pPr>
      <w:r>
        <w:rPr>
          <w:sz w:val="20"/>
        </w:rPr>
        <w:t xml:space="preserve">- оценка российских и мировых потребностей в товарах и услугах с целью своевременного реагирования на изменение запросов рынка труда под текущие реалии, в том числе в сфере инновационных и коммуникационных технологий;</w:t>
      </w:r>
    </w:p>
    <w:p>
      <w:pPr>
        <w:pStyle w:val="0"/>
        <w:spacing w:before="200" w:line-rule="auto"/>
        <w:ind w:firstLine="540"/>
        <w:jc w:val="both"/>
      </w:pPr>
      <w:r>
        <w:rPr>
          <w:sz w:val="20"/>
        </w:rPr>
        <w:t xml:space="preserve">- содействие гражданам в поиске подходящей работы, работодателям в подборе необходимых работников;</w:t>
      </w:r>
    </w:p>
    <w:p>
      <w:pPr>
        <w:pStyle w:val="0"/>
        <w:spacing w:before="200" w:line-rule="auto"/>
        <w:ind w:firstLine="540"/>
        <w:jc w:val="both"/>
      </w:pPr>
      <w:r>
        <w:rPr>
          <w:sz w:val="20"/>
        </w:rPr>
        <w:t xml:space="preserve">- содействие развитию гибких трудовых отношений, в том числе дистанционных форм занятости;</w:t>
      </w:r>
    </w:p>
    <w:p>
      <w:pPr>
        <w:pStyle w:val="0"/>
        <w:spacing w:before="200" w:line-rule="auto"/>
        <w:ind w:firstLine="540"/>
        <w:jc w:val="both"/>
      </w:pPr>
      <w:r>
        <w:rPr>
          <w:sz w:val="20"/>
        </w:rPr>
        <w:t xml:space="preserve">- развитие профессиональных навыков и компетенций (профессиональная ориентация граждан, профессиональное обучение и дополнительное профессиональное образование безработных граждан, граждан, ищущих работу, отдельных категорий граждан, опережающее профессиональное обучение работников, находящихся под угрозой увольнения, работников предприятий, реализующих инвестиционные проекты, стажировки выпускников образовательных организаций и граждан, ищущих работу);</w:t>
      </w:r>
    </w:p>
    <w:p>
      <w:pPr>
        <w:pStyle w:val="0"/>
        <w:spacing w:before="200" w:line-rule="auto"/>
        <w:ind w:firstLine="540"/>
        <w:jc w:val="both"/>
      </w:pPr>
      <w:r>
        <w:rPr>
          <w:sz w:val="20"/>
        </w:rPr>
        <w:t xml:space="preserve">- улучшение условий и охраны труда за счет превентивных мер, направленных на снижение производственного травматизма и профессиональной заболеваемости, осуществление непрерывной подготовки работников по охране труда;</w:t>
      </w:r>
    </w:p>
    <w:p>
      <w:pPr>
        <w:pStyle w:val="0"/>
        <w:spacing w:before="200" w:line-rule="auto"/>
        <w:ind w:firstLine="540"/>
        <w:jc w:val="both"/>
      </w:pPr>
      <w:r>
        <w:rPr>
          <w:sz w:val="20"/>
        </w:rPr>
        <w:t xml:space="preserve">- привлечение высококвалифицированных трудовых ресурсов (мигрантов), обладающих компетенциями, необходимыми для развития приоритетных отраслей и территорий, в том числе в рамках мероприятий по переселению соотечественников, проживающих за рубежом.</w:t>
      </w:r>
    </w:p>
    <w:p>
      <w:pPr>
        <w:pStyle w:val="2"/>
        <w:spacing w:before="200" w:line-rule="auto"/>
        <w:outlineLvl w:val="5"/>
        <w:ind w:firstLine="540"/>
        <w:jc w:val="both"/>
      </w:pPr>
      <w:r>
        <w:rPr>
          <w:sz w:val="20"/>
        </w:rPr>
        <w:t xml:space="preserve">Задача 1.1.2. Обеспечение эффективного функционирования системы социальных гарантий (социальной защиты) населения (СОЦИАЛЬНАЯ ЗАЩИТА)</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повышение социальной обеспеченности и социального благополучия населения, социальная поддержка отдельных категорий граждан и сокращение бедности;</w:t>
      </w:r>
    </w:p>
    <w:p>
      <w:pPr>
        <w:pStyle w:val="0"/>
        <w:spacing w:before="200" w:line-rule="auto"/>
        <w:ind w:firstLine="540"/>
        <w:jc w:val="both"/>
      </w:pPr>
      <w:r>
        <w:rPr>
          <w:sz w:val="20"/>
        </w:rPr>
        <w:t xml:space="preserve">- унификация системы предоставления мер социальной поддержки;</w:t>
      </w:r>
    </w:p>
    <w:p>
      <w:pPr>
        <w:pStyle w:val="0"/>
        <w:spacing w:before="200" w:line-rule="auto"/>
        <w:ind w:firstLine="540"/>
        <w:jc w:val="both"/>
      </w:pPr>
      <w:r>
        <w:rPr>
          <w:sz w:val="20"/>
        </w:rPr>
        <w:t xml:space="preserve">- применение принципов адресности и нуждаемости при предоставлении мер социальной поддержки;</w:t>
      </w:r>
    </w:p>
    <w:p>
      <w:pPr>
        <w:pStyle w:val="0"/>
        <w:spacing w:before="200" w:line-rule="auto"/>
        <w:ind w:firstLine="540"/>
        <w:jc w:val="both"/>
      </w:pPr>
      <w:r>
        <w:rPr>
          <w:sz w:val="20"/>
        </w:rPr>
        <w:t xml:space="preserve">- создание системы долговременного ухода за гражданами пожилого возраста и инвалидами с учетом межведомственного взаимодействия, включая внедрение современных технологий социального обслуживания, развитие семейного ухода;</w:t>
      </w:r>
    </w:p>
    <w:p>
      <w:pPr>
        <w:pStyle w:val="0"/>
        <w:spacing w:before="200" w:line-rule="auto"/>
        <w:ind w:firstLine="540"/>
        <w:jc w:val="both"/>
      </w:pPr>
      <w:r>
        <w:rPr>
          <w:sz w:val="20"/>
        </w:rPr>
        <w:t xml:space="preserve">- расширение практики по социальному сопровождению граждан пожилого возраста и инвалидов, семей с детьми с привлечением заинтересованных ведомств и организаций;</w:t>
      </w:r>
    </w:p>
    <w:p>
      <w:pPr>
        <w:pStyle w:val="0"/>
        <w:spacing w:before="200" w:line-rule="auto"/>
        <w:ind w:firstLine="540"/>
        <w:jc w:val="both"/>
      </w:pPr>
      <w:r>
        <w:rPr>
          <w:sz w:val="20"/>
        </w:rPr>
        <w:t xml:space="preserve">- повышение качества жизни пожилых людей, в том числе финансовое обеспечение граждан старшего поколения, стимулирование их занятости, совершенствование системы охраны здоровья, обеспечение доступа к информационным и образовательным ресурсам, создание условий для организации досуга, развития рынка социальных услуг, содействие социальной активности, участию в жизни общества;</w:t>
      </w:r>
    </w:p>
    <w:p>
      <w:pPr>
        <w:pStyle w:val="0"/>
        <w:spacing w:before="200" w:line-rule="auto"/>
        <w:ind w:firstLine="540"/>
        <w:jc w:val="both"/>
      </w:pPr>
      <w:r>
        <w:rPr>
          <w:sz w:val="20"/>
        </w:rPr>
        <w:t xml:space="preserve">- реализация проекта "Доступная среда", в том числе повышение уровня доступности ключевых объектов и услуг, в том числе медико-социальных и реабилитационных, в приоритетных сферах жизнедеятельности инвалидов и других маломобильных групп населения; создание условий для самореализации инвалидов посредством физической культуры, спорта, культуры и творчества;</w:t>
      </w:r>
    </w:p>
    <w:p>
      <w:pPr>
        <w:pStyle w:val="0"/>
        <w:spacing w:before="200" w:line-rule="auto"/>
        <w:ind w:firstLine="540"/>
        <w:jc w:val="both"/>
      </w:pPr>
      <w:r>
        <w:rPr>
          <w:sz w:val="20"/>
        </w:rPr>
        <w:t xml:space="preserve">- поэтапный доступ социально ориентированных некоммерческих организаций, негосударственных организаций, социальных предпринимателей, осуществляющих деятельность в социальной сфере, к бюджетным средствам, выделяемым на предоставление социальных услуг населению, использование различных форм поддержки деятельности социально ориентированных некоммерческих организаций;</w:t>
      </w:r>
    </w:p>
    <w:p>
      <w:pPr>
        <w:pStyle w:val="0"/>
        <w:spacing w:before="200" w:line-rule="auto"/>
        <w:ind w:firstLine="540"/>
        <w:jc w:val="both"/>
      </w:pPr>
      <w:r>
        <w:rPr>
          <w:sz w:val="20"/>
        </w:rPr>
        <w:t xml:space="preserve">- оптимизация сети государственных учреждений социального обслуживания. Развитие практики реализации проектов государственно-частного партнерства с целью расширения числа источников средств на предоставление социальных услуг, развитие благотворительности, добровольчества (волонтерства) и стимулирование иных источников социальной поддержки;</w:t>
      </w:r>
    </w:p>
    <w:p>
      <w:pPr>
        <w:pStyle w:val="0"/>
        <w:spacing w:before="200" w:line-rule="auto"/>
        <w:ind w:firstLine="540"/>
        <w:jc w:val="both"/>
      </w:pPr>
      <w:r>
        <w:rPr>
          <w:sz w:val="20"/>
        </w:rPr>
        <w:t xml:space="preserve">- создание комфортной социальной среды региона путем внедрения новых, востребованных населением социальных услуг;</w:t>
      </w:r>
    </w:p>
    <w:p>
      <w:pPr>
        <w:pStyle w:val="0"/>
        <w:spacing w:before="200" w:line-rule="auto"/>
        <w:ind w:firstLine="540"/>
        <w:jc w:val="both"/>
      </w:pPr>
      <w:r>
        <w:rPr>
          <w:sz w:val="20"/>
        </w:rPr>
        <w:t xml:space="preserve">- повышение уровня доступности предоставления социальных услуг гражданам, проживающим в удаленных районах и в сельской местности путем повышения эффективности работы участковых служб организаций социального обслуживания и мобильных мультидисциплинарных бригад во всех муниципальных образованиях;</w:t>
      </w:r>
    </w:p>
    <w:p>
      <w:pPr>
        <w:pStyle w:val="0"/>
        <w:spacing w:before="200" w:line-rule="auto"/>
        <w:ind w:firstLine="540"/>
        <w:jc w:val="both"/>
      </w:pPr>
      <w:r>
        <w:rPr>
          <w:sz w:val="20"/>
        </w:rPr>
        <w:t xml:space="preserve">- совершенствование действующей системы независимой оценки качества предоставляемых услуг с целью обеспечения наиболее объективной оценки деятельности организаций социального обслуживания Тюменской области.</w:t>
      </w:r>
    </w:p>
    <w:p>
      <w:pPr>
        <w:pStyle w:val="0"/>
        <w:spacing w:before="200" w:line-rule="auto"/>
        <w:ind w:firstLine="540"/>
        <w:jc w:val="both"/>
      </w:pPr>
      <w:r>
        <w:rPr>
          <w:sz w:val="20"/>
        </w:rPr>
        <w:t xml:space="preserve">Ключевым проектом, в значительной степени обеспечивающим достижение поставленной цели в долгосрочной перспективе, станет "Социальный аутсорсинг" - проект, предусматривающий передачу к концу 2020 года до 10% бюджетных средств негосударственным организациям на предоставление услуг, в общем объеме средств бюджета, выделяемых на предоставление услуг в социальной сфере.</w:t>
      </w:r>
    </w:p>
    <w:p>
      <w:pPr>
        <w:pStyle w:val="0"/>
        <w:spacing w:before="200" w:line-rule="auto"/>
        <w:ind w:firstLine="540"/>
        <w:jc w:val="both"/>
      </w:pPr>
      <w:r>
        <w:rPr>
          <w:sz w:val="20"/>
        </w:rPr>
        <w:t xml:space="preserve">В рамках проекта будут решены следующие задачи: реализация механизмов поддержки социально ориентированных некоммерческих организаций и социального предпринимательства; обеспечение доступа негосударственных организаций к предоставлению услуг в социальной сфере; внедрение конкурентных способов оказания государственных (муниципальных) услуг в социальной сфере; снижение административных барьеров для социально ориентированных некоммерческих организаций - поставщиков услуг в социальной сфере; реструктуризация сети государственных учреждений с целью передачи оказания социальных услуг негосударственным поставщикам.</w:t>
      </w:r>
    </w:p>
    <w:p>
      <w:pPr>
        <w:pStyle w:val="2"/>
        <w:spacing w:before="200" w:line-rule="auto"/>
        <w:outlineLvl w:val="5"/>
        <w:ind w:firstLine="540"/>
        <w:jc w:val="both"/>
      </w:pPr>
      <w:r>
        <w:rPr>
          <w:sz w:val="20"/>
        </w:rPr>
        <w:t xml:space="preserve">Задача 1.1.3. Обеспечение населения доступным и комфортным жильем (ДОСТУПНОЕ И КОМФОРТНОЕ ЖИЛЬЕ)</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улучшение комфортности жилищных условий населения за счет поддержки и стимулирования жилищного строительства (в том числе вовлечение в жилищное строительство земельных участков, находящихся в федеральной собственности; обеспечение земельных участков объектами инженерной, транспортной и социальной инфраструктуры для строительства стандартного жилья; сохранение программ по улучшению жилищных условий отдельных категорий граждан; уменьшение доли аварийного жилья);</w:t>
      </w:r>
    </w:p>
    <w:p>
      <w:pPr>
        <w:pStyle w:val="0"/>
        <w:spacing w:before="200" w:line-rule="auto"/>
        <w:ind w:firstLine="540"/>
        <w:jc w:val="both"/>
      </w:pPr>
      <w:r>
        <w:rPr>
          <w:sz w:val="20"/>
        </w:rPr>
        <w:t xml:space="preserve">- развитие малоэтажного жилищного строительства, включая типовые комплексные загородные проекты малоэтажного каркасного и деревянного домостроения, обеспечивающие высокую скорость строительства, экологичность, функциональность при сравнительно низких показателях стоимости;</w:t>
      </w:r>
    </w:p>
    <w:p>
      <w:pPr>
        <w:pStyle w:val="0"/>
        <w:spacing w:before="200" w:line-rule="auto"/>
        <w:ind w:firstLine="540"/>
        <w:jc w:val="both"/>
      </w:pPr>
      <w:r>
        <w:rPr>
          <w:sz w:val="20"/>
        </w:rPr>
        <w:t xml:space="preserve">- развитие арендного и наемного жилья с учетом потребностей различных групп населения; стимулирование строительства наемных домов социального использования частными инвесторами и сдача в аренду нуждающимся группам населения;</w:t>
      </w:r>
    </w:p>
    <w:p>
      <w:pPr>
        <w:pStyle w:val="0"/>
        <w:spacing w:before="200" w:line-rule="auto"/>
        <w:ind w:firstLine="540"/>
        <w:jc w:val="both"/>
      </w:pPr>
      <w:r>
        <w:rPr>
          <w:sz w:val="20"/>
        </w:rPr>
        <w:t xml:space="preserve">- благоустройство и повышение энергетической эффективности жилищного фонда, что предполагает проведение энергоаудитов и энергосберегающих мероприятий, реализацию планов по капитальному ремонту, обновлению инженерно-технических систем и благоустройству многоквартирных домов с учетом современных требований;</w:t>
      </w:r>
    </w:p>
    <w:p>
      <w:pPr>
        <w:pStyle w:val="0"/>
        <w:spacing w:before="200" w:line-rule="auto"/>
        <w:ind w:firstLine="540"/>
        <w:jc w:val="both"/>
      </w:pPr>
      <w:r>
        <w:rPr>
          <w:sz w:val="20"/>
        </w:rPr>
        <w:t xml:space="preserve">- обеспечение сокращения непригодного для проживания жилищного фонда, а также расселения граждан в новое благоустроенное жилье, соответствующее современным стандартам качества;</w:t>
      </w:r>
    </w:p>
    <w:p>
      <w:pPr>
        <w:pStyle w:val="0"/>
        <w:spacing w:before="200" w:line-rule="auto"/>
        <w:ind w:firstLine="540"/>
        <w:jc w:val="both"/>
      </w:pPr>
      <w:r>
        <w:rPr>
          <w:sz w:val="20"/>
        </w:rPr>
        <w:t xml:space="preserve">- повышение качества предоставляемых коммунальных услуг с учетом требований ресурсо- и энергосбережения, включая мероприятия по повышению надежности и эффективности систем тепло-, водо- и газоснабжения за счет обновления и развития коммунальной инфраструктуры, оптимизации схем энерго- и теплоснабжения с учетом современных инженерно-технических возможностей, модернизации инженерного оборудования и внедрения современных ресурсосберегающих технологий; снижению уровня потерь и повышению надежности работы коммунальной инфраструктуры; созданию инфраструктуры автономной теплогенерации с использованием местного топлива (включая биотопливо) и системы ее сервисного обслуживания на территории Тюменской области; строительству павильонов подготовки питьевой воды в малых сельских населенных пунктах области; развитию систем ливневой канализации;</w:t>
      </w:r>
    </w:p>
    <w:p>
      <w:pPr>
        <w:pStyle w:val="0"/>
        <w:spacing w:before="200" w:line-rule="auto"/>
        <w:ind w:firstLine="540"/>
        <w:jc w:val="both"/>
      </w:pPr>
      <w:r>
        <w:rPr>
          <w:sz w:val="20"/>
        </w:rPr>
        <w:t xml:space="preserve">- заключение концессионных соглашений по управлению объектами коммунальной инфраструктуры (теплоснабжения, водоснабжения и водоотведения), в том числе передача в концессию объектов ЖКХ, признанных неэффективными.</w:t>
      </w:r>
    </w:p>
    <w:p>
      <w:pPr>
        <w:pStyle w:val="2"/>
        <w:spacing w:before="200" w:line-rule="auto"/>
        <w:outlineLvl w:val="5"/>
        <w:ind w:firstLine="540"/>
        <w:jc w:val="both"/>
      </w:pPr>
      <w:r>
        <w:rPr>
          <w:sz w:val="20"/>
        </w:rPr>
        <w:t xml:space="preserve">Задача 1.1.4. Повышение безопасности жизни населения (БЕЗОПАСНОСТЬ)</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повышение общего уровня общественной безопасности, правопорядка и безопасности среды обитания за счет существенного улучшения координации деятельности сил и служб, ответственных за решение этих задач путем внедрения в муниципальных образованиях комплексных информационных систем, обеспечивающих прогнозирование, мониторинг, предупреждение и ликвидацию возможных угроз, а также контроль устранения последствий чрезвычайных ситуаций и правонарушений;</w:t>
      </w:r>
    </w:p>
    <w:p>
      <w:pPr>
        <w:pStyle w:val="0"/>
        <w:spacing w:before="200" w:line-rule="auto"/>
        <w:ind w:firstLine="540"/>
        <w:jc w:val="both"/>
      </w:pPr>
      <w:r>
        <w:rPr>
          <w:sz w:val="20"/>
        </w:rPr>
        <w:t xml:space="preserve">- обеспечение безопасности дорожного движения (предполагается развитие системы предупреждения опасного поведения участников дорожного движения, повышение уровня технического состояния эксплуатируемых транспортных средств, требований к подготовке водителей на получение права на управление транспортными средствами и требований к автошколам, осуществляющим такую подготовку; обеспечение безопасного участия детей в дорожном движении; развитие системы организации движения транспортных средств и пешеходов, повышение безопасности дорожных условий; развитие системы оказания помощи пострадавшим в дорожно-транспортных происшествиях);</w:t>
      </w:r>
    </w:p>
    <w:p>
      <w:pPr>
        <w:pStyle w:val="0"/>
        <w:spacing w:before="200" w:line-rule="auto"/>
        <w:ind w:firstLine="540"/>
        <w:jc w:val="both"/>
      </w:pPr>
      <w:r>
        <w:rPr>
          <w:sz w:val="20"/>
        </w:rPr>
        <w:t xml:space="preserve">- минимизация ущерба, наносимого населению от неблагоприятных внешних воздействий, в том числе чрезвычайных ситуаций (реализация мероприятий будет направлена на обеспечение эффективного предупреждения и ликвидации чрезвычайных ситуаций природного и техногенного характера, пожаров, происшествий на водных объектах, а также поддержание высокой готовности сил и средств систем гражданской обороны, защиты населения и территорий, связанных с ликвидацией наступивших неблагоприятных событий, формирование культуры безопасности жизнедеятельности населения), ключевыми элементами направления станут создание комплексной системы экстренного оповещения населения об угрозе возникновения или о возникновении чрезвычайных ситуаций, реализация полномочий органов государственной власти субъекта Российской Федерации, органов местного самоуправления в части, касающейся выработки предложений по определению штатной численности и мест дислокации подразделений пожарной охраны, систематизация форм и методов проведения профилактических мероприятий;</w:t>
      </w:r>
    </w:p>
    <w:p>
      <w:pPr>
        <w:pStyle w:val="0"/>
        <w:spacing w:before="200" w:line-rule="auto"/>
        <w:ind w:firstLine="540"/>
        <w:jc w:val="both"/>
      </w:pPr>
      <w:r>
        <w:rPr>
          <w:sz w:val="20"/>
        </w:rPr>
        <w:t xml:space="preserve">- обеспечение эффективного предупреждения и ликвидации пожаров (дальнейшее развитие и внедрение организационных, технических, социально-экономических и других мер, направленных на профилактику пожаров; повышение эффективности функционирования территориальных и функциональных подсистем единой государственной системы предупреждения и ликвидации чрезвычайных ситуаций в части, касающейся профилактики и тушения пожаров; реализация комплекса мер по работе с гражданами, входящими в группы риска; осуществление комплекса мероприятий по обеспечению пожарной безопасности населенных пунктов, формирование системы их жизнеобеспечения на основе анализа пожарного риска; разработка и применение эффективных технологий тушения пожаров; обучение населения мерам пожарной безопасности и действиям при пожаре; осуществление комплексного контроля территориальных подсистем единой государственной системы предупреждения и ликвидации чрезвычайных ситуаций для оценки готовности субъекта Российской Федерации к пожароопасному сезону; проведение комплексных учений по отработке взаимодействия при ликвидации чрезвычайных ситуаций, связанных с пожарами, а также по обеспечению пожарной безопасности населенных пунктов; обеспечение эффективного функционирования и развития противопожарной службы Тюменской области);</w:t>
      </w:r>
    </w:p>
    <w:p>
      <w:pPr>
        <w:pStyle w:val="0"/>
        <w:spacing w:before="200" w:line-rule="auto"/>
        <w:ind w:firstLine="540"/>
        <w:jc w:val="both"/>
      </w:pPr>
      <w:r>
        <w:rPr>
          <w:sz w:val="20"/>
        </w:rPr>
        <w:t xml:space="preserve">- обеспечение безопасности жизни людей на водных объектах (ключевые элементы направления - увеличение количества муниципальных пляжей, создание спасательных постов в традиционно сложившихся несанкционированных местах массового отдыха людей на водных объектах, совершенствование системы профилактики несчастных случаев на водных объектах, развитие системы подготовки населения по вопросам обеспечения безопасности людей на водных объектах);</w:t>
      </w:r>
    </w:p>
    <w:p>
      <w:pPr>
        <w:pStyle w:val="0"/>
        <w:spacing w:before="200" w:line-rule="auto"/>
        <w:ind w:firstLine="540"/>
        <w:jc w:val="both"/>
      </w:pPr>
      <w:r>
        <w:rPr>
          <w:sz w:val="20"/>
        </w:rPr>
        <w:t xml:space="preserve">- обеспечение информационной безопасности граждан, отражение информационных угроз и ликвидация их последствий (создание и развитие систем нормативно-правовой, информационной, технологической помощи в обнаружении, предупреждении, предотвращении и отражении угроз информационной безопасности; формирование ответственного отношения граждан к использованию информационных технологий).</w:t>
      </w:r>
    </w:p>
    <w:p>
      <w:pPr>
        <w:pStyle w:val="0"/>
        <w:jc w:val="both"/>
      </w:pPr>
      <w:r>
        <w:rPr>
          <w:sz w:val="20"/>
        </w:rPr>
      </w:r>
    </w:p>
    <w:p>
      <w:pPr>
        <w:pStyle w:val="2"/>
        <w:outlineLvl w:val="4"/>
        <w:ind w:firstLine="540"/>
        <w:jc w:val="both"/>
      </w:pPr>
      <w:r>
        <w:rPr>
          <w:sz w:val="20"/>
        </w:rPr>
        <w:t xml:space="preserve">Цель 1.2. Развитие человеческого капитала, обеспечивающего конкурентоспособность Тюменской области и создание новых форматов качества и образа жизни (РАЗВИТИЕ ЧЕЛОВЕЧЕСКОГО КАПИТАЛА)</w:t>
      </w:r>
    </w:p>
    <w:p>
      <w:pPr>
        <w:pStyle w:val="2"/>
        <w:spacing w:before="200" w:line-rule="auto"/>
        <w:outlineLvl w:val="5"/>
        <w:ind w:firstLine="540"/>
        <w:jc w:val="both"/>
      </w:pPr>
      <w:r>
        <w:rPr>
          <w:sz w:val="20"/>
        </w:rPr>
        <w:t xml:space="preserve">Задача 1.2.1. Повышение уровня здоровья и продление активного долголетия населения (ЗДОРОВЬЕ И ДОЛГОЛЕТИЕ)</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повышение эффективности медицинских услуг в соответствии с потребностями населения;</w:t>
      </w:r>
    </w:p>
    <w:p>
      <w:pPr>
        <w:pStyle w:val="0"/>
        <w:spacing w:before="200" w:line-rule="auto"/>
        <w:ind w:firstLine="540"/>
        <w:jc w:val="both"/>
      </w:pPr>
      <w:r>
        <w:rPr>
          <w:sz w:val="20"/>
        </w:rPr>
        <w:t xml:space="preserve">- сохранение и развитие кадрового потенциала здравоохранения, в том числе:</w:t>
      </w:r>
    </w:p>
    <w:p>
      <w:pPr>
        <w:pStyle w:val="0"/>
        <w:spacing w:before="200" w:line-rule="auto"/>
        <w:ind w:firstLine="540"/>
        <w:jc w:val="both"/>
      </w:pPr>
      <w:r>
        <w:rPr>
          <w:sz w:val="20"/>
        </w:rPr>
        <w:t xml:space="preserve">повышение охвата медицинских работников программами повышения квалификации, в том числе в системе непрерывного медицинского образования;</w:t>
      </w:r>
    </w:p>
    <w:p>
      <w:pPr>
        <w:pStyle w:val="0"/>
        <w:spacing w:before="200" w:line-rule="auto"/>
        <w:ind w:firstLine="540"/>
        <w:jc w:val="both"/>
      </w:pPr>
      <w:r>
        <w:rPr>
          <w:sz w:val="20"/>
        </w:rPr>
        <w:t xml:space="preserve">привлечение высококвалифицированных кадров в отрасль здравоохранения;</w:t>
      </w:r>
    </w:p>
    <w:p>
      <w:pPr>
        <w:pStyle w:val="0"/>
        <w:spacing w:before="200" w:line-rule="auto"/>
        <w:ind w:firstLine="540"/>
        <w:jc w:val="both"/>
      </w:pPr>
      <w:r>
        <w:rPr>
          <w:sz w:val="20"/>
        </w:rPr>
        <w:t xml:space="preserve">формирование имиджа отрасли здравоохранения и престижа медицинской профессии как среди коллективов учреждений здравоохранения, так и среди населения;</w:t>
      </w:r>
    </w:p>
    <w:p>
      <w:pPr>
        <w:pStyle w:val="0"/>
        <w:spacing w:before="200" w:line-rule="auto"/>
        <w:ind w:firstLine="540"/>
        <w:jc w:val="both"/>
      </w:pPr>
      <w:r>
        <w:rPr>
          <w:sz w:val="20"/>
        </w:rPr>
        <w:t xml:space="preserve">- внедрение инновационных технологий в здравоохранение:</w:t>
      </w:r>
    </w:p>
    <w:p>
      <w:pPr>
        <w:pStyle w:val="0"/>
        <w:spacing w:before="200" w:line-rule="auto"/>
        <w:ind w:firstLine="540"/>
        <w:jc w:val="both"/>
      </w:pPr>
      <w:r>
        <w:rPr>
          <w:sz w:val="20"/>
        </w:rPr>
        <w:t xml:space="preserve">создание единого цифрового контура взаимодействия медицинских организаций, развитие телемедицинских технологий;</w:t>
      </w:r>
    </w:p>
    <w:p>
      <w:pPr>
        <w:pStyle w:val="0"/>
        <w:spacing w:before="200" w:line-rule="auto"/>
        <w:ind w:firstLine="540"/>
        <w:jc w:val="both"/>
      </w:pPr>
      <w:r>
        <w:rPr>
          <w:sz w:val="20"/>
        </w:rPr>
        <w:t xml:space="preserve">внедрение унифицированной аналитической системы оценки качества оказываемых медицинских услуг, учета оказанных услуг и затрат отрасли;</w:t>
      </w:r>
    </w:p>
    <w:p>
      <w:pPr>
        <w:pStyle w:val="0"/>
        <w:spacing w:before="200" w:line-rule="auto"/>
        <w:ind w:firstLine="540"/>
        <w:jc w:val="both"/>
      </w:pPr>
      <w:r>
        <w:rPr>
          <w:sz w:val="20"/>
        </w:rPr>
        <w:t xml:space="preserve">- проведение структурных преобразований системы оказания медицинской помощи, в том числе:</w:t>
      </w:r>
    </w:p>
    <w:p>
      <w:pPr>
        <w:pStyle w:val="0"/>
        <w:spacing w:before="200" w:line-rule="auto"/>
        <w:ind w:firstLine="540"/>
        <w:jc w:val="both"/>
      </w:pPr>
      <w:r>
        <w:rPr>
          <w:sz w:val="20"/>
        </w:rPr>
        <w:t xml:space="preserve">совершенствование работы служб поликлиники и схем их взаимодействия с повышением роли медицинской профилактики, внедрением современных технологий в лечении;</w:t>
      </w:r>
    </w:p>
    <w:p>
      <w:pPr>
        <w:pStyle w:val="0"/>
        <w:spacing w:before="200" w:line-rule="auto"/>
        <w:ind w:firstLine="540"/>
        <w:jc w:val="both"/>
      </w:pPr>
      <w:r>
        <w:rPr>
          <w:sz w:val="20"/>
        </w:rPr>
        <w:t xml:space="preserve">создание в медицинских организациях, оказывающих специализированную медицинскую помощь, служб маршрутизации, ответственных за организацию долечивания и реабилитации выписывающихся больных, а также внедрение новых, в том числе инновационных, медицинских технологий;</w:t>
      </w:r>
    </w:p>
    <w:p>
      <w:pPr>
        <w:pStyle w:val="0"/>
        <w:spacing w:before="200" w:line-rule="auto"/>
        <w:ind w:firstLine="540"/>
        <w:jc w:val="both"/>
      </w:pPr>
      <w:r>
        <w:rPr>
          <w:sz w:val="20"/>
        </w:rPr>
        <w:t xml:space="preserve">- создание системы, обеспечивающей доступность медицинской помощи, в том числе:</w:t>
      </w:r>
    </w:p>
    <w:p>
      <w:pPr>
        <w:pStyle w:val="0"/>
        <w:spacing w:before="200" w:line-rule="auto"/>
        <w:ind w:firstLine="540"/>
        <w:jc w:val="both"/>
      </w:pPr>
      <w:r>
        <w:rPr>
          <w:sz w:val="20"/>
        </w:rPr>
        <w:t xml:space="preserve">увеличение объема медицинской помощи, оказываемой в амбулаторных условиях и в условиях дневных стационаров;</w:t>
      </w:r>
    </w:p>
    <w:p>
      <w:pPr>
        <w:pStyle w:val="0"/>
        <w:spacing w:before="200" w:line-rule="auto"/>
        <w:ind w:firstLine="540"/>
        <w:jc w:val="both"/>
      </w:pPr>
      <w:r>
        <w:rPr>
          <w:sz w:val="20"/>
        </w:rPr>
        <w:t xml:space="preserve">оснащение учреждений здравоохранения в сельской местности, имеющих поликлинические отделения, экспресс-лабораториями и другим диагностическим оборудованием, обучение кадров для работы с медицинским оборудованием;</w:t>
      </w:r>
    </w:p>
    <w:p>
      <w:pPr>
        <w:pStyle w:val="0"/>
        <w:spacing w:before="200" w:line-rule="auto"/>
        <w:ind w:firstLine="540"/>
        <w:jc w:val="both"/>
      </w:pPr>
      <w:r>
        <w:rPr>
          <w:sz w:val="20"/>
        </w:rPr>
        <w:t xml:space="preserve">ликвидация дефицита площадей медицинских учреждений путем строительства объектов первичного звена здравоохранения, а также замены аварийных и ветхих зданий ФАПов и офисов врачей общей практики на модульные сооружения;</w:t>
      </w:r>
    </w:p>
    <w:p>
      <w:pPr>
        <w:pStyle w:val="0"/>
        <w:spacing w:before="200" w:line-rule="auto"/>
        <w:ind w:firstLine="540"/>
        <w:jc w:val="both"/>
      </w:pPr>
      <w:r>
        <w:rPr>
          <w:sz w:val="20"/>
        </w:rPr>
        <w:t xml:space="preserve">снижение темпов распространения ВИЧ-инфекции и вирусных гепатитов B и C, туберкулеза, инфекций, передаваемых половым путем среди населения;</w:t>
      </w:r>
    </w:p>
    <w:p>
      <w:pPr>
        <w:pStyle w:val="0"/>
        <w:spacing w:before="200" w:line-rule="auto"/>
        <w:ind w:firstLine="540"/>
        <w:jc w:val="both"/>
      </w:pPr>
      <w:r>
        <w:rPr>
          <w:sz w:val="20"/>
        </w:rPr>
        <w:t xml:space="preserve">обеспечение отдельных категорий граждан лекарственными препаратами, медицинскими изделиями, специализированными продуктами лечебного питания в амбулаторных условиях;</w:t>
      </w:r>
    </w:p>
    <w:p>
      <w:pPr>
        <w:pStyle w:val="0"/>
        <w:spacing w:before="200" w:line-rule="auto"/>
        <w:ind w:firstLine="540"/>
        <w:jc w:val="both"/>
      </w:pPr>
      <w:r>
        <w:rPr>
          <w:sz w:val="20"/>
        </w:rPr>
        <w:t xml:space="preserve">вакцинопрофилактика;</w:t>
      </w:r>
    </w:p>
    <w:p>
      <w:pPr>
        <w:pStyle w:val="0"/>
        <w:spacing w:before="200" w:line-rule="auto"/>
        <w:ind w:firstLine="540"/>
        <w:jc w:val="both"/>
      </w:pPr>
      <w:r>
        <w:rPr>
          <w:sz w:val="20"/>
        </w:rPr>
        <w:t xml:space="preserve">обеспечение льготного зубо-, слухо-, глазопротезирования для отдельных категорий граждан;</w:t>
      </w:r>
    </w:p>
    <w:p>
      <w:pPr>
        <w:pStyle w:val="0"/>
        <w:spacing w:before="200" w:line-rule="auto"/>
        <w:ind w:firstLine="540"/>
        <w:jc w:val="both"/>
      </w:pPr>
      <w:r>
        <w:rPr>
          <w:sz w:val="20"/>
        </w:rPr>
        <w:t xml:space="preserve">повышение эффективности и доступности специализированной медицинской помощи, включая высокотехнологичную, скорой медицинской помощи, медицинской эвакуации;</w:t>
      </w:r>
    </w:p>
    <w:p>
      <w:pPr>
        <w:pStyle w:val="0"/>
        <w:spacing w:before="200" w:line-rule="auto"/>
        <w:ind w:firstLine="540"/>
        <w:jc w:val="both"/>
      </w:pPr>
      <w:r>
        <w:rPr>
          <w:sz w:val="20"/>
        </w:rPr>
        <w:t xml:space="preserve">обеспечение медицинской помощью неизлечимых больных, в том числе детей;</w:t>
      </w:r>
    </w:p>
    <w:p>
      <w:pPr>
        <w:pStyle w:val="0"/>
        <w:spacing w:before="200" w:line-rule="auto"/>
        <w:ind w:firstLine="540"/>
        <w:jc w:val="both"/>
      </w:pPr>
      <w:r>
        <w:rPr>
          <w:sz w:val="20"/>
        </w:rPr>
        <w:t xml:space="preserve">- повышение эффективности службы родовспоможения и детства;</w:t>
      </w:r>
    </w:p>
    <w:p>
      <w:pPr>
        <w:pStyle w:val="0"/>
        <w:spacing w:before="200" w:line-rule="auto"/>
        <w:ind w:firstLine="540"/>
        <w:jc w:val="both"/>
      </w:pPr>
      <w:r>
        <w:rPr>
          <w:sz w:val="20"/>
        </w:rPr>
        <w:t xml:space="preserve">- совершенствование системы территориального планирования и управления развитием отрасли здравоохранения; внедрение прогрессивных способов корпоративного управления отраслью, повышающих экономическую эффективность использования ресурсов, способствующих развитию инновационных методов диагностики и лечения.</w:t>
      </w:r>
    </w:p>
    <w:p>
      <w:pPr>
        <w:pStyle w:val="0"/>
        <w:spacing w:before="200" w:line-rule="auto"/>
        <w:ind w:firstLine="540"/>
        <w:jc w:val="both"/>
      </w:pPr>
      <w:r>
        <w:rPr>
          <w:sz w:val="20"/>
        </w:rPr>
        <w:t xml:space="preserve">Меры по увеличению рождаемости, сокращению смертности, увеличению продолжительности жизни, повышению уровня здоровья населения направлены на позитивное развитие демографической ситуации.</w:t>
      </w:r>
    </w:p>
    <w:p>
      <w:pPr>
        <w:pStyle w:val="0"/>
        <w:spacing w:before="200" w:line-rule="auto"/>
        <w:ind w:firstLine="540"/>
        <w:jc w:val="both"/>
      </w:pPr>
      <w:r>
        <w:rPr>
          <w:sz w:val="20"/>
        </w:rPr>
        <w:t xml:space="preserve">Ключевыми проектами, в значительной степени обеспечивающими достижение поставленной цели в долгосрочной перспективе, станут:</w:t>
      </w:r>
    </w:p>
    <w:p>
      <w:pPr>
        <w:pStyle w:val="0"/>
        <w:spacing w:before="200" w:line-rule="auto"/>
        <w:ind w:firstLine="540"/>
        <w:jc w:val="both"/>
      </w:pPr>
      <w:r>
        <w:rPr>
          <w:sz w:val="20"/>
        </w:rPr>
        <w:t xml:space="preserve">"Медицинский город" - проект, предусматривающий развитие инфраструктуры системы здравоохранения Тюменской области путем повышения доступности, эффективности и качества оказания специализированной, в том числе высокотехнологичной медицинской помощи, улучшения менеджмента медицинских учреждений, трансформации больничного сектора от моно- к мегапрофильности, повышение экономической эффективности и качества всей системы здравоохранения Тюменской области. В рамках проекта будет создано Единое цифровое пространство медицинских и специализированных служб города, что позволит существенно повысить эффективность работы медицинских учреждений, снизить их финансовые затраты и время оказания медицинской помощи каждому конкретному пациенту.</w:t>
      </w:r>
    </w:p>
    <w:p>
      <w:pPr>
        <w:pStyle w:val="0"/>
        <w:spacing w:before="200" w:line-rule="auto"/>
        <w:ind w:firstLine="540"/>
        <w:jc w:val="both"/>
      </w:pPr>
      <w:r>
        <w:rPr>
          <w:sz w:val="20"/>
        </w:rPr>
        <w:t xml:space="preserve">Проект объединит уже функционирующие организации здравоохранения различного профиля и организационно-правовых форм ("Областная клиническая больница N 1", "Федеральный центр нейрохирургии", акционерное общество "Медико-санитарная часть "Нефтяник", а также многопрофильный клинический центр и радиологический центр, являющиеся подразделениями государственного автономного учреждения здравоохранения Тюменской области "Многопрофильный клинический медицинский центр "Медицинский город" (МКМЦ "Медицинский город") и онкологический диспансер, строительство которого запланировано в рамках проекта).</w:t>
      </w:r>
    </w:p>
    <w:p>
      <w:pPr>
        <w:pStyle w:val="0"/>
        <w:spacing w:before="200" w:line-rule="auto"/>
        <w:ind w:firstLine="540"/>
        <w:jc w:val="both"/>
      </w:pPr>
      <w:r>
        <w:rPr>
          <w:sz w:val="20"/>
        </w:rPr>
        <w:t xml:space="preserve">Расширение функционала "Медицинского города" в области предоставления высокотехнологичной медицинской помощи детям по основным востребованным видам лечения и реабилитации обеспечит строительство Областной детской клинической больницы на 300 коек с поликлиникой на 150 посещений в смену. Деятельность этого учреждения будет направлена на снижение инвалидизации и смертности детского населения Тюменской области.</w:t>
      </w:r>
    </w:p>
    <w:p>
      <w:pPr>
        <w:pStyle w:val="0"/>
        <w:spacing w:before="200" w:line-rule="auto"/>
        <w:ind w:firstLine="540"/>
        <w:jc w:val="both"/>
      </w:pPr>
      <w:r>
        <w:rPr>
          <w:sz w:val="20"/>
        </w:rPr>
        <w:t xml:space="preserve">Больница станет крупнейшим детским специализированным многопрофильным лечебным учреждением в Тюменской области и обеспечит предоставление оплачиваемых государством услуг здравоохранения детям амбулаторно (поликлиника, многофункциональный корпус) и стационарно в виде неотложной, срочной и плановой помощи.</w:t>
      </w:r>
    </w:p>
    <w:p>
      <w:pPr>
        <w:pStyle w:val="0"/>
        <w:spacing w:before="200" w:line-rule="auto"/>
        <w:ind w:firstLine="540"/>
        <w:jc w:val="both"/>
      </w:pPr>
      <w:r>
        <w:rPr>
          <w:sz w:val="20"/>
        </w:rPr>
        <w:t xml:space="preserve">"Телемедицина" - проект, который осуществляется в целях обеспечения доступности медицинской помощи и повышения качества медицинских услуг на основе применения информационно-коммуникационных технологий. Около 50 медицинских организаций подключены к системе видео-конференц-связи, позволяющей проводить телемедицинские консультации и врачебные консилиумы, а также осуществлять дистанционное управление качеством медицинских услуг. Для обеспечения доступа пациентов в территориально удаленных и труднодоступных местах проживания к центрам специализированной медицинской помощи планируется внедрение телемедицинских консультаций "врач - пациент".</w:t>
      </w:r>
    </w:p>
    <w:p>
      <w:pPr>
        <w:pStyle w:val="0"/>
        <w:spacing w:before="200" w:line-rule="auto"/>
        <w:ind w:firstLine="540"/>
        <w:jc w:val="both"/>
      </w:pPr>
      <w:r>
        <w:rPr>
          <w:sz w:val="20"/>
        </w:rPr>
        <w:t xml:space="preserve">"Активное долголетие" - проект, нацеленный на повышение качества и доступности медицинской помощи для пожилых с целью содействия активному долголетию; увеличение продолжительности активной жизни населения за счет комплекса профилактических мероприятий, выявления заболеваний на ранних стадиях. В рамках проекта возможно создание на принципах государственно-частного партнерства Гериатрического центра (центров), пансионатов для пожилых людей.</w:t>
      </w:r>
    </w:p>
    <w:p>
      <w:pPr>
        <w:pStyle w:val="0"/>
        <w:spacing w:before="200" w:line-rule="auto"/>
        <w:ind w:firstLine="540"/>
        <w:jc w:val="both"/>
      </w:pPr>
      <w:r>
        <w:rPr>
          <w:sz w:val="20"/>
        </w:rPr>
        <w:t xml:space="preserve">С целью создания полноценных условий для активного долголетия населения региона необходимо функционирование межотраслевой системы, включающей комплекс ресурсов и услуг в образовательной, социальной, культурной, медицинской сфере, в сфере физической культуры и спорта, с привлечением добровольцев и волонтеров.</w:t>
      </w:r>
    </w:p>
    <w:p>
      <w:pPr>
        <w:pStyle w:val="0"/>
        <w:spacing w:before="200" w:line-rule="auto"/>
        <w:ind w:firstLine="540"/>
        <w:jc w:val="both"/>
      </w:pPr>
      <w:r>
        <w:rPr>
          <w:sz w:val="20"/>
        </w:rPr>
        <w:t xml:space="preserve">Одним из главных мероприятий стратегического развития здравоохранения является формирование потенциального медико-фармацевтического кластера, интегрированного с проектом "Медицинский город".</w:t>
      </w:r>
    </w:p>
    <w:p>
      <w:pPr>
        <w:pStyle w:val="2"/>
        <w:spacing w:before="200" w:line-rule="auto"/>
        <w:outlineLvl w:val="6"/>
        <w:ind w:firstLine="540"/>
        <w:jc w:val="both"/>
      </w:pPr>
      <w:r>
        <w:rPr>
          <w:sz w:val="20"/>
        </w:rPr>
        <w:t xml:space="preserve">Медико-фармацевтический кластер</w:t>
      </w:r>
    </w:p>
    <w:p>
      <w:pPr>
        <w:pStyle w:val="0"/>
        <w:spacing w:before="200" w:line-rule="auto"/>
        <w:ind w:firstLine="540"/>
        <w:jc w:val="both"/>
      </w:pPr>
      <w:r>
        <w:rPr>
          <w:sz w:val="20"/>
        </w:rPr>
        <w:t xml:space="preserve">Целевое видение: формирование современного медико-фармацевтического кластера с гибким клиентоориентированным управлением, обеспечивающего эффективное использование материальной базы, расширение межтерриториальных связей в предоставлении медицинских и реабилитационных услуг, развитие медицинского туризма.</w:t>
      </w:r>
    </w:p>
    <w:p>
      <w:pPr>
        <w:pStyle w:val="0"/>
        <w:spacing w:before="200" w:line-rule="auto"/>
        <w:ind w:firstLine="540"/>
        <w:jc w:val="both"/>
      </w:pPr>
      <w:r>
        <w:rPr>
          <w:sz w:val="20"/>
        </w:rPr>
        <w:t xml:space="preserve">Основания формирования кластера:</w:t>
      </w:r>
    </w:p>
    <w:p>
      <w:pPr>
        <w:pStyle w:val="0"/>
        <w:spacing w:before="200" w:line-rule="auto"/>
        <w:ind w:firstLine="540"/>
        <w:jc w:val="both"/>
      </w:pPr>
      <w:r>
        <w:rPr>
          <w:sz w:val="20"/>
        </w:rPr>
        <w:t xml:space="preserve">высокий уровень концентрации специализированных видов медицинской помощи;</w:t>
      </w:r>
    </w:p>
    <w:p>
      <w:pPr>
        <w:pStyle w:val="0"/>
        <w:spacing w:before="200" w:line-rule="auto"/>
        <w:ind w:firstLine="540"/>
        <w:jc w:val="both"/>
      </w:pPr>
      <w:r>
        <w:rPr>
          <w:sz w:val="20"/>
        </w:rPr>
        <w:t xml:space="preserve">многолетний опыт применения высоких технологий в лечении;</w:t>
      </w:r>
    </w:p>
    <w:p>
      <w:pPr>
        <w:pStyle w:val="0"/>
        <w:spacing w:before="200" w:line-rule="auto"/>
        <w:ind w:firstLine="540"/>
        <w:jc w:val="both"/>
      </w:pPr>
      <w:r>
        <w:rPr>
          <w:sz w:val="20"/>
        </w:rPr>
        <w:t xml:space="preserve">межтерриториальные связи при организации оказания медицинской помощи;</w:t>
      </w:r>
    </w:p>
    <w:p>
      <w:pPr>
        <w:pStyle w:val="0"/>
        <w:spacing w:before="200" w:line-rule="auto"/>
        <w:ind w:firstLine="540"/>
        <w:jc w:val="both"/>
      </w:pPr>
      <w:r>
        <w:rPr>
          <w:sz w:val="20"/>
        </w:rPr>
        <w:t xml:space="preserve">наличие клинической базы для совершенствования навыков и подготовки специалистов;</w:t>
      </w:r>
    </w:p>
    <w:p>
      <w:pPr>
        <w:pStyle w:val="0"/>
        <w:spacing w:before="200" w:line-rule="auto"/>
        <w:ind w:firstLine="540"/>
        <w:jc w:val="both"/>
      </w:pPr>
      <w:r>
        <w:rPr>
          <w:sz w:val="20"/>
        </w:rPr>
        <w:t xml:space="preserve">повышение эффективности лечения, реабилитации и сокращение периода нетрудоспособности пациентов за счет совместного использования материально-технических и кадровых ресурсов кластера.</w:t>
      </w:r>
    </w:p>
    <w:p>
      <w:pPr>
        <w:pStyle w:val="0"/>
        <w:spacing w:before="200" w:line-rule="auto"/>
        <w:ind w:firstLine="540"/>
        <w:jc w:val="both"/>
      </w:pPr>
      <w:r>
        <w:rPr>
          <w:sz w:val="20"/>
        </w:rPr>
        <w:t xml:space="preserve">Проблемы, требующие решения в рамках формирования кластера:</w:t>
      </w:r>
    </w:p>
    <w:p>
      <w:pPr>
        <w:pStyle w:val="0"/>
        <w:spacing w:before="200" w:line-rule="auto"/>
        <w:ind w:firstLine="540"/>
        <w:jc w:val="both"/>
      </w:pPr>
      <w:r>
        <w:rPr>
          <w:sz w:val="20"/>
        </w:rPr>
        <w:t xml:space="preserve">недостаточно развитая сеть организаций, осуществляющих второй и третий этапы медицинской нейрореабилитации и реабилитации по профилю онкология, проводимых с целью максимально возможной компенсации (или восстановления) нарушенных или утраченных функций организма и социальной адаптации больных, пострадавших и инвалидов;</w:t>
      </w:r>
    </w:p>
    <w:p>
      <w:pPr>
        <w:pStyle w:val="0"/>
        <w:spacing w:before="200" w:line-rule="auto"/>
        <w:ind w:firstLine="540"/>
        <w:jc w:val="both"/>
      </w:pPr>
      <w:r>
        <w:rPr>
          <w:sz w:val="20"/>
        </w:rPr>
        <w:t xml:space="preserve">отсутствие единой медицинской организации, оказывающей специализированную и высокотехнологичную помощь детскому населению;</w:t>
      </w:r>
    </w:p>
    <w:p>
      <w:pPr>
        <w:pStyle w:val="0"/>
        <w:spacing w:before="200" w:line-rule="auto"/>
        <w:ind w:firstLine="540"/>
        <w:jc w:val="both"/>
      </w:pPr>
      <w:r>
        <w:rPr>
          <w:sz w:val="20"/>
        </w:rPr>
        <w:t xml:space="preserve">отсутствие четко налаженного взаимодействия между медицинскими организациями, реабилитационными центрами и фармацевтическими компаниями, способствующего получению дополнительного эффекта за счет совместного использования возможностей и ресурсов по распределению и обслуживанию пациентов и медицинских туристов;</w:t>
      </w:r>
    </w:p>
    <w:p>
      <w:pPr>
        <w:pStyle w:val="0"/>
        <w:spacing w:before="200" w:line-rule="auto"/>
        <w:ind w:firstLine="540"/>
        <w:jc w:val="both"/>
      </w:pPr>
      <w:r>
        <w:rPr>
          <w:sz w:val="20"/>
        </w:rPr>
        <w:t xml:space="preserve">неразвитая маркетинговая инфраструктура по продвижению медицинских и реабилитационных услуг за пределами региона.</w:t>
      </w:r>
    </w:p>
    <w:p>
      <w:pPr>
        <w:pStyle w:val="0"/>
        <w:spacing w:before="200" w:line-rule="auto"/>
        <w:ind w:firstLine="540"/>
        <w:jc w:val="both"/>
      </w:pPr>
      <w:r>
        <w:rPr>
          <w:sz w:val="20"/>
        </w:rPr>
        <w:t xml:space="preserve">Перспективы и направления действий: формирование кластера позволит обеспечить население Тюменской области и соседних регионов современным, качественным лечением в медицинских учреждениях на европейском уровне; уменьшит потребности в направлении пациентов на лечение за пределы Тюменской области в федеральные и зарубежные клиники; увеличит поток пациентов из других регионов России; создаст условия для внедрения инновационных технологий на всех этапах диагностики лечения и дальнейшей реабилитации; обеспечит формирование имиджа Тюменской области как центра комплексной диагностики, лечения и после терапевтического восстановления и реабилитации; будет содействовать производству наукоемкой медицинской и фармацевтической продукции, способной конкурировать с зарубежными аналогами.</w:t>
      </w:r>
    </w:p>
    <w:p>
      <w:pPr>
        <w:pStyle w:val="0"/>
        <w:spacing w:before="200" w:line-rule="auto"/>
        <w:ind w:firstLine="540"/>
        <w:jc w:val="both"/>
      </w:pPr>
      <w:r>
        <w:rPr>
          <w:sz w:val="20"/>
        </w:rPr>
        <w:t xml:space="preserve">Приоритетное развитие проекта "Медицинский город" заключается в строительстве главного корпуса областного онкологического диспансера, центра инновационных образовательных технологий Тюменского медицинского университета, жилых домов с социальной инфраструктурой для медицинских работников. В условиях "Медицинского города" будет использован непрерывный замкнутый технологический цикл медицинской помощи с момента раннего диагностирования заболевания до осуществления всех этапов лечения и дальнейшей реабилитации. В состав современного медицинского комплекса войдут: амбулаторно-поликлинические учреждения; мощный диагностический блок, включающий лабораторию и другие диагностические службы; стационар высоких технологий; отделение реабилитации.</w:t>
      </w:r>
    </w:p>
    <w:p>
      <w:pPr>
        <w:pStyle w:val="0"/>
        <w:spacing w:before="200" w:line-rule="auto"/>
        <w:ind w:firstLine="540"/>
        <w:jc w:val="both"/>
      </w:pPr>
      <w:r>
        <w:rPr>
          <w:sz w:val="20"/>
        </w:rPr>
        <w:t xml:space="preserve">В регионе существует острая потребность в строительстве Областной детской клинической больницы на 300 коек с поликлиникой на 150 посещений в смену. Это позволит обеспечить оказание специализированной, в том числе высокотехнологичной, медицинской помощи детям по основным востребованным видам с "замкнутым" циклом от диагностики до лечения и реабилитации, что будет способствовать снижению показателей детской инвалидности и смертности. Строительство Областной детской клинической больницы как вновь создаваемого юридического лица запланировано на территории сети лечебно-профилактических учреждений "Медицинский город" в городе Тюмени.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outlineLvl w:val="7"/>
        <w:jc w:val="center"/>
      </w:pPr>
      <w:r>
        <w:rPr>
          <w:position w:val="-358"/>
        </w:rPr>
        <w:drawing>
          <wp:inline distT="0" distB="0" distL="0" distR="0">
            <wp:extent cx="6901180" cy="4681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6901180" cy="4681855"/>
                    </a:xfrm>
                    <a:prstGeom prst="rect">
                      <a:avLst/>
                    </a:prstGeom>
                    <a:noFill/>
                    <a:ln>
                      <a:noFill/>
                    </a:ln>
                  </pic:spPr>
                </pic:pic>
              </a:graphicData>
            </a:graphic>
          </wp:inline>
        </w:drawing>
      </w:r>
    </w:p>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2"/>
        <w:jc w:val="center"/>
      </w:pPr>
      <w:r>
        <w:rPr>
          <w:sz w:val="20"/>
        </w:rPr>
        <w:t xml:space="preserve">Рисунок 4 - Территориальное расположение участников</w:t>
      </w:r>
    </w:p>
    <w:p>
      <w:pPr>
        <w:pStyle w:val="2"/>
        <w:jc w:val="center"/>
      </w:pPr>
      <w:r>
        <w:rPr>
          <w:sz w:val="20"/>
        </w:rPr>
        <w:t xml:space="preserve">и инфраструктуры медико-фармацевтического кластера</w:t>
      </w:r>
    </w:p>
    <w:p>
      <w:pPr>
        <w:pStyle w:val="0"/>
        <w:jc w:val="both"/>
      </w:pPr>
      <w:r>
        <w:rPr>
          <w:sz w:val="20"/>
        </w:rPr>
      </w:r>
    </w:p>
    <w:p>
      <w:pPr>
        <w:pStyle w:val="0"/>
        <w:ind w:firstLine="540"/>
        <w:jc w:val="both"/>
      </w:pPr>
      <w:r>
        <w:rPr>
          <w:sz w:val="20"/>
        </w:rPr>
        <w:t xml:space="preserve">Научно-образовательный потенциал кластера заключается в активной кооперации медицинских и образовательных учреждений с целью обеспечения подготовки и переподготовки высококвалифицированных кадров, использовании научно-клинической и лабораторной базы для проведения исследований и внедрении новых технологий, разработки лекарственных средств.</w:t>
      </w:r>
    </w:p>
    <w:p>
      <w:pPr>
        <w:pStyle w:val="0"/>
        <w:spacing w:before="200" w:line-rule="auto"/>
        <w:ind w:firstLine="540"/>
        <w:jc w:val="both"/>
      </w:pPr>
      <w:r>
        <w:rPr>
          <w:sz w:val="20"/>
        </w:rPr>
        <w:t xml:space="preserve">Продуктовые направления:</w:t>
      </w:r>
    </w:p>
    <w:p>
      <w:pPr>
        <w:pStyle w:val="0"/>
        <w:spacing w:before="200" w:line-rule="auto"/>
        <w:ind w:firstLine="540"/>
        <w:jc w:val="both"/>
      </w:pPr>
      <w:r>
        <w:rPr>
          <w:sz w:val="20"/>
        </w:rPr>
        <w:t xml:space="preserve">- существующие - высокотехнологичные методики лечения, роботизированные операции, лечение радиофармпрепаратами, предоставлении реабилитационных услуг, образовательных услуг, разработка и производство лекарственных средств;</w:t>
      </w:r>
    </w:p>
    <w:p>
      <w:pPr>
        <w:pStyle w:val="0"/>
        <w:spacing w:before="200" w:line-rule="auto"/>
        <w:ind w:firstLine="540"/>
        <w:jc w:val="both"/>
      </w:pPr>
      <w:r>
        <w:rPr>
          <w:sz w:val="20"/>
        </w:rPr>
        <w:t xml:space="preserve">- новые - организация медицинской помощи по замкнутому циклу, включая комплексную диагностику, лечение, последующее восстановление и реабилитацию, инновационные технологии на базе Радиологического центра.</w:t>
      </w:r>
    </w:p>
    <w:p>
      <w:pPr>
        <w:pStyle w:val="0"/>
        <w:spacing w:before="200" w:line-rule="auto"/>
        <w:ind w:firstLine="540"/>
        <w:jc w:val="both"/>
      </w:pPr>
      <w:r>
        <w:rPr>
          <w:sz w:val="20"/>
        </w:rPr>
        <w:t xml:space="preserve">Потенциальные рынки сбыта: ТНВЭД 30 &lt;10&gt;: внутрироссийский рынок, Республика Беларусь, Казахстан, Киргизия, Таджикистан, Туркменистан, Узбекистан.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Фармацевтическая продукция. В соответствии с кодами ТНВЭД (товарной номенклатуры внешнеэкономической деятельности) и номенклатуры экспортируемой продукции: 30. Фармацевтическая продукция.</w:t>
      </w:r>
    </w:p>
    <w:p>
      <w:pPr>
        <w:pStyle w:val="0"/>
        <w:jc w:val="both"/>
      </w:pPr>
      <w:r>
        <w:rPr>
          <w:sz w:val="20"/>
        </w:rPr>
      </w:r>
    </w:p>
    <w:p>
      <w:pPr>
        <w:pStyle w:val="2"/>
        <w:outlineLvl w:val="5"/>
        <w:ind w:firstLine="540"/>
        <w:jc w:val="both"/>
      </w:pPr>
      <w:r>
        <w:rPr>
          <w:sz w:val="20"/>
        </w:rPr>
        <w:t xml:space="preserve">Задача 1.2.2. Создание условий, стимулирующих граждан к ведению здорового образа жизни (ЗДОРОВЫЙ ОБРАЗ ЖИЗНИ)</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увеличение доли граждан, систематически занимающихся физической культурой и спортом;</w:t>
      </w:r>
    </w:p>
    <w:p>
      <w:pPr>
        <w:pStyle w:val="0"/>
        <w:spacing w:before="200" w:line-rule="auto"/>
        <w:ind w:firstLine="540"/>
        <w:jc w:val="both"/>
      </w:pPr>
      <w:r>
        <w:rPr>
          <w:sz w:val="20"/>
        </w:rPr>
        <w:t xml:space="preserve">- пропаганда физической культуры, спорта и здорового образа жизни;</w:t>
      </w:r>
    </w:p>
    <w:p>
      <w:pPr>
        <w:pStyle w:val="0"/>
        <w:spacing w:before="200" w:line-rule="auto"/>
        <w:ind w:firstLine="540"/>
        <w:jc w:val="both"/>
      </w:pPr>
      <w:r>
        <w:rPr>
          <w:sz w:val="20"/>
        </w:rPr>
        <w:t xml:space="preserve">- пропаганда здорового образа жизни, повышение мотивации и интереса различных категорий и групп населения к регулярным занятиям физической культурой и спортом;</w:t>
      </w:r>
    </w:p>
    <w:p>
      <w:pPr>
        <w:pStyle w:val="0"/>
        <w:spacing w:before="200" w:line-rule="auto"/>
        <w:ind w:firstLine="540"/>
        <w:jc w:val="both"/>
      </w:pPr>
      <w:r>
        <w:rPr>
          <w:sz w:val="20"/>
        </w:rPr>
        <w:t xml:space="preserve">- повышение доступности и разнообразия физкультурных и спортивных услуг для населения, а также проведение спортивных и физкультурных мероприятий для различных целевых групп;</w:t>
      </w:r>
    </w:p>
    <w:p>
      <w:pPr>
        <w:pStyle w:val="0"/>
        <w:spacing w:before="200" w:line-rule="auto"/>
        <w:ind w:firstLine="540"/>
        <w:jc w:val="both"/>
      </w:pPr>
      <w:r>
        <w:rPr>
          <w:sz w:val="20"/>
        </w:rPr>
        <w:t xml:space="preserve">- развитие спортивной инфраструктуры для всех категорий населения;</w:t>
      </w:r>
    </w:p>
    <w:p>
      <w:pPr>
        <w:pStyle w:val="0"/>
        <w:spacing w:before="200" w:line-rule="auto"/>
        <w:ind w:firstLine="540"/>
        <w:jc w:val="both"/>
      </w:pPr>
      <w:r>
        <w:rPr>
          <w:sz w:val="20"/>
        </w:rPr>
        <w:t xml:space="preserve">- развитие инфраструктуры для массового и детско-юношеского спорта, развитие спортивной инфраструктуры на всей территории области, в том числе с применением механизмов ГЧП, строительство спортивных площадок в шаговой доступности в городах и поселках Тюменской области;</w:t>
      </w:r>
    </w:p>
    <w:p>
      <w:pPr>
        <w:pStyle w:val="0"/>
        <w:spacing w:before="200" w:line-rule="auto"/>
        <w:ind w:firstLine="540"/>
        <w:jc w:val="both"/>
      </w:pPr>
      <w:r>
        <w:rPr>
          <w:sz w:val="20"/>
        </w:rPr>
        <w:t xml:space="preserve">- развитие базовых видов спорта;</w:t>
      </w:r>
    </w:p>
    <w:p>
      <w:pPr>
        <w:pStyle w:val="0"/>
        <w:spacing w:before="200" w:line-rule="auto"/>
        <w:ind w:firstLine="540"/>
        <w:jc w:val="both"/>
      </w:pPr>
      <w:r>
        <w:rPr>
          <w:sz w:val="20"/>
        </w:rPr>
        <w:t xml:space="preserve">- повышение уровня доступности приоритетных объектов физической культуры и спорта для лиц с ограниченными возможностями здоровья;</w:t>
      </w:r>
    </w:p>
    <w:p>
      <w:pPr>
        <w:pStyle w:val="0"/>
        <w:spacing w:before="200" w:line-rule="auto"/>
        <w:ind w:firstLine="540"/>
        <w:jc w:val="both"/>
      </w:pPr>
      <w:r>
        <w:rPr>
          <w:sz w:val="20"/>
        </w:rPr>
        <w:t xml:space="preserve">- обеспечение доступа социально ориентированных некоммерческих организаций к предоставлению услуг в рамках региональных программ в области физической культуры и массового спорта;</w:t>
      </w:r>
    </w:p>
    <w:p>
      <w:pPr>
        <w:pStyle w:val="0"/>
        <w:spacing w:before="200" w:line-rule="auto"/>
        <w:ind w:firstLine="540"/>
        <w:jc w:val="both"/>
      </w:pPr>
      <w:r>
        <w:rPr>
          <w:sz w:val="20"/>
        </w:rPr>
        <w:t xml:space="preserve">- организация отдыха, оздоровления и занятости несовершеннолетних (реализация мероприятий по обеспечению деятельности детских оздоровительных организаций, повышению доступности отдыха и оздоровления детей, организации работы досуговых и спортивных площадок по месту жительства);</w:t>
      </w:r>
    </w:p>
    <w:p>
      <w:pPr>
        <w:pStyle w:val="0"/>
        <w:spacing w:before="200" w:line-rule="auto"/>
        <w:ind w:firstLine="540"/>
        <w:jc w:val="both"/>
      </w:pPr>
      <w:r>
        <w:rPr>
          <w:sz w:val="20"/>
        </w:rPr>
        <w:t xml:space="preserve">- совершенствование системы подготовки спортсменов высокого класса и спортивного резерва;</w:t>
      </w:r>
    </w:p>
    <w:p>
      <w:pPr>
        <w:pStyle w:val="0"/>
        <w:spacing w:before="200" w:line-rule="auto"/>
        <w:ind w:firstLine="540"/>
        <w:jc w:val="both"/>
      </w:pPr>
      <w:r>
        <w:rPr>
          <w:sz w:val="20"/>
        </w:rPr>
        <w:t xml:space="preserve">- совершенствование системы подготовки спортивного резерва и спорта высших достижений с учетом возможностей размещения в Тюменской области тренировочных баз по отдельным видам спорта для спортсменов из других регионов (сервисная функция), в том числе на принципах ГЧП;</w:t>
      </w:r>
    </w:p>
    <w:p>
      <w:pPr>
        <w:pStyle w:val="0"/>
        <w:spacing w:before="200" w:line-rule="auto"/>
        <w:ind w:firstLine="540"/>
        <w:jc w:val="both"/>
      </w:pPr>
      <w:r>
        <w:rPr>
          <w:sz w:val="20"/>
        </w:rPr>
        <w:t xml:space="preserve">- реализация Всероссийского физкультурно-спортивного комплекса "Готов к труду и обороне" (ГТО);</w:t>
      </w:r>
    </w:p>
    <w:p>
      <w:pPr>
        <w:pStyle w:val="0"/>
        <w:spacing w:before="200" w:line-rule="auto"/>
        <w:ind w:firstLine="540"/>
        <w:jc w:val="both"/>
      </w:pPr>
      <w:r>
        <w:rPr>
          <w:sz w:val="20"/>
        </w:rPr>
        <w:t xml:space="preserve">- повышение кадрового обеспечения отрасли физической культуры и спорта;</w:t>
      </w:r>
    </w:p>
    <w:p>
      <w:pPr>
        <w:pStyle w:val="0"/>
        <w:spacing w:before="200" w:line-rule="auto"/>
        <w:ind w:firstLine="540"/>
        <w:jc w:val="both"/>
      </w:pPr>
      <w:r>
        <w:rPr>
          <w:sz w:val="20"/>
        </w:rPr>
        <w:t xml:space="preserve">- обеспечение качества пищевой продукции как важнейшей составляющей укрепления здоровья, увеличения продолжительности и повышения качества жизни населения;</w:t>
      </w:r>
    </w:p>
    <w:p>
      <w:pPr>
        <w:pStyle w:val="0"/>
        <w:spacing w:before="200" w:line-rule="auto"/>
        <w:ind w:firstLine="540"/>
        <w:jc w:val="both"/>
      </w:pPr>
      <w:r>
        <w:rPr>
          <w:sz w:val="20"/>
        </w:rPr>
        <w:t xml:space="preserve">- профилактика наркомании и других асоциальных явлений.</w:t>
      </w:r>
    </w:p>
    <w:p>
      <w:pPr>
        <w:pStyle w:val="2"/>
        <w:spacing w:before="200" w:line-rule="auto"/>
        <w:outlineLvl w:val="5"/>
        <w:ind w:firstLine="540"/>
        <w:jc w:val="both"/>
      </w:pPr>
      <w:r>
        <w:rPr>
          <w:sz w:val="20"/>
        </w:rPr>
        <w:t xml:space="preserve">Задача 1.2.3. Укрепление института семьи и сохранение традиций семейных отношений. Демографическое развитие (СЕМЬЯ. ДЕМОГРАФИЧЕСКОЕ РАЗВИТИЕ)</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формирование социальных моделей семейного благополучия;</w:t>
      </w:r>
    </w:p>
    <w:p>
      <w:pPr>
        <w:pStyle w:val="0"/>
        <w:spacing w:before="200" w:line-rule="auto"/>
        <w:ind w:firstLine="540"/>
        <w:jc w:val="both"/>
      </w:pPr>
      <w:r>
        <w:rPr>
          <w:sz w:val="20"/>
        </w:rPr>
        <w:t xml:space="preserve">- формирование дружественной к семьям среды обитания;</w:t>
      </w:r>
    </w:p>
    <w:p>
      <w:pPr>
        <w:pStyle w:val="0"/>
        <w:spacing w:before="200" w:line-rule="auto"/>
        <w:ind w:firstLine="540"/>
        <w:jc w:val="both"/>
      </w:pPr>
      <w:r>
        <w:rPr>
          <w:sz w:val="20"/>
        </w:rPr>
        <w:t xml:space="preserve">- создание условий для совмещения родителями обязанностей по воспитанию детей и профессиональных обязанностей;</w:t>
      </w:r>
    </w:p>
    <w:p>
      <w:pPr>
        <w:pStyle w:val="0"/>
        <w:spacing w:before="200" w:line-rule="auto"/>
        <w:ind w:firstLine="540"/>
        <w:jc w:val="both"/>
      </w:pPr>
      <w:r>
        <w:rPr>
          <w:sz w:val="20"/>
        </w:rPr>
        <w:t xml:space="preserve">- предоставление семьям мер государственной поддержки, в том числе региональных, в связи с рождением и воспитанием детей:</w:t>
      </w:r>
    </w:p>
    <w:p>
      <w:pPr>
        <w:pStyle w:val="0"/>
        <w:spacing w:before="200" w:line-rule="auto"/>
        <w:ind w:firstLine="540"/>
        <w:jc w:val="both"/>
      </w:pPr>
      <w:r>
        <w:rPr>
          <w:sz w:val="20"/>
        </w:rPr>
        <w:t xml:space="preserve">ежемесячной выплаты в связи с рождением (усыновлением) первого ребенка до достижения ребенком возраста полутора лет за счет субвенций из федерального бюджета;</w:t>
      </w:r>
    </w:p>
    <w:p>
      <w:pPr>
        <w:pStyle w:val="0"/>
        <w:spacing w:before="200" w:line-rule="auto"/>
        <w:ind w:firstLine="540"/>
        <w:jc w:val="both"/>
      </w:pPr>
      <w:r>
        <w:rPr>
          <w:sz w:val="20"/>
        </w:rPr>
        <w:t xml:space="preserve">ежемесячной денежной выплаты на третьего ребенка и последующих детей до достижения ребенком возраста трех лет; предоставление регионального материнского (семейного) капитала при рождении (усыновлении) третьего ребенка и последующих детей;</w:t>
      </w:r>
    </w:p>
    <w:p>
      <w:pPr>
        <w:pStyle w:val="0"/>
        <w:spacing w:before="200" w:line-rule="auto"/>
        <w:ind w:firstLine="540"/>
        <w:jc w:val="both"/>
      </w:pPr>
      <w:r>
        <w:rPr>
          <w:sz w:val="20"/>
        </w:rPr>
        <w:t xml:space="preserve">единовременной выплаты на приобретение жилого помещения (улучшение жилищных условий) при рождении одновременно трех и более детей;</w:t>
      </w:r>
    </w:p>
    <w:p>
      <w:pPr>
        <w:pStyle w:val="0"/>
        <w:spacing w:before="200" w:line-rule="auto"/>
        <w:ind w:firstLine="540"/>
        <w:jc w:val="both"/>
      </w:pPr>
      <w:r>
        <w:rPr>
          <w:sz w:val="20"/>
        </w:rPr>
        <w:t xml:space="preserve">предоставление дополнительных социальных выплат молодым семьям, работникам бюджетной сферы на приобретение (строительство) жилья при рождении (усыновлении) ребенка в рамках жилищных программ;</w:t>
      </w:r>
    </w:p>
    <w:p>
      <w:pPr>
        <w:pStyle w:val="0"/>
        <w:spacing w:before="200" w:line-rule="auto"/>
        <w:ind w:firstLine="540"/>
        <w:jc w:val="both"/>
      </w:pPr>
      <w:r>
        <w:rPr>
          <w:sz w:val="20"/>
        </w:rPr>
        <w:t xml:space="preserve">частичное погашение займа, предоставленного молодой семье, участнице мероприятия по обеспечению жильем молодых семей, при рождении (усыновлении) ребенка;</w:t>
      </w:r>
    </w:p>
    <w:p>
      <w:pPr>
        <w:pStyle w:val="0"/>
        <w:spacing w:before="200" w:line-rule="auto"/>
        <w:ind w:firstLine="540"/>
        <w:jc w:val="both"/>
      </w:pPr>
      <w:r>
        <w:rPr>
          <w:sz w:val="20"/>
        </w:rPr>
        <w:t xml:space="preserve">- создание условий для формирования благоприятного морально-психологического климата в семье, укрепления и гармонизации внутрисемейных отношений;</w:t>
      </w:r>
    </w:p>
    <w:p>
      <w:pPr>
        <w:pStyle w:val="0"/>
        <w:spacing w:before="200" w:line-rule="auto"/>
        <w:ind w:firstLine="540"/>
        <w:jc w:val="both"/>
      </w:pPr>
      <w:r>
        <w:rPr>
          <w:sz w:val="20"/>
        </w:rPr>
        <w:t xml:space="preserve">- повышение качества и доступности социальных услуг для семей с детьми с учетом оценки индивидуальной нуждаемости в конкретной помощи;</w:t>
      </w:r>
    </w:p>
    <w:p>
      <w:pPr>
        <w:pStyle w:val="0"/>
        <w:spacing w:before="200" w:line-rule="auto"/>
        <w:ind w:firstLine="540"/>
        <w:jc w:val="both"/>
      </w:pPr>
      <w:r>
        <w:rPr>
          <w:sz w:val="20"/>
        </w:rPr>
        <w:t xml:space="preserve">- реализация мероприятий по профилактике социального сиротства и семейного неблагополучия;</w:t>
      </w:r>
    </w:p>
    <w:p>
      <w:pPr>
        <w:pStyle w:val="0"/>
        <w:spacing w:before="200" w:line-rule="auto"/>
        <w:ind w:firstLine="540"/>
        <w:jc w:val="both"/>
      </w:pPr>
      <w:r>
        <w:rPr>
          <w:sz w:val="20"/>
        </w:rPr>
        <w:t xml:space="preserve">- социальная поддержка детей-сирот, детей, оставшихся без попечения родителей, с целью создания условий для их полноценного развития и воспитания;</w:t>
      </w:r>
    </w:p>
    <w:p>
      <w:pPr>
        <w:pStyle w:val="0"/>
        <w:spacing w:before="200" w:line-rule="auto"/>
        <w:ind w:firstLine="540"/>
        <w:jc w:val="both"/>
      </w:pPr>
      <w:r>
        <w:rPr>
          <w:sz w:val="20"/>
        </w:rPr>
        <w:t xml:space="preserve">-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этим явлениям;</w:t>
      </w:r>
    </w:p>
    <w:p>
      <w:pPr>
        <w:pStyle w:val="0"/>
        <w:spacing w:before="200" w:line-rule="auto"/>
        <w:ind w:firstLine="540"/>
        <w:jc w:val="both"/>
      </w:pPr>
      <w:r>
        <w:rPr>
          <w:sz w:val="20"/>
        </w:rPr>
        <w:t xml:space="preserve">- развитие системы экстренной социальной и правовой помощи несовершеннолетним, семьям, оказавшимся в трудной жизненной ситуации.</w:t>
      </w:r>
    </w:p>
    <w:p>
      <w:pPr>
        <w:pStyle w:val="0"/>
        <w:spacing w:before="200" w:line-rule="auto"/>
        <w:ind w:firstLine="540"/>
        <w:jc w:val="both"/>
      </w:pPr>
      <w:r>
        <w:rPr>
          <w:sz w:val="20"/>
        </w:rPr>
        <w:t xml:space="preserve">Направления деятельности по демографическому развитию Тюменской области также предусмотрены в рамках решения задач:</w:t>
      </w:r>
    </w:p>
    <w:p>
      <w:pPr>
        <w:pStyle w:val="0"/>
        <w:spacing w:before="200" w:line-rule="auto"/>
        <w:ind w:firstLine="540"/>
        <w:jc w:val="both"/>
      </w:pPr>
      <w:r>
        <w:rPr>
          <w:sz w:val="20"/>
        </w:rPr>
        <w:t xml:space="preserve">1.1.1. "Благосостояние, эффективная занятость, кадровый потенциал".</w:t>
      </w:r>
    </w:p>
    <w:p>
      <w:pPr>
        <w:pStyle w:val="0"/>
        <w:spacing w:before="200" w:line-rule="auto"/>
        <w:ind w:firstLine="540"/>
        <w:jc w:val="both"/>
      </w:pPr>
      <w:r>
        <w:rPr>
          <w:sz w:val="20"/>
        </w:rPr>
        <w:t xml:space="preserve">1.1.2. "Социальная защита".</w:t>
      </w:r>
    </w:p>
    <w:p>
      <w:pPr>
        <w:pStyle w:val="0"/>
        <w:spacing w:before="200" w:line-rule="auto"/>
        <w:ind w:firstLine="540"/>
        <w:jc w:val="both"/>
      </w:pPr>
      <w:r>
        <w:rPr>
          <w:sz w:val="20"/>
        </w:rPr>
        <w:t xml:space="preserve">1.1.3. "Доступное и комфортное жилье".</w:t>
      </w:r>
    </w:p>
    <w:p>
      <w:pPr>
        <w:pStyle w:val="0"/>
        <w:spacing w:before="200" w:line-rule="auto"/>
        <w:ind w:firstLine="540"/>
        <w:jc w:val="both"/>
      </w:pPr>
      <w:r>
        <w:rPr>
          <w:sz w:val="20"/>
        </w:rPr>
        <w:t xml:space="preserve">1.1.4. "Безопасность".</w:t>
      </w:r>
    </w:p>
    <w:p>
      <w:pPr>
        <w:pStyle w:val="0"/>
        <w:spacing w:before="200" w:line-rule="auto"/>
        <w:ind w:firstLine="540"/>
        <w:jc w:val="both"/>
      </w:pPr>
      <w:r>
        <w:rPr>
          <w:sz w:val="20"/>
        </w:rPr>
        <w:t xml:space="preserve">1.2.1. "Здоровье и долголетие".</w:t>
      </w:r>
    </w:p>
    <w:p>
      <w:pPr>
        <w:pStyle w:val="0"/>
        <w:spacing w:before="200" w:line-rule="auto"/>
        <w:ind w:firstLine="540"/>
        <w:jc w:val="both"/>
      </w:pPr>
      <w:r>
        <w:rPr>
          <w:sz w:val="20"/>
        </w:rPr>
        <w:t xml:space="preserve">1.2.2. "Здоровый образ жизни".</w:t>
      </w:r>
    </w:p>
    <w:p>
      <w:pPr>
        <w:pStyle w:val="2"/>
        <w:spacing w:before="200" w:line-rule="auto"/>
        <w:outlineLvl w:val="5"/>
        <w:ind w:firstLine="540"/>
        <w:jc w:val="both"/>
      </w:pPr>
      <w:r>
        <w:rPr>
          <w:sz w:val="20"/>
        </w:rPr>
        <w:t xml:space="preserve">Задача 1.2.4. Обеспечение высокого качества образования, развития системы поиска, поддержки и удержания талантов (ОБРАЗОВАНИЕ)</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достижение результатов нового качества образования (планомерный переход на федеральные государственные образовательные стандарты, систематическое повышение профессионального уровня педагогических работников, реализующих в массовой практике интенсивные технологии обучения и развития детей и молодежи, вовлечение образовательных организаций всех уровней в программы профессиональной ориентации обучающихся);</w:t>
      </w:r>
    </w:p>
    <w:p>
      <w:pPr>
        <w:pStyle w:val="0"/>
        <w:spacing w:before="200" w:line-rule="auto"/>
        <w:ind w:firstLine="540"/>
        <w:jc w:val="both"/>
      </w:pPr>
      <w:r>
        <w:rPr>
          <w:sz w:val="20"/>
        </w:rPr>
        <w:t xml:space="preserve">- создание и эффективное использование образовательной инфраструктуры (развитие системы профессионального роста руководящих и педагогических кадров, рациональное и многоцелевое использование имеющихся ресурсов, реализация мероприятий по дальнейшему развитию инфраструктурного комплекса отрасли в соответствии с постоянно обновляемыми требованиями к условиям реализации процесса образования, развитию сетевого взаимодействия с работодателями в вопросах комплексного обеспечения современной учебно-лабораторной базы профессиональных образовательных организаций);</w:t>
      </w:r>
    </w:p>
    <w:p>
      <w:pPr>
        <w:pStyle w:val="0"/>
        <w:spacing w:before="200" w:line-rule="auto"/>
        <w:ind w:firstLine="540"/>
        <w:jc w:val="both"/>
      </w:pPr>
      <w:r>
        <w:rPr>
          <w:sz w:val="20"/>
        </w:rPr>
        <w:t xml:space="preserve">- формирование эффективных моделей управления образованием, обеспечивающих реализацию общественного заказа и устойчивое развитие образования как открытой системы, совершенствование информационно-аналитического обеспечения управления качеством образования, повышение доступности и качества государственных услуг в сфере образования в электронном виде;</w:t>
      </w:r>
    </w:p>
    <w:p>
      <w:pPr>
        <w:pStyle w:val="0"/>
        <w:spacing w:before="200" w:line-rule="auto"/>
        <w:ind w:firstLine="540"/>
        <w:jc w:val="both"/>
      </w:pPr>
      <w:r>
        <w:rPr>
          <w:sz w:val="20"/>
        </w:rPr>
        <w:t xml:space="preserve">- развитие международного сотрудничества в сфере образования, привлечение студентов и преподавателей из других стран и регионов;</w:t>
      </w:r>
    </w:p>
    <w:p>
      <w:pPr>
        <w:pStyle w:val="0"/>
        <w:spacing w:before="200" w:line-rule="auto"/>
        <w:ind w:firstLine="540"/>
        <w:jc w:val="both"/>
      </w:pPr>
      <w:r>
        <w:rPr>
          <w:sz w:val="20"/>
        </w:rPr>
        <w:t xml:space="preserve">- развитие принципов непрерывного образования;</w:t>
      </w:r>
    </w:p>
    <w:p>
      <w:pPr>
        <w:pStyle w:val="0"/>
        <w:spacing w:before="200" w:line-rule="auto"/>
        <w:ind w:firstLine="540"/>
        <w:jc w:val="both"/>
      </w:pPr>
      <w:r>
        <w:rPr>
          <w:sz w:val="20"/>
        </w:rPr>
        <w:t xml:space="preserve">- подготовка кадров с учетом реализации регионального стандарта кадрового обеспечения промышленного роста;</w:t>
      </w:r>
    </w:p>
    <w:p>
      <w:pPr>
        <w:pStyle w:val="0"/>
        <w:spacing w:before="200" w:line-rule="auto"/>
        <w:ind w:firstLine="540"/>
        <w:jc w:val="both"/>
      </w:pPr>
      <w:r>
        <w:rPr>
          <w:sz w:val="20"/>
        </w:rPr>
        <w:t xml:space="preserve">- создание системы опережающего обучения, построенной на жесткой связи "работодатель - профессиональные образовательные организации - работник", где связующими механизмами выступают: система профессиональных стандартов, обновляемый прогноз потребности в трудовых ресурсах, программы профессионального образования, разрабатываемые совместно с работодателем; развитие сотрудничества между образовательными организациями высшего образования и российскими высокотехнологичными организациями по вопросам совершенствования образовательных программ;</w:t>
      </w:r>
    </w:p>
    <w:p>
      <w:pPr>
        <w:pStyle w:val="0"/>
        <w:spacing w:before="200" w:line-rule="auto"/>
        <w:ind w:firstLine="540"/>
        <w:jc w:val="both"/>
      </w:pPr>
      <w:r>
        <w:rPr>
          <w:sz w:val="20"/>
        </w:rPr>
        <w:t xml:space="preserve">- участие Тюменской области в мероприятиях по созданию Западно-Сибирского межрегионального научно-образовательного центра мирового уровня (НОЦ) на основе интеграции образовательных организаций высшего образования и научных организаций и их кооперации с организациями, действующими в реальном секторе экономики, Тюменской области, Ханты-Мансийского автономного округа - Югры и Ямало-Ненецкого автономного округа для выполнения исследований и разработок в соответствии с приоритетами научно-технологического развития региона (Биологическая безопасность человека, животных и растений; Арктика: ресурсы "холодного мира" и качество окружающей среды, человек в Арктике; Цифровая трансформация нефтегазовой индустрии);</w:t>
      </w:r>
    </w:p>
    <w:p>
      <w:pPr>
        <w:pStyle w:val="0"/>
        <w:spacing w:before="200" w:line-rule="auto"/>
        <w:ind w:firstLine="540"/>
        <w:jc w:val="both"/>
      </w:pPr>
      <w:r>
        <w:rPr>
          <w:sz w:val="20"/>
        </w:rPr>
        <w:t xml:space="preserve">- совершенствование механизмов оценки качества профессионального образования, уровня профессионального развития выпускников на основе сотрудничества с независимыми от системы образования центрами оценки квалификаций по ведущим отраслям экономики;</w:t>
      </w:r>
    </w:p>
    <w:p>
      <w:pPr>
        <w:pStyle w:val="0"/>
        <w:spacing w:before="200" w:line-rule="auto"/>
        <w:ind w:firstLine="540"/>
        <w:jc w:val="both"/>
      </w:pPr>
      <w:r>
        <w:rPr>
          <w:sz w:val="20"/>
        </w:rPr>
        <w:t xml:space="preserve">- развитие социальных интеллектуально насыщенных услуг, прежде всего, в области массовых форм образования;</w:t>
      </w:r>
    </w:p>
    <w:p>
      <w:pPr>
        <w:pStyle w:val="0"/>
        <w:spacing w:before="200" w:line-rule="auto"/>
        <w:ind w:firstLine="540"/>
        <w:jc w:val="both"/>
      </w:pPr>
      <w:r>
        <w:rPr>
          <w:sz w:val="20"/>
        </w:rPr>
        <w:t xml:space="preserve">- использование и развитие дистанционных образовательных технологий, электронного образования;</w:t>
      </w:r>
    </w:p>
    <w:p>
      <w:pPr>
        <w:pStyle w:val="0"/>
        <w:spacing w:before="200" w:line-rule="auto"/>
        <w:ind w:firstLine="540"/>
        <w:jc w:val="both"/>
      </w:pPr>
      <w:r>
        <w:rPr>
          <w:sz w:val="20"/>
        </w:rPr>
        <w:t xml:space="preserve">- совершенствование системы дополнительного образования для развития творческих и научно-изыскательских способностей детей, их способностей нестандартного решения поставленных задач;</w:t>
      </w:r>
    </w:p>
    <w:p>
      <w:pPr>
        <w:pStyle w:val="0"/>
        <w:spacing w:before="200" w:line-rule="auto"/>
        <w:ind w:firstLine="540"/>
        <w:jc w:val="both"/>
      </w:pPr>
      <w:r>
        <w:rPr>
          <w:sz w:val="20"/>
        </w:rPr>
        <w:t xml:space="preserve">- проведение работы по выявлению, развитию и продвижению талантливых детей и молодежи региона: развитие системы поиска, поддержки и удержания талантов;</w:t>
      </w:r>
    </w:p>
    <w:p>
      <w:pPr>
        <w:pStyle w:val="0"/>
        <w:spacing w:before="200" w:line-rule="auto"/>
        <w:ind w:firstLine="540"/>
        <w:jc w:val="both"/>
      </w:pPr>
      <w:r>
        <w:rPr>
          <w:sz w:val="20"/>
        </w:rPr>
        <w:t xml:space="preserve">- обеспечение к 2021 году 100-процентной доступности дошкольного образования для детей в возрасте до 3 лет, в том числе путем привлечения частных организаций на принципах ГЧП;</w:t>
      </w:r>
    </w:p>
    <w:p>
      <w:pPr>
        <w:pStyle w:val="0"/>
        <w:spacing w:before="200" w:line-rule="auto"/>
        <w:ind w:firstLine="540"/>
        <w:jc w:val="both"/>
      </w:pPr>
      <w:r>
        <w:rPr>
          <w:sz w:val="20"/>
        </w:rPr>
        <w:t xml:space="preserve">- развитие непрерывной, преемственной системы образования обучающихся с ограниченными возможностями здоровья и инвалидностью;</w:t>
      </w:r>
    </w:p>
    <w:p>
      <w:pPr>
        <w:pStyle w:val="0"/>
        <w:spacing w:before="200" w:line-rule="auto"/>
        <w:ind w:firstLine="540"/>
        <w:jc w:val="both"/>
      </w:pPr>
      <w:r>
        <w:rPr>
          <w:sz w:val="20"/>
        </w:rPr>
        <w:t xml:space="preserve">- модернизация материально-технической базы организаций дополнительного образования;</w:t>
      </w:r>
    </w:p>
    <w:p>
      <w:pPr>
        <w:pStyle w:val="0"/>
        <w:spacing w:before="200" w:line-rule="auto"/>
        <w:ind w:firstLine="540"/>
        <w:jc w:val="both"/>
      </w:pPr>
      <w:r>
        <w:rPr>
          <w:sz w:val="20"/>
        </w:rPr>
        <w:t xml:space="preserve">- развитие сферы дополнительного образования детей путем повышения доступности услуг, в том числе за счет использования технологий дистанционного обучения, развития сетевого взаимодействия по реализации программ с предприятиями и организациями реального сектора экономики, и обеспечение их соответствия изменяющимся потребностям населения;</w:t>
      </w:r>
    </w:p>
    <w:p>
      <w:pPr>
        <w:pStyle w:val="0"/>
        <w:spacing w:before="200" w:line-rule="auto"/>
        <w:ind w:firstLine="540"/>
        <w:jc w:val="both"/>
      </w:pPr>
      <w:r>
        <w:rPr>
          <w:sz w:val="20"/>
        </w:rPr>
        <w:t xml:space="preserve">- развитие естественнонаучного и технического направлений дополнительного образования детей через создание сети детских технопарков "Кванториум";</w:t>
      </w:r>
    </w:p>
    <w:p>
      <w:pPr>
        <w:pStyle w:val="0"/>
        <w:spacing w:before="200" w:line-rule="auto"/>
        <w:ind w:firstLine="540"/>
        <w:jc w:val="both"/>
      </w:pPr>
      <w:r>
        <w:rPr>
          <w:sz w:val="20"/>
        </w:rPr>
        <w:t xml:space="preserve">- расширение программ, направленных на формирование предпрофессиональных компетенций у детей, в том числе в области инженерных и технических профессий;</w:t>
      </w:r>
    </w:p>
    <w:p>
      <w:pPr>
        <w:pStyle w:val="0"/>
        <w:spacing w:before="200" w:line-rule="auto"/>
        <w:ind w:firstLine="540"/>
        <w:jc w:val="both"/>
      </w:pPr>
      <w:r>
        <w:rPr>
          <w:sz w:val="20"/>
        </w:rPr>
        <w:t xml:space="preserve">- расширение пула негосударственных организаций в сфере дополнительного образования, в том числе социально ориентированных некоммерческих организаций;</w:t>
      </w:r>
    </w:p>
    <w:p>
      <w:pPr>
        <w:pStyle w:val="0"/>
        <w:spacing w:before="200" w:line-rule="auto"/>
        <w:ind w:firstLine="540"/>
        <w:jc w:val="both"/>
      </w:pPr>
      <w:r>
        <w:rPr>
          <w:sz w:val="20"/>
        </w:rPr>
        <w:t xml:space="preserve">- создание целевой модели развития наставничества в регионе;</w:t>
      </w:r>
    </w:p>
    <w:p>
      <w:pPr>
        <w:pStyle w:val="0"/>
        <w:spacing w:before="200" w:line-rule="auto"/>
        <w:ind w:firstLine="540"/>
        <w:jc w:val="both"/>
      </w:pPr>
      <w:r>
        <w:rPr>
          <w:sz w:val="20"/>
        </w:rPr>
        <w:t xml:space="preserve">- отработка эффективного межсекторального и межведомственного взаимодействия в реализации проектов по продвижению талантливых детей и молодежи.</w:t>
      </w:r>
    </w:p>
    <w:p>
      <w:pPr>
        <w:pStyle w:val="2"/>
        <w:spacing w:before="200" w:line-rule="auto"/>
        <w:outlineLvl w:val="5"/>
        <w:ind w:firstLine="540"/>
        <w:jc w:val="both"/>
      </w:pPr>
      <w:r>
        <w:rPr>
          <w:sz w:val="20"/>
        </w:rPr>
        <w:t xml:space="preserve">Задача 1.2.5. Развитие единого культурного пространства и условий для творческой и гражданской самореализации жителей (КУЛЬТУРА, ТВОРЧЕСТВО, ГРАЖДАНСТВЕННОСТЬ)</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создание условий и возможностей для всестороннего развития, самореализации личности, сохранение и приумножение духовно-нравственных ценностей как основы российского общества, воспитание детей и молодежи в духе гражданственности, в том числе:</w:t>
      </w:r>
    </w:p>
    <w:p>
      <w:pPr>
        <w:pStyle w:val="0"/>
        <w:spacing w:before="200" w:line-rule="auto"/>
        <w:ind w:firstLine="540"/>
        <w:jc w:val="both"/>
      </w:pPr>
      <w:r>
        <w:rPr>
          <w:sz w:val="20"/>
        </w:rPr>
        <w:t xml:space="preserve">реализация мероприятий, направленных на укрепление и приумножение традиционных российских духовно-нравственных ценностей;</w:t>
      </w:r>
    </w:p>
    <w:p>
      <w:pPr>
        <w:pStyle w:val="0"/>
        <w:spacing w:before="200" w:line-rule="auto"/>
        <w:ind w:firstLine="540"/>
        <w:jc w:val="both"/>
      </w:pPr>
      <w:r>
        <w:rPr>
          <w:sz w:val="20"/>
        </w:rPr>
        <w:t xml:space="preserve">сохранение и развитие профессиональных искусств, традиционной народной культуры, народного самодеятельного творчества;</w:t>
      </w:r>
    </w:p>
    <w:p>
      <w:pPr>
        <w:pStyle w:val="0"/>
        <w:spacing w:before="200" w:line-rule="auto"/>
        <w:ind w:firstLine="540"/>
        <w:jc w:val="both"/>
      </w:pPr>
      <w:r>
        <w:rPr>
          <w:sz w:val="20"/>
        </w:rPr>
        <w:t xml:space="preserve">реализация некоммерческими организациями и общественными объединениями своей деятельности в значимых сферах жизни общества;</w:t>
      </w:r>
    </w:p>
    <w:p>
      <w:pPr>
        <w:pStyle w:val="0"/>
        <w:spacing w:before="200" w:line-rule="auto"/>
        <w:ind w:firstLine="540"/>
        <w:jc w:val="both"/>
      </w:pPr>
      <w:r>
        <w:rPr>
          <w:sz w:val="20"/>
        </w:rPr>
        <w:t xml:space="preserve">реализация гражданских инициатив, пропагандирующих идеи единства российской нации, гражданственности и патриотизма;</w:t>
      </w:r>
    </w:p>
    <w:p>
      <w:pPr>
        <w:pStyle w:val="0"/>
        <w:spacing w:before="200" w:line-rule="auto"/>
        <w:ind w:firstLine="540"/>
        <w:jc w:val="both"/>
      </w:pPr>
      <w:r>
        <w:rPr>
          <w:sz w:val="20"/>
        </w:rPr>
        <w:t xml:space="preserve">модернизация материально-технической базы организаций молодежной политики и дополнительного образования;</w:t>
      </w:r>
    </w:p>
    <w:p>
      <w:pPr>
        <w:pStyle w:val="0"/>
        <w:spacing w:before="200" w:line-rule="auto"/>
        <w:ind w:firstLine="540"/>
        <w:jc w:val="both"/>
      </w:pPr>
      <w:r>
        <w:rPr>
          <w:sz w:val="20"/>
        </w:rPr>
        <w:t xml:space="preserve">развитие сферы дополнительного образования детей путем повышения доступности услуг, в том числе за счет использования технологий дистанционного обучения, развития сетевого взаимодействия, и обеспечение их соответствия изменяющимся потребностям населения;</w:t>
      </w:r>
    </w:p>
    <w:p>
      <w:pPr>
        <w:pStyle w:val="0"/>
        <w:spacing w:before="200" w:line-rule="auto"/>
        <w:ind w:firstLine="540"/>
        <w:jc w:val="both"/>
      </w:pPr>
      <w:r>
        <w:rPr>
          <w:sz w:val="20"/>
        </w:rPr>
        <w:t xml:space="preserve">патриотическое и духовно-нравственное воспитание детей и молодежи, формирование гражданственности, развитие социальной активности молодежи;</w:t>
      </w:r>
    </w:p>
    <w:p>
      <w:pPr>
        <w:pStyle w:val="0"/>
        <w:spacing w:before="200" w:line-rule="auto"/>
        <w:ind w:firstLine="540"/>
        <w:jc w:val="both"/>
      </w:pPr>
      <w:r>
        <w:rPr>
          <w:sz w:val="20"/>
        </w:rPr>
        <w:t xml:space="preserve">популяризация успешных жизненных стратегий среди молодежи, развитие социальных и профессиональных компетенций молодежи;</w:t>
      </w:r>
    </w:p>
    <w:p>
      <w:pPr>
        <w:pStyle w:val="0"/>
        <w:spacing w:before="200" w:line-rule="auto"/>
        <w:ind w:firstLine="540"/>
        <w:jc w:val="both"/>
      </w:pPr>
      <w:r>
        <w:rPr>
          <w:sz w:val="20"/>
        </w:rPr>
        <w:t xml:space="preserve">обеспечение необходимых ресурсных, информационных возможностей для реализации социально полезных инициатив, в том числе создание и развитие общественных пространств, ресурсных площадок;</w:t>
      </w:r>
    </w:p>
    <w:p>
      <w:pPr>
        <w:pStyle w:val="0"/>
        <w:spacing w:before="200" w:line-rule="auto"/>
        <w:ind w:firstLine="540"/>
        <w:jc w:val="both"/>
      </w:pPr>
      <w:r>
        <w:rPr>
          <w:sz w:val="20"/>
        </w:rPr>
        <w:t xml:space="preserve">- обеспечение этноконфессионального согласия, укрепления единства и духовной общности российской нации, содействие сохранению и развитию этнокультурного многообразия народов, в том числе:</w:t>
      </w:r>
    </w:p>
    <w:p>
      <w:pPr>
        <w:pStyle w:val="0"/>
        <w:spacing w:before="200" w:line-rule="auto"/>
        <w:ind w:firstLine="540"/>
        <w:jc w:val="both"/>
      </w:pPr>
      <w:r>
        <w:rPr>
          <w:sz w:val="20"/>
        </w:rPr>
        <w:t xml:space="preserve">реализация мер, направленных на укрепление внутреннего единства российского общества, обеспечение социальной стабильности, межнационального мира и межконфессионального согласия;</w:t>
      </w:r>
    </w:p>
    <w:p>
      <w:pPr>
        <w:pStyle w:val="0"/>
        <w:spacing w:before="200" w:line-rule="auto"/>
        <w:ind w:firstLine="540"/>
        <w:jc w:val="both"/>
      </w:pPr>
      <w:r>
        <w:rPr>
          <w:sz w:val="20"/>
        </w:rPr>
        <w:t xml:space="preserve">обеспечение условий для реализации населением своих этнокультурных интересов, свободы совести и иных гражданских прав и свобод;</w:t>
      </w:r>
    </w:p>
    <w:p>
      <w:pPr>
        <w:pStyle w:val="0"/>
        <w:spacing w:before="200" w:line-rule="auto"/>
        <w:ind w:firstLine="540"/>
        <w:jc w:val="both"/>
      </w:pPr>
      <w:r>
        <w:rPr>
          <w:sz w:val="20"/>
        </w:rPr>
        <w:t xml:space="preserve">установление устойчивых культурных и образовательных связей с проживающими за рубежом носителями русского языка и русской культуры, в том числе на основе информационных и коммуникационных технологий;</w:t>
      </w:r>
    </w:p>
    <w:p>
      <w:pPr>
        <w:pStyle w:val="0"/>
        <w:spacing w:before="200" w:line-rule="auto"/>
        <w:ind w:firstLine="540"/>
        <w:jc w:val="both"/>
      </w:pPr>
      <w:r>
        <w:rPr>
          <w:sz w:val="20"/>
        </w:rPr>
        <w:t xml:space="preserve">взаимодействие с расположенными в области традиционными централизованными религиозными организациями, использование в культурологическом аспекте их духовно-нравственного потенциала, социокультурных, образовательных и духовных ресурсов;</w:t>
      </w:r>
    </w:p>
    <w:p>
      <w:pPr>
        <w:pStyle w:val="0"/>
        <w:spacing w:before="200" w:line-rule="auto"/>
        <w:ind w:firstLine="540"/>
        <w:jc w:val="both"/>
      </w:pPr>
      <w:r>
        <w:rPr>
          <w:sz w:val="20"/>
        </w:rPr>
        <w:t xml:space="preserve">расширение спектра услуг, предоставляемых учреждениями культуры, нацеленных на увеличение числа граждан, вовлеченных в культурно-массовые и творческие мероприятия;</w:t>
      </w:r>
    </w:p>
    <w:p>
      <w:pPr>
        <w:pStyle w:val="0"/>
        <w:spacing w:before="200" w:line-rule="auto"/>
        <w:ind w:firstLine="540"/>
        <w:jc w:val="both"/>
      </w:pPr>
      <w:r>
        <w:rPr>
          <w:sz w:val="20"/>
        </w:rPr>
        <w:t xml:space="preserve">поддержка и развитие экономических основ традиционного образа жизни представителей коренных малочисленных народов Севера, обеспечение защиты исконной среды обитания и традиционного образа жизни; содействие развитию народных промыслов и ремесел в местах традиционного проживания и традиционной хозяйственной деятельности; сохранение и развитие культуры коренных малочисленных народов Севера;</w:t>
      </w:r>
    </w:p>
    <w:p>
      <w:pPr>
        <w:pStyle w:val="0"/>
        <w:spacing w:before="200" w:line-rule="auto"/>
        <w:ind w:firstLine="540"/>
        <w:jc w:val="both"/>
      </w:pPr>
      <w:r>
        <w:rPr>
          <w:sz w:val="20"/>
        </w:rPr>
        <w:t xml:space="preserve">- модернизация системы работы учреждений культуры, в том числе:</w:t>
      </w:r>
    </w:p>
    <w:p>
      <w:pPr>
        <w:pStyle w:val="0"/>
        <w:spacing w:before="200" w:line-rule="auto"/>
        <w:ind w:firstLine="540"/>
        <w:jc w:val="both"/>
      </w:pPr>
      <w:r>
        <w:rPr>
          <w:sz w:val="20"/>
        </w:rPr>
        <w:t xml:space="preserve">внедрение инновационных подходов в работе с населением: создание на их базе общественных пространств;</w:t>
      </w:r>
    </w:p>
    <w:p>
      <w:pPr>
        <w:pStyle w:val="0"/>
        <w:spacing w:before="200" w:line-rule="auto"/>
        <w:ind w:firstLine="540"/>
        <w:jc w:val="both"/>
      </w:pPr>
      <w:r>
        <w:rPr>
          <w:sz w:val="20"/>
        </w:rPr>
        <w:t xml:space="preserve">реализация мероприятий современных форматов;</w:t>
      </w:r>
    </w:p>
    <w:p>
      <w:pPr>
        <w:pStyle w:val="0"/>
        <w:spacing w:before="200" w:line-rule="auto"/>
        <w:ind w:firstLine="540"/>
        <w:jc w:val="both"/>
      </w:pPr>
      <w:r>
        <w:rPr>
          <w:sz w:val="20"/>
        </w:rPr>
        <w:t xml:space="preserve">привлечение молодежи и активных граждан на площадки;</w:t>
      </w:r>
    </w:p>
    <w:p>
      <w:pPr>
        <w:pStyle w:val="0"/>
        <w:spacing w:before="200" w:line-rule="auto"/>
        <w:ind w:firstLine="540"/>
        <w:jc w:val="both"/>
      </w:pPr>
      <w:r>
        <w:rPr>
          <w:sz w:val="20"/>
        </w:rPr>
        <w:t xml:space="preserve">обеспечение площадок современным выставочным, техническим оборудованием, модернизация внутреннего пространства и среды;</w:t>
      </w:r>
    </w:p>
    <w:p>
      <w:pPr>
        <w:pStyle w:val="0"/>
        <w:spacing w:before="200" w:line-rule="auto"/>
        <w:ind w:firstLine="540"/>
        <w:jc w:val="both"/>
      </w:pPr>
      <w:r>
        <w:rPr>
          <w:sz w:val="20"/>
        </w:rPr>
        <w:t xml:space="preserve">использование новейших коммуникационных технологий для расширения доступа населения к культурной деятельности и культурным ценностям, оцифровка книжных, архивных, музейных фондов по различным отраслям знаний и сферам творческой деятельности;</w:t>
      </w:r>
    </w:p>
    <w:p>
      <w:pPr>
        <w:pStyle w:val="0"/>
        <w:spacing w:before="200" w:line-rule="auto"/>
        <w:ind w:firstLine="540"/>
        <w:jc w:val="both"/>
      </w:pPr>
      <w:r>
        <w:rPr>
          <w:sz w:val="20"/>
        </w:rPr>
        <w:t xml:space="preserve">популяризация всех направлений отрасли культура в средствах массовой информации и информационно-телекоммуникационной сети Интернет, повышение этической и эстетической ценности распространяемых культурных продуктов, качества размещаемых материалов и информации;</w:t>
      </w:r>
    </w:p>
    <w:p>
      <w:pPr>
        <w:pStyle w:val="0"/>
        <w:spacing w:before="200" w:line-rule="auto"/>
        <w:ind w:firstLine="540"/>
        <w:jc w:val="both"/>
      </w:pPr>
      <w:r>
        <w:rPr>
          <w:sz w:val="20"/>
        </w:rPr>
        <w:t xml:space="preserve">- модернизация учетно-фондовых систем музеев, совершенствование их информационных систем, увеличение количества музейных выставочных проектов;</w:t>
      </w:r>
    </w:p>
    <w:p>
      <w:pPr>
        <w:pStyle w:val="0"/>
        <w:spacing w:before="200" w:line-rule="auto"/>
        <w:ind w:firstLine="540"/>
        <w:jc w:val="both"/>
      </w:pPr>
      <w:r>
        <w:rPr>
          <w:sz w:val="20"/>
        </w:rPr>
        <w:t xml:space="preserve">- развитие системы электронного доступа к библиотечным ресурсам для максимального расширения круга пользователей;</w:t>
      </w:r>
    </w:p>
    <w:p>
      <w:pPr>
        <w:pStyle w:val="0"/>
        <w:spacing w:before="200" w:line-rule="auto"/>
        <w:ind w:firstLine="540"/>
        <w:jc w:val="both"/>
      </w:pPr>
      <w:r>
        <w:rPr>
          <w:sz w:val="20"/>
        </w:rPr>
        <w:t xml:space="preserve">- сохранение, возрождение и развитие народных художественных промыслов, в том числе путем содействия деятельности по демонстрации и пропаганде их изделий, реализации сувенирной продукции, обучению и подготовке работников в этой сфере;</w:t>
      </w:r>
    </w:p>
    <w:p>
      <w:pPr>
        <w:pStyle w:val="0"/>
        <w:spacing w:before="200" w:line-rule="auto"/>
        <w:ind w:firstLine="540"/>
        <w:jc w:val="both"/>
      </w:pPr>
      <w:r>
        <w:rPr>
          <w:sz w:val="20"/>
        </w:rPr>
        <w:t xml:space="preserve">- сохранение объектов культурного наследия и их популяризация, что позволит облагородить облик городов Тюменской области и старинных сельских поселений, улучшить условия проживания в них за счет повышения эстетической составляющей и жизненного комфорта, создать условия для позитивного восприятия населенных пунктов Тюменской области приезжими;</w:t>
      </w:r>
    </w:p>
    <w:p>
      <w:pPr>
        <w:pStyle w:val="0"/>
        <w:spacing w:before="200" w:line-rule="auto"/>
        <w:ind w:firstLine="540"/>
        <w:jc w:val="both"/>
      </w:pPr>
      <w:r>
        <w:rPr>
          <w:sz w:val="20"/>
        </w:rPr>
        <w:t xml:space="preserve">- повышение привлекательности и комфортности городских пространств и социально-культурной среды городов: благоустройство, рекреация, экология, паблик-арт, уличные фестивали, межрегиональные, федеральные и международные события и проекты, музыкальные и выставочные площадки, развитая система городского транспорта, возможности для самореализации и коммуникации с целью привлечения качественного человеческого капитала;</w:t>
      </w:r>
    </w:p>
    <w:p>
      <w:pPr>
        <w:pStyle w:val="0"/>
        <w:spacing w:before="200" w:line-rule="auto"/>
        <w:ind w:firstLine="540"/>
        <w:jc w:val="both"/>
      </w:pPr>
      <w:r>
        <w:rPr>
          <w:sz w:val="20"/>
        </w:rPr>
        <w:t xml:space="preserve">- принятие мер законодательного и стимулирующего характера для привлечения частного капитала в культуру, в том числе строительство и ремонт объектов культуры, развитие и укрепление материально-технической базы культуры, реставрация объектов культурного наследия;</w:t>
      </w:r>
    </w:p>
    <w:p>
      <w:pPr>
        <w:pStyle w:val="0"/>
        <w:spacing w:before="200" w:line-rule="auto"/>
        <w:ind w:firstLine="540"/>
        <w:jc w:val="both"/>
      </w:pPr>
      <w:r>
        <w:rPr>
          <w:sz w:val="20"/>
        </w:rPr>
        <w:t xml:space="preserve">- проведение культурных мероприятий высокого уровня и поддержка мероприятий, проводимых на регулярной основе;</w:t>
      </w:r>
    </w:p>
    <w:p>
      <w:pPr>
        <w:pStyle w:val="0"/>
        <w:spacing w:before="200" w:line-rule="auto"/>
        <w:ind w:firstLine="540"/>
        <w:jc w:val="both"/>
      </w:pPr>
      <w:r>
        <w:rPr>
          <w:sz w:val="20"/>
        </w:rPr>
        <w:t xml:space="preserve">- развитие условий (креативных пространств) для творческой самореализации жителей Тюменской области;</w:t>
      </w:r>
    </w:p>
    <w:p>
      <w:pPr>
        <w:pStyle w:val="0"/>
        <w:spacing w:before="200" w:line-rule="auto"/>
        <w:ind w:firstLine="540"/>
        <w:jc w:val="both"/>
      </w:pPr>
      <w:r>
        <w:rPr>
          <w:sz w:val="20"/>
        </w:rPr>
        <w:t xml:space="preserve">- создание условий для интеграции креативного сообщества (культурных ресурсов) в коммерческую среду;</w:t>
      </w:r>
    </w:p>
    <w:p>
      <w:pPr>
        <w:pStyle w:val="0"/>
        <w:spacing w:before="200" w:line-rule="auto"/>
        <w:ind w:firstLine="540"/>
        <w:jc w:val="both"/>
      </w:pPr>
      <w:r>
        <w:rPr>
          <w:sz w:val="20"/>
        </w:rPr>
        <w:t xml:space="preserve">- совершенствование механизмов поддержки социально ориентированных некоммерческих организаций, в том числе в сфере культуры, путем предоставления на конкурсной основе бюджетных средств;</w:t>
      </w:r>
    </w:p>
    <w:p>
      <w:pPr>
        <w:pStyle w:val="0"/>
        <w:spacing w:before="200" w:line-rule="auto"/>
        <w:ind w:firstLine="540"/>
        <w:jc w:val="both"/>
      </w:pPr>
      <w:r>
        <w:rPr>
          <w:sz w:val="20"/>
        </w:rPr>
        <w:t xml:space="preserve">- развитие региональных отделений Всероссийских общественных движений ("Юнармия", "Волонтеры Победы", "Поисковое движение России", Российское движение школьников и других);</w:t>
      </w:r>
    </w:p>
    <w:p>
      <w:pPr>
        <w:pStyle w:val="0"/>
        <w:spacing w:before="200" w:line-rule="auto"/>
        <w:ind w:firstLine="540"/>
        <w:jc w:val="both"/>
      </w:pPr>
      <w:r>
        <w:rPr>
          <w:sz w:val="20"/>
        </w:rPr>
        <w:t xml:space="preserve">- реализация комплекса мер, направленных на дальнейшее совершенствование системы добровольной подготовки молодежи к военной службе, в том числе проектов предпрофессиональной подготовки по направлениям, востребованным при призыве на военную службу;</w:t>
      </w:r>
    </w:p>
    <w:p>
      <w:pPr>
        <w:pStyle w:val="0"/>
        <w:spacing w:before="200" w:line-rule="auto"/>
        <w:ind w:firstLine="540"/>
        <w:jc w:val="both"/>
      </w:pPr>
      <w:r>
        <w:rPr>
          <w:sz w:val="20"/>
        </w:rPr>
        <w:t xml:space="preserve">- внедрение современных технологий патриотического воспитания молодежи, в том числе с использованием социальных медиа и немедийных ресурсов информационно-телекоммуникационной сети Интернет;</w:t>
      </w:r>
    </w:p>
    <w:p>
      <w:pPr>
        <w:pStyle w:val="0"/>
        <w:spacing w:before="200" w:line-rule="auto"/>
        <w:ind w:firstLine="540"/>
        <w:jc w:val="both"/>
      </w:pPr>
      <w:r>
        <w:rPr>
          <w:sz w:val="20"/>
        </w:rPr>
        <w:t xml:space="preserve">- популяризация и развитие добровольческого (волонтерского) движения, в том числе реализация проектов и мероприятий в сфере добровольчества, создание инфраструктуры поддержки добровольческого (волонтерского) движения.</w:t>
      </w:r>
    </w:p>
    <w:p>
      <w:pPr>
        <w:pStyle w:val="0"/>
        <w:spacing w:before="200" w:line-rule="auto"/>
        <w:ind w:firstLine="540"/>
        <w:jc w:val="both"/>
      </w:pPr>
      <w:r>
        <w:rPr>
          <w:sz w:val="20"/>
        </w:rPr>
        <w:t xml:space="preserve">Результатом вовлечения творческих (креативных) ресурсов в коммерческую среду (коммерциализации талантов) представляется развитие творческих (креативных) индустрий и формирование потенциального кластера.</w:t>
      </w:r>
    </w:p>
    <w:p>
      <w:pPr>
        <w:pStyle w:val="2"/>
        <w:spacing w:before="200" w:line-rule="auto"/>
        <w:outlineLvl w:val="6"/>
        <w:ind w:firstLine="540"/>
        <w:jc w:val="both"/>
      </w:pPr>
      <w:r>
        <w:rPr>
          <w:sz w:val="20"/>
        </w:rPr>
        <w:t xml:space="preserve">Кластер творческих (креативных) индустрий</w:t>
      </w:r>
    </w:p>
    <w:p>
      <w:pPr>
        <w:pStyle w:val="0"/>
        <w:spacing w:before="200" w:line-rule="auto"/>
        <w:ind w:firstLine="540"/>
        <w:jc w:val="both"/>
      </w:pPr>
      <w:r>
        <w:rPr>
          <w:sz w:val="20"/>
        </w:rPr>
        <w:t xml:space="preserve">Целевое видение: формирование комплексного механизма поддержки и развития творческих креативных индустрий, в том числе пропаганда идеи "творческого предпринимательства", "экономики знаний" и увеличение вклада творческих креативных индустрий в экономику Тюменской области.</w:t>
      </w:r>
    </w:p>
    <w:p>
      <w:pPr>
        <w:pStyle w:val="0"/>
        <w:spacing w:before="200" w:line-rule="auto"/>
        <w:ind w:firstLine="540"/>
        <w:jc w:val="both"/>
      </w:pPr>
      <w:r>
        <w:rPr>
          <w:sz w:val="20"/>
        </w:rPr>
        <w:t xml:space="preserve">Основания формирования кластера:</w:t>
      </w:r>
    </w:p>
    <w:p>
      <w:pPr>
        <w:pStyle w:val="0"/>
        <w:spacing w:before="200" w:line-rule="auto"/>
        <w:ind w:firstLine="540"/>
        <w:jc w:val="both"/>
      </w:pPr>
      <w:r>
        <w:rPr>
          <w:sz w:val="20"/>
        </w:rPr>
        <w:t xml:space="preserve">Развитие креативных индустрий в городах Тюменской области связано с наличием в них успешно функционирующих самостоятельных государственных и негосударственных организаций в таких креативных сферах, как музыка, изобразительное и исполнительское искусство, кино, мода, ремесла, литература и издательское дело, реклама, дизайн, архитектурное проектирование, интернет и медиа, образование. Развитие креативных индустрий в регионе стимулирует интеграцию разобщенных стейкхолдеров, которые производят, тиражируют и транслируют творческие продукты.</w:t>
      </w:r>
    </w:p>
    <w:p>
      <w:pPr>
        <w:pStyle w:val="0"/>
        <w:spacing w:before="200" w:line-rule="auto"/>
        <w:ind w:firstLine="540"/>
        <w:jc w:val="both"/>
      </w:pPr>
      <w:r>
        <w:rPr>
          <w:sz w:val="20"/>
        </w:rPr>
        <w:t xml:space="preserve">Проблемы, требующие решения в рамках реализации кластера:</w:t>
      </w:r>
    </w:p>
    <w:p>
      <w:pPr>
        <w:pStyle w:val="0"/>
        <w:spacing w:before="200" w:line-rule="auto"/>
        <w:ind w:firstLine="540"/>
        <w:jc w:val="both"/>
      </w:pPr>
      <w:r>
        <w:rPr>
          <w:sz w:val="20"/>
        </w:rPr>
        <w:t xml:space="preserve">разрозненное существование представителей креативных индустрий;</w:t>
      </w:r>
    </w:p>
    <w:p>
      <w:pPr>
        <w:pStyle w:val="0"/>
        <w:spacing w:before="200" w:line-rule="auto"/>
        <w:ind w:firstLine="540"/>
        <w:jc w:val="both"/>
      </w:pPr>
      <w:r>
        <w:rPr>
          <w:sz w:val="20"/>
        </w:rPr>
        <w:t xml:space="preserve">недостаточное количество механизмов поддержки и развития креативных индустрий;</w:t>
      </w:r>
    </w:p>
    <w:p>
      <w:pPr>
        <w:pStyle w:val="0"/>
        <w:spacing w:before="200" w:line-rule="auto"/>
        <w:ind w:firstLine="540"/>
        <w:jc w:val="both"/>
      </w:pPr>
      <w:r>
        <w:rPr>
          <w:sz w:val="20"/>
        </w:rPr>
        <w:t xml:space="preserve">недостаточное использование потенциала творческого класса для экономического развития региона;</w:t>
      </w:r>
    </w:p>
    <w:p>
      <w:pPr>
        <w:pStyle w:val="0"/>
        <w:spacing w:before="200" w:line-rule="auto"/>
        <w:ind w:firstLine="540"/>
        <w:jc w:val="both"/>
      </w:pPr>
      <w:r>
        <w:rPr>
          <w:sz w:val="20"/>
        </w:rPr>
        <w:t xml:space="preserve">недостаточное развитие городской среды с точки зрения общественных пространств, мест притяжения представителей креативного кластера.</w:t>
      </w:r>
    </w:p>
    <w:p>
      <w:pPr>
        <w:pStyle w:val="0"/>
        <w:spacing w:before="200" w:line-rule="auto"/>
        <w:ind w:firstLine="540"/>
        <w:jc w:val="both"/>
      </w:pPr>
      <w:r>
        <w:rPr>
          <w:sz w:val="20"/>
        </w:rPr>
        <w:t xml:space="preserve">Перспективы и направления действий:</w:t>
      </w:r>
    </w:p>
    <w:p>
      <w:pPr>
        <w:pStyle w:val="0"/>
        <w:spacing w:before="200" w:line-rule="auto"/>
        <w:ind w:firstLine="540"/>
        <w:jc w:val="both"/>
      </w:pPr>
      <w:r>
        <w:rPr>
          <w:sz w:val="20"/>
        </w:rPr>
        <w:t xml:space="preserve">Инвестирование в модернизацию образовательного процесса в сфере менеджмента творческих предприятий, экономики культуры, а также специализированного образования в области дизайна, рекламы, моды, кино, урбанистики и т.д.</w:t>
      </w:r>
    </w:p>
    <w:p>
      <w:pPr>
        <w:pStyle w:val="0"/>
        <w:spacing w:before="200" w:line-rule="auto"/>
        <w:ind w:firstLine="540"/>
        <w:jc w:val="both"/>
      </w:pPr>
      <w:r>
        <w:rPr>
          <w:sz w:val="20"/>
        </w:rPr>
        <w:t xml:space="preserve">Создание и развитие общественных пространств, центров притяжения представителей креативного кластера, модернизация учреждений культуры в городских округах и муниципальных районах.</w:t>
      </w:r>
    </w:p>
    <w:p>
      <w:pPr>
        <w:pStyle w:val="0"/>
        <w:spacing w:before="200" w:line-rule="auto"/>
        <w:ind w:firstLine="540"/>
        <w:jc w:val="both"/>
      </w:pPr>
      <w:r>
        <w:rPr>
          <w:sz w:val="20"/>
        </w:rPr>
        <w:t xml:space="preserve">Поддержка инфраструктурных и сетевых проектов в сфере творческих индустрий: проведение форумов, встреч, создание специализированных онлайн-ресурсов, ресурсных центров для молодых предпринимателей, реализация исследовательских программ.</w:t>
      </w:r>
    </w:p>
    <w:p>
      <w:pPr>
        <w:pStyle w:val="0"/>
        <w:spacing w:before="200" w:line-rule="auto"/>
        <w:ind w:firstLine="540"/>
        <w:jc w:val="both"/>
      </w:pPr>
      <w:r>
        <w:rPr>
          <w:sz w:val="20"/>
        </w:rPr>
        <w:t xml:space="preserve">Развитие международных исследований и проектов.</w:t>
      </w:r>
    </w:p>
    <w:p>
      <w:pPr>
        <w:pStyle w:val="0"/>
        <w:spacing w:before="200" w:line-rule="auto"/>
        <w:ind w:firstLine="540"/>
        <w:jc w:val="both"/>
      </w:pPr>
      <w:r>
        <w:rPr>
          <w:sz w:val="20"/>
        </w:rPr>
        <w:t xml:space="preserve">Содействие развитию внутреннего "творческого" рынка.</w:t>
      </w:r>
    </w:p>
    <w:p>
      <w:pPr>
        <w:pStyle w:val="0"/>
        <w:spacing w:before="200" w:line-rule="auto"/>
        <w:ind w:firstLine="540"/>
        <w:jc w:val="both"/>
      </w:pPr>
      <w:r>
        <w:rPr>
          <w:sz w:val="20"/>
        </w:rPr>
        <w:t xml:space="preserve">Продвижение продукции творческих креативных индустрий через упрощение административных процедур.</w:t>
      </w:r>
    </w:p>
    <w:p>
      <w:pPr>
        <w:pStyle w:val="0"/>
        <w:spacing w:before="200" w:line-rule="auto"/>
        <w:ind w:firstLine="540"/>
        <w:jc w:val="both"/>
      </w:pPr>
      <w:r>
        <w:rPr>
          <w:sz w:val="20"/>
        </w:rPr>
        <w:t xml:space="preserve">Территориальное расположение кластера: город Тюмень, город Тобольск, город Ялуторовск, город Ишим.</w:t>
      </w:r>
    </w:p>
    <w:p>
      <w:pPr>
        <w:pStyle w:val="0"/>
        <w:spacing w:before="200" w:line-rule="auto"/>
        <w:ind w:firstLine="540"/>
        <w:jc w:val="both"/>
      </w:pPr>
      <w:r>
        <w:rPr>
          <w:sz w:val="20"/>
        </w:rPr>
        <w:t xml:space="preserve">Научно-образовательный потенциал кластера базируется на действующих образовательных организациях высшего образования и профессиональных образовательных организациях в области обеспечения подготовки и переподготовки специализированных кадров. Роль учебных заведений в развитии креативных индустрий заключается в активизации их потенциала для взаимодействия со специалистами-производителями услуг в сфере креативных индустрий как на уровне первоначального воплощения замысла (для дизайнеров, архитекторов, художников и других), так и на уровне технических навыков для производства продукции и реализации услуг (в том числе проектов).</w:t>
      </w:r>
    </w:p>
    <w:p>
      <w:pPr>
        <w:pStyle w:val="0"/>
        <w:jc w:val="both"/>
      </w:pPr>
      <w:r>
        <w:rPr>
          <w:sz w:val="20"/>
        </w:rPr>
      </w:r>
    </w:p>
    <w:p>
      <w:pPr>
        <w:pStyle w:val="0"/>
        <w:outlineLvl w:val="7"/>
        <w:jc w:val="center"/>
      </w:pPr>
      <w:r>
        <w:rPr>
          <w:position w:val="-371"/>
        </w:rPr>
        <w:drawing>
          <wp:inline distT="0" distB="0" distL="0" distR="0">
            <wp:extent cx="5511165" cy="4846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5511165" cy="4846955"/>
                    </a:xfrm>
                    <a:prstGeom prst="rect">
                      <a:avLst/>
                    </a:prstGeom>
                    <a:noFill/>
                    <a:ln>
                      <a:noFill/>
                    </a:ln>
                  </pic:spPr>
                </pic:pic>
              </a:graphicData>
            </a:graphic>
          </wp:inline>
        </w:drawing>
      </w:r>
    </w:p>
    <w:p>
      <w:pPr>
        <w:pStyle w:val="0"/>
        <w:jc w:val="both"/>
      </w:pPr>
      <w:r>
        <w:rPr>
          <w:sz w:val="20"/>
        </w:rPr>
      </w:r>
    </w:p>
    <w:p>
      <w:pPr>
        <w:pStyle w:val="2"/>
        <w:jc w:val="center"/>
      </w:pPr>
      <w:r>
        <w:rPr>
          <w:sz w:val="20"/>
        </w:rPr>
        <w:t xml:space="preserve">Рисунок 5 - Территориальное расположение участников</w:t>
      </w:r>
    </w:p>
    <w:p>
      <w:pPr>
        <w:pStyle w:val="2"/>
        <w:jc w:val="center"/>
      </w:pPr>
      <w:r>
        <w:rPr>
          <w:sz w:val="20"/>
        </w:rPr>
        <w:t xml:space="preserve">и инфраструктуры кластера творческих (креативных) индустрий</w:t>
      </w:r>
    </w:p>
    <w:p>
      <w:pPr>
        <w:pStyle w:val="0"/>
        <w:jc w:val="both"/>
      </w:pPr>
      <w:r>
        <w:rPr>
          <w:sz w:val="20"/>
        </w:rPr>
      </w:r>
    </w:p>
    <w:p>
      <w:pPr>
        <w:pStyle w:val="0"/>
        <w:ind w:firstLine="540"/>
        <w:jc w:val="both"/>
      </w:pPr>
      <w:r>
        <w:rPr>
          <w:sz w:val="20"/>
        </w:rPr>
        <w:t xml:space="preserve">Продуктовые направления:</w:t>
      </w:r>
    </w:p>
    <w:p>
      <w:pPr>
        <w:pStyle w:val="0"/>
        <w:spacing w:before="200" w:line-rule="auto"/>
        <w:ind w:firstLine="540"/>
        <w:jc w:val="both"/>
      </w:pPr>
      <w:r>
        <w:rPr>
          <w:sz w:val="20"/>
        </w:rPr>
        <w:t xml:space="preserve">- существующие - архитектура, музыка, исполнительские искусства, изобразительное искусство, дизайн, мода, антиквариат, кино- и видеопроизводство, издательская деятельность, реклама, теле-, радио- и интернет-вещание, звукозапись, ремесла, выставочный бизнес, изготовление декоративных изделий, кукол;</w:t>
      </w:r>
    </w:p>
    <w:p>
      <w:pPr>
        <w:pStyle w:val="0"/>
        <w:spacing w:before="200" w:line-rule="auto"/>
        <w:ind w:firstLine="540"/>
        <w:jc w:val="both"/>
      </w:pPr>
      <w:r>
        <w:rPr>
          <w:sz w:val="20"/>
        </w:rPr>
        <w:t xml:space="preserve">- новые - формирование креативных пространств в городах Тюменской области (Заводоуковск, Ялуторовск, Ишим, Тобольск, Тюмень): пошив сценических костюмов и дизайнерской одежды и обуви, изготовление и распространение аудиовизуальной продукции и кинопродукции, производство традиционного текстиля и посуды, новые художественные промыслы и ремесла, частные художественные салоны и выставочные залы; дизайн интерьеров и ландшафта; интерактивное программное обеспечение; художественные искусства; интерпретация наследия путем мультимедиа (виртуальные показы, виртуальные экскурсии).</w:t>
      </w:r>
    </w:p>
    <w:p>
      <w:pPr>
        <w:pStyle w:val="0"/>
        <w:spacing w:before="200" w:line-rule="auto"/>
        <w:ind w:firstLine="540"/>
        <w:jc w:val="both"/>
      </w:pPr>
      <w:r>
        <w:rPr>
          <w:sz w:val="20"/>
        </w:rPr>
        <w:t xml:space="preserve">Ключевые участники: Телерадиокомпания "Тюменское время", Информационное агентство "Сибинформбюро", Тюменский дом печати, Тюменский издательский дом, "Тюменская область сегодня", парламентская газета "Тюменские известия", Тюменское региональное информационное агентство "ТюменьМедиа", Информационно-издательский центр, организации культуры ("Тюменское концертно-театральное объединение", в которое входят: Тюменский драматический театр, Тобольский драматический театр им. П.П. Ершова, Тюменская филармония, Дворец культуры "Нефтяник" им. В.И. Муравленко, Тюменский театр кукол; "Тюменское музейно-просветительское объединение", в составе которого: Музейный комплекс им. И.Я. Словцова, Тобольский историко-архитектурный музей-заповедник, Ялуторовский музейный комплекс, Мультимедийный исторический парк "Россия - моя история", Музей семьи императора Николая II; "Ишимский музейный комплекс им. П.П. Ершова", Дом-музей Г.Е. Распутина) библиотеки, вузы, Мультицентр "Моя территория", Молодежный театральный центр "Космос" и другие организации творческого направления и сферы искусства.</w:t>
      </w:r>
    </w:p>
    <w:p>
      <w:pPr>
        <w:pStyle w:val="2"/>
        <w:spacing w:before="200" w:line-rule="auto"/>
        <w:outlineLvl w:val="5"/>
        <w:ind w:firstLine="540"/>
        <w:jc w:val="both"/>
      </w:pPr>
      <w:r>
        <w:rPr>
          <w:sz w:val="20"/>
        </w:rPr>
        <w:t xml:space="preserve">Задача 1.2.6. Обеспечение населения полной, своевременной и объективной информацией (ИНФОРМАЦИЯ)</w:t>
      </w:r>
    </w:p>
    <w:p>
      <w:pPr>
        <w:pStyle w:val="0"/>
        <w:spacing w:before="200" w:line-rule="auto"/>
        <w:ind w:firstLine="540"/>
        <w:jc w:val="both"/>
      </w:pPr>
      <w:r>
        <w:rPr>
          <w:sz w:val="20"/>
        </w:rPr>
        <w:t xml:space="preserve">Обеспечение населения объективной и достоверной информацией и создание условий для удовлетворения его потребности в постоянном развитии, получении качественных и достоверных сведений, новых компетенций, расширении кругозора способствует формированию условий для развития общества знаний и информационного пространства, основанного на знаниях.</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распространение достоверной и качественной информации о наиболее значимых событиях в жизни области и страны, деятельности органов государственной власти посредством размещения информации в традиционных СМИ и на современных информационных платформах;</w:t>
      </w:r>
    </w:p>
    <w:p>
      <w:pPr>
        <w:pStyle w:val="0"/>
        <w:spacing w:before="200" w:line-rule="auto"/>
        <w:ind w:firstLine="540"/>
        <w:jc w:val="both"/>
      </w:pPr>
      <w:r>
        <w:rPr>
          <w:sz w:val="20"/>
        </w:rPr>
        <w:t xml:space="preserve">- повышение информационной открытости исполнительных органов государственной власти и органов местного самоуправления, в том числе внедрение системы принципов, механизмов и инструментов организации государственного управления "Открытое правительство", основанных на развитии форм участия граждан и экспертных сообществ в управлении, прозрачности и подотчетности деятельности органов власти, а также широкого использования современных информационных технологий и новых средств коммуникации в осуществлении взаимодействия с гражданами;</w:t>
      </w:r>
    </w:p>
    <w:p>
      <w:pPr>
        <w:pStyle w:val="0"/>
        <w:spacing w:before="200" w:line-rule="auto"/>
        <w:ind w:firstLine="540"/>
        <w:jc w:val="both"/>
      </w:pPr>
      <w:r>
        <w:rPr>
          <w:sz w:val="20"/>
        </w:rPr>
        <w:t xml:space="preserve">- повышение качества жизни граждан, в том числе проживающих в отдаленных территориях, за счет использования информационных и телекоммуникационных технологий, средств связи;</w:t>
      </w:r>
    </w:p>
    <w:p>
      <w:pPr>
        <w:pStyle w:val="0"/>
        <w:spacing w:before="200" w:line-rule="auto"/>
        <w:ind w:firstLine="540"/>
        <w:jc w:val="both"/>
      </w:pPr>
      <w:r>
        <w:rPr>
          <w:sz w:val="20"/>
        </w:rPr>
        <w:t xml:space="preserve">- оказание государственной поддержки социально значимым средствам массовой информации, издательствам и издающим организациям;</w:t>
      </w:r>
    </w:p>
    <w:p>
      <w:pPr>
        <w:pStyle w:val="0"/>
        <w:spacing w:before="200" w:line-rule="auto"/>
        <w:ind w:firstLine="540"/>
        <w:jc w:val="both"/>
      </w:pPr>
      <w:r>
        <w:rPr>
          <w:sz w:val="20"/>
        </w:rPr>
        <w:t xml:space="preserve">- проведение социологических исследований в целях определения отношения населения к наиболее значимым проблемам регионального управления, а также для определения проблем, персонально значимых для жителей региона.</w:t>
      </w:r>
    </w:p>
    <w:p>
      <w:pPr>
        <w:pStyle w:val="0"/>
        <w:spacing w:before="200" w:line-rule="auto"/>
        <w:ind w:firstLine="540"/>
        <w:jc w:val="both"/>
      </w:pPr>
      <w:r>
        <w:rPr>
          <w:sz w:val="20"/>
        </w:rPr>
        <w:t xml:space="preserve">Для формирования целостного подхода к решению социальных задач региона за счет эффективного взаимодействия органов исполнительной власти, предпринимательского сообщества и социально ориентированных некоммерческих организаций имеются предпосылки для создания кластера социальных инноваций (потенциальный кластер), интегрированного с проектом "Социальный аутсорсинг".</w:t>
      </w:r>
    </w:p>
    <w:p>
      <w:pPr>
        <w:pStyle w:val="2"/>
        <w:spacing w:before="200" w:line-rule="auto"/>
        <w:outlineLvl w:val="6"/>
        <w:ind w:firstLine="540"/>
        <w:jc w:val="both"/>
      </w:pPr>
      <w:r>
        <w:rPr>
          <w:sz w:val="20"/>
        </w:rPr>
        <w:t xml:space="preserve">Кластер социальных инноваций</w:t>
      </w:r>
    </w:p>
    <w:p>
      <w:pPr>
        <w:pStyle w:val="0"/>
        <w:spacing w:before="200" w:line-rule="auto"/>
        <w:ind w:firstLine="540"/>
        <w:jc w:val="both"/>
      </w:pPr>
      <w:r>
        <w:rPr>
          <w:sz w:val="20"/>
        </w:rPr>
        <w:t xml:space="preserve">Целевое видение: формирование современного кластера социальных инноваций с гибким клиентоориентированным управлением, обеспечивающего высокое качество социальных услуг за счет внедрения инновационных технологий и высокой степени участия негосударственного сектора.</w:t>
      </w:r>
    </w:p>
    <w:p>
      <w:pPr>
        <w:pStyle w:val="0"/>
        <w:spacing w:before="200" w:line-rule="auto"/>
        <w:ind w:firstLine="540"/>
        <w:jc w:val="both"/>
      </w:pPr>
      <w:r>
        <w:rPr>
          <w:sz w:val="20"/>
        </w:rPr>
        <w:t xml:space="preserve">Основания формирования кластера: формирование эффективных каналов межсекторного взаимодействия как способа взаимодействия государства, предпринимательской сферы, некоммерческих организаций, использование которого должно способствовать внедрению новых технологий, повышению качества предоставляемых услуг, что в целом направлено на развитие предпринимательства в социальной сфере, решение задач регионального значения в социальном блоке и оптимизации бюджетной нагрузки.</w:t>
      </w:r>
    </w:p>
    <w:p>
      <w:pPr>
        <w:pStyle w:val="0"/>
        <w:spacing w:before="200" w:line-rule="auto"/>
        <w:ind w:firstLine="540"/>
        <w:jc w:val="both"/>
      </w:pPr>
      <w:r>
        <w:rPr>
          <w:sz w:val="20"/>
        </w:rPr>
        <w:t xml:space="preserve">Проблема, требующая решения в рамках формирования кластера - недостаточное использование потенциала негосударственных организаций для экономического развития региона.</w:t>
      </w:r>
    </w:p>
    <w:p>
      <w:pPr>
        <w:pStyle w:val="0"/>
        <w:spacing w:before="200" w:line-rule="auto"/>
        <w:ind w:firstLine="540"/>
        <w:jc w:val="both"/>
      </w:pPr>
      <w:r>
        <w:rPr>
          <w:sz w:val="20"/>
        </w:rPr>
        <w:t xml:space="preserve">Перспективы и направления действий: содействие привлечению некоммерческих организаций и субъектов малого и среднего предпринимательства (социального предпринимательства) в социальную сферу; развитие государственно-частного партнерства; развитие социального предпринимательства и социально ориентированных некоммерческих организаций; поддержка и развитие ресурсных центров для обучения социально ориентированных некоммерческих организаций и социальных предпринимателей.</w:t>
      </w:r>
    </w:p>
    <w:p>
      <w:pPr>
        <w:pStyle w:val="0"/>
        <w:jc w:val="both"/>
      </w:pPr>
      <w:r>
        <w:rPr>
          <w:sz w:val="20"/>
        </w:rPr>
      </w:r>
    </w:p>
    <w:p>
      <w:pPr>
        <w:pStyle w:val="0"/>
        <w:outlineLvl w:val="7"/>
        <w:jc w:val="center"/>
      </w:pPr>
      <w:r>
        <w:rPr>
          <w:position w:val="-334"/>
        </w:rPr>
        <w:drawing>
          <wp:inline distT="0" distB="0" distL="0" distR="0">
            <wp:extent cx="5444490" cy="437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5444490" cy="4377055"/>
                    </a:xfrm>
                    <a:prstGeom prst="rect">
                      <a:avLst/>
                    </a:prstGeom>
                    <a:noFill/>
                    <a:ln>
                      <a:noFill/>
                    </a:ln>
                  </pic:spPr>
                </pic:pic>
              </a:graphicData>
            </a:graphic>
          </wp:inline>
        </w:drawing>
      </w:r>
    </w:p>
    <w:p>
      <w:pPr>
        <w:pStyle w:val="0"/>
        <w:jc w:val="both"/>
      </w:pPr>
      <w:r>
        <w:rPr>
          <w:sz w:val="20"/>
        </w:rPr>
      </w:r>
    </w:p>
    <w:p>
      <w:pPr>
        <w:pStyle w:val="2"/>
        <w:jc w:val="center"/>
      </w:pPr>
      <w:r>
        <w:rPr>
          <w:sz w:val="20"/>
        </w:rPr>
        <w:t xml:space="preserve">Рисунок 6 - Территориальное расположение участников</w:t>
      </w:r>
    </w:p>
    <w:p>
      <w:pPr>
        <w:pStyle w:val="2"/>
        <w:jc w:val="center"/>
      </w:pPr>
      <w:r>
        <w:rPr>
          <w:sz w:val="20"/>
        </w:rPr>
        <w:t xml:space="preserve">и инфраструктуры кластера социальных инноваций</w:t>
      </w:r>
    </w:p>
    <w:p>
      <w:pPr>
        <w:pStyle w:val="0"/>
        <w:jc w:val="both"/>
      </w:pPr>
      <w:r>
        <w:rPr>
          <w:sz w:val="20"/>
        </w:rPr>
      </w:r>
    </w:p>
    <w:p>
      <w:pPr>
        <w:pStyle w:val="0"/>
        <w:ind w:firstLine="540"/>
        <w:jc w:val="both"/>
      </w:pPr>
      <w:r>
        <w:rPr>
          <w:sz w:val="20"/>
        </w:rPr>
        <w:t xml:space="preserve">Ключевые участники:</w:t>
      </w:r>
    </w:p>
    <w:p>
      <w:pPr>
        <w:pStyle w:val="0"/>
        <w:spacing w:before="200" w:line-rule="auto"/>
        <w:ind w:firstLine="540"/>
        <w:jc w:val="both"/>
      </w:pPr>
      <w:r>
        <w:rPr>
          <w:sz w:val="20"/>
        </w:rPr>
        <w:t xml:space="preserve">1. Межрегиональный ресурсный центр для развития и поддержки СО НКО на базе Благотворительного фонда развития города Тюмени, Общественный ресурсный центр поддержки СО НКО при Общественной палате Тюменской области, Ресурсный центр поддержки СО НКО и социальных предпринимателей в Тюменской области при Инвестиционном агентстве Тюменской области (Центр инноваций социальной сферы), Ресурсный центр поддержки гражданских лидеров и молодежных сообществ Тюменской области при АНО "Агентство современных коммуникаций", Ресурсный центр при Ассоциации организаторов отдыха и оздоровления населения Тюменской области "Мы вместе", Ресурсный центр повышения квалификации сотрудников СО НКО и подготовки кадров при Региональном социально-реабилитационном центре для несовершеннолетних "Семья", Региональный модельный центр Тюменской области при дворце творчества и спорта "Пионер", Координационный центр по развитию добровольческого движения в Тюменской области при дворце творчества и спорта "Пионер", Региональный ресурсный (методический) центр Тюменской области сферы дополнительного образования детей естественнонаучной направленности при дворце творчества и спорта "Пионер", Региональный ресурсный (методический) центр Тюменской области сферы дополнительного образования туристско-краеведческой направленности при дворце творчества и спорта "Пионер".</w:t>
      </w:r>
    </w:p>
    <w:p>
      <w:pPr>
        <w:pStyle w:val="0"/>
        <w:spacing w:before="200" w:line-rule="auto"/>
        <w:ind w:firstLine="540"/>
        <w:jc w:val="both"/>
      </w:pPr>
      <w:r>
        <w:rPr>
          <w:sz w:val="20"/>
        </w:rPr>
        <w:t xml:space="preserve">2. Тюменский государственный университет, Тюменский индустриальный университет.</w:t>
      </w:r>
    </w:p>
    <w:p>
      <w:pPr>
        <w:pStyle w:val="0"/>
        <w:spacing w:before="200" w:line-rule="auto"/>
        <w:ind w:firstLine="540"/>
        <w:jc w:val="both"/>
      </w:pPr>
      <w:r>
        <w:rPr>
          <w:sz w:val="20"/>
        </w:rPr>
        <w:t xml:space="preserve">3. Ресурсный центр поддержки СО НКО города Тобольска.</w:t>
      </w:r>
    </w:p>
    <w:p>
      <w:pPr>
        <w:pStyle w:val="0"/>
        <w:spacing w:before="200" w:line-rule="auto"/>
        <w:ind w:firstLine="540"/>
        <w:jc w:val="both"/>
      </w:pPr>
      <w:r>
        <w:rPr>
          <w:sz w:val="20"/>
        </w:rPr>
        <w:t xml:space="preserve">4. Координационный совет по поддержке и развитию социально ориентированных некоммерческих организаций Ярковского муниципального района.</w:t>
      </w:r>
    </w:p>
    <w:p>
      <w:pPr>
        <w:pStyle w:val="0"/>
        <w:spacing w:before="200" w:line-rule="auto"/>
        <w:ind w:firstLine="540"/>
        <w:jc w:val="both"/>
      </w:pPr>
      <w:r>
        <w:rPr>
          <w:sz w:val="20"/>
        </w:rPr>
        <w:t xml:space="preserve">5. Ресурсный центр поддержки социально ориентированных некоммерческих организаций при Общественном совете Ялуторовского района.</w:t>
      </w:r>
    </w:p>
    <w:p>
      <w:pPr>
        <w:pStyle w:val="0"/>
        <w:spacing w:before="200" w:line-rule="auto"/>
        <w:ind w:firstLine="540"/>
        <w:jc w:val="both"/>
      </w:pPr>
      <w:r>
        <w:rPr>
          <w:sz w:val="20"/>
        </w:rPr>
        <w:t xml:space="preserve">6. Общественная палата (совет) города Ялуторовска.</w:t>
      </w:r>
    </w:p>
    <w:p>
      <w:pPr>
        <w:pStyle w:val="0"/>
        <w:spacing w:before="200" w:line-rule="auto"/>
        <w:ind w:firstLine="540"/>
        <w:jc w:val="both"/>
      </w:pPr>
      <w:r>
        <w:rPr>
          <w:sz w:val="20"/>
        </w:rPr>
        <w:t xml:space="preserve">7. Ресурсный центр поддержки СО НКО Заводоуковского городского округа.</w:t>
      </w:r>
    </w:p>
    <w:p>
      <w:pPr>
        <w:pStyle w:val="0"/>
        <w:spacing w:before="200" w:line-rule="auto"/>
        <w:ind w:firstLine="540"/>
        <w:jc w:val="both"/>
      </w:pPr>
      <w:r>
        <w:rPr>
          <w:sz w:val="20"/>
        </w:rPr>
        <w:t xml:space="preserve">8. Ресурсный центр поддержки социально ориентированных некоммерческих организаций при Общественном совете Упоровского района.</w:t>
      </w:r>
    </w:p>
    <w:p>
      <w:pPr>
        <w:pStyle w:val="0"/>
        <w:spacing w:before="200" w:line-rule="auto"/>
        <w:ind w:firstLine="540"/>
        <w:jc w:val="both"/>
      </w:pPr>
      <w:r>
        <w:rPr>
          <w:sz w:val="20"/>
        </w:rPr>
        <w:t xml:space="preserve">9. Ресурсный центр поддержки социально ориентированных некоммерческих организаций при Общественной палате (совете) Аромашевского района.</w:t>
      </w:r>
    </w:p>
    <w:p>
      <w:pPr>
        <w:pStyle w:val="0"/>
        <w:spacing w:before="200" w:line-rule="auto"/>
        <w:ind w:firstLine="540"/>
        <w:jc w:val="both"/>
      </w:pPr>
      <w:r>
        <w:rPr>
          <w:sz w:val="20"/>
        </w:rPr>
        <w:t xml:space="preserve">10. Ресурсный центр поддержки социально ориентированных некоммерческих организаций при молодежном центре "Со-Дружество" Голышмановского городского округа.</w:t>
      </w:r>
    </w:p>
    <w:p>
      <w:pPr>
        <w:pStyle w:val="0"/>
        <w:spacing w:before="200" w:line-rule="auto"/>
        <w:ind w:firstLine="540"/>
        <w:jc w:val="both"/>
      </w:pPr>
      <w:r>
        <w:rPr>
          <w:sz w:val="20"/>
        </w:rPr>
        <w:t xml:space="preserve">11. Ресурсный центр поддержки социально ориентированных некоммерческих организаций при Общественном совете Бердюжского района.</w:t>
      </w:r>
    </w:p>
    <w:p>
      <w:pPr>
        <w:pStyle w:val="0"/>
        <w:spacing w:before="200" w:line-rule="auto"/>
        <w:ind w:firstLine="540"/>
        <w:jc w:val="both"/>
      </w:pPr>
      <w:r>
        <w:rPr>
          <w:sz w:val="20"/>
        </w:rPr>
        <w:t xml:space="preserve">Развитию кластера и его инфраструктуры также будет способствовать сотрудничество с Фондом региональных социальных программ "Наше будущее", АНО "Агентство социальной информации", АНО "Агентство стратегических инициатив по продвижению новых проектов".</w:t>
      </w:r>
    </w:p>
    <w:p>
      <w:pPr>
        <w:pStyle w:val="0"/>
        <w:spacing w:before="200" w:line-rule="auto"/>
        <w:ind w:firstLine="540"/>
        <w:jc w:val="both"/>
      </w:pPr>
      <w:r>
        <w:rPr>
          <w:sz w:val="20"/>
        </w:rPr>
        <w:t xml:space="preserve">Научно-образовательный потенциал кластера базируется на действующих образовательных организациях высшего образования, признанных университетскими центрами инновационного, технологического и социального развития регионов (Тюменский государственный университет, Тюменский индустриальный университет).</w:t>
      </w:r>
    </w:p>
    <w:p>
      <w:pPr>
        <w:pStyle w:val="0"/>
        <w:spacing w:before="200" w:line-rule="auto"/>
        <w:ind w:firstLine="540"/>
        <w:jc w:val="both"/>
      </w:pPr>
      <w:r>
        <w:rPr>
          <w:sz w:val="20"/>
        </w:rPr>
        <w:t xml:space="preserve">Продуктовые направления: социальные услуги.</w:t>
      </w:r>
    </w:p>
    <w:p>
      <w:pPr>
        <w:pStyle w:val="0"/>
        <w:spacing w:before="200" w:line-rule="auto"/>
        <w:ind w:firstLine="540"/>
        <w:jc w:val="both"/>
      </w:pPr>
      <w:r>
        <w:rPr>
          <w:sz w:val="20"/>
        </w:rPr>
        <w:t xml:space="preserve">Потенциальные рынки сбыта: внутрироссийский рынок.</w:t>
      </w:r>
    </w:p>
    <w:p>
      <w:pPr>
        <w:pStyle w:val="0"/>
        <w:jc w:val="both"/>
      </w:pPr>
      <w:r>
        <w:rPr>
          <w:sz w:val="20"/>
        </w:rPr>
      </w:r>
    </w:p>
    <w:p>
      <w:pPr>
        <w:pStyle w:val="2"/>
        <w:outlineLvl w:val="3"/>
        <w:ind w:firstLine="540"/>
        <w:jc w:val="both"/>
      </w:pPr>
      <w:r>
        <w:rPr>
          <w:sz w:val="20"/>
        </w:rPr>
        <w:t xml:space="preserve">Приоритет 2. ЭКОНОМИКА</w:t>
      </w:r>
    </w:p>
    <w:p>
      <w:pPr>
        <w:pStyle w:val="0"/>
        <w:spacing w:before="200" w:line-rule="auto"/>
        <w:ind w:firstLine="540"/>
        <w:jc w:val="both"/>
      </w:pPr>
      <w:r>
        <w:rPr>
          <w:sz w:val="20"/>
        </w:rPr>
        <w:t xml:space="preserve">Устойчивое экономическое развитие</w:t>
      </w:r>
    </w:p>
    <w:p>
      <w:pPr>
        <w:pStyle w:val="0"/>
        <w:spacing w:before="200" w:line-rule="auto"/>
        <w:ind w:firstLine="540"/>
        <w:jc w:val="both"/>
      </w:pPr>
      <w:r>
        <w:rPr>
          <w:sz w:val="20"/>
        </w:rPr>
        <w:t xml:space="preserve">Развитие экономики Тюменской области должно обеспечить формирование мощного динамично развивающегося индустриального и инновационного центра с диверсифицированной отраслевой структурой и высокой долей сервисных отраслей.</w:t>
      </w:r>
    </w:p>
    <w:p>
      <w:pPr>
        <w:pStyle w:val="0"/>
        <w:spacing w:before="200" w:line-rule="auto"/>
        <w:ind w:firstLine="540"/>
        <w:jc w:val="both"/>
      </w:pPr>
      <w:r>
        <w:rPr>
          <w:sz w:val="20"/>
        </w:rPr>
        <w:t xml:space="preserve">Развитию экономики будут способствовать:</w:t>
      </w:r>
    </w:p>
    <w:p>
      <w:pPr>
        <w:pStyle w:val="0"/>
        <w:spacing w:before="200" w:line-rule="auto"/>
        <w:ind w:firstLine="540"/>
        <w:jc w:val="both"/>
      </w:pPr>
      <w:r>
        <w:rPr>
          <w:sz w:val="20"/>
        </w:rPr>
        <w:t xml:space="preserve">создание благоприятных условий для инвестиционной, предпринимательской, инновационной деятельности;</w:t>
      </w:r>
    </w:p>
    <w:p>
      <w:pPr>
        <w:pStyle w:val="0"/>
        <w:spacing w:before="200" w:line-rule="auto"/>
        <w:ind w:firstLine="540"/>
        <w:jc w:val="both"/>
      </w:pPr>
      <w:r>
        <w:rPr>
          <w:sz w:val="20"/>
        </w:rPr>
        <w:t xml:space="preserve">создание условий для развития цифровой экономики, в которой данные в цифровой форме являются ключевым фактором производства во всех сферах социально-экономической деятельности;</w:t>
      </w:r>
    </w:p>
    <w:p>
      <w:pPr>
        <w:pStyle w:val="0"/>
        <w:spacing w:before="200" w:line-rule="auto"/>
        <w:ind w:firstLine="540"/>
        <w:jc w:val="both"/>
      </w:pPr>
      <w:r>
        <w:rPr>
          <w:sz w:val="20"/>
        </w:rPr>
        <w:t xml:space="preserve">рост производительности труда;</w:t>
      </w:r>
    </w:p>
    <w:p>
      <w:pPr>
        <w:pStyle w:val="0"/>
        <w:spacing w:before="200" w:line-rule="auto"/>
        <w:ind w:firstLine="540"/>
        <w:jc w:val="both"/>
      </w:pPr>
      <w:r>
        <w:rPr>
          <w:sz w:val="20"/>
        </w:rPr>
        <w:t xml:space="preserve">проведение активной кластерной политики, что обеспечит дополнение производственных цепочек и обновление как продуктового, так и технологического ассортимента отраслей, рост промышленного производства;</w:t>
      </w:r>
    </w:p>
    <w:p>
      <w:pPr>
        <w:pStyle w:val="0"/>
        <w:spacing w:before="200" w:line-rule="auto"/>
        <w:ind w:firstLine="540"/>
        <w:jc w:val="both"/>
      </w:pPr>
      <w:r>
        <w:rPr>
          <w:sz w:val="20"/>
        </w:rPr>
        <w:t xml:space="preserve">содействие расширению рынков сбыта продукции тюменских товаропроизводителей.</w:t>
      </w:r>
    </w:p>
    <w:p>
      <w:pPr>
        <w:pStyle w:val="0"/>
        <w:jc w:val="both"/>
      </w:pPr>
      <w:r>
        <w:rPr>
          <w:sz w:val="20"/>
        </w:rPr>
      </w:r>
    </w:p>
    <w:p>
      <w:pPr>
        <w:pStyle w:val="2"/>
        <w:outlineLvl w:val="4"/>
        <w:ind w:firstLine="540"/>
        <w:jc w:val="both"/>
      </w:pPr>
      <w:r>
        <w:rPr>
          <w:sz w:val="20"/>
        </w:rPr>
        <w:t xml:space="preserve">Цель 2.1. Развитие производственного и сервисного секторов экономики, малого и среднего предпринимательства (РАЗВИТИЕ ПРОИЗВОДСТВА И СЕРВИСА)</w:t>
      </w:r>
    </w:p>
    <w:p>
      <w:pPr>
        <w:pStyle w:val="2"/>
        <w:spacing w:before="200" w:line-rule="auto"/>
        <w:outlineLvl w:val="5"/>
        <w:ind w:firstLine="540"/>
        <w:jc w:val="both"/>
      </w:pPr>
      <w:r>
        <w:rPr>
          <w:sz w:val="20"/>
        </w:rPr>
        <w:t xml:space="preserve">Задача 2.1.1. Создание максимально комфортных условий для бизнеса, развитие эффективной системы привлечения инвестиций. Инвестиционная стратегия Тюменской области (ИНВЕСТКЛИМАТ. ИНВЕСТСТРАТЕГИЯ)</w:t>
      </w:r>
    </w:p>
    <w:p>
      <w:pPr>
        <w:pStyle w:val="0"/>
        <w:spacing w:before="200" w:line-rule="auto"/>
        <w:ind w:firstLine="540"/>
        <w:jc w:val="both"/>
      </w:pPr>
      <w:r>
        <w:rPr>
          <w:sz w:val="20"/>
        </w:rPr>
        <w:t xml:space="preserve">Инвестиционная политика Тюменской области нацелена на создание благоприятных условий для инвестиционной, предпринимательской, инновационной деятельности. Система механизмов и стимулов развития инвестиционной деятельности - один из важнейших факторов повышения конкурентоспособности экономики.</w:t>
      </w:r>
    </w:p>
    <w:p>
      <w:pPr>
        <w:pStyle w:val="0"/>
        <w:spacing w:before="200" w:line-rule="auto"/>
        <w:ind w:firstLine="540"/>
        <w:jc w:val="both"/>
      </w:pPr>
      <w:r>
        <w:rPr>
          <w:sz w:val="20"/>
        </w:rPr>
        <w:t xml:space="preserve">Инвестиционная стратегия Тюменской области на период до 2030 года (далее - Инвестиционная стратегия) представляет собой документ, определяющий долгосрочные задачи и ожидаемые результаты деятельности органов государственной власти Тюменской области совместно с бизнес-сообществом по обеспечению устойчивой инвестиционной деятельности и увеличению инвестиционной и предпринимательской активности за счет формирования благоприятных условий ведения бизнеса на региональном и местном уровнях.</w:t>
      </w:r>
    </w:p>
    <w:p>
      <w:pPr>
        <w:pStyle w:val="0"/>
        <w:spacing w:before="200" w:line-rule="auto"/>
        <w:ind w:firstLine="540"/>
        <w:jc w:val="both"/>
      </w:pPr>
      <w:r>
        <w:rPr>
          <w:sz w:val="20"/>
        </w:rPr>
        <w:t xml:space="preserve">Инвестиционная </w:t>
      </w:r>
      <w:hyperlink w:history="0" w:anchor="P3383" w:tooltip="ИНВЕСТИЦИОННАЯ СТРАТЕГИЯ">
        <w:r>
          <w:rPr>
            <w:sz w:val="20"/>
            <w:color w:val="0000ff"/>
          </w:rPr>
          <w:t xml:space="preserve">стратегия</w:t>
        </w:r>
      </w:hyperlink>
      <w:r>
        <w:rPr>
          <w:sz w:val="20"/>
        </w:rPr>
        <w:t xml:space="preserve"> представлена в приложении 4.</w:t>
      </w:r>
    </w:p>
    <w:p>
      <w:pPr>
        <w:pStyle w:val="2"/>
        <w:spacing w:before="200" w:line-rule="auto"/>
        <w:outlineLvl w:val="5"/>
        <w:ind w:firstLine="540"/>
        <w:jc w:val="both"/>
      </w:pPr>
      <w:r>
        <w:rPr>
          <w:sz w:val="20"/>
        </w:rPr>
        <w:t xml:space="preserve">Задача 2.1.2. Обеспечение устойчивых темпов роста и повышение конкурентоспособности промышленности (КОНКУРЕНТОСПОСОБНАЯ ПРОМЫШЛЕННОСТЬ)</w:t>
      </w:r>
    </w:p>
    <w:p>
      <w:pPr>
        <w:pStyle w:val="0"/>
        <w:spacing w:before="200" w:line-rule="auto"/>
        <w:ind w:firstLine="540"/>
        <w:jc w:val="both"/>
      </w:pPr>
      <w:r>
        <w:rPr>
          <w:sz w:val="20"/>
        </w:rPr>
        <w:t xml:space="preserve">Достижение устойчивых темпов роста промышленности соответствует курсу промышленной политики Российской Федерации на формирование высокотехнологичной, конкурентоспособной промышленности, обеспечивающей переход экономики от экспортно-сырьевого типа развития к инновационному типу развития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Федеральный </w:t>
      </w:r>
      <w:hyperlink w:history="0" r:id="rId43" w:tooltip="Федеральный закон от 31.12.2014 N 488-ФЗ (ред. от 12.12.2023) &quot;О промышленной политике в Российской Федерации&quot; (с изм. и доп., вступ. в силу с 01.01.2024) {КонсультантПлюс}">
        <w:r>
          <w:rPr>
            <w:sz w:val="20"/>
            <w:color w:val="0000ff"/>
          </w:rPr>
          <w:t xml:space="preserve">закон</w:t>
        </w:r>
      </w:hyperlink>
      <w:r>
        <w:rPr>
          <w:sz w:val="20"/>
        </w:rPr>
        <w:t xml:space="preserve"> от 31.12.2014 N 488-ФЗ "О промышленной политике в Российской Федерации".</w:t>
      </w:r>
    </w:p>
    <w:p>
      <w:pPr>
        <w:pStyle w:val="0"/>
        <w:jc w:val="both"/>
      </w:pPr>
      <w:r>
        <w:rPr>
          <w:sz w:val="20"/>
        </w:rPr>
      </w:r>
    </w:p>
    <w:p>
      <w:pPr>
        <w:pStyle w:val="0"/>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содействие технологической модернизации и расширению производственных мощностей субъектов деятельности в сфере промышленности, повышению технологического уровня, продвижению промышленной продукции на внутреннем и внешнем рынках. Данное направление обеспечивает повышение конкурентоспособности экономики, в том числе за счет усиления инновационной активности предприятий, а также развития и сохранения трудового потенциала. Внедрение современных технологий и техники, в свою очередь, потребует соответствующего развития промышленного сервиса, инженерных кадров и деловой инфраструктуры;</w:t>
      </w:r>
    </w:p>
    <w:p>
      <w:pPr>
        <w:pStyle w:val="0"/>
        <w:spacing w:before="200" w:line-rule="auto"/>
        <w:ind w:firstLine="540"/>
        <w:jc w:val="both"/>
      </w:pPr>
      <w:r>
        <w:rPr>
          <w:sz w:val="20"/>
        </w:rPr>
        <w:t xml:space="preserve">- диверсификация промышленного комплекса Тюменской области, направленная на снижение зависимости промышленного комплекса от сферы нефтедобычи, обеспечив появление новых отраслей, ранее не представленных в структуре промышленности области;</w:t>
      </w:r>
    </w:p>
    <w:p>
      <w:pPr>
        <w:pStyle w:val="0"/>
        <w:spacing w:before="200" w:line-rule="auto"/>
        <w:ind w:firstLine="540"/>
        <w:jc w:val="both"/>
      </w:pPr>
      <w:r>
        <w:rPr>
          <w:sz w:val="20"/>
        </w:rPr>
        <w:t xml:space="preserve">- повышение конкурентоспособности промышленных предприятий Тюменской области на российском и международном рынках за счет повышения производительности труда, увеличения выпуска востребованной конкурентоспособной импортозамещающей продукции;</w:t>
      </w:r>
    </w:p>
    <w:p>
      <w:pPr>
        <w:pStyle w:val="0"/>
        <w:spacing w:before="200" w:line-rule="auto"/>
        <w:ind w:firstLine="540"/>
        <w:jc w:val="both"/>
      </w:pPr>
      <w:r>
        <w:rPr>
          <w:sz w:val="20"/>
        </w:rPr>
        <w:t xml:space="preserve">- содействие созданию сети индустриальных (промышленных) парков в Тюменской области, обеспечение смежности производств для получения синергетического эффекта;</w:t>
      </w:r>
    </w:p>
    <w:p>
      <w:pPr>
        <w:pStyle w:val="0"/>
        <w:spacing w:before="200" w:line-rule="auto"/>
        <w:ind w:firstLine="540"/>
        <w:jc w:val="both"/>
      </w:pPr>
      <w:r>
        <w:rPr>
          <w:sz w:val="20"/>
        </w:rPr>
        <w:t xml:space="preserve">- содействие развитию машиностроительной отрасли, в том числе организации новых и модернизации существующих производств, обновлению изношенного и морально устаревшего оборудования, организации выпуска инновационной продукции;</w:t>
      </w:r>
    </w:p>
    <w:p>
      <w:pPr>
        <w:pStyle w:val="0"/>
        <w:spacing w:before="200" w:line-rule="auto"/>
        <w:ind w:firstLine="540"/>
        <w:jc w:val="both"/>
      </w:pPr>
      <w:r>
        <w:rPr>
          <w:sz w:val="20"/>
        </w:rPr>
        <w:t xml:space="preserve">- сохранение промышленного назначения земельных участков, на которых расположены промышленные объекты (недопущение намеренного изменения назначения использования земель с целью дальнейшей их реализации под коммерческую и жилую застройку);</w:t>
      </w:r>
    </w:p>
    <w:p>
      <w:pPr>
        <w:pStyle w:val="0"/>
        <w:spacing w:before="200" w:line-rule="auto"/>
        <w:ind w:firstLine="540"/>
        <w:jc w:val="both"/>
      </w:pPr>
      <w:r>
        <w:rPr>
          <w:sz w:val="20"/>
        </w:rPr>
        <w:t xml:space="preserve">- повышение уровня газификации жилищно-коммунального хозяйства, промышленных и иных организаций Тюменской области (расширение газораспределительной системы и повышение доступности и качества услуг по снабжению природным газом, оптимизация загрузки существующих газораспределительных сетей и сооружений; повышение надежности и безопасности предоставления услуг газоснабжения; создание благоприятных условий для привлечения внебюджетных источников финансирования для дальнейшего развития газификации; расширение использования природного газа в качестве моторного топлива, развитие сети газозаправочной инфраструктуры в Тюменской области);</w:t>
      </w:r>
    </w:p>
    <w:p>
      <w:pPr>
        <w:pStyle w:val="0"/>
        <w:spacing w:before="200" w:line-rule="auto"/>
        <w:ind w:firstLine="540"/>
        <w:jc w:val="both"/>
      </w:pPr>
      <w:r>
        <w:rPr>
          <w:sz w:val="20"/>
        </w:rPr>
        <w:t xml:space="preserve">- содействие расширению рынков сбыта продукции тюменских товаропроизводителей.</w:t>
      </w:r>
    </w:p>
    <w:p>
      <w:pPr>
        <w:pStyle w:val="2"/>
        <w:spacing w:before="200" w:line-rule="auto"/>
        <w:outlineLvl w:val="5"/>
        <w:ind w:firstLine="540"/>
        <w:jc w:val="both"/>
      </w:pPr>
      <w:r>
        <w:rPr>
          <w:sz w:val="20"/>
        </w:rPr>
        <w:t xml:space="preserve">Задача 2.1.3. Развитие конкурентоспособного сектора промышленного сервиса (КОНКУРЕНТОСПОСОБНЫЙ ПРОМЫШЛЕННЫЙ СЕРВИС)</w:t>
      </w:r>
    </w:p>
    <w:p>
      <w:pPr>
        <w:pStyle w:val="0"/>
        <w:spacing w:before="200" w:line-rule="auto"/>
        <w:ind w:firstLine="540"/>
        <w:jc w:val="both"/>
      </w:pPr>
      <w:r>
        <w:rPr>
          <w:sz w:val="20"/>
        </w:rPr>
        <w:t xml:space="preserve">Сервисная экономика как определяющая черта современного постиндустриального общества является ключевым фактором повышения эффективности промышленного производства и обеспечения устойчивого экономического роста Тюменской области в долгосрочной перспективе.</w:t>
      </w:r>
    </w:p>
    <w:p>
      <w:pPr>
        <w:pStyle w:val="0"/>
        <w:spacing w:before="200" w:line-rule="auto"/>
        <w:ind w:firstLine="540"/>
        <w:jc w:val="both"/>
      </w:pPr>
      <w:r>
        <w:rPr>
          <w:sz w:val="20"/>
        </w:rPr>
        <w:t xml:space="preserve">Развитие промышленного сервиса как отрасли специализации Тюменской области позволит в значительной степени повысить эффективность промышленных производств и обеспечит дополнительный рост региональной экономики. В настоящее время промышленные услуги предоставляются преимущественно компаниями из других регионов и стран.</w:t>
      </w:r>
    </w:p>
    <w:p>
      <w:pPr>
        <w:pStyle w:val="0"/>
        <w:spacing w:before="200" w:line-rule="auto"/>
        <w:ind w:firstLine="540"/>
        <w:jc w:val="both"/>
      </w:pPr>
      <w:r>
        <w:rPr>
          <w:sz w:val="20"/>
        </w:rPr>
        <w:t xml:space="preserve">Промышленный сервис включает исследования и разработки; инжиниринг и проектирование; информационные и обучающие услуги; услуги, позволяющие конфигурировать, выводить на рабочие режимы, поддерживать в нормальном функциональном состоянии, модернизировать, обеспечивать вторичное использование и утилизацию различных видов производственного оборудования, а также поставлять необходимые расходные материалы.</w:t>
      </w:r>
    </w:p>
    <w:p>
      <w:pPr>
        <w:pStyle w:val="0"/>
        <w:spacing w:before="200" w:line-rule="auto"/>
        <w:ind w:firstLine="540"/>
        <w:jc w:val="both"/>
      </w:pPr>
      <w:r>
        <w:rPr>
          <w:sz w:val="20"/>
        </w:rPr>
        <w:t xml:space="preserve">Ориентирами развития сервисных услуг в нефтегазовых отраслях промышленности могут служить: геологоразведка; бурение, консервация и заканчивание скважин; исследования параметров пластов; разработка и применение инновационных механизированных решений; ремонт скважин; инжиниринг и реализация проектов под ключ; увеличение добычи и повышение коэффициента извлекаемости запасов с применением гибких насосно-компрессорных труб как на нефтяных, так и на газовых месторождениях; информационные технологии и консалтинг; переработка природного и попутного нефтяного газа; обслуживание мобильных и стационарных морских буровых установок; транспортировка и распределение энергетических ресурсов.</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развитие необходимой деловой, транспортной и коммуникационной инфраструктуры для сервисных компаний. При проектировании новых индустриальных парков, промышленных площадок и других зон экономического развития &lt;12&gt;, ориентированных на развитие высокотехнологичных промышленных производств, необходимо учитывать особенности осуществления деятельности компаний, обеспечивающих такие виды сервиса, как исследования и разработки, инжиниринг и проектирование, информационные, обучающие и иного рода услуги;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w:t>
      </w:r>
      <w:hyperlink w:history="0" r:id="rId44" w:tooltip="Закон Тюменской области от 11.06.2015 N 60 (ред. от 06.05.2020) &quot;О зонах экономического развития и муниципальных индустриальных площадках в Тюменской области&quot; (принят Тюменской областной Думой 28.05.2015) {КонсультантПлюс}">
        <w:r>
          <w:rPr>
            <w:sz w:val="20"/>
            <w:color w:val="0000ff"/>
          </w:rPr>
          <w:t xml:space="preserve">Закон</w:t>
        </w:r>
      </w:hyperlink>
      <w:r>
        <w:rPr>
          <w:sz w:val="20"/>
        </w:rPr>
        <w:t xml:space="preserve"> Тюменской области от 11.06.2015 N 60 "О зонах экономического развития в Тюменской области".</w:t>
      </w:r>
    </w:p>
    <w:p>
      <w:pPr>
        <w:pStyle w:val="0"/>
        <w:jc w:val="both"/>
      </w:pPr>
      <w:r>
        <w:rPr>
          <w:sz w:val="20"/>
        </w:rPr>
      </w:r>
    </w:p>
    <w:p>
      <w:pPr>
        <w:pStyle w:val="0"/>
        <w:ind w:firstLine="540"/>
        <w:jc w:val="both"/>
      </w:pPr>
      <w:r>
        <w:rPr>
          <w:sz w:val="20"/>
        </w:rPr>
        <w:t xml:space="preserve">- создание площадок, обеспечивающих эффективное взаимодействие сервисных и промышленных компаний (организация площадок в формате круглых столов для обеспечения взаимодействия крупных заказчиков и предприятий промышленного сервиса Тюменской области, а также биржи контактов, где предприниматели могут адресно пообщаться с представителями крупных компаний и обсудить возможность поставок конкретных видов продукции и услуг);</w:t>
      </w:r>
    </w:p>
    <w:p>
      <w:pPr>
        <w:pStyle w:val="0"/>
        <w:spacing w:before="200" w:line-rule="auto"/>
        <w:ind w:firstLine="540"/>
        <w:jc w:val="both"/>
      </w:pPr>
      <w:r>
        <w:rPr>
          <w:sz w:val="20"/>
        </w:rPr>
        <w:t xml:space="preserve">- создание благоприятных условий для малых и средних компаний в сфере промышленного сервиса. Необходимо распространение на компании, оказывающие услуги промышленного сервиса, государственной поддержки, предоставляемой малому и среднему бизнесу в Тюменской области;</w:t>
      </w:r>
    </w:p>
    <w:p>
      <w:pPr>
        <w:pStyle w:val="0"/>
        <w:spacing w:before="200" w:line-rule="auto"/>
        <w:ind w:firstLine="540"/>
        <w:jc w:val="both"/>
      </w:pPr>
      <w:r>
        <w:rPr>
          <w:sz w:val="20"/>
        </w:rPr>
        <w:t xml:space="preserve">- привлечение в Тюменскую область международных и крупных российских сервисных компаний, предоставляющих услуги при добыче нефти и газа, промышленного сервиса (инжинирингового, проектного, логистического, финансового и другого).</w:t>
      </w:r>
    </w:p>
    <w:p>
      <w:pPr>
        <w:pStyle w:val="0"/>
        <w:spacing w:before="200" w:line-rule="auto"/>
        <w:ind w:firstLine="540"/>
        <w:jc w:val="both"/>
      </w:pPr>
      <w:r>
        <w:rPr>
          <w:sz w:val="20"/>
        </w:rPr>
        <w:t xml:space="preserve">Решение задач по обеспечению устойчивых темпов роста и повышению конкурентоспособности промышленности, развитию конкурентоспособного сектора промышленного сервиса связано:</w:t>
      </w:r>
    </w:p>
    <w:p>
      <w:pPr>
        <w:pStyle w:val="0"/>
        <w:spacing w:before="200" w:line-rule="auto"/>
        <w:ind w:firstLine="540"/>
        <w:jc w:val="both"/>
      </w:pPr>
      <w:r>
        <w:rPr>
          <w:sz w:val="20"/>
        </w:rPr>
        <w:t xml:space="preserve">с развитием базовых (сформированных) кластера нефтедобычи, нефтепереработки и нефтесервиса и нефтегазохимического кластера;</w:t>
      </w:r>
    </w:p>
    <w:p>
      <w:pPr>
        <w:pStyle w:val="0"/>
        <w:spacing w:before="200" w:line-rule="auto"/>
        <w:ind w:firstLine="540"/>
        <w:jc w:val="both"/>
      </w:pPr>
      <w:r>
        <w:rPr>
          <w:sz w:val="20"/>
        </w:rPr>
        <w:t xml:space="preserve">развитием формирующегося лесопромышленного кластера;</w:t>
      </w:r>
    </w:p>
    <w:p>
      <w:pPr>
        <w:pStyle w:val="0"/>
        <w:spacing w:before="200" w:line-rule="auto"/>
        <w:ind w:firstLine="540"/>
        <w:jc w:val="both"/>
      </w:pPr>
      <w:r>
        <w:rPr>
          <w:sz w:val="20"/>
        </w:rPr>
        <w:t xml:space="preserve">формированием потенциального кластера добычи и переработки прочих полезных ископаемых.</w:t>
      </w:r>
    </w:p>
    <w:p>
      <w:pPr>
        <w:pStyle w:val="2"/>
        <w:spacing w:before="200" w:line-rule="auto"/>
        <w:outlineLvl w:val="6"/>
        <w:ind w:firstLine="540"/>
        <w:jc w:val="both"/>
      </w:pPr>
      <w:r>
        <w:rPr>
          <w:sz w:val="20"/>
        </w:rPr>
        <w:t xml:space="preserve">Кластер нефтедобычи, нефтепереработки и нефтесервиса</w:t>
      </w:r>
    </w:p>
    <w:p>
      <w:pPr>
        <w:pStyle w:val="0"/>
        <w:spacing w:before="200" w:line-rule="auto"/>
        <w:ind w:firstLine="540"/>
        <w:jc w:val="both"/>
      </w:pPr>
      <w:r>
        <w:rPr>
          <w:sz w:val="20"/>
        </w:rPr>
        <w:t xml:space="preserve">Целевое видение: создание территориально интегрированной системы на базе предприятий и организаций, осуществляющих добычу и переработку нефти, производящих оборудование для нужд нефтегазового комплекса и обеспечение их тесного взаимодействия в целях стабильного, бесперебойного и экономически эффективного удовлетворения внутреннего спроса на нефть и продукты ее переработки, активного участия в обеспечении мирового спроса на нефть и нефтепродукты.</w:t>
      </w:r>
    </w:p>
    <w:p>
      <w:pPr>
        <w:pStyle w:val="0"/>
        <w:spacing w:before="200" w:line-rule="auto"/>
        <w:ind w:firstLine="540"/>
        <w:jc w:val="both"/>
      </w:pPr>
      <w:r>
        <w:rPr>
          <w:sz w:val="20"/>
        </w:rPr>
        <w:t xml:space="preserve">Основания формирования кластера:</w:t>
      </w:r>
    </w:p>
    <w:p>
      <w:pPr>
        <w:pStyle w:val="0"/>
        <w:spacing w:before="200" w:line-rule="auto"/>
        <w:ind w:firstLine="540"/>
        <w:jc w:val="both"/>
      </w:pPr>
      <w:r>
        <w:rPr>
          <w:sz w:val="20"/>
        </w:rPr>
        <w:t xml:space="preserve">расположение в непосредственной близости нефтедобывающих комплексов (Уватский район Тюменской области, а также Ханты-Мансийский автономный округ - Югра, Ямало-Ненецкий автономный округ), позволяющих обеспечить сырьем развитие нефтегазохимических производств региона;</w:t>
      </w:r>
    </w:p>
    <w:p>
      <w:pPr>
        <w:pStyle w:val="0"/>
        <w:spacing w:before="200" w:line-rule="auto"/>
        <w:ind w:firstLine="540"/>
        <w:jc w:val="both"/>
      </w:pPr>
      <w:r>
        <w:rPr>
          <w:sz w:val="20"/>
        </w:rPr>
        <w:t xml:space="preserve">наличие современных технологичных нефтеперерабатывающих мощностей;</w:t>
      </w:r>
    </w:p>
    <w:p>
      <w:pPr>
        <w:pStyle w:val="0"/>
        <w:spacing w:before="200" w:line-rule="auto"/>
        <w:ind w:firstLine="540"/>
        <w:jc w:val="both"/>
      </w:pPr>
      <w:r>
        <w:rPr>
          <w:sz w:val="20"/>
        </w:rPr>
        <w:t xml:space="preserve">реализация масштабных инвестиционных проектов на крупных предприятиях отрасли, модернизация имеющихся производственных мощностей.</w:t>
      </w:r>
    </w:p>
    <w:p>
      <w:pPr>
        <w:pStyle w:val="0"/>
        <w:spacing w:before="200" w:line-rule="auto"/>
        <w:ind w:firstLine="540"/>
        <w:jc w:val="both"/>
      </w:pPr>
      <w:r>
        <w:rPr>
          <w:sz w:val="20"/>
        </w:rPr>
        <w:t xml:space="preserve">Проблемы, требующие решения в рамках реализации кластера:</w:t>
      </w:r>
    </w:p>
    <w:p>
      <w:pPr>
        <w:pStyle w:val="0"/>
        <w:spacing w:before="200" w:line-rule="auto"/>
        <w:ind w:firstLine="540"/>
        <w:jc w:val="both"/>
      </w:pPr>
      <w:r>
        <w:rPr>
          <w:sz w:val="20"/>
        </w:rPr>
        <w:t xml:space="preserve">качество сырьевой базы (запасы нефти в регионе низкорентабельные и высоко рисковые);</w:t>
      </w:r>
    </w:p>
    <w:p>
      <w:pPr>
        <w:pStyle w:val="0"/>
        <w:spacing w:before="200" w:line-rule="auto"/>
        <w:ind w:firstLine="540"/>
        <w:jc w:val="both"/>
      </w:pPr>
      <w:r>
        <w:rPr>
          <w:sz w:val="20"/>
        </w:rPr>
        <w:t xml:space="preserve">расположение месторождений в труднодоступных местах (болотистые почвы);</w:t>
      </w:r>
    </w:p>
    <w:p>
      <w:pPr>
        <w:pStyle w:val="0"/>
        <w:spacing w:before="200" w:line-rule="auto"/>
        <w:ind w:firstLine="540"/>
        <w:jc w:val="both"/>
      </w:pPr>
      <w:r>
        <w:rPr>
          <w:sz w:val="20"/>
        </w:rPr>
        <w:t xml:space="preserve">слабая геологическая изученность ряда районов Тюменской области;</w:t>
      </w:r>
    </w:p>
    <w:p>
      <w:pPr>
        <w:pStyle w:val="0"/>
        <w:spacing w:before="200" w:line-rule="auto"/>
        <w:ind w:firstLine="540"/>
        <w:jc w:val="both"/>
      </w:pPr>
      <w:r>
        <w:rPr>
          <w:sz w:val="20"/>
        </w:rPr>
        <w:t xml:space="preserve">высокие капитальные затраты на новых объектах;</w:t>
      </w:r>
    </w:p>
    <w:p>
      <w:pPr>
        <w:pStyle w:val="0"/>
        <w:spacing w:before="200" w:line-rule="auto"/>
        <w:ind w:firstLine="540"/>
        <w:jc w:val="both"/>
      </w:pPr>
      <w:r>
        <w:rPr>
          <w:sz w:val="20"/>
        </w:rPr>
        <w:t xml:space="preserve">существенная зависимость отрасли от импортного оборудования и технологий;</w:t>
      </w:r>
    </w:p>
    <w:p>
      <w:pPr>
        <w:pStyle w:val="0"/>
        <w:spacing w:before="200" w:line-rule="auto"/>
        <w:ind w:firstLine="540"/>
        <w:jc w:val="both"/>
      </w:pPr>
      <w:r>
        <w:rPr>
          <w:sz w:val="20"/>
        </w:rPr>
        <w:t xml:space="preserve">физический и моральный износ оборудования машиностроительных предприятий;</w:t>
      </w:r>
    </w:p>
    <w:p>
      <w:pPr>
        <w:pStyle w:val="0"/>
        <w:spacing w:before="200" w:line-rule="auto"/>
        <w:ind w:firstLine="540"/>
        <w:jc w:val="both"/>
      </w:pPr>
      <w:r>
        <w:rPr>
          <w:sz w:val="20"/>
        </w:rPr>
        <w:t xml:space="preserve">постоянное изменение цены нефти, замена ее на другие виды энергоносителей;</w:t>
      </w:r>
    </w:p>
    <w:p>
      <w:pPr>
        <w:pStyle w:val="0"/>
        <w:spacing w:before="200" w:line-rule="auto"/>
        <w:ind w:firstLine="540"/>
        <w:jc w:val="both"/>
      </w:pPr>
      <w:r>
        <w:rPr>
          <w:sz w:val="20"/>
        </w:rPr>
        <w:t xml:space="preserve">экологические риски.</w:t>
      </w:r>
    </w:p>
    <w:p>
      <w:pPr>
        <w:pStyle w:val="0"/>
        <w:spacing w:before="200" w:line-rule="auto"/>
        <w:ind w:firstLine="540"/>
        <w:jc w:val="both"/>
      </w:pPr>
      <w:r>
        <w:rPr>
          <w:sz w:val="20"/>
        </w:rPr>
        <w:t xml:space="preserve">Перспективы и направления действий: строительство новых и модернизация действующих промышленных предприятий, специализирующихся на выпуске продукции для нефтегазового комплекса; увеличение объемов производства, расширение производственных мощностей, внедрение новых технологий и опытно-промышленных образцов, расширение рынков сбыта продукции, увеличение объема геологоразведочных работ (за счет средств пользователей недр) и последующий прирост запасов нефти, развитие смежных отраслей: нефтесервисных услуг, строительства, транспорта и т.д., освоение и разработка низкорентабельных и малых месторождений.</w:t>
      </w:r>
    </w:p>
    <w:p>
      <w:pPr>
        <w:pStyle w:val="0"/>
        <w:spacing w:before="200" w:line-rule="auto"/>
        <w:ind w:firstLine="540"/>
        <w:jc w:val="both"/>
      </w:pPr>
      <w:r>
        <w:rPr>
          <w:sz w:val="20"/>
        </w:rPr>
        <w:t xml:space="preserve">Приоритетные направления:</w:t>
      </w:r>
    </w:p>
    <w:p>
      <w:pPr>
        <w:pStyle w:val="0"/>
        <w:spacing w:before="200" w:line-rule="auto"/>
        <w:ind w:firstLine="540"/>
        <w:jc w:val="both"/>
      </w:pPr>
      <w:r>
        <w:rPr>
          <w:sz w:val="20"/>
        </w:rPr>
        <w:t xml:space="preserve">Стабилизация уровня добычи нефти в Уватском районе за счет комплексной разработки эксплуатируемых месторождений и вовлечения в разработку новых.</w:t>
      </w:r>
    </w:p>
    <w:p>
      <w:pPr>
        <w:pStyle w:val="0"/>
        <w:spacing w:before="200" w:line-rule="auto"/>
        <w:ind w:firstLine="540"/>
        <w:jc w:val="both"/>
      </w:pPr>
      <w:r>
        <w:rPr>
          <w:sz w:val="20"/>
        </w:rPr>
        <w:t xml:space="preserve">Формирование нового района по добыче нефти в Тюменской области (Тобольский, Уватский, Вагайский районы).</w:t>
      </w:r>
    </w:p>
    <w:p>
      <w:pPr>
        <w:pStyle w:val="0"/>
        <w:spacing w:before="200" w:line-rule="auto"/>
        <w:ind w:firstLine="540"/>
        <w:jc w:val="both"/>
      </w:pPr>
      <w:r>
        <w:rPr>
          <w:sz w:val="20"/>
        </w:rPr>
        <w:t xml:space="preserve">Развитие малого и среднего предпринимательства в нефтедобывающей отрасли за счет формирования и лицензирования участков недр для предприятий малого и среднего предпринимательства, обеспечения добычи нефти малыми и средними предприятиями на уровне 5 - 100 тысяч тонн в год.</w:t>
      </w:r>
    </w:p>
    <w:p>
      <w:pPr>
        <w:pStyle w:val="0"/>
        <w:spacing w:before="200" w:line-rule="auto"/>
        <w:ind w:firstLine="540"/>
        <w:jc w:val="both"/>
      </w:pPr>
      <w:r>
        <w:rPr>
          <w:sz w:val="20"/>
        </w:rPr>
        <w:t xml:space="preserve">Формирование рынка нефтесервисных услуг связано как с созданием и развитием нефтесервисных компаний в самой Тюменской области на базе местных отечественных разработок с последующим экспортом технологий и услуг в соседние регионы и зарубежные страны, так и с привлечением зарубежных компаний, в том числе из КНР, готовых предложить российским нефтяным и газовым компаниям инновационные разработки в области ТЭК. Одним из направлений отечественных разработок является совершенствование технологий добычи углеводородного сырья и изучения недр (например, малогабаритные мобильные установки для исследования скважин, запорно-регулирующая арматура для нефтяной промышленности, совершенствование процессов освоения таких месторождений).</w:t>
      </w:r>
    </w:p>
    <w:p>
      <w:pPr>
        <w:pStyle w:val="0"/>
        <w:spacing w:before="200" w:line-rule="auto"/>
        <w:ind w:firstLine="540"/>
        <w:jc w:val="both"/>
      </w:pPr>
      <w:r>
        <w:rPr>
          <w:sz w:val="20"/>
        </w:rPr>
        <w:t xml:space="preserve">Существенные перспективы к развитию имеет сектор нефтегазового машиностроения в связи с тем, что в перспективе Тюменская область (с входящими в ее состав автономными округами) останется основным производителем углеводородов в России как для удовлетворения потребностей внутри страны, так и для обеспечения экспортных поставок. Перспективные продуктовые направления в области нефтегазохимического машиностроения определяются, в том числе Планом содействия импортозамещению в Тюменской области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w:t>
      </w:r>
      <w:hyperlink w:history="0" r:id="rId45" w:tooltip="Распоряжение Правительства Тюменской области от 30.12.2014 N 2434-рп (ред. от 31.05.2024) &quot;О плане содействия импортозамещению в Тюменской области&quot; {КонсультантПлюс}">
        <w:r>
          <w:rPr>
            <w:sz w:val="20"/>
            <w:color w:val="0000ff"/>
          </w:rPr>
          <w:t xml:space="preserve">Распоряжение</w:t>
        </w:r>
      </w:hyperlink>
      <w:r>
        <w:rPr>
          <w:sz w:val="20"/>
        </w:rPr>
        <w:t xml:space="preserve"> Правительства Тюменской области от 30.12.2014 N 2434-рп "О плане содействия импортозамещению в Тюменской области".</w:t>
      </w:r>
    </w:p>
    <w:p>
      <w:pPr>
        <w:pStyle w:val="0"/>
        <w:jc w:val="both"/>
      </w:pPr>
      <w:r>
        <w:rPr>
          <w:sz w:val="20"/>
        </w:rPr>
      </w:r>
    </w:p>
    <w:p>
      <w:pPr>
        <w:pStyle w:val="0"/>
        <w:ind w:firstLine="540"/>
        <w:jc w:val="both"/>
      </w:pPr>
      <w:r>
        <w:rPr>
          <w:sz w:val="20"/>
        </w:rPr>
        <w:t xml:space="preserve">Научно-образовательный потенциал кластера обеспечивают государственные и частные организации, занимающиеся разработкой инновационных технологий в нефтегазовой отрасли, подготовкой кадров по техническим специальностям, проектированием разработки, обустройством и эксплуатацией газовых, газоконденсатных и газоконденсатонефтяных месторождений, геологоразведочными, геофизическими и геохимическими работами в области изучения недр и воспроизводства минерально-сырьевой базы.</w:t>
      </w:r>
    </w:p>
    <w:p>
      <w:pPr>
        <w:pStyle w:val="0"/>
        <w:jc w:val="both"/>
      </w:pPr>
      <w:r>
        <w:rPr>
          <w:sz w:val="20"/>
        </w:rPr>
      </w:r>
    </w:p>
    <w:p>
      <w:pPr>
        <w:pStyle w:val="0"/>
        <w:outlineLvl w:val="7"/>
        <w:jc w:val="center"/>
      </w:pPr>
      <w:r>
        <w:rPr>
          <w:position w:val="-323"/>
        </w:rPr>
        <w:drawing>
          <wp:inline distT="0" distB="0" distL="0" distR="0">
            <wp:extent cx="6425565" cy="42310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6425565" cy="4231005"/>
                    </a:xfrm>
                    <a:prstGeom prst="rect">
                      <a:avLst/>
                    </a:prstGeom>
                    <a:noFill/>
                    <a:ln>
                      <a:noFill/>
                    </a:ln>
                  </pic:spPr>
                </pic:pic>
              </a:graphicData>
            </a:graphic>
          </wp:inline>
        </w:drawing>
      </w:r>
    </w:p>
    <w:p>
      <w:pPr>
        <w:pStyle w:val="0"/>
        <w:jc w:val="both"/>
      </w:pPr>
      <w:r>
        <w:rPr>
          <w:sz w:val="20"/>
        </w:rPr>
      </w:r>
    </w:p>
    <w:p>
      <w:pPr>
        <w:pStyle w:val="2"/>
        <w:jc w:val="center"/>
      </w:pPr>
      <w:r>
        <w:rPr>
          <w:sz w:val="20"/>
        </w:rPr>
        <w:t xml:space="preserve">Рисунок 7 - Территориальное расположение участников</w:t>
      </w:r>
    </w:p>
    <w:p>
      <w:pPr>
        <w:pStyle w:val="2"/>
        <w:jc w:val="center"/>
      </w:pPr>
      <w:r>
        <w:rPr>
          <w:sz w:val="20"/>
        </w:rPr>
        <w:t xml:space="preserve">и инфраструктуры кластера нефтедобычи, нефтепереработки</w:t>
      </w:r>
    </w:p>
    <w:p>
      <w:pPr>
        <w:pStyle w:val="2"/>
        <w:jc w:val="center"/>
      </w:pPr>
      <w:r>
        <w:rPr>
          <w:sz w:val="20"/>
        </w:rPr>
        <w:t xml:space="preserve">и нефтесервиса</w:t>
      </w:r>
    </w:p>
    <w:p>
      <w:pPr>
        <w:pStyle w:val="0"/>
        <w:jc w:val="both"/>
      </w:pPr>
      <w:r>
        <w:rPr>
          <w:sz w:val="20"/>
        </w:rPr>
      </w:r>
    </w:p>
    <w:p>
      <w:pPr>
        <w:pStyle w:val="0"/>
        <w:ind w:firstLine="540"/>
        <w:jc w:val="both"/>
      </w:pPr>
      <w:r>
        <w:rPr>
          <w:sz w:val="20"/>
        </w:rPr>
        <w:t xml:space="preserve">Продуктовые направления:</w:t>
      </w:r>
    </w:p>
    <w:p>
      <w:pPr>
        <w:pStyle w:val="0"/>
        <w:spacing w:before="200" w:line-rule="auto"/>
        <w:ind w:firstLine="540"/>
        <w:jc w:val="both"/>
      </w:pPr>
      <w:r>
        <w:rPr>
          <w:sz w:val="20"/>
        </w:rPr>
        <w:t xml:space="preserve">- существующие:</w:t>
      </w:r>
    </w:p>
    <w:p>
      <w:pPr>
        <w:pStyle w:val="0"/>
        <w:spacing w:before="200" w:line-rule="auto"/>
        <w:ind w:firstLine="540"/>
        <w:jc w:val="both"/>
      </w:pPr>
      <w:r>
        <w:rPr>
          <w:sz w:val="20"/>
        </w:rPr>
        <w:t xml:space="preserve">продуктовые - нефть и попутный нефтяной газ, сжиженные углеводородные газы, продукция нефтепереработки (дизельное топливо ("Евро-5"), автомобильный бензин "Евро-5", бензин газовый стабильный, прямогонный бензин, вакуумный газойль, нефтяной кокс и другое), оборудование и материалы для нефтегазового комплекса (буровое, приборы и средства автоматизации, нефтепромысловое оборудование, кабели);</w:t>
      </w:r>
    </w:p>
    <w:p>
      <w:pPr>
        <w:pStyle w:val="0"/>
        <w:spacing w:before="200" w:line-rule="auto"/>
        <w:ind w:firstLine="540"/>
        <w:jc w:val="both"/>
      </w:pPr>
      <w:r>
        <w:rPr>
          <w:sz w:val="20"/>
        </w:rPr>
        <w:t xml:space="preserve">сервисные - геологоразведка, услуги по бурению;</w:t>
      </w:r>
    </w:p>
    <w:p>
      <w:pPr>
        <w:pStyle w:val="0"/>
        <w:spacing w:before="200" w:line-rule="auto"/>
        <w:ind w:firstLine="540"/>
        <w:jc w:val="both"/>
      </w:pPr>
      <w:r>
        <w:rPr>
          <w:sz w:val="20"/>
        </w:rPr>
        <w:t xml:space="preserve">новые:</w:t>
      </w:r>
    </w:p>
    <w:p>
      <w:pPr>
        <w:pStyle w:val="0"/>
        <w:spacing w:before="200" w:line-rule="auto"/>
        <w:ind w:firstLine="540"/>
        <w:jc w:val="both"/>
      </w:pPr>
      <w:r>
        <w:rPr>
          <w:sz w:val="20"/>
        </w:rPr>
        <w:t xml:space="preserve">продуктовые - продукция нефтепереработки, битумы дорожные и другое, оборудование и материалы для нефтегазового комплекса (оборудование и материалы для ГРП, горизонтального бурения, приборы и автоматизированные системы управления и другое).</w:t>
      </w:r>
    </w:p>
    <w:p>
      <w:pPr>
        <w:pStyle w:val="0"/>
        <w:spacing w:before="200" w:line-rule="auto"/>
        <w:ind w:firstLine="540"/>
        <w:jc w:val="both"/>
      </w:pPr>
      <w:r>
        <w:rPr>
          <w:sz w:val="20"/>
        </w:rPr>
        <w:t xml:space="preserve">сервисные - проведение полного цикла работ по ГРП, горизонтальное бурение, телеметрия (интенсификация добычи).</w:t>
      </w:r>
    </w:p>
    <w:p>
      <w:pPr>
        <w:pStyle w:val="0"/>
        <w:spacing w:before="200" w:line-rule="auto"/>
        <w:ind w:firstLine="540"/>
        <w:jc w:val="both"/>
      </w:pPr>
      <w:r>
        <w:rPr>
          <w:sz w:val="20"/>
        </w:rPr>
        <w:t xml:space="preserve">Потенциальные рынки сбыта: ТНВЭД 26 - 27 &lt;14&gt;: внутрироссийский рынок, Нидерланды, Германия, Китай, Финляндия, Италия, Республика Беларусь, Япония, Корея, Швеция, Великобритания; ТНВЭД 84 - 85: ОАЭ, Казахстан, Узбекистан, Кипр, Германия, США, Норвегия, Уганда, Франция, Великобритания.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В соответствии ТНВЭД и номенклатурой производимой продукции:</w:t>
      </w:r>
    </w:p>
    <w:p>
      <w:pPr>
        <w:pStyle w:val="0"/>
        <w:spacing w:before="200" w:line-rule="auto"/>
        <w:ind w:firstLine="540"/>
        <w:jc w:val="both"/>
      </w:pPr>
      <w:r>
        <w:rPr>
          <w:sz w:val="20"/>
        </w:rPr>
        <w:t xml:space="preserve">26. Руды, шлак и зола.</w:t>
      </w:r>
    </w:p>
    <w:p>
      <w:pPr>
        <w:pStyle w:val="0"/>
        <w:spacing w:before="200" w:line-rule="auto"/>
        <w:ind w:firstLine="540"/>
        <w:jc w:val="both"/>
      </w:pPr>
      <w:r>
        <w:rPr>
          <w:sz w:val="20"/>
        </w:rPr>
        <w:t xml:space="preserve">27. Топливо минеральное, нефть и продукты их перегонки; битуминозные вещества; воски минеральные.</w:t>
      </w:r>
    </w:p>
    <w:p>
      <w:pPr>
        <w:pStyle w:val="0"/>
        <w:spacing w:before="200" w:line-rule="auto"/>
        <w:ind w:firstLine="540"/>
        <w:jc w:val="both"/>
      </w:pPr>
      <w:r>
        <w:rPr>
          <w:sz w:val="20"/>
        </w:rPr>
        <w:t xml:space="preserve">84. Реакторы ядерные, котлы, оборудование и механические устройства; их части.</w:t>
      </w:r>
    </w:p>
    <w:p>
      <w:pPr>
        <w:pStyle w:val="0"/>
        <w:spacing w:before="200" w:line-rule="auto"/>
        <w:ind w:firstLine="540"/>
        <w:jc w:val="both"/>
      </w:pPr>
      <w:r>
        <w:rPr>
          <w:sz w:val="20"/>
        </w:rPr>
        <w:t xml:space="preserve">85. Электрические машины и оборудование, их части; звукозаписывающая и звуковоспроизводящая аппаратура, аппаратура для записи и воспроизведения телевизионного изображения и звука, их части и принадлежности.</w:t>
      </w:r>
    </w:p>
    <w:p>
      <w:pPr>
        <w:pStyle w:val="0"/>
        <w:jc w:val="both"/>
      </w:pPr>
      <w:r>
        <w:rPr>
          <w:sz w:val="20"/>
        </w:rPr>
      </w:r>
    </w:p>
    <w:p>
      <w:pPr>
        <w:pStyle w:val="2"/>
        <w:outlineLvl w:val="6"/>
        <w:ind w:firstLine="540"/>
        <w:jc w:val="both"/>
      </w:pPr>
      <w:r>
        <w:rPr>
          <w:sz w:val="20"/>
        </w:rPr>
        <w:t xml:space="preserve">Нефтегазохимический кластер</w:t>
      </w:r>
    </w:p>
    <w:p>
      <w:pPr>
        <w:pStyle w:val="0"/>
        <w:spacing w:before="200" w:line-rule="auto"/>
        <w:ind w:firstLine="540"/>
        <w:jc w:val="both"/>
      </w:pPr>
      <w:r>
        <w:rPr>
          <w:sz w:val="20"/>
        </w:rPr>
        <w:t xml:space="preserve">Целевое видение: развитие глубокой переработки значительных объемов побочных продуктов нефтегазодобычи Западной Сибири, в том числе решение задачи повышения использования попутного нефтяного газа, импортозамещение и обеспечение внутренних потребностей России в наиболее востребованных на российском рынке марок полипропилена и полиэтилена с целью повышения конкурентоспособности химического комплекса России.</w:t>
      </w:r>
    </w:p>
    <w:p>
      <w:pPr>
        <w:pStyle w:val="0"/>
        <w:spacing w:before="200" w:line-rule="auto"/>
        <w:ind w:firstLine="540"/>
        <w:jc w:val="both"/>
      </w:pPr>
      <w:r>
        <w:rPr>
          <w:sz w:val="20"/>
        </w:rPr>
        <w:t xml:space="preserve">Рост присутствия субъектов малого и среднего предпринимательства в производственной цепи от добычи сырья до выпуска конечной химической продукции.</w:t>
      </w:r>
    </w:p>
    <w:p>
      <w:pPr>
        <w:pStyle w:val="0"/>
        <w:spacing w:before="200" w:line-rule="auto"/>
        <w:ind w:firstLine="540"/>
        <w:jc w:val="both"/>
      </w:pPr>
      <w:r>
        <w:rPr>
          <w:sz w:val="20"/>
        </w:rPr>
        <w:t xml:space="preserve">Рост удельного потребления химической и нефтехимической продукции в различных сферах экономики Российской Федерации, увеличение доли потребления продукции высоких переделов в общей структуре внутреннего спроса.</w:t>
      </w:r>
    </w:p>
    <w:p>
      <w:pPr>
        <w:pStyle w:val="0"/>
        <w:spacing w:before="200" w:line-rule="auto"/>
        <w:ind w:firstLine="540"/>
        <w:jc w:val="both"/>
      </w:pPr>
      <w:r>
        <w:rPr>
          <w:sz w:val="20"/>
        </w:rPr>
        <w:t xml:space="preserve">Основания формирования кластера:</w:t>
      </w:r>
    </w:p>
    <w:p>
      <w:pPr>
        <w:pStyle w:val="0"/>
        <w:spacing w:before="200" w:line-rule="auto"/>
        <w:ind w:firstLine="540"/>
        <w:jc w:val="both"/>
      </w:pPr>
      <w:r>
        <w:rPr>
          <w:sz w:val="20"/>
        </w:rPr>
        <w:t xml:space="preserve">относительная близость сырьевой базы (расположение в непосредственной близости от региона нефтегазодобывающих комплексов Ханты-Мансийского автономного округа - Югры и Ямало-Ненецкого автономного округа);</w:t>
      </w:r>
    </w:p>
    <w:p>
      <w:pPr>
        <w:pStyle w:val="0"/>
        <w:spacing w:before="200" w:line-rule="auto"/>
        <w:ind w:firstLine="540"/>
        <w:jc w:val="both"/>
      </w:pPr>
      <w:r>
        <w:rPr>
          <w:sz w:val="20"/>
        </w:rPr>
        <w:t xml:space="preserve">наличие мощностей электроэнергетики, инженерной, транспортной и производственной инфраструктуры;</w:t>
      </w:r>
    </w:p>
    <w:p>
      <w:pPr>
        <w:pStyle w:val="0"/>
        <w:spacing w:before="200" w:line-rule="auto"/>
        <w:ind w:firstLine="540"/>
        <w:jc w:val="both"/>
      </w:pPr>
      <w:r>
        <w:rPr>
          <w:sz w:val="20"/>
        </w:rPr>
        <w:t xml:space="preserve">наличие значительных водных ресурсов;</w:t>
      </w:r>
    </w:p>
    <w:p>
      <w:pPr>
        <w:pStyle w:val="0"/>
        <w:spacing w:before="200" w:line-rule="auto"/>
        <w:ind w:firstLine="540"/>
        <w:jc w:val="both"/>
      </w:pPr>
      <w:r>
        <w:rPr>
          <w:sz w:val="20"/>
        </w:rPr>
        <w:t xml:space="preserve">наличие свободных территорий с низкой ценностью для сельскохозяйственного производства;</w:t>
      </w:r>
    </w:p>
    <w:p>
      <w:pPr>
        <w:pStyle w:val="0"/>
        <w:spacing w:before="200" w:line-rule="auto"/>
        <w:ind w:firstLine="540"/>
        <w:jc w:val="both"/>
      </w:pPr>
      <w:r>
        <w:rPr>
          <w:sz w:val="20"/>
        </w:rPr>
        <w:t xml:space="preserve">быстрорастущий спрос на продукцию отрасли, существенно превышающий предложение;</w:t>
      </w:r>
    </w:p>
    <w:p>
      <w:pPr>
        <w:pStyle w:val="0"/>
        <w:spacing w:before="200" w:line-rule="auto"/>
        <w:ind w:firstLine="540"/>
        <w:jc w:val="both"/>
      </w:pPr>
      <w:r>
        <w:rPr>
          <w:sz w:val="20"/>
        </w:rPr>
        <w:t xml:space="preserve">"СИБУР Тобольск" выпускает порядка трети от общероссийского выпуска полипропилена и сжиженных углеводородных газов;</w:t>
      </w:r>
    </w:p>
    <w:p>
      <w:pPr>
        <w:pStyle w:val="0"/>
        <w:spacing w:before="200" w:line-rule="auto"/>
        <w:ind w:firstLine="540"/>
        <w:jc w:val="both"/>
      </w:pPr>
      <w:r>
        <w:rPr>
          <w:sz w:val="20"/>
        </w:rPr>
        <w:t xml:space="preserve">наличие современных технологичных нефтегазохимических мощностей;</w:t>
      </w:r>
    </w:p>
    <w:p>
      <w:pPr>
        <w:pStyle w:val="0"/>
        <w:spacing w:before="200" w:line-rule="auto"/>
        <w:ind w:firstLine="540"/>
        <w:jc w:val="both"/>
      </w:pPr>
      <w:r>
        <w:rPr>
          <w:sz w:val="20"/>
        </w:rPr>
        <w:t xml:space="preserve">наличие эффективного взаимодействия между участниками кластера (прослеживается технологическая цепочка).</w:t>
      </w:r>
    </w:p>
    <w:p>
      <w:pPr>
        <w:pStyle w:val="0"/>
        <w:spacing w:before="200" w:line-rule="auto"/>
        <w:ind w:firstLine="540"/>
        <w:jc w:val="both"/>
      </w:pPr>
      <w:r>
        <w:rPr>
          <w:sz w:val="20"/>
        </w:rPr>
        <w:t xml:space="preserve">Проблемы, требующие решения в рамках реализации кластера:</w:t>
      </w:r>
    </w:p>
    <w:p>
      <w:pPr>
        <w:pStyle w:val="0"/>
        <w:spacing w:before="200" w:line-rule="auto"/>
        <w:ind w:firstLine="540"/>
        <w:jc w:val="both"/>
      </w:pPr>
      <w:r>
        <w:rPr>
          <w:sz w:val="20"/>
        </w:rPr>
        <w:t xml:space="preserve">отсутствие отраслевого научного центра (института);</w:t>
      </w:r>
    </w:p>
    <w:p>
      <w:pPr>
        <w:pStyle w:val="0"/>
        <w:spacing w:before="200" w:line-rule="auto"/>
        <w:ind w:firstLine="540"/>
        <w:jc w:val="both"/>
      </w:pPr>
      <w:r>
        <w:rPr>
          <w:sz w:val="20"/>
        </w:rPr>
        <w:t xml:space="preserve">дефицит высококвалифицированных кадров;</w:t>
      </w:r>
    </w:p>
    <w:p>
      <w:pPr>
        <w:pStyle w:val="0"/>
        <w:spacing w:before="200" w:line-rule="auto"/>
        <w:ind w:firstLine="540"/>
        <w:jc w:val="both"/>
      </w:pPr>
      <w:r>
        <w:rPr>
          <w:sz w:val="20"/>
        </w:rPr>
        <w:t xml:space="preserve">отсутствие крупных потребителей готовой продукции в непосредственной близости от предприятий отрасли;</w:t>
      </w:r>
    </w:p>
    <w:p>
      <w:pPr>
        <w:pStyle w:val="0"/>
        <w:spacing w:before="200" w:line-rule="auto"/>
        <w:ind w:firstLine="540"/>
        <w:jc w:val="both"/>
      </w:pPr>
      <w:r>
        <w:rPr>
          <w:sz w:val="20"/>
        </w:rPr>
        <w:t xml:space="preserve">несоответствие уровня развития российского машиностроения потребностям компаний кластера;</w:t>
      </w:r>
    </w:p>
    <w:p>
      <w:pPr>
        <w:pStyle w:val="0"/>
        <w:spacing w:before="200" w:line-rule="auto"/>
        <w:ind w:firstLine="540"/>
        <w:jc w:val="both"/>
      </w:pPr>
      <w:r>
        <w:rPr>
          <w:sz w:val="20"/>
        </w:rPr>
        <w:t xml:space="preserve">экологические риски;</w:t>
      </w:r>
    </w:p>
    <w:p>
      <w:pPr>
        <w:pStyle w:val="0"/>
        <w:spacing w:before="200" w:line-rule="auto"/>
        <w:ind w:firstLine="540"/>
        <w:jc w:val="both"/>
      </w:pPr>
      <w:r>
        <w:rPr>
          <w:sz w:val="20"/>
        </w:rPr>
        <w:t xml:space="preserve">высокая стоимость логистической составляющей в затратах на производство продукции;</w:t>
      </w:r>
    </w:p>
    <w:p>
      <w:pPr>
        <w:pStyle w:val="0"/>
        <w:spacing w:before="200" w:line-rule="auto"/>
        <w:ind w:firstLine="540"/>
        <w:jc w:val="both"/>
      </w:pPr>
      <w:r>
        <w:rPr>
          <w:sz w:val="20"/>
        </w:rPr>
        <w:t xml:space="preserve">особенности инвестиционного процесса отрасли: высокий уровень необходимых инвестиций и длительный период их окупаемости;</w:t>
      </w:r>
    </w:p>
    <w:p>
      <w:pPr>
        <w:pStyle w:val="0"/>
        <w:spacing w:before="200" w:line-rule="auto"/>
        <w:ind w:firstLine="540"/>
        <w:jc w:val="both"/>
      </w:pPr>
      <w:r>
        <w:rPr>
          <w:sz w:val="20"/>
        </w:rPr>
        <w:t xml:space="preserve">высокая стоимость привлечения заемных средств как для инвестиционных нужд, так и для текущей деятельности, существенные ограничения по объемам и срокам привлечения.</w:t>
      </w:r>
    </w:p>
    <w:p>
      <w:pPr>
        <w:pStyle w:val="0"/>
        <w:spacing w:before="200" w:line-rule="auto"/>
        <w:ind w:firstLine="540"/>
        <w:jc w:val="both"/>
      </w:pPr>
      <w:r>
        <w:rPr>
          <w:sz w:val="20"/>
        </w:rPr>
        <w:t xml:space="preserve">Перспективы и направления действий:</w:t>
      </w:r>
    </w:p>
    <w:p>
      <w:pPr>
        <w:pStyle w:val="0"/>
        <w:spacing w:before="200" w:line-rule="auto"/>
        <w:ind w:firstLine="540"/>
        <w:jc w:val="both"/>
      </w:pPr>
      <w:r>
        <w:rPr>
          <w:sz w:val="20"/>
        </w:rPr>
        <w:t xml:space="preserve">Расширение производства полимеров (полипропилена, полиэтилена).</w:t>
      </w:r>
    </w:p>
    <w:p>
      <w:pPr>
        <w:pStyle w:val="0"/>
        <w:spacing w:before="200" w:line-rule="auto"/>
        <w:ind w:firstLine="540"/>
        <w:jc w:val="both"/>
      </w:pPr>
      <w:r>
        <w:rPr>
          <w:sz w:val="20"/>
        </w:rPr>
        <w:t xml:space="preserve">Повышение обеспеченности сырьем российских химических и нефтехимических производств, будет способствовать открытию новых и развитию действующих производств по выпуску различных видов продукции из полимерных материалов; создание единого отраслевого научного центра.</w:t>
      </w:r>
    </w:p>
    <w:p>
      <w:pPr>
        <w:pStyle w:val="0"/>
        <w:spacing w:before="200" w:line-rule="auto"/>
        <w:ind w:firstLine="540"/>
        <w:jc w:val="both"/>
      </w:pPr>
      <w:r>
        <w:rPr>
          <w:sz w:val="20"/>
        </w:rPr>
        <w:t xml:space="preserve">Развитие малого и среднего бизнеса вокруг Тобольской промышленной площадки в области переработки полимеров.</w:t>
      </w:r>
    </w:p>
    <w:p>
      <w:pPr>
        <w:pStyle w:val="0"/>
        <w:spacing w:before="200" w:line-rule="auto"/>
        <w:ind w:firstLine="540"/>
        <w:jc w:val="both"/>
      </w:pPr>
      <w:r>
        <w:rPr>
          <w:sz w:val="20"/>
        </w:rPr>
        <w:t xml:space="preserve">Развитие системы подготовки высококвалифицированных кадров.</w:t>
      </w:r>
    </w:p>
    <w:p>
      <w:pPr>
        <w:pStyle w:val="0"/>
        <w:spacing w:before="200" w:line-rule="auto"/>
        <w:ind w:firstLine="540"/>
        <w:jc w:val="both"/>
      </w:pPr>
      <w:r>
        <w:rPr>
          <w:sz w:val="20"/>
        </w:rPr>
        <w:t xml:space="preserve">Налаживание эффективного взаимодействия производителей и потребителей продукции, развитие машиностроительного комплекса для обеспечения потребностей компаний кластера.</w:t>
      </w:r>
    </w:p>
    <w:p>
      <w:pPr>
        <w:pStyle w:val="0"/>
        <w:spacing w:before="200" w:line-rule="auto"/>
        <w:ind w:firstLine="540"/>
        <w:jc w:val="both"/>
      </w:pPr>
      <w:r>
        <w:rPr>
          <w:sz w:val="20"/>
        </w:rPr>
        <w:t xml:space="preserve">Снижение экологической нагрузки нефтегазохимическими предприятиями на окружающую среду.</w:t>
      </w:r>
    </w:p>
    <w:p>
      <w:pPr>
        <w:pStyle w:val="0"/>
        <w:spacing w:before="200" w:line-rule="auto"/>
        <w:ind w:firstLine="540"/>
        <w:jc w:val="both"/>
      </w:pPr>
      <w:r>
        <w:rPr>
          <w:sz w:val="20"/>
        </w:rPr>
        <w:t xml:space="preserve">Научно-образовательный потенциал кластера обеспечивают государственные и частные организации, занимающиеся подготовкой кадров по техническим специальностям для развития отрасли, проектированием инфраструктуры и объектов общезаводского хозяйства.</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outlineLvl w:val="7"/>
        <w:jc w:val="center"/>
      </w:pPr>
      <w:r>
        <w:rPr>
          <w:position w:val="-350"/>
        </w:rPr>
        <w:drawing>
          <wp:inline distT="0" distB="0" distL="0" distR="0">
            <wp:extent cx="6791325" cy="4578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6791325" cy="4578350"/>
                    </a:xfrm>
                    <a:prstGeom prst="rect">
                      <a:avLst/>
                    </a:prstGeom>
                    <a:noFill/>
                    <a:ln>
                      <a:noFill/>
                    </a:ln>
                  </pic:spPr>
                </pic:pic>
              </a:graphicData>
            </a:graphic>
          </wp:inline>
        </w:drawing>
      </w:r>
    </w:p>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2"/>
        <w:jc w:val="center"/>
      </w:pPr>
      <w:r>
        <w:rPr>
          <w:sz w:val="20"/>
        </w:rPr>
        <w:t xml:space="preserve">Рисунок 8 - Территориальное расположение участников</w:t>
      </w:r>
    </w:p>
    <w:p>
      <w:pPr>
        <w:pStyle w:val="2"/>
        <w:jc w:val="center"/>
      </w:pPr>
      <w:r>
        <w:rPr>
          <w:sz w:val="20"/>
        </w:rPr>
        <w:t xml:space="preserve">и инфраструктуры нефтегазохимического кластера</w:t>
      </w:r>
    </w:p>
    <w:p>
      <w:pPr>
        <w:pStyle w:val="0"/>
        <w:jc w:val="both"/>
      </w:pPr>
      <w:r>
        <w:rPr>
          <w:sz w:val="20"/>
        </w:rPr>
      </w:r>
    </w:p>
    <w:p>
      <w:pPr>
        <w:pStyle w:val="0"/>
        <w:ind w:firstLine="540"/>
        <w:jc w:val="both"/>
      </w:pPr>
      <w:r>
        <w:rPr>
          <w:sz w:val="20"/>
        </w:rPr>
        <w:t xml:space="preserve">Продуктовые направления:</w:t>
      </w:r>
    </w:p>
    <w:p>
      <w:pPr>
        <w:pStyle w:val="0"/>
        <w:spacing w:before="200" w:line-rule="auto"/>
        <w:ind w:firstLine="540"/>
        <w:jc w:val="both"/>
      </w:pPr>
      <w:r>
        <w:rPr>
          <w:sz w:val="20"/>
        </w:rPr>
        <w:t xml:space="preserve">- существующие - полипропилен различных марок, пропан, бутан, изобутан, пентан, изопентан, гексан, бутадиен, изобутилен, метил-трет-бутиловый эфир, продукция из полимерных материалов: трубы и фитинги, тара и упаковочные материалы, овощная сетка и другое;</w:t>
      </w:r>
    </w:p>
    <w:p>
      <w:pPr>
        <w:pStyle w:val="0"/>
        <w:spacing w:before="200" w:line-rule="auto"/>
        <w:ind w:firstLine="540"/>
        <w:jc w:val="both"/>
      </w:pPr>
      <w:r>
        <w:rPr>
          <w:sz w:val="20"/>
        </w:rPr>
        <w:t xml:space="preserve">- новые - полиэтилен высокого и низкого давления различных марок, малеиновый ангидрид и другие химические вещества, продукция из полимерных материалов: тара и упаковочные материалы, детали и комплектующие для инженерных систем, листы и пленки, товары для дома и сада, детали и комплектующие для различных областей применения, полимерные реагенты и материалы для бурения и повышения нефтеотдачи.</w:t>
      </w:r>
    </w:p>
    <w:p>
      <w:pPr>
        <w:pStyle w:val="0"/>
        <w:spacing w:before="200" w:line-rule="auto"/>
        <w:ind w:firstLine="540"/>
        <w:jc w:val="both"/>
      </w:pPr>
      <w:r>
        <w:rPr>
          <w:sz w:val="20"/>
        </w:rPr>
        <w:t xml:space="preserve">Потенциальные рынки сбыта: ТНВЭД 39, 54 - 55 &lt;15&gt;: внутрироссийский рынок, страны ЕС, Великобритания, Турция, страны СНГ, Китай и страны АТР.</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В соответствии с кодами ТНВЭД и номенклатуры экспортируемой продукции:</w:t>
      </w:r>
    </w:p>
    <w:p>
      <w:pPr>
        <w:pStyle w:val="0"/>
        <w:spacing w:before="200" w:line-rule="auto"/>
        <w:ind w:firstLine="540"/>
        <w:jc w:val="both"/>
      </w:pPr>
      <w:r>
        <w:rPr>
          <w:sz w:val="20"/>
        </w:rPr>
        <w:t xml:space="preserve">39. Пластмассы и изделия из них.</w:t>
      </w:r>
    </w:p>
    <w:p>
      <w:pPr>
        <w:pStyle w:val="0"/>
        <w:spacing w:before="200" w:line-rule="auto"/>
        <w:ind w:firstLine="540"/>
        <w:jc w:val="both"/>
      </w:pPr>
      <w:r>
        <w:rPr>
          <w:sz w:val="20"/>
        </w:rPr>
        <w:t xml:space="preserve">54. Химические нити; плоские и аналогичные нити из химических текстильных материалов.</w:t>
      </w:r>
    </w:p>
    <w:p>
      <w:pPr>
        <w:pStyle w:val="0"/>
        <w:spacing w:before="200" w:line-rule="auto"/>
        <w:ind w:firstLine="540"/>
        <w:jc w:val="both"/>
      </w:pPr>
      <w:r>
        <w:rPr>
          <w:sz w:val="20"/>
        </w:rPr>
        <w:t xml:space="preserve">55. Химические волокна.</w:t>
      </w:r>
    </w:p>
    <w:p>
      <w:pPr>
        <w:pStyle w:val="0"/>
        <w:jc w:val="both"/>
      </w:pPr>
      <w:r>
        <w:rPr>
          <w:sz w:val="20"/>
        </w:rPr>
      </w:r>
    </w:p>
    <w:p>
      <w:pPr>
        <w:pStyle w:val="2"/>
        <w:outlineLvl w:val="6"/>
        <w:ind w:firstLine="540"/>
        <w:jc w:val="both"/>
      </w:pPr>
      <w:r>
        <w:rPr>
          <w:sz w:val="20"/>
        </w:rPr>
        <w:t xml:space="preserve">Лесопромышленный кластер</w:t>
      </w:r>
    </w:p>
    <w:p>
      <w:pPr>
        <w:pStyle w:val="0"/>
        <w:spacing w:before="200" w:line-rule="auto"/>
        <w:ind w:firstLine="540"/>
        <w:jc w:val="both"/>
      </w:pPr>
      <w:r>
        <w:rPr>
          <w:sz w:val="20"/>
        </w:rPr>
        <w:t xml:space="preserve">Целевое видение: эффективное и сбалансированное обеспечение спроса на продукцию лесного комплекса на внутреннем и внешнем рынках на основе повышения ее конкурентоспособности и наиболее полного и рационального использования лесосырьевого потенциала при сохранении средообразующих функций леса в целях обеспечения устойчивого управления лесами, удовлетворения потребностей внутреннего рынка в высококачественной и конкурентоспособной лесобумажной продукции отечественного производства, развития импортозамещения.</w:t>
      </w:r>
    </w:p>
    <w:p>
      <w:pPr>
        <w:pStyle w:val="0"/>
        <w:spacing w:before="200" w:line-rule="auto"/>
        <w:ind w:firstLine="540"/>
        <w:jc w:val="both"/>
      </w:pPr>
      <w:r>
        <w:rPr>
          <w:sz w:val="20"/>
        </w:rPr>
        <w:t xml:space="preserve">Основания формирования кластера:</w:t>
      </w:r>
    </w:p>
    <w:p>
      <w:pPr>
        <w:pStyle w:val="0"/>
        <w:spacing w:before="200" w:line-rule="auto"/>
        <w:ind w:firstLine="540"/>
        <w:jc w:val="both"/>
      </w:pPr>
      <w:r>
        <w:rPr>
          <w:sz w:val="20"/>
        </w:rPr>
        <w:t xml:space="preserve">значительный лесосырьевой потенциал с наличием ценных хвойных пород (37% от общих запасов спелых и перестойных лесных ресурсов);</w:t>
      </w:r>
    </w:p>
    <w:p>
      <w:pPr>
        <w:pStyle w:val="0"/>
        <w:spacing w:before="200" w:line-rule="auto"/>
        <w:ind w:firstLine="540"/>
        <w:jc w:val="both"/>
      </w:pPr>
      <w:r>
        <w:rPr>
          <w:sz w:val="20"/>
        </w:rPr>
        <w:t xml:space="preserve">высокий спрос на лесопромышленную продукцию на региональном рынке, обуславливаемый развитием промышленного и строительного секторов экономики;</w:t>
      </w:r>
    </w:p>
    <w:p>
      <w:pPr>
        <w:pStyle w:val="0"/>
        <w:spacing w:before="200" w:line-rule="auto"/>
        <w:ind w:firstLine="540"/>
        <w:jc w:val="both"/>
      </w:pPr>
      <w:r>
        <w:rPr>
          <w:sz w:val="20"/>
        </w:rPr>
        <w:t xml:space="preserve">созданный производственный потенциал и инфраструктура лесохозяйственной деятельности.</w:t>
      </w:r>
    </w:p>
    <w:p>
      <w:pPr>
        <w:pStyle w:val="0"/>
        <w:spacing w:before="200" w:line-rule="auto"/>
        <w:ind w:firstLine="540"/>
        <w:jc w:val="both"/>
      </w:pPr>
      <w:r>
        <w:rPr>
          <w:sz w:val="20"/>
        </w:rPr>
        <w:t xml:space="preserve">Проблемы, требующие решения в рамках реализации кластера:</w:t>
      </w:r>
    </w:p>
    <w:p>
      <w:pPr>
        <w:pStyle w:val="0"/>
        <w:spacing w:before="200" w:line-rule="auto"/>
        <w:ind w:firstLine="540"/>
        <w:jc w:val="both"/>
      </w:pPr>
      <w:r>
        <w:rPr>
          <w:sz w:val="20"/>
        </w:rPr>
        <w:t xml:space="preserve">недостаточное развитие арендных отношений по видам использования лесов;</w:t>
      </w:r>
    </w:p>
    <w:p>
      <w:pPr>
        <w:pStyle w:val="0"/>
        <w:spacing w:before="200" w:line-rule="auto"/>
        <w:ind w:firstLine="540"/>
        <w:jc w:val="both"/>
      </w:pPr>
      <w:r>
        <w:rPr>
          <w:sz w:val="20"/>
        </w:rPr>
        <w:t xml:space="preserve">низкое использование установленной расчетной лесосеки;</w:t>
      </w:r>
    </w:p>
    <w:p>
      <w:pPr>
        <w:pStyle w:val="0"/>
        <w:spacing w:before="200" w:line-rule="auto"/>
        <w:ind w:firstLine="540"/>
        <w:jc w:val="both"/>
      </w:pPr>
      <w:r>
        <w:rPr>
          <w:sz w:val="20"/>
        </w:rPr>
        <w:t xml:space="preserve">недостаточная сеть лесовозных дорог;</w:t>
      </w:r>
    </w:p>
    <w:p>
      <w:pPr>
        <w:pStyle w:val="0"/>
        <w:spacing w:before="200" w:line-rule="auto"/>
        <w:ind w:firstLine="540"/>
        <w:jc w:val="both"/>
      </w:pPr>
      <w:r>
        <w:rPr>
          <w:sz w:val="20"/>
        </w:rPr>
        <w:t xml:space="preserve">удаленность основных эксплуатационных запасов от транспортных магистралей и деревообрабатывающих мощностей;</w:t>
      </w:r>
    </w:p>
    <w:p>
      <w:pPr>
        <w:pStyle w:val="0"/>
        <w:spacing w:before="200" w:line-rule="auto"/>
        <w:ind w:firstLine="540"/>
        <w:jc w:val="both"/>
      </w:pPr>
      <w:r>
        <w:rPr>
          <w:sz w:val="20"/>
        </w:rPr>
        <w:t xml:space="preserve">недостаток высококвалифицированных рабочих и управленческих кадров;</w:t>
      </w:r>
    </w:p>
    <w:p>
      <w:pPr>
        <w:pStyle w:val="0"/>
        <w:spacing w:before="200" w:line-rule="auto"/>
        <w:ind w:firstLine="540"/>
        <w:jc w:val="both"/>
      </w:pPr>
      <w:r>
        <w:rPr>
          <w:sz w:val="20"/>
        </w:rPr>
        <w:t xml:space="preserve">высокий удельный вес низкотоварной древесины и недостаток мощностей по ее переработке (63% - мягколиственные породы от общих запасов спелых и перестойных лесных ресурсов, 37% - хвойные);</w:t>
      </w:r>
    </w:p>
    <w:p>
      <w:pPr>
        <w:pStyle w:val="0"/>
        <w:spacing w:before="200" w:line-rule="auto"/>
        <w:ind w:firstLine="540"/>
        <w:jc w:val="both"/>
      </w:pPr>
      <w:r>
        <w:rPr>
          <w:sz w:val="20"/>
        </w:rPr>
        <w:t xml:space="preserve">высокая изношенность материально-технической базы учреждений лесного хозяйства.</w:t>
      </w:r>
    </w:p>
    <w:p>
      <w:pPr>
        <w:pStyle w:val="0"/>
        <w:spacing w:before="200" w:line-rule="auto"/>
        <w:ind w:firstLine="540"/>
        <w:jc w:val="both"/>
      </w:pPr>
      <w:r>
        <w:rPr>
          <w:sz w:val="20"/>
        </w:rPr>
        <w:t xml:space="preserve">Перспективы и направления действий:</w:t>
      </w:r>
    </w:p>
    <w:p>
      <w:pPr>
        <w:pStyle w:val="0"/>
        <w:spacing w:before="200" w:line-rule="auto"/>
        <w:ind w:firstLine="540"/>
        <w:jc w:val="both"/>
      </w:pPr>
      <w:r>
        <w:rPr>
          <w:sz w:val="20"/>
        </w:rPr>
        <w:t xml:space="preserve">Обеспечение устойчивого управления лесами и сохранение в них биологического разнообразия на основе рационального и неистощительного лесопользования, повышения продуктивности и улучшения породного состава лесов на землях различного целевого назначения (в том числе с помощью мероприятий по увеличению объемов воспроизводства лесов (включая компенсационное лесовосстановление), снижению гибели лесов, в том числе путем повышения эффективности проведения лесозащитных работ); продвижения лесной сертификации, отвечающей мировым стандартам, сохранения лесов природоохранного назначения, формирования эффективного механизма арендных отношений, в том числе долгосрочной аренды лесных участков с выращиванием целевых лесообразующих пород, стимулирования использования лесов в рекреационных целях, а также совершенствования системы государственного лесного контроля и надзора, мониторинга лесопользования.</w:t>
      </w:r>
    </w:p>
    <w:p>
      <w:pPr>
        <w:pStyle w:val="0"/>
        <w:spacing w:before="200" w:line-rule="auto"/>
        <w:ind w:firstLine="540"/>
        <w:jc w:val="both"/>
      </w:pPr>
      <w:r>
        <w:rPr>
          <w:sz w:val="20"/>
        </w:rPr>
        <w:t xml:space="preserve">Разработка и внедрение экономического механизма стимулирования глубокой переработки древесины и экологизации лесопромышленного производства, а также схемы приоритетного транспортного освоения лесов, предусматривающих формирование производственных кластеров на базе крупных лесоперерабатывающих предприятий и вовлечение в эксплуатацию перспективных лесосырьевых территорий Уватского, Вагайского, Тобольского районов как основы участия лесного сектора экономики в решении социальных задач региона.</w:t>
      </w:r>
    </w:p>
    <w:p>
      <w:pPr>
        <w:pStyle w:val="0"/>
        <w:spacing w:before="200" w:line-rule="auto"/>
        <w:ind w:firstLine="540"/>
        <w:jc w:val="both"/>
      </w:pPr>
      <w:r>
        <w:rPr>
          <w:sz w:val="20"/>
        </w:rPr>
        <w:t xml:space="preserve">Научно-инновационное, кадровое и маркетинговое обеспечение лесопромышленного комплекса.</w:t>
      </w:r>
    </w:p>
    <w:p>
      <w:pPr>
        <w:pStyle w:val="0"/>
        <w:spacing w:before="200" w:line-rule="auto"/>
        <w:ind w:firstLine="540"/>
        <w:jc w:val="both"/>
      </w:pPr>
      <w:r>
        <w:rPr>
          <w:sz w:val="20"/>
        </w:rPr>
        <w:t xml:space="preserve">Организация эффективного межведомственного взаимодействия, включая взаимодействие с уполномоченными федеральными и областными органами государственной власти по пресечению незаконных рубок, оборота незаконно заготовленной древесины и иных противоправных посягательств в отношении лесных участков в составе земель лесного фонда и земель иных категорий.</w:t>
      </w:r>
    </w:p>
    <w:p>
      <w:pPr>
        <w:pStyle w:val="0"/>
        <w:spacing w:before="200" w:line-rule="auto"/>
        <w:ind w:firstLine="540"/>
        <w:jc w:val="both"/>
      </w:pPr>
      <w:r>
        <w:rPr>
          <w:sz w:val="20"/>
        </w:rPr>
        <w:t xml:space="preserve">Увеличение масштабов и темпов лесовосстановления, в том числе посадки и посева леса с выращиванием заданных сортиментов хвойных пород.</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outlineLvl w:val="7"/>
        <w:jc w:val="center"/>
      </w:pPr>
      <w:r>
        <w:rPr>
          <w:position w:val="-380"/>
        </w:rPr>
        <w:drawing>
          <wp:inline distT="0" distB="0" distL="0" distR="0">
            <wp:extent cx="6651625" cy="4962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6651625" cy="4962525"/>
                    </a:xfrm>
                    <a:prstGeom prst="rect">
                      <a:avLst/>
                    </a:prstGeom>
                    <a:noFill/>
                    <a:ln>
                      <a:noFill/>
                    </a:ln>
                  </pic:spPr>
                </pic:pic>
              </a:graphicData>
            </a:graphic>
          </wp:inline>
        </w:drawing>
      </w:r>
    </w:p>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2"/>
        <w:jc w:val="center"/>
      </w:pPr>
      <w:r>
        <w:rPr>
          <w:sz w:val="20"/>
        </w:rPr>
        <w:t xml:space="preserve">Рисунок 9 - Территориальное расположение участников</w:t>
      </w:r>
    </w:p>
    <w:p>
      <w:pPr>
        <w:pStyle w:val="2"/>
        <w:jc w:val="center"/>
      </w:pPr>
      <w:r>
        <w:rPr>
          <w:sz w:val="20"/>
        </w:rPr>
        <w:t xml:space="preserve">и инфраструктуры лесопромышленного кластера</w:t>
      </w:r>
    </w:p>
    <w:p>
      <w:pPr>
        <w:pStyle w:val="0"/>
        <w:jc w:val="both"/>
      </w:pPr>
      <w:r>
        <w:rPr>
          <w:sz w:val="20"/>
        </w:rPr>
      </w:r>
    </w:p>
    <w:p>
      <w:pPr>
        <w:pStyle w:val="0"/>
        <w:ind w:firstLine="540"/>
        <w:jc w:val="both"/>
      </w:pPr>
      <w:r>
        <w:rPr>
          <w:sz w:val="20"/>
        </w:rPr>
        <w:t xml:space="preserve">Научно-образовательный потенциал кластера обеспечивают государственные и частные организации, занимающиеся подготовкой кадров технических специальностей для развития отрасли, разработкой бизнес-планов, технико-экономических обоснований лесозаготовительных и деревообрабатывающих комплексов, экологической документации и другим.</w:t>
      </w:r>
    </w:p>
    <w:p>
      <w:pPr>
        <w:pStyle w:val="0"/>
        <w:spacing w:before="200" w:line-rule="auto"/>
        <w:ind w:firstLine="540"/>
        <w:jc w:val="both"/>
      </w:pPr>
      <w:r>
        <w:rPr>
          <w:sz w:val="20"/>
        </w:rPr>
        <w:t xml:space="preserve">Продуктовые направления</w:t>
      </w:r>
    </w:p>
    <w:p>
      <w:pPr>
        <w:pStyle w:val="0"/>
        <w:spacing w:before="200" w:line-rule="auto"/>
        <w:ind w:firstLine="540"/>
        <w:jc w:val="both"/>
      </w:pPr>
      <w:r>
        <w:rPr>
          <w:sz w:val="20"/>
        </w:rPr>
        <w:t xml:space="preserve">Северные лесные районы:</w:t>
      </w:r>
    </w:p>
    <w:p>
      <w:pPr>
        <w:pStyle w:val="0"/>
        <w:spacing w:before="200" w:line-rule="auto"/>
        <w:ind w:firstLine="540"/>
        <w:jc w:val="both"/>
      </w:pPr>
      <w:r>
        <w:rPr>
          <w:sz w:val="20"/>
        </w:rPr>
        <w:t xml:space="preserve">целлюлозно-бумажный комбинат (целлюлоза, картон);</w:t>
      </w:r>
    </w:p>
    <w:p>
      <w:pPr>
        <w:pStyle w:val="0"/>
        <w:spacing w:before="200" w:line-rule="auto"/>
        <w:ind w:firstLine="540"/>
        <w:jc w:val="both"/>
      </w:pPr>
      <w:r>
        <w:rPr>
          <w:sz w:val="20"/>
        </w:rPr>
        <w:t xml:space="preserve">плитное производство (фанерное производство, шпон, производство ОСБ, ДСП);</w:t>
      </w:r>
    </w:p>
    <w:p>
      <w:pPr>
        <w:pStyle w:val="0"/>
        <w:spacing w:before="200" w:line-rule="auto"/>
        <w:ind w:firstLine="540"/>
        <w:jc w:val="both"/>
      </w:pPr>
      <w:r>
        <w:rPr>
          <w:sz w:val="20"/>
        </w:rPr>
        <w:t xml:space="preserve">лесохимическое производство: (производство биоэтанола, талловый пек, канифоль, бетулин);</w:t>
      </w:r>
    </w:p>
    <w:p>
      <w:pPr>
        <w:pStyle w:val="0"/>
        <w:spacing w:before="200" w:line-rule="auto"/>
        <w:ind w:firstLine="540"/>
        <w:jc w:val="both"/>
      </w:pPr>
      <w:r>
        <w:rPr>
          <w:sz w:val="20"/>
        </w:rPr>
        <w:t xml:space="preserve">лесопиление (пиломатериалы, в том числе экспортного качества, щепа, переработка древесной биомассы порубочных остатков лесозаготовок в топливные брикеты непосредственно в условиях лесосеки).</w:t>
      </w:r>
    </w:p>
    <w:p>
      <w:pPr>
        <w:pStyle w:val="0"/>
        <w:spacing w:before="200" w:line-rule="auto"/>
        <w:ind w:firstLine="540"/>
        <w:jc w:val="both"/>
      </w:pPr>
      <w:r>
        <w:rPr>
          <w:sz w:val="20"/>
        </w:rPr>
        <w:t xml:space="preserve">Центральные и Южные лесные районы:</w:t>
      </w:r>
    </w:p>
    <w:p>
      <w:pPr>
        <w:pStyle w:val="0"/>
        <w:spacing w:before="200" w:line-rule="auto"/>
        <w:ind w:firstLine="540"/>
        <w:jc w:val="both"/>
      </w:pPr>
      <w:r>
        <w:rPr>
          <w:sz w:val="20"/>
        </w:rPr>
        <w:t xml:space="preserve">плитные производства (фанерное производство (фанера, шпон), производство ОСБ, ДСП);</w:t>
      </w:r>
    </w:p>
    <w:p>
      <w:pPr>
        <w:pStyle w:val="0"/>
        <w:spacing w:before="200" w:line-rule="auto"/>
        <w:ind w:firstLine="540"/>
        <w:jc w:val="both"/>
      </w:pPr>
      <w:r>
        <w:rPr>
          <w:sz w:val="20"/>
        </w:rPr>
        <w:t xml:space="preserve">деревянное домостроение (панельно-каркасное, модифицированная древесина и продукция из нее, клееный брус, древесно-полимерные композиты, CLT-технология);</w:t>
      </w:r>
    </w:p>
    <w:p>
      <w:pPr>
        <w:pStyle w:val="0"/>
        <w:spacing w:before="200" w:line-rule="auto"/>
        <w:ind w:firstLine="540"/>
        <w:jc w:val="both"/>
      </w:pPr>
      <w:r>
        <w:rPr>
          <w:sz w:val="20"/>
        </w:rPr>
        <w:t xml:space="preserve">мебельное производство (мебель (корпусная мебель, мягкая мебель, школьная мебель), декоративные покрытия для мебельной индустрии (меламиновые и финиш-пленки));</w:t>
      </w:r>
    </w:p>
    <w:p>
      <w:pPr>
        <w:pStyle w:val="0"/>
        <w:spacing w:before="200" w:line-rule="auto"/>
        <w:ind w:firstLine="540"/>
        <w:jc w:val="both"/>
      </w:pPr>
      <w:r>
        <w:rPr>
          <w:sz w:val="20"/>
        </w:rPr>
        <w:t xml:space="preserve">развитие биоэнергетики, биоконверсия сырья органического происхождения с выработкой биотоплива - биоэтанола и биобутанола, переработка низкосортной древесины, отходов деревообрабатывающего производства в биотопливо и отходов целлюлозно-бумажной промышленности для производства активных добавок, применяемых при строительстве автомобильных дорог и аэродромов, комплексное использование древесины и отходов в технологических процессах глубокой переработки древесины (пеллеты, биогаз, биодизель, биохимикаты и прочее), древесный и активированный уголь, пеллеты;</w:t>
      </w:r>
    </w:p>
    <w:p>
      <w:pPr>
        <w:pStyle w:val="0"/>
        <w:spacing w:before="200" w:line-rule="auto"/>
        <w:ind w:firstLine="540"/>
        <w:jc w:val="both"/>
      </w:pPr>
      <w:r>
        <w:rPr>
          <w:sz w:val="20"/>
        </w:rPr>
        <w:t xml:space="preserve">производство лесных семян и посадочного материала с закрытой корневой системой с применением биоудобрений в рамках реализации мероприятий по лесовосстановлению, разработка и внедрение пилотной инновационной технологии ведения лесного хозяйства с использованием прогрессивных методов проведения коммерческих рубок ухода, интенсивного лесовосстановления и воспроизводства наиболее востребованных пород древесины;</w:t>
      </w:r>
    </w:p>
    <w:p>
      <w:pPr>
        <w:pStyle w:val="0"/>
        <w:spacing w:before="200" w:line-rule="auto"/>
        <w:ind w:firstLine="540"/>
        <w:jc w:val="both"/>
      </w:pPr>
      <w:r>
        <w:rPr>
          <w:sz w:val="20"/>
        </w:rPr>
        <w:t xml:space="preserve">лесохимическое производство (бетулин).</w:t>
      </w:r>
    </w:p>
    <w:p>
      <w:pPr>
        <w:pStyle w:val="0"/>
        <w:spacing w:before="200" w:line-rule="auto"/>
        <w:ind w:firstLine="540"/>
        <w:jc w:val="both"/>
      </w:pPr>
      <w:r>
        <w:rPr>
          <w:sz w:val="20"/>
        </w:rPr>
        <w:t xml:space="preserve">Потенциальные рынки сбыта: ТНВЭД 44 - 48 &lt;16&gt;: внутрироссийский рынок, Казахстан и страны СНГ, страны ЕС, Турция, США, Египет, Иран, Великобритания.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В соответствии с кодами ТНВЭД и номенклатуры экспортируемой продукции:</w:t>
      </w:r>
    </w:p>
    <w:p>
      <w:pPr>
        <w:pStyle w:val="0"/>
        <w:spacing w:before="200" w:line-rule="auto"/>
        <w:ind w:firstLine="540"/>
        <w:jc w:val="both"/>
      </w:pPr>
      <w:r>
        <w:rPr>
          <w:sz w:val="20"/>
        </w:rPr>
        <w:t xml:space="preserve">44. Древесина и изделия из нее; древесный уголь.</w:t>
      </w:r>
    </w:p>
    <w:p>
      <w:pPr>
        <w:pStyle w:val="0"/>
        <w:spacing w:before="200" w:line-rule="auto"/>
        <w:ind w:firstLine="540"/>
        <w:jc w:val="both"/>
      </w:pPr>
      <w:r>
        <w:rPr>
          <w:sz w:val="20"/>
        </w:rPr>
        <w:t xml:space="preserve">45. Пробка и изделия из нее.</w:t>
      </w:r>
    </w:p>
    <w:p>
      <w:pPr>
        <w:pStyle w:val="0"/>
        <w:spacing w:before="200" w:line-rule="auto"/>
        <w:ind w:firstLine="540"/>
        <w:jc w:val="both"/>
      </w:pPr>
      <w:r>
        <w:rPr>
          <w:sz w:val="20"/>
        </w:rPr>
        <w:t xml:space="preserve">46. Изделия из соломы, альфы или прочих материалов для плетения; корзиночные изделия и плетеные изделия.</w:t>
      </w:r>
    </w:p>
    <w:p>
      <w:pPr>
        <w:pStyle w:val="0"/>
        <w:spacing w:before="200" w:line-rule="auto"/>
        <w:ind w:firstLine="540"/>
        <w:jc w:val="both"/>
      </w:pPr>
      <w:r>
        <w:rPr>
          <w:sz w:val="20"/>
        </w:rPr>
        <w:t xml:space="preserve">47. Масса из древесины или из других волокнистых целлюлозных материалов; регенерируемые бумага или картон (макулатура и отходы).</w:t>
      </w:r>
    </w:p>
    <w:p>
      <w:pPr>
        <w:pStyle w:val="0"/>
        <w:spacing w:before="200" w:line-rule="auto"/>
        <w:ind w:firstLine="540"/>
        <w:jc w:val="both"/>
      </w:pPr>
      <w:r>
        <w:rPr>
          <w:sz w:val="20"/>
        </w:rPr>
        <w:t xml:space="preserve">48. Бумага и картон; изделия из бумажной массы, бумаги или картона.</w:t>
      </w:r>
    </w:p>
    <w:p>
      <w:pPr>
        <w:pStyle w:val="0"/>
        <w:jc w:val="both"/>
      </w:pPr>
      <w:r>
        <w:rPr>
          <w:sz w:val="20"/>
        </w:rPr>
      </w:r>
    </w:p>
    <w:p>
      <w:pPr>
        <w:pStyle w:val="2"/>
        <w:outlineLvl w:val="6"/>
        <w:ind w:firstLine="540"/>
        <w:jc w:val="both"/>
      </w:pPr>
      <w:r>
        <w:rPr>
          <w:sz w:val="20"/>
        </w:rPr>
        <w:t xml:space="preserve">Кластер добычи и переработки прочих полезных ископаемых</w:t>
      </w:r>
    </w:p>
    <w:p>
      <w:pPr>
        <w:pStyle w:val="0"/>
        <w:spacing w:before="200" w:line-rule="auto"/>
        <w:ind w:firstLine="540"/>
        <w:jc w:val="both"/>
      </w:pPr>
      <w:r>
        <w:rPr>
          <w:sz w:val="20"/>
        </w:rPr>
        <w:t xml:space="preserve">Целевое видение: формирование высокотехнологичного, конкурентоспособного, устойчивого и сбалансированного (в части спроса и предложения) сектора пользования недрами, обеспечение потребностей региональной экономики необходимыми полезными ископаемыми, минимизация ущерба, причиняемого окружающей среде при их разведке и добыче.</w:t>
      </w:r>
    </w:p>
    <w:p>
      <w:pPr>
        <w:pStyle w:val="0"/>
        <w:spacing w:before="200" w:line-rule="auto"/>
        <w:ind w:firstLine="540"/>
        <w:jc w:val="both"/>
      </w:pPr>
      <w:r>
        <w:rPr>
          <w:sz w:val="20"/>
        </w:rPr>
        <w:t xml:space="preserve">Основания формирования кластера:</w:t>
      </w:r>
    </w:p>
    <w:p>
      <w:pPr>
        <w:pStyle w:val="0"/>
        <w:spacing w:before="200" w:line-rule="auto"/>
        <w:ind w:firstLine="540"/>
        <w:jc w:val="both"/>
      </w:pPr>
      <w:r>
        <w:rPr>
          <w:sz w:val="20"/>
        </w:rPr>
        <w:t xml:space="preserve">Добыча строительных песков и глин:</w:t>
      </w:r>
    </w:p>
    <w:p>
      <w:pPr>
        <w:pStyle w:val="0"/>
        <w:spacing w:before="200" w:line-rule="auto"/>
        <w:ind w:firstLine="540"/>
        <w:jc w:val="both"/>
      </w:pPr>
      <w:r>
        <w:rPr>
          <w:sz w:val="20"/>
        </w:rPr>
        <w:t xml:space="preserve">развивающаяся строительная отрасль;</w:t>
      </w:r>
    </w:p>
    <w:p>
      <w:pPr>
        <w:pStyle w:val="0"/>
        <w:spacing w:before="200" w:line-rule="auto"/>
        <w:ind w:firstLine="540"/>
        <w:jc w:val="both"/>
      </w:pPr>
      <w:r>
        <w:rPr>
          <w:sz w:val="20"/>
        </w:rPr>
        <w:t xml:space="preserve">доступная ресурсная база;</w:t>
      </w:r>
    </w:p>
    <w:p>
      <w:pPr>
        <w:pStyle w:val="0"/>
        <w:spacing w:before="200" w:line-rule="auto"/>
        <w:ind w:firstLine="540"/>
        <w:jc w:val="both"/>
      </w:pPr>
      <w:r>
        <w:rPr>
          <w:sz w:val="20"/>
        </w:rPr>
        <w:t xml:space="preserve">относительно невысокий уровень инвестиций для освоения и разработки месторождений.</w:t>
      </w:r>
    </w:p>
    <w:p>
      <w:pPr>
        <w:pStyle w:val="0"/>
        <w:spacing w:before="200" w:line-rule="auto"/>
        <w:ind w:firstLine="540"/>
        <w:jc w:val="both"/>
      </w:pPr>
      <w:r>
        <w:rPr>
          <w:sz w:val="20"/>
        </w:rPr>
        <w:t xml:space="preserve">Добыча торфа:</w:t>
      </w:r>
    </w:p>
    <w:p>
      <w:pPr>
        <w:pStyle w:val="0"/>
        <w:spacing w:before="200" w:line-rule="auto"/>
        <w:ind w:firstLine="540"/>
        <w:jc w:val="both"/>
      </w:pPr>
      <w:r>
        <w:rPr>
          <w:sz w:val="20"/>
        </w:rPr>
        <w:t xml:space="preserve">крупнейшая в России ресурсная база сырья;</w:t>
      </w:r>
    </w:p>
    <w:p>
      <w:pPr>
        <w:pStyle w:val="0"/>
        <w:spacing w:before="200" w:line-rule="auto"/>
        <w:ind w:firstLine="540"/>
        <w:jc w:val="both"/>
      </w:pPr>
      <w:r>
        <w:rPr>
          <w:sz w:val="20"/>
        </w:rPr>
        <w:t xml:space="preserve">относительно невысокий уровень инвестиций для освоения и разработки месторождений.</w:t>
      </w:r>
    </w:p>
    <w:p>
      <w:pPr>
        <w:pStyle w:val="0"/>
        <w:spacing w:before="200" w:line-rule="auto"/>
        <w:ind w:firstLine="540"/>
        <w:jc w:val="both"/>
      </w:pPr>
      <w:r>
        <w:rPr>
          <w:sz w:val="20"/>
        </w:rPr>
        <w:t xml:space="preserve">Добыча сапропеля:</w:t>
      </w:r>
    </w:p>
    <w:p>
      <w:pPr>
        <w:pStyle w:val="0"/>
        <w:spacing w:before="200" w:line-rule="auto"/>
        <w:ind w:firstLine="540"/>
        <w:jc w:val="both"/>
      </w:pPr>
      <w:r>
        <w:rPr>
          <w:sz w:val="20"/>
        </w:rPr>
        <w:t xml:space="preserve">наличие ресурсов и запасов сапропеля в районах с развитой инфраструктурой;</w:t>
      </w:r>
    </w:p>
    <w:p>
      <w:pPr>
        <w:pStyle w:val="0"/>
        <w:spacing w:before="200" w:line-rule="auto"/>
        <w:ind w:firstLine="540"/>
        <w:jc w:val="both"/>
      </w:pPr>
      <w:r>
        <w:rPr>
          <w:sz w:val="20"/>
        </w:rPr>
        <w:t xml:space="preserve">относительно невысокий уровень затрат на освоение месторождений.</w:t>
      </w:r>
    </w:p>
    <w:p>
      <w:pPr>
        <w:pStyle w:val="0"/>
        <w:spacing w:before="200" w:line-rule="auto"/>
        <w:ind w:firstLine="540"/>
        <w:jc w:val="both"/>
      </w:pPr>
      <w:r>
        <w:rPr>
          <w:sz w:val="20"/>
        </w:rPr>
        <w:t xml:space="preserve">Добыча формовочных и стекольных песков:</w:t>
      </w:r>
    </w:p>
    <w:p>
      <w:pPr>
        <w:pStyle w:val="0"/>
        <w:spacing w:before="200" w:line-rule="auto"/>
        <w:ind w:firstLine="540"/>
        <w:jc w:val="both"/>
      </w:pPr>
      <w:r>
        <w:rPr>
          <w:sz w:val="20"/>
        </w:rPr>
        <w:t xml:space="preserve">малое количество стекольных предприятий в соседних регионах;</w:t>
      </w:r>
    </w:p>
    <w:p>
      <w:pPr>
        <w:pStyle w:val="0"/>
        <w:spacing w:before="200" w:line-rule="auto"/>
        <w:ind w:firstLine="540"/>
        <w:jc w:val="both"/>
      </w:pPr>
      <w:r>
        <w:rPr>
          <w:sz w:val="20"/>
        </w:rPr>
        <w:t xml:space="preserve">наличие высококвалифицированных специалистов;</w:t>
      </w:r>
    </w:p>
    <w:p>
      <w:pPr>
        <w:pStyle w:val="0"/>
        <w:spacing w:before="200" w:line-rule="auto"/>
        <w:ind w:firstLine="540"/>
        <w:jc w:val="both"/>
      </w:pPr>
      <w:r>
        <w:rPr>
          <w:sz w:val="20"/>
        </w:rPr>
        <w:t xml:space="preserve">наличие утвержденных ГОСТов;</w:t>
      </w:r>
    </w:p>
    <w:p>
      <w:pPr>
        <w:pStyle w:val="0"/>
        <w:spacing w:before="200" w:line-rule="auto"/>
        <w:ind w:firstLine="540"/>
        <w:jc w:val="both"/>
      </w:pPr>
      <w:r>
        <w:rPr>
          <w:sz w:val="20"/>
        </w:rPr>
        <w:t xml:space="preserve">многолетнее партнерство с лидерами рынка.</w:t>
      </w:r>
    </w:p>
    <w:p>
      <w:pPr>
        <w:pStyle w:val="0"/>
        <w:spacing w:before="200" w:line-rule="auto"/>
        <w:ind w:firstLine="540"/>
        <w:jc w:val="both"/>
      </w:pPr>
      <w:r>
        <w:rPr>
          <w:sz w:val="20"/>
        </w:rPr>
        <w:t xml:space="preserve">Проблемы, требующие решения в рамках реализации кластера:</w:t>
      </w:r>
    </w:p>
    <w:p>
      <w:pPr>
        <w:pStyle w:val="0"/>
        <w:spacing w:before="200" w:line-rule="auto"/>
        <w:ind w:firstLine="540"/>
        <w:jc w:val="both"/>
      </w:pPr>
      <w:r>
        <w:rPr>
          <w:sz w:val="20"/>
        </w:rPr>
        <w:t xml:space="preserve">Добыча строительных песков и глин:</w:t>
      </w:r>
    </w:p>
    <w:p>
      <w:pPr>
        <w:pStyle w:val="0"/>
        <w:spacing w:before="200" w:line-rule="auto"/>
        <w:ind w:firstLine="540"/>
        <w:jc w:val="both"/>
      </w:pPr>
      <w:r>
        <w:rPr>
          <w:sz w:val="20"/>
        </w:rPr>
        <w:t xml:space="preserve">отсутствие объектов, для которых характерен постоянный (без сезонных колебаний) спрос на строительное сырье;</w:t>
      </w:r>
    </w:p>
    <w:p>
      <w:pPr>
        <w:pStyle w:val="0"/>
        <w:spacing w:before="200" w:line-rule="auto"/>
        <w:ind w:firstLine="540"/>
        <w:jc w:val="both"/>
      </w:pPr>
      <w:r>
        <w:rPr>
          <w:sz w:val="20"/>
        </w:rPr>
        <w:t xml:space="preserve">зависимость добывающей отрасли от темпов развития строительной отрасли;</w:t>
      </w:r>
    </w:p>
    <w:p>
      <w:pPr>
        <w:pStyle w:val="0"/>
        <w:spacing w:before="200" w:line-rule="auto"/>
        <w:ind w:firstLine="540"/>
        <w:jc w:val="both"/>
      </w:pPr>
      <w:r>
        <w:rPr>
          <w:sz w:val="20"/>
        </w:rPr>
        <w:t xml:space="preserve">сезонный характер работ;</w:t>
      </w:r>
    </w:p>
    <w:p>
      <w:pPr>
        <w:pStyle w:val="0"/>
        <w:spacing w:before="200" w:line-rule="auto"/>
        <w:ind w:firstLine="540"/>
        <w:jc w:val="both"/>
      </w:pPr>
      <w:r>
        <w:rPr>
          <w:sz w:val="20"/>
        </w:rPr>
        <w:t xml:space="preserve">инфраструктурные ограничения (недостаток подъездов к месторождениям по автомобильным дорогам с твердым покрытием);</w:t>
      </w:r>
    </w:p>
    <w:p>
      <w:pPr>
        <w:pStyle w:val="0"/>
        <w:spacing w:before="200" w:line-rule="auto"/>
        <w:ind w:firstLine="540"/>
        <w:jc w:val="both"/>
      </w:pPr>
      <w:r>
        <w:rPr>
          <w:sz w:val="20"/>
        </w:rPr>
        <w:t xml:space="preserve">высокая доля затрат на транспортировку в себестоимости продукции;</w:t>
      </w:r>
    </w:p>
    <w:p>
      <w:pPr>
        <w:pStyle w:val="0"/>
        <w:spacing w:before="200" w:line-rule="auto"/>
        <w:ind w:firstLine="540"/>
        <w:jc w:val="both"/>
      </w:pPr>
      <w:r>
        <w:rPr>
          <w:sz w:val="20"/>
        </w:rPr>
        <w:t xml:space="preserve">недостаток квалифицированных инженерно-технических специалистов и рабочих кадров;</w:t>
      </w:r>
    </w:p>
    <w:p>
      <w:pPr>
        <w:pStyle w:val="0"/>
        <w:spacing w:before="200" w:line-rule="auto"/>
        <w:ind w:firstLine="540"/>
        <w:jc w:val="both"/>
      </w:pPr>
      <w:r>
        <w:rPr>
          <w:sz w:val="20"/>
        </w:rPr>
        <w:t xml:space="preserve">дисбаланс спроса и объемов производства в ряде муниципальных районов области при общем профиците добывающих мощностей;</w:t>
      </w:r>
    </w:p>
    <w:p>
      <w:pPr>
        <w:pStyle w:val="0"/>
        <w:spacing w:before="200" w:line-rule="auto"/>
        <w:ind w:firstLine="540"/>
        <w:jc w:val="both"/>
      </w:pPr>
      <w:r>
        <w:rPr>
          <w:sz w:val="20"/>
        </w:rPr>
        <w:t xml:space="preserve">значительная доля импортного оборудования (тракторы, экскаваторы, погрузчики, большегрузы и т.д.).</w:t>
      </w:r>
    </w:p>
    <w:p>
      <w:pPr>
        <w:pStyle w:val="0"/>
        <w:spacing w:before="200" w:line-rule="auto"/>
        <w:ind w:firstLine="540"/>
        <w:jc w:val="both"/>
      </w:pPr>
      <w:r>
        <w:rPr>
          <w:sz w:val="20"/>
        </w:rPr>
        <w:t xml:space="preserve">Добыча торфа:</w:t>
      </w:r>
    </w:p>
    <w:p>
      <w:pPr>
        <w:pStyle w:val="0"/>
        <w:spacing w:before="200" w:line-rule="auto"/>
        <w:ind w:firstLine="540"/>
        <w:jc w:val="both"/>
      </w:pPr>
      <w:r>
        <w:rPr>
          <w:sz w:val="20"/>
        </w:rPr>
        <w:t xml:space="preserve">низкие объемы спроса внутри региона;</w:t>
      </w:r>
    </w:p>
    <w:p>
      <w:pPr>
        <w:pStyle w:val="0"/>
        <w:spacing w:before="200" w:line-rule="auto"/>
        <w:ind w:firstLine="540"/>
        <w:jc w:val="both"/>
      </w:pPr>
      <w:r>
        <w:rPr>
          <w:sz w:val="20"/>
        </w:rPr>
        <w:t xml:space="preserve">сезонность добычи и спроса на торф;</w:t>
      </w:r>
    </w:p>
    <w:p>
      <w:pPr>
        <w:pStyle w:val="0"/>
        <w:spacing w:before="200" w:line-rule="auto"/>
        <w:ind w:firstLine="540"/>
        <w:jc w:val="both"/>
      </w:pPr>
      <w:r>
        <w:rPr>
          <w:sz w:val="20"/>
        </w:rPr>
        <w:t xml:space="preserve">зависимость отрасли от потребностей сельхозтоваропроизводителей;</w:t>
      </w:r>
    </w:p>
    <w:p>
      <w:pPr>
        <w:pStyle w:val="0"/>
        <w:spacing w:before="200" w:line-rule="auto"/>
        <w:ind w:firstLine="540"/>
        <w:jc w:val="both"/>
      </w:pPr>
      <w:r>
        <w:rPr>
          <w:sz w:val="20"/>
        </w:rPr>
        <w:t xml:space="preserve">ограничения, связанные с застройкой месторождений торфа и расположением их на землях сельскохозяйственного назначения;</w:t>
      </w:r>
    </w:p>
    <w:p>
      <w:pPr>
        <w:pStyle w:val="0"/>
        <w:spacing w:before="200" w:line-rule="auto"/>
        <w:ind w:firstLine="540"/>
        <w:jc w:val="both"/>
      </w:pPr>
      <w:r>
        <w:rPr>
          <w:sz w:val="20"/>
        </w:rPr>
        <w:t xml:space="preserve">частые затопления участков недр и невозможность добычи из-за специфики формирования месторождений торфа.</w:t>
      </w:r>
    </w:p>
    <w:p>
      <w:pPr>
        <w:pStyle w:val="0"/>
        <w:spacing w:before="200" w:line-rule="auto"/>
        <w:ind w:firstLine="540"/>
        <w:jc w:val="both"/>
      </w:pPr>
      <w:r>
        <w:rPr>
          <w:sz w:val="20"/>
        </w:rPr>
        <w:t xml:space="preserve">Добыча сапропеля:</w:t>
      </w:r>
    </w:p>
    <w:p>
      <w:pPr>
        <w:pStyle w:val="0"/>
        <w:spacing w:before="200" w:line-rule="auto"/>
        <w:ind w:firstLine="540"/>
        <w:jc w:val="both"/>
      </w:pPr>
      <w:r>
        <w:rPr>
          <w:sz w:val="20"/>
        </w:rPr>
        <w:t xml:space="preserve">отсутствие сформированного спроса на сапропель и продукцию из него, в том числе из-за низкой осведомленности потенциальных потребителей о возможностях использования данного вида сырья;</w:t>
      </w:r>
    </w:p>
    <w:p>
      <w:pPr>
        <w:pStyle w:val="0"/>
        <w:spacing w:before="200" w:line-rule="auto"/>
        <w:ind w:firstLine="540"/>
        <w:jc w:val="both"/>
      </w:pPr>
      <w:r>
        <w:rPr>
          <w:sz w:val="20"/>
        </w:rPr>
        <w:t xml:space="preserve">высокая стоимость сапропеля по сравнению с другими видами удобрений;</w:t>
      </w:r>
    </w:p>
    <w:p>
      <w:pPr>
        <w:pStyle w:val="0"/>
        <w:spacing w:before="200" w:line-rule="auto"/>
        <w:ind w:firstLine="540"/>
        <w:jc w:val="both"/>
      </w:pPr>
      <w:r>
        <w:rPr>
          <w:sz w:val="20"/>
        </w:rPr>
        <w:t xml:space="preserve">сезонность спроса.</w:t>
      </w:r>
    </w:p>
    <w:p>
      <w:pPr>
        <w:pStyle w:val="0"/>
        <w:spacing w:before="200" w:line-rule="auto"/>
        <w:ind w:firstLine="540"/>
        <w:jc w:val="both"/>
      </w:pPr>
      <w:r>
        <w:rPr>
          <w:sz w:val="20"/>
        </w:rPr>
        <w:t xml:space="preserve">Добыча формовочных и стекольных песков:</w:t>
      </w:r>
    </w:p>
    <w:p>
      <w:pPr>
        <w:pStyle w:val="0"/>
        <w:spacing w:before="200" w:line-rule="auto"/>
        <w:ind w:firstLine="540"/>
        <w:jc w:val="both"/>
      </w:pPr>
      <w:r>
        <w:rPr>
          <w:sz w:val="20"/>
        </w:rPr>
        <w:t xml:space="preserve">низкая рентабельность производственной деятельности;</w:t>
      </w:r>
    </w:p>
    <w:p>
      <w:pPr>
        <w:pStyle w:val="0"/>
        <w:spacing w:before="200" w:line-rule="auto"/>
        <w:ind w:firstLine="540"/>
        <w:jc w:val="both"/>
      </w:pPr>
      <w:r>
        <w:rPr>
          <w:sz w:val="20"/>
        </w:rPr>
        <w:t xml:space="preserve">высокие издержки производства;</w:t>
      </w:r>
    </w:p>
    <w:p>
      <w:pPr>
        <w:pStyle w:val="0"/>
        <w:spacing w:before="200" w:line-rule="auto"/>
        <w:ind w:firstLine="540"/>
        <w:jc w:val="both"/>
      </w:pPr>
      <w:r>
        <w:rPr>
          <w:sz w:val="20"/>
        </w:rPr>
        <w:t xml:space="preserve">слабая маркетинговая политика;</w:t>
      </w:r>
    </w:p>
    <w:p>
      <w:pPr>
        <w:pStyle w:val="0"/>
        <w:spacing w:before="200" w:line-rule="auto"/>
        <w:ind w:firstLine="540"/>
        <w:jc w:val="both"/>
      </w:pPr>
      <w:r>
        <w:rPr>
          <w:sz w:val="20"/>
        </w:rPr>
        <w:t xml:space="preserve">недостаточная система профессионального обучения и повышения квалификации.</w:t>
      </w:r>
    </w:p>
    <w:p>
      <w:pPr>
        <w:pStyle w:val="0"/>
        <w:spacing w:before="200" w:line-rule="auto"/>
        <w:ind w:firstLine="540"/>
        <w:jc w:val="both"/>
      </w:pPr>
      <w:r>
        <w:rPr>
          <w:sz w:val="20"/>
        </w:rPr>
        <w:t xml:space="preserve">Перспективы и направления действий:</w:t>
      </w:r>
    </w:p>
    <w:p>
      <w:pPr>
        <w:pStyle w:val="0"/>
        <w:spacing w:before="200" w:line-rule="auto"/>
        <w:ind w:firstLine="540"/>
        <w:jc w:val="both"/>
      </w:pPr>
      <w:r>
        <w:rPr>
          <w:sz w:val="20"/>
        </w:rPr>
        <w:t xml:space="preserve">Создание производства по глубокой переработке сапропеля, проведение мероприятий по оценке ресурсов и запасов озерного сапропеля на территории Тюменской области, перевод ресурсов в запасы промышленных категорий (рентабельных для добычи), укрупнение участков недр с целью их последующего предоставления недропользователям, стимулирование спроса и выход на новые рынки сбыта продукции.</w:t>
      </w:r>
    </w:p>
    <w:p>
      <w:pPr>
        <w:pStyle w:val="0"/>
        <w:spacing w:before="200" w:line-rule="auto"/>
        <w:ind w:firstLine="540"/>
        <w:jc w:val="both"/>
      </w:pPr>
      <w:r>
        <w:rPr>
          <w:sz w:val="20"/>
        </w:rPr>
        <w:t xml:space="preserve">Создание новых производств по добыче и переработке торфа, доразведка и переоценка ресурсов и запасов торфа, лицензирование участков недр.</w:t>
      </w:r>
    </w:p>
    <w:p>
      <w:pPr>
        <w:pStyle w:val="0"/>
        <w:spacing w:before="200" w:line-rule="auto"/>
        <w:ind w:firstLine="540"/>
        <w:jc w:val="both"/>
      </w:pPr>
      <w:r>
        <w:rPr>
          <w:sz w:val="20"/>
        </w:rPr>
        <w:t xml:space="preserve">Вовлечение в эксплуатацию и титан-циркониевых минералов и диатомитов потребует проведения работ по поиску и оценке ресурсов и запасов полезных ископаемых, и только после определения и локализации пригодных для промышленного использования запасов - привлечение инвесторов к созданию добывающих производств.</w:t>
      </w:r>
    </w:p>
    <w:p>
      <w:pPr>
        <w:pStyle w:val="0"/>
        <w:spacing w:before="200" w:line-rule="auto"/>
        <w:ind w:firstLine="540"/>
        <w:jc w:val="both"/>
      </w:pPr>
      <w:r>
        <w:rPr>
          <w:sz w:val="20"/>
        </w:rPr>
        <w:t xml:space="preserve">Формирование производств по добыче и переработке торфа, сапропеля и иных минералов создаст возможности для развития сервисных услуг в отрасли за счет стимулирования научных, проектных и изыскательных работ в сфере добычи полезных ископаемых, применения современных прогрессивных технологий добычи, обогащения минерального сырья, повышения обеспеченности материально-техническими ресурсами отрасли добычи полезных ископаемых, производства необходимого технологического оборудования для отрасли добычи полезных ископаемых.</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outlineLvl w:val="7"/>
        <w:jc w:val="center"/>
      </w:pPr>
      <w:r>
        <w:rPr>
          <w:position w:val="-386"/>
        </w:rPr>
        <w:drawing>
          <wp:inline distT="0" distB="0" distL="0" distR="0">
            <wp:extent cx="7152005" cy="5039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7152005" cy="5039995"/>
                    </a:xfrm>
                    <a:prstGeom prst="rect">
                      <a:avLst/>
                    </a:prstGeom>
                    <a:noFill/>
                    <a:ln>
                      <a:noFill/>
                    </a:ln>
                  </pic:spPr>
                </pic:pic>
              </a:graphicData>
            </a:graphic>
          </wp:inline>
        </w:drawing>
      </w:r>
    </w:p>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2"/>
        <w:jc w:val="center"/>
      </w:pPr>
      <w:r>
        <w:rPr>
          <w:sz w:val="20"/>
        </w:rPr>
        <w:t xml:space="preserve">Рисунок 10 - Территориальное расположение участников</w:t>
      </w:r>
    </w:p>
    <w:p>
      <w:pPr>
        <w:pStyle w:val="2"/>
        <w:jc w:val="center"/>
      </w:pPr>
      <w:r>
        <w:rPr>
          <w:sz w:val="20"/>
        </w:rPr>
        <w:t xml:space="preserve">и инфраструктуры кластера добычи и переработки прочих</w:t>
      </w:r>
    </w:p>
    <w:p>
      <w:pPr>
        <w:pStyle w:val="2"/>
        <w:jc w:val="center"/>
      </w:pPr>
      <w:r>
        <w:rPr>
          <w:sz w:val="20"/>
        </w:rPr>
        <w:t xml:space="preserve">полезных ископаемых</w:t>
      </w:r>
    </w:p>
    <w:p>
      <w:pPr>
        <w:pStyle w:val="0"/>
        <w:jc w:val="both"/>
      </w:pPr>
      <w:r>
        <w:rPr>
          <w:sz w:val="20"/>
        </w:rPr>
      </w:r>
    </w:p>
    <w:p>
      <w:pPr>
        <w:pStyle w:val="0"/>
        <w:ind w:firstLine="540"/>
        <w:jc w:val="both"/>
      </w:pPr>
      <w:r>
        <w:rPr>
          <w:sz w:val="20"/>
        </w:rPr>
        <w:t xml:space="preserve">Научно-образовательный потенциал кластера обеспечивают государственные и частные организации, занимающиеся подготовкой кадров по техническим специальностям для развития отрасли, научными исследованиями и разработками в области естественных и технических наук, геологоразведочными, геофизическими и геохимическими работами в области изучения недр.</w:t>
      </w:r>
    </w:p>
    <w:p>
      <w:pPr>
        <w:pStyle w:val="0"/>
        <w:spacing w:before="200" w:line-rule="auto"/>
        <w:ind w:firstLine="540"/>
        <w:jc w:val="both"/>
      </w:pPr>
      <w:r>
        <w:rPr>
          <w:sz w:val="20"/>
        </w:rPr>
        <w:t xml:space="preserve">Продуктовые направления:</w:t>
      </w:r>
    </w:p>
    <w:p>
      <w:pPr>
        <w:pStyle w:val="0"/>
        <w:spacing w:before="200" w:line-rule="auto"/>
        <w:ind w:firstLine="540"/>
        <w:jc w:val="both"/>
      </w:pPr>
      <w:r>
        <w:rPr>
          <w:sz w:val="20"/>
        </w:rPr>
        <w:t xml:space="preserve">- существующие - строительные пески, формовочные и стекольные пески, кирпичные и керамзитовые глины, торф и озерный сапропель (как удобрения);</w:t>
      </w:r>
    </w:p>
    <w:p>
      <w:pPr>
        <w:pStyle w:val="0"/>
        <w:spacing w:before="200" w:line-rule="auto"/>
        <w:ind w:firstLine="540"/>
        <w:jc w:val="both"/>
      </w:pPr>
      <w:r>
        <w:rPr>
          <w:sz w:val="20"/>
        </w:rPr>
        <w:t xml:space="preserve">- новые - кристаллический йод и продукты (препараты) на основе йода (в целях импортозамещения), продукты глубокой переработки торфа, сапропеля и озерной извести (в случае положительных результатов геологического изучения), при выявлении промышленных запасов - титан-циркониевые концентраты, диатомиты (в целях импортозамещения).</w:t>
      </w:r>
    </w:p>
    <w:p>
      <w:pPr>
        <w:pStyle w:val="0"/>
        <w:spacing w:before="200" w:line-rule="auto"/>
        <w:ind w:firstLine="540"/>
        <w:jc w:val="both"/>
      </w:pPr>
      <w:r>
        <w:rPr>
          <w:sz w:val="20"/>
        </w:rPr>
        <w:t xml:space="preserve">Потенциальные рынки сбыта ТНВЭД 27 &lt;17&gt;: внутрироссийский рынок, страны СНГ.</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В соответствии с кодами ТНВЭД и номенклатуры экспортируемой продукции:</w:t>
      </w:r>
    </w:p>
    <w:p>
      <w:pPr>
        <w:pStyle w:val="0"/>
        <w:spacing w:before="200" w:line-rule="auto"/>
        <w:ind w:firstLine="540"/>
        <w:jc w:val="both"/>
      </w:pPr>
      <w:r>
        <w:rPr>
          <w:sz w:val="20"/>
        </w:rPr>
        <w:t xml:space="preserve">27. Топливо минеральное, нефть и продукты их перегонки; битуминозные вещества; воски минеральные.</w:t>
      </w:r>
    </w:p>
    <w:p>
      <w:pPr>
        <w:pStyle w:val="0"/>
        <w:jc w:val="both"/>
      </w:pPr>
      <w:r>
        <w:rPr>
          <w:sz w:val="20"/>
        </w:rPr>
      </w:r>
    </w:p>
    <w:p>
      <w:pPr>
        <w:pStyle w:val="2"/>
        <w:outlineLvl w:val="5"/>
        <w:ind w:firstLine="540"/>
        <w:jc w:val="both"/>
      </w:pPr>
      <w:r>
        <w:rPr>
          <w:sz w:val="20"/>
        </w:rPr>
        <w:t xml:space="preserve">Задача 2.1.4. Развитие агропромышленного комплекса (АГРОПРОМЫШЛЕННЫЙ КОМПЛЕКС)</w:t>
      </w:r>
    </w:p>
    <w:p>
      <w:pPr>
        <w:pStyle w:val="0"/>
        <w:spacing w:before="200" w:line-rule="auto"/>
        <w:ind w:firstLine="540"/>
        <w:jc w:val="both"/>
      </w:pPr>
      <w:r>
        <w:rPr>
          <w:sz w:val="20"/>
        </w:rPr>
        <w:t xml:space="preserve">Развитие агропромышленного комплекса (АПК) нацелено на создание и реализацию стимулов для эффективного производства конкурентоспособной сельскохозяйственной продукции и достижение продовольственной безопасности населения Тюменской области.</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создание условий для повышения конкурентоспособности продукции агропромышленного комплекса и рыболовства, обеспечения населения качественными продовольственными товарами;</w:t>
      </w:r>
    </w:p>
    <w:p>
      <w:pPr>
        <w:pStyle w:val="0"/>
        <w:spacing w:before="200" w:line-rule="auto"/>
        <w:ind w:firstLine="540"/>
        <w:jc w:val="both"/>
      </w:pPr>
      <w:r>
        <w:rPr>
          <w:sz w:val="20"/>
        </w:rPr>
        <w:t xml:space="preserve">- повышение роли сельскохозяйственной науки в устойчивом развитии сельскохозяйственного производства и переработки сельскохозяйственной продукции;</w:t>
      </w:r>
    </w:p>
    <w:p>
      <w:pPr>
        <w:pStyle w:val="0"/>
        <w:spacing w:before="200" w:line-rule="auto"/>
        <w:ind w:firstLine="540"/>
        <w:jc w:val="both"/>
      </w:pPr>
      <w:r>
        <w:rPr>
          <w:sz w:val="20"/>
        </w:rPr>
        <w:t xml:space="preserve">- обеспечение стабильной благополучной эпизоотической обстановки и защита населения от болезней, общих для человека и животных;</w:t>
      </w:r>
    </w:p>
    <w:p>
      <w:pPr>
        <w:pStyle w:val="0"/>
        <w:spacing w:before="200" w:line-rule="auto"/>
        <w:ind w:firstLine="540"/>
        <w:jc w:val="both"/>
      </w:pPr>
      <w:r>
        <w:rPr>
          <w:sz w:val="20"/>
        </w:rPr>
        <w:t xml:space="preserve">- повышение продуктивности и устойчивости сельскохозяйственного производства и плодородия почв средствами комплексной мелиорации, продукционного потенциала мелиорируемых земель и эффективного использования природных ресурсов;</w:t>
      </w:r>
    </w:p>
    <w:p>
      <w:pPr>
        <w:pStyle w:val="0"/>
        <w:spacing w:before="200" w:line-rule="auto"/>
        <w:ind w:firstLine="540"/>
        <w:jc w:val="both"/>
      </w:pPr>
      <w:r>
        <w:rPr>
          <w:sz w:val="20"/>
        </w:rPr>
        <w:t xml:space="preserve">- увеличение на основе повышения урожайности основных видов сельскохозяйственных культур, продуктивности скота и птицы, объемов производства продукции растениеводства и животноводства;</w:t>
      </w:r>
    </w:p>
    <w:p>
      <w:pPr>
        <w:pStyle w:val="0"/>
        <w:spacing w:before="200" w:line-rule="auto"/>
        <w:ind w:firstLine="540"/>
        <w:jc w:val="both"/>
      </w:pPr>
      <w:r>
        <w:rPr>
          <w:sz w:val="20"/>
        </w:rPr>
        <w:t xml:space="preserve">- улучшение институционального устройства сельскохозяйственного производства путем поддержки развития крупных форм (агрофирм, агрохолдингов) и малых форм хозяйствования;</w:t>
      </w:r>
    </w:p>
    <w:p>
      <w:pPr>
        <w:pStyle w:val="0"/>
        <w:spacing w:before="200" w:line-rule="auto"/>
        <w:ind w:firstLine="540"/>
        <w:jc w:val="both"/>
      </w:pPr>
      <w:r>
        <w:rPr>
          <w:sz w:val="20"/>
        </w:rPr>
        <w:t xml:space="preserve">- проведение технической и технологической модернизации существующих производственных мощностей;</w:t>
      </w:r>
    </w:p>
    <w:p>
      <w:pPr>
        <w:pStyle w:val="0"/>
        <w:spacing w:before="200" w:line-rule="auto"/>
        <w:ind w:firstLine="540"/>
        <w:jc w:val="both"/>
      </w:pPr>
      <w:r>
        <w:rPr>
          <w:sz w:val="20"/>
        </w:rPr>
        <w:t xml:space="preserve">- освоение новых видов продукции, дальнейшее развитие направлений по освоению и производству диетических, специализированных, обогащенных витаминами, минеральными веществами и микроэлементами экологически чистых продуктов питания;</w:t>
      </w:r>
    </w:p>
    <w:p>
      <w:pPr>
        <w:pStyle w:val="0"/>
        <w:spacing w:before="200" w:line-rule="auto"/>
        <w:ind w:firstLine="540"/>
        <w:jc w:val="both"/>
      </w:pPr>
      <w:r>
        <w:rPr>
          <w:sz w:val="20"/>
        </w:rPr>
        <w:t xml:space="preserve">- развитие товаропроводящей и логистической инфраструктуры агропродовольственного рынка.</w:t>
      </w:r>
    </w:p>
    <w:p>
      <w:pPr>
        <w:pStyle w:val="0"/>
        <w:spacing w:before="200" w:line-rule="auto"/>
        <w:ind w:firstLine="540"/>
        <w:jc w:val="both"/>
      </w:pPr>
      <w:r>
        <w:rPr>
          <w:sz w:val="20"/>
        </w:rPr>
        <w:t xml:space="preserve">Решение задач по развитию агропромышленного комплекса связано с развитием формирующегося агропромышленного и биотехнологического кластера</w:t>
      </w:r>
    </w:p>
    <w:p>
      <w:pPr>
        <w:pStyle w:val="2"/>
        <w:spacing w:before="200" w:line-rule="auto"/>
        <w:outlineLvl w:val="6"/>
        <w:ind w:firstLine="540"/>
        <w:jc w:val="both"/>
      </w:pPr>
      <w:r>
        <w:rPr>
          <w:sz w:val="20"/>
        </w:rPr>
        <w:t xml:space="preserve">Агропромышленный и биотехнологический кластер</w:t>
      </w:r>
    </w:p>
    <w:p>
      <w:pPr>
        <w:pStyle w:val="0"/>
        <w:spacing w:before="200" w:line-rule="auto"/>
        <w:ind w:firstLine="540"/>
        <w:jc w:val="both"/>
      </w:pPr>
      <w:r>
        <w:rPr>
          <w:sz w:val="20"/>
        </w:rPr>
        <w:t xml:space="preserve">Целевое видение: создание эффективного конкурентоспособного вертикально интегрированного агропромышленного кластера, ориентированного на высокое качество продукции и генерацию добавленной стоимости в целях обеспечения продовольственной безопасности Тюменской области, повышения финансовой устойчивости предприятий агропромышленного комплекса, обеспечения сбыта сельскохозяйственной продукции, повышения ее товарности за счет создания условий для ее сезонного хранения и подработки.</w:t>
      </w:r>
    </w:p>
    <w:p>
      <w:pPr>
        <w:pStyle w:val="0"/>
        <w:spacing w:before="200" w:line-rule="auto"/>
        <w:ind w:firstLine="540"/>
        <w:jc w:val="both"/>
      </w:pPr>
      <w:r>
        <w:rPr>
          <w:sz w:val="20"/>
        </w:rPr>
        <w:t xml:space="preserve">Основания формирования кластера:</w:t>
      </w:r>
    </w:p>
    <w:p>
      <w:pPr>
        <w:pStyle w:val="0"/>
        <w:spacing w:before="200" w:line-rule="auto"/>
        <w:ind w:firstLine="540"/>
        <w:jc w:val="both"/>
      </w:pPr>
      <w:r>
        <w:rPr>
          <w:sz w:val="20"/>
        </w:rPr>
        <w:t xml:space="preserve">удобное географическое положение региона в плане логистики;</w:t>
      </w:r>
    </w:p>
    <w:p>
      <w:pPr>
        <w:pStyle w:val="0"/>
        <w:spacing w:before="200" w:line-rule="auto"/>
        <w:ind w:firstLine="540"/>
        <w:jc w:val="both"/>
      </w:pPr>
      <w:r>
        <w:rPr>
          <w:sz w:val="20"/>
        </w:rPr>
        <w:t xml:space="preserve">высокая обеспеченность сельхозугодиями, наличие свободных земельных ресурсов и значительный потенциал водных ресурсов;</w:t>
      </w:r>
    </w:p>
    <w:p>
      <w:pPr>
        <w:pStyle w:val="0"/>
        <w:spacing w:before="200" w:line-rule="auto"/>
        <w:ind w:firstLine="540"/>
        <w:jc w:val="both"/>
      </w:pPr>
      <w:r>
        <w:rPr>
          <w:sz w:val="20"/>
        </w:rPr>
        <w:t xml:space="preserve">возможность ведения широкого спектра отраслей сельскохозяйственного производства;</w:t>
      </w:r>
    </w:p>
    <w:p>
      <w:pPr>
        <w:pStyle w:val="0"/>
        <w:spacing w:before="200" w:line-rule="auto"/>
        <w:ind w:firstLine="540"/>
        <w:jc w:val="both"/>
      </w:pPr>
      <w:r>
        <w:rPr>
          <w:sz w:val="20"/>
        </w:rPr>
        <w:t xml:space="preserve">сформированный материально-технический потенциал АПК;</w:t>
      </w:r>
    </w:p>
    <w:p>
      <w:pPr>
        <w:pStyle w:val="0"/>
        <w:spacing w:before="200" w:line-rule="auto"/>
        <w:ind w:firstLine="540"/>
        <w:jc w:val="both"/>
      </w:pPr>
      <w:r>
        <w:rPr>
          <w:sz w:val="20"/>
        </w:rPr>
        <w:t xml:space="preserve">наличие перерабатывающих мощностей по основным видам продукции;</w:t>
      </w:r>
    </w:p>
    <w:p>
      <w:pPr>
        <w:pStyle w:val="0"/>
        <w:spacing w:before="200" w:line-rule="auto"/>
        <w:ind w:firstLine="540"/>
        <w:jc w:val="both"/>
      </w:pPr>
      <w:r>
        <w:rPr>
          <w:sz w:val="20"/>
        </w:rPr>
        <w:t xml:space="preserve">достаточно емкий рынок сбыта продукции (с учетом северных округов области);</w:t>
      </w:r>
    </w:p>
    <w:p>
      <w:pPr>
        <w:pStyle w:val="0"/>
        <w:spacing w:before="200" w:line-rule="auto"/>
        <w:ind w:firstLine="540"/>
        <w:jc w:val="both"/>
      </w:pPr>
      <w:r>
        <w:rPr>
          <w:sz w:val="20"/>
        </w:rPr>
        <w:t xml:space="preserve">наличие трудовых ресурсов;</w:t>
      </w:r>
    </w:p>
    <w:p>
      <w:pPr>
        <w:pStyle w:val="0"/>
        <w:spacing w:before="200" w:line-rule="auto"/>
        <w:ind w:firstLine="540"/>
        <w:jc w:val="both"/>
      </w:pPr>
      <w:r>
        <w:rPr>
          <w:sz w:val="20"/>
        </w:rPr>
        <w:t xml:space="preserve">развитие глубокой переработки сырья;</w:t>
      </w:r>
    </w:p>
    <w:p>
      <w:pPr>
        <w:pStyle w:val="0"/>
        <w:spacing w:before="200" w:line-rule="auto"/>
        <w:ind w:firstLine="540"/>
        <w:jc w:val="both"/>
      </w:pPr>
      <w:r>
        <w:rPr>
          <w:sz w:val="20"/>
        </w:rPr>
        <w:t xml:space="preserve">производство ценных продуктов из местного, возобновляемого сырья.</w:t>
      </w:r>
    </w:p>
    <w:p>
      <w:pPr>
        <w:pStyle w:val="0"/>
        <w:spacing w:before="200" w:line-rule="auto"/>
        <w:ind w:firstLine="540"/>
        <w:jc w:val="both"/>
      </w:pPr>
      <w:r>
        <w:rPr>
          <w:sz w:val="20"/>
        </w:rPr>
        <w:t xml:space="preserve">Проблемы, требующие решения в рамках формирования кластера:</w:t>
      </w:r>
    </w:p>
    <w:p>
      <w:pPr>
        <w:pStyle w:val="0"/>
        <w:spacing w:before="200" w:line-rule="auto"/>
        <w:ind w:firstLine="540"/>
        <w:jc w:val="both"/>
      </w:pPr>
      <w:r>
        <w:rPr>
          <w:sz w:val="20"/>
        </w:rPr>
        <w:t xml:space="preserve">низкий уровень рентабельности сельскохозяйственного производства без учета государственной поддержки, при котором не обеспечивается формирование собственных источников развития предприятий;</w:t>
      </w:r>
    </w:p>
    <w:p>
      <w:pPr>
        <w:pStyle w:val="0"/>
        <w:spacing w:before="200" w:line-rule="auto"/>
        <w:ind w:firstLine="540"/>
        <w:jc w:val="both"/>
      </w:pPr>
      <w:r>
        <w:rPr>
          <w:sz w:val="20"/>
        </w:rPr>
        <w:t xml:space="preserve">недостаточно развитая племенная база в животноводстве;</w:t>
      </w:r>
    </w:p>
    <w:p>
      <w:pPr>
        <w:pStyle w:val="0"/>
        <w:spacing w:before="200" w:line-rule="auto"/>
        <w:ind w:firstLine="540"/>
        <w:jc w:val="both"/>
      </w:pPr>
      <w:r>
        <w:rPr>
          <w:sz w:val="20"/>
        </w:rPr>
        <w:t xml:space="preserve">необходимость усиления научных разработок и их коммерциализации для повышения эффективности основной отрасли - животноводства, повышения качества получаемой продукции и ее экологической безопасности.</w:t>
      </w:r>
    </w:p>
    <w:p>
      <w:pPr>
        <w:pStyle w:val="0"/>
        <w:spacing w:before="200" w:line-rule="auto"/>
        <w:ind w:firstLine="540"/>
        <w:jc w:val="both"/>
      </w:pPr>
      <w:r>
        <w:rPr>
          <w:sz w:val="20"/>
        </w:rPr>
        <w:t xml:space="preserve">Перспективы и направления действий:</w:t>
      </w:r>
    </w:p>
    <w:p>
      <w:pPr>
        <w:pStyle w:val="0"/>
        <w:spacing w:before="200" w:line-rule="auto"/>
        <w:ind w:firstLine="540"/>
        <w:jc w:val="both"/>
      </w:pPr>
      <w:r>
        <w:rPr>
          <w:sz w:val="20"/>
        </w:rPr>
        <w:t xml:space="preserve">Производство экологически чистой продукции за счет внедрения норм экологического земледелия и животноводства, энергоресурсосберегающих технологий, установки современного оборудования и маркировки продуктов экологического сельского хозяйства.</w:t>
      </w:r>
    </w:p>
    <w:p>
      <w:pPr>
        <w:pStyle w:val="0"/>
        <w:spacing w:before="200" w:line-rule="auto"/>
        <w:ind w:firstLine="540"/>
        <w:jc w:val="both"/>
      </w:pPr>
      <w:r>
        <w:rPr>
          <w:sz w:val="20"/>
        </w:rPr>
        <w:t xml:space="preserve">Внедрение производств замкнутого цикла.</w:t>
      </w:r>
    </w:p>
    <w:p>
      <w:pPr>
        <w:pStyle w:val="0"/>
        <w:spacing w:before="200" w:line-rule="auto"/>
        <w:ind w:firstLine="540"/>
        <w:jc w:val="both"/>
      </w:pPr>
      <w:r>
        <w:rPr>
          <w:sz w:val="20"/>
        </w:rPr>
        <w:t xml:space="preserve">Инновационное развитие, модернизация технической и технологической базы агропромышленного комплекса за счет обновления парка сельхозтехники, технологического оснащения и перевооружения производственной базы товаропроизводителей и предприятий переработки сельскохозяйственной продукции, развития кадров и деловой инфраструктуры.</w:t>
      </w:r>
    </w:p>
    <w:p>
      <w:pPr>
        <w:pStyle w:val="0"/>
        <w:spacing w:before="200" w:line-rule="auto"/>
        <w:ind w:firstLine="540"/>
        <w:jc w:val="both"/>
      </w:pPr>
      <w:r>
        <w:rPr>
          <w:sz w:val="20"/>
        </w:rPr>
        <w:t xml:space="preserve">Стимулирование развития малых форм хозяйствования за счет обеспечения грантовой поддержки начинающих фермеров, сельскохозяйственных потребительских кооперативов, повышения эффективности использования земель сельскохозяйственного назначения, улучшения доступа крестьянских (фермерских) хозяйств к кредитным ресурсам по льготной ставке, развития сельскохозяйственной потребкооперации в рамках инструмента федерального проекта "Создание системы поддержки фермеров и развитие сельской кооперации".</w:t>
      </w:r>
    </w:p>
    <w:p>
      <w:pPr>
        <w:pStyle w:val="0"/>
        <w:spacing w:before="200" w:line-rule="auto"/>
        <w:ind w:firstLine="540"/>
        <w:jc w:val="both"/>
      </w:pPr>
      <w:r>
        <w:rPr>
          <w:sz w:val="20"/>
        </w:rPr>
        <w:t xml:space="preserve">Улучшение общих условий функционирования АПК за счет повышения квалификации и переподготовки кадров для АПК, привлечения молодых специалистов высшего и среднего звена, организационного и консультационного обеспечения работы комплекса.</w:t>
      </w:r>
    </w:p>
    <w:p>
      <w:pPr>
        <w:pStyle w:val="0"/>
        <w:spacing w:before="200" w:line-rule="auto"/>
        <w:ind w:firstLine="540"/>
        <w:jc w:val="both"/>
      </w:pPr>
      <w:r>
        <w:rPr>
          <w:sz w:val="20"/>
        </w:rPr>
        <w:t xml:space="preserve">Развитие овощеводства открытого и защищенного грунта, семенного картофелеводства.</w:t>
      </w:r>
    </w:p>
    <w:p>
      <w:pPr>
        <w:pStyle w:val="0"/>
        <w:spacing w:before="200" w:line-rule="auto"/>
        <w:ind w:firstLine="540"/>
        <w:jc w:val="both"/>
      </w:pPr>
      <w:r>
        <w:rPr>
          <w:sz w:val="20"/>
        </w:rPr>
        <w:t xml:space="preserve">Развитие племенного дела и селекции в животноводстве, в том числе посредством идентификации поголовья с присвоением унифицированных номеров, полученных от Федеральной службы по ветеринарному и фитосанитарному надзору; внедрения пилотного проекта по ведению единой информационной системы по селекционно-племенной работе на базе ИАС "Селекс" племенными молочными хозяйствами Тюменской области; создания лаборатории селекционного контроля качества молока и лаборатории геномных технологий.</w:t>
      </w:r>
    </w:p>
    <w:p>
      <w:pPr>
        <w:pStyle w:val="0"/>
        <w:spacing w:before="200" w:line-rule="auto"/>
        <w:ind w:firstLine="540"/>
        <w:jc w:val="both"/>
      </w:pPr>
      <w:r>
        <w:rPr>
          <w:sz w:val="20"/>
        </w:rPr>
        <w:t xml:space="preserve">Обеспечение агропромышленного кластера необходимой инфраструктурой за счет строительства новых дорог, мелиоративных систем, объектов производства, первичной и промышленной переработки, а также хранения сельскохозяйственной продукции.</w:t>
      </w:r>
    </w:p>
    <w:p>
      <w:pPr>
        <w:pStyle w:val="0"/>
        <w:spacing w:before="200" w:line-rule="auto"/>
        <w:ind w:firstLine="540"/>
        <w:jc w:val="both"/>
      </w:pPr>
      <w:r>
        <w:rPr>
          <w:sz w:val="20"/>
        </w:rPr>
        <w:t xml:space="preserve">Реализация проектов по глубокой переработке сельхозпродукции с применением биотехнологий на базе имеющихся излишков производства зерна (в 2018 году - до 230 тыс. тонн при общем производстве в 1,34 млн тонн), картофеля (в 2018 году - до 220 тыс. тонн при общем производстве в 0,44 млн тонн) и другого.</w:t>
      </w:r>
    </w:p>
    <w:p>
      <w:pPr>
        <w:pStyle w:val="0"/>
        <w:spacing w:before="200" w:line-rule="auto"/>
        <w:ind w:firstLine="540"/>
        <w:jc w:val="both"/>
      </w:pPr>
      <w:r>
        <w:rPr>
          <w:sz w:val="20"/>
        </w:rPr>
        <w:t xml:space="preserve">В перспективе развитие Тюменской области будет сопровождаться увеличением объема инвестиций в агропромышленный комплекс и концентрацией основных инвестиционных ресурсов в Южной и Тюменской зонах развития сельского хозяйства региона.</w:t>
      </w:r>
    </w:p>
    <w:p>
      <w:pPr>
        <w:pStyle w:val="0"/>
        <w:spacing w:before="200" w:line-rule="auto"/>
        <w:ind w:firstLine="540"/>
        <w:jc w:val="both"/>
      </w:pPr>
      <w:r>
        <w:rPr>
          <w:sz w:val="20"/>
        </w:rPr>
        <w:t xml:space="preserve">В Заводоуковском и Голышмановском городских округах, Тюменском, Исетском, Ярковском, Нижнетавдинском, Ялуторовском муниципальных районах будет развиваться животноводство. Планируется реализация крупного проекта по строительству свиноводческого комплекса в Юргинском муниципальном районе.</w:t>
      </w:r>
    </w:p>
    <w:p>
      <w:pPr>
        <w:pStyle w:val="0"/>
        <w:spacing w:before="200" w:line-rule="auto"/>
        <w:ind w:firstLine="540"/>
        <w:jc w:val="both"/>
      </w:pPr>
      <w:r>
        <w:rPr>
          <w:sz w:val="20"/>
        </w:rPr>
        <w:t xml:space="preserve">Дальнейшее развитие в Тюменском, Юргинском районах, Голышмановском городском округе получит птицеводство мясного и яичного направления.</w:t>
      </w:r>
    </w:p>
    <w:p>
      <w:pPr>
        <w:pStyle w:val="0"/>
        <w:spacing w:before="200" w:line-rule="auto"/>
        <w:ind w:firstLine="540"/>
        <w:jc w:val="both"/>
      </w:pPr>
      <w:r>
        <w:rPr>
          <w:sz w:val="20"/>
        </w:rPr>
        <w:t xml:space="preserve">Развитие южных районов (Абатского, Ишимского, Казанского, Сладковского и других) будет определяться наращиванием объемов производства и переработки сельскохозяйственной продукции. Развитие пищевой промышленности будет направлено на модернизацию и создание новых перерабатывающих мощностей, обеспечивающих комплексную и глубокую переработку сельскохозяйственной продукции, в особенности молока, мяса и зерна.</w:t>
      </w:r>
    </w:p>
    <w:p>
      <w:pPr>
        <w:pStyle w:val="0"/>
        <w:spacing w:before="200" w:line-rule="auto"/>
        <w:ind w:firstLine="540"/>
        <w:jc w:val="both"/>
      </w:pPr>
      <w:r>
        <w:rPr>
          <w:sz w:val="20"/>
        </w:rPr>
        <w:t xml:space="preserve">В северных районах (Уватском, Тобольском и Вагайском) предполагается строительство животноводческих комплексов.</w:t>
      </w:r>
    </w:p>
    <w:p>
      <w:pPr>
        <w:pStyle w:val="0"/>
        <w:spacing w:before="200" w:line-rule="auto"/>
        <w:ind w:firstLine="540"/>
        <w:jc w:val="both"/>
      </w:pPr>
      <w:r>
        <w:rPr>
          <w:sz w:val="20"/>
        </w:rPr>
        <w:t xml:space="preserve">Наличие развитой транспортной инфраструктуры и гарантированного рынка сбыта продукции будет определять направление развития в городах и пригородных районах (Тюменский, Ялуторовский, Ярковский, Исетский). Здесь дальнейшее развитие получит глубокая переработка сельскохозяйственного сырья. Планируется реализация проектов по производству сыра, мороженого, колбасных и кондитерских изделий, консервации овощной и плодово-ягодной продукции.</w:t>
      </w:r>
    </w:p>
    <w:p>
      <w:pPr>
        <w:pStyle w:val="0"/>
        <w:spacing w:before="200" w:line-rule="auto"/>
        <w:ind w:firstLine="540"/>
        <w:jc w:val="both"/>
      </w:pPr>
      <w:r>
        <w:rPr>
          <w:sz w:val="20"/>
        </w:rPr>
        <w:t xml:space="preserve">В перспективе продукция агропромышленного комплекса Тюменской области будет направлена на обеспечение внутренней потребности региона, наполнение внутренних рынков Ханты-Мансийского автономного округа - Югры, Ямало-Ненецкого автономного округа, а также на экспорт в другие страны.</w:t>
      </w:r>
    </w:p>
    <w:p>
      <w:pPr>
        <w:pStyle w:val="0"/>
        <w:jc w:val="both"/>
      </w:pPr>
      <w:r>
        <w:rPr>
          <w:sz w:val="20"/>
        </w:rPr>
      </w:r>
    </w:p>
    <w:p>
      <w:pPr>
        <w:pStyle w:val="0"/>
        <w:outlineLvl w:val="7"/>
        <w:jc w:val="center"/>
      </w:pPr>
      <w:r>
        <w:rPr>
          <w:position w:val="-357"/>
        </w:rPr>
        <w:drawing>
          <wp:inline distT="0" distB="0" distL="0" distR="0">
            <wp:extent cx="6413500" cy="4664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6413500" cy="4664075"/>
                    </a:xfrm>
                    <a:prstGeom prst="rect">
                      <a:avLst/>
                    </a:prstGeom>
                    <a:noFill/>
                    <a:ln>
                      <a:noFill/>
                    </a:ln>
                  </pic:spPr>
                </pic:pic>
              </a:graphicData>
            </a:graphic>
          </wp:inline>
        </w:drawing>
      </w:r>
    </w:p>
    <w:p>
      <w:pPr>
        <w:pStyle w:val="0"/>
        <w:jc w:val="both"/>
      </w:pPr>
      <w:r>
        <w:rPr>
          <w:sz w:val="20"/>
        </w:rPr>
      </w:r>
    </w:p>
    <w:p>
      <w:pPr>
        <w:pStyle w:val="2"/>
        <w:jc w:val="center"/>
      </w:pPr>
      <w:r>
        <w:rPr>
          <w:sz w:val="20"/>
        </w:rPr>
        <w:t xml:space="preserve">Рисунок 11 - Территориальное расположение</w:t>
      </w:r>
    </w:p>
    <w:p>
      <w:pPr>
        <w:pStyle w:val="2"/>
        <w:jc w:val="center"/>
      </w:pPr>
      <w:r>
        <w:rPr>
          <w:sz w:val="20"/>
        </w:rPr>
        <w:t xml:space="preserve">участников и инфраструктуры агропромышленного</w:t>
      </w:r>
    </w:p>
    <w:p>
      <w:pPr>
        <w:pStyle w:val="2"/>
        <w:jc w:val="center"/>
      </w:pPr>
      <w:r>
        <w:rPr>
          <w:sz w:val="20"/>
        </w:rPr>
        <w:t xml:space="preserve">и биотехнологического кластера</w:t>
      </w:r>
    </w:p>
    <w:p>
      <w:pPr>
        <w:pStyle w:val="0"/>
        <w:jc w:val="both"/>
      </w:pPr>
      <w:r>
        <w:rPr>
          <w:sz w:val="20"/>
        </w:rPr>
      </w:r>
    </w:p>
    <w:p>
      <w:pPr>
        <w:pStyle w:val="0"/>
        <w:ind w:firstLine="540"/>
        <w:jc w:val="both"/>
      </w:pPr>
      <w:r>
        <w:rPr>
          <w:sz w:val="20"/>
        </w:rPr>
        <w:t xml:space="preserve">Научно-образовательный потенциал кластера обеспечивают государственные и частные организации, занимающиеся подготовкой кадров для развития отрасли, проведением биологических и химических исследований.</w:t>
      </w:r>
    </w:p>
    <w:p>
      <w:pPr>
        <w:pStyle w:val="0"/>
        <w:spacing w:before="200" w:line-rule="auto"/>
        <w:ind w:firstLine="540"/>
        <w:jc w:val="both"/>
      </w:pPr>
      <w:r>
        <w:rPr>
          <w:sz w:val="20"/>
        </w:rPr>
        <w:t xml:space="preserve">Продуктовые направления:</w:t>
      </w:r>
    </w:p>
    <w:p>
      <w:pPr>
        <w:pStyle w:val="0"/>
        <w:spacing w:before="200" w:line-rule="auto"/>
        <w:ind w:firstLine="540"/>
        <w:jc w:val="both"/>
      </w:pPr>
      <w:r>
        <w:rPr>
          <w:sz w:val="20"/>
        </w:rPr>
        <w:t xml:space="preserve">- существующие - зерно и продукты переработки, картофель, овощи открытого и закрытого грунта, молоко и молокопродукты, мясо всех видов (говядина, свинина, баранина, мясо птицы) и мясопродукты, рыба и рыбопродукты, яйца и яйцепродукты, пищевые продукты, напитки, биоудобрения;</w:t>
      </w:r>
    </w:p>
    <w:p>
      <w:pPr>
        <w:pStyle w:val="0"/>
        <w:spacing w:before="200" w:line-rule="auto"/>
        <w:ind w:firstLine="540"/>
        <w:jc w:val="both"/>
      </w:pPr>
      <w:r>
        <w:rPr>
          <w:sz w:val="20"/>
        </w:rPr>
        <w:t xml:space="preserve">- новые - продукты глубокой переработки зерна (лизин, глютен, другие аминокислоты, клейковина, моногидрат глюкозы, глюкозно-фруктозный сироп, сорбитол и другие), кормовые добавки (продукция востребована пищевой, химической, фармацевтической, целлюлозно-бумажной и другими отраслями промышленности как в России, так и за рубежом), белково-минеральные витаминные концентраты, биотопливо (биоэтанол, биобутанол и т.д.), продукты переработки картофеля, продукты переработки овощей, натуральный/модифицированный крахмал, масло проростков, дрожжи, DDGS, кормовые дрожжи, биополимеры, производство ферментов, органических кислот, средств защиты растений, биологически активных добавок, витаминов.</w:t>
      </w:r>
    </w:p>
    <w:p>
      <w:pPr>
        <w:pStyle w:val="0"/>
        <w:spacing w:before="200" w:line-rule="auto"/>
        <w:ind w:firstLine="540"/>
        <w:jc w:val="both"/>
      </w:pPr>
      <w:r>
        <w:rPr>
          <w:sz w:val="20"/>
        </w:rPr>
        <w:t xml:space="preserve">Потенциальные рынки сбыта ТНВЭД 02 - 05, 10 - 12, 15 &lt;18&gt;: внутрироссийский рынок, Казахстан и другие страны СНГ, Китай.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В соответствии с кодами ТНВЭД и номенклатуры экспортируемой продукции:</w:t>
      </w:r>
    </w:p>
    <w:p>
      <w:pPr>
        <w:pStyle w:val="0"/>
        <w:spacing w:before="200" w:line-rule="auto"/>
        <w:ind w:firstLine="540"/>
        <w:jc w:val="both"/>
      </w:pPr>
      <w:r>
        <w:rPr>
          <w:sz w:val="20"/>
        </w:rPr>
        <w:t xml:space="preserve">02. Мясо и пищевые мясные субпродукты.</w:t>
      </w:r>
    </w:p>
    <w:p>
      <w:pPr>
        <w:pStyle w:val="0"/>
        <w:spacing w:before="200" w:line-rule="auto"/>
        <w:ind w:firstLine="540"/>
        <w:jc w:val="both"/>
      </w:pPr>
      <w:r>
        <w:rPr>
          <w:sz w:val="20"/>
        </w:rPr>
        <w:t xml:space="preserve">03. Рыба и ракообразные, моллюски и прочие водные беспозвоночные.</w:t>
      </w:r>
    </w:p>
    <w:p>
      <w:pPr>
        <w:pStyle w:val="0"/>
        <w:spacing w:before="200" w:line-rule="auto"/>
        <w:ind w:firstLine="540"/>
        <w:jc w:val="both"/>
      </w:pPr>
      <w:r>
        <w:rPr>
          <w:sz w:val="20"/>
        </w:rPr>
        <w:t xml:space="preserve">04. Молочная продукция; яйца птиц; мед натуральный; пищевые продукты животного происхождения, в другом месте не поименованные или не включенные.</w:t>
      </w:r>
    </w:p>
    <w:p>
      <w:pPr>
        <w:pStyle w:val="0"/>
        <w:spacing w:before="200" w:line-rule="auto"/>
        <w:ind w:firstLine="540"/>
        <w:jc w:val="both"/>
      </w:pPr>
      <w:r>
        <w:rPr>
          <w:sz w:val="20"/>
        </w:rPr>
        <w:t xml:space="preserve">05. Продукты животного происхождения, в другом месте не поименованные или не включенные.</w:t>
      </w:r>
    </w:p>
    <w:p>
      <w:pPr>
        <w:pStyle w:val="0"/>
        <w:spacing w:before="200" w:line-rule="auto"/>
        <w:ind w:firstLine="540"/>
        <w:jc w:val="both"/>
      </w:pPr>
      <w:r>
        <w:rPr>
          <w:sz w:val="20"/>
        </w:rPr>
        <w:t xml:space="preserve">10. Злаки.</w:t>
      </w:r>
    </w:p>
    <w:p>
      <w:pPr>
        <w:pStyle w:val="0"/>
        <w:spacing w:before="200" w:line-rule="auto"/>
        <w:ind w:firstLine="540"/>
        <w:jc w:val="both"/>
      </w:pPr>
      <w:r>
        <w:rPr>
          <w:sz w:val="20"/>
        </w:rPr>
        <w:t xml:space="preserve">11. Продукция мукомольно-крупяной промышленности; солод; крахмал; инулин; пшеничная клейковина.</w:t>
      </w:r>
    </w:p>
    <w:p>
      <w:pPr>
        <w:pStyle w:val="0"/>
        <w:spacing w:before="200" w:line-rule="auto"/>
        <w:ind w:firstLine="540"/>
        <w:jc w:val="both"/>
      </w:pPr>
      <w:r>
        <w:rPr>
          <w:sz w:val="20"/>
        </w:rPr>
        <w:t xml:space="preserve">12. Масличные семена и плоды; прочие семена, плоды и зерно; лекарственные растения и растения для технических целей; солома и фураж.</w:t>
      </w:r>
    </w:p>
    <w:p>
      <w:pPr>
        <w:pStyle w:val="0"/>
        <w:spacing w:before="200" w:line-rule="auto"/>
        <w:ind w:firstLine="540"/>
        <w:jc w:val="both"/>
      </w:pPr>
      <w:r>
        <w:rPr>
          <w:sz w:val="20"/>
        </w:rPr>
        <w:t xml:space="preserve">15. Жиры и масла животного или растительного происхождения и продукты их расщепления; готовые пищевые жиры; воски животного или растительного происхождения.</w:t>
      </w:r>
    </w:p>
    <w:p>
      <w:pPr>
        <w:pStyle w:val="0"/>
        <w:jc w:val="both"/>
      </w:pPr>
      <w:r>
        <w:rPr>
          <w:sz w:val="20"/>
        </w:rPr>
      </w:r>
    </w:p>
    <w:p>
      <w:pPr>
        <w:pStyle w:val="2"/>
        <w:outlineLvl w:val="5"/>
        <w:ind w:firstLine="540"/>
        <w:jc w:val="both"/>
      </w:pPr>
      <w:r>
        <w:rPr>
          <w:sz w:val="20"/>
        </w:rPr>
        <w:t xml:space="preserve">Задача 2.1.5. Развитие потребительского сервиса, обеспечивающего удовлетворение потребностей населения в товарах и услугах (ПОТРЕБИТЕЛЬСКИЙ СЕРВИС)</w:t>
      </w:r>
    </w:p>
    <w:p>
      <w:pPr>
        <w:pStyle w:val="0"/>
        <w:spacing w:before="200" w:line-rule="auto"/>
        <w:ind w:firstLine="540"/>
        <w:jc w:val="both"/>
      </w:pPr>
      <w:r>
        <w:rPr>
          <w:sz w:val="20"/>
        </w:rPr>
        <w:t xml:space="preserve">Под потребительским сервисом понимается обслуживание потребителей, обеспечивающее удовлетворение потребностей в товарах и услугах населения Тюменской области, жителей других субъектов Российской Федерации и зарубежных стран.</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формирование современной сбалансированной инфраструктуры потребительского рынка с широким использованием инновационных технологий;</w:t>
      </w:r>
    </w:p>
    <w:p>
      <w:pPr>
        <w:pStyle w:val="0"/>
        <w:spacing w:before="200" w:line-rule="auto"/>
        <w:ind w:firstLine="540"/>
        <w:jc w:val="both"/>
      </w:pPr>
      <w:r>
        <w:rPr>
          <w:sz w:val="20"/>
        </w:rPr>
        <w:t xml:space="preserve">- повышение экономической и территориальной доступности товаров и услуг для населения Тюменской области, выравнивание территориальных диспропорций;</w:t>
      </w:r>
    </w:p>
    <w:p>
      <w:pPr>
        <w:pStyle w:val="0"/>
        <w:spacing w:before="200" w:line-rule="auto"/>
        <w:ind w:firstLine="540"/>
        <w:jc w:val="both"/>
      </w:pPr>
      <w:r>
        <w:rPr>
          <w:sz w:val="20"/>
        </w:rPr>
        <w:t xml:space="preserve">- равномерное развитие сферы торговли в муниципальных образованиях в соответствии с нормативами минимальной обеспеченности населения площадью торговых объектов;</w:t>
      </w:r>
    </w:p>
    <w:p>
      <w:pPr>
        <w:pStyle w:val="0"/>
        <w:spacing w:before="200" w:line-rule="auto"/>
        <w:ind w:firstLine="540"/>
        <w:jc w:val="both"/>
      </w:pPr>
      <w:r>
        <w:rPr>
          <w:sz w:val="20"/>
        </w:rPr>
        <w:t xml:space="preserve">- расширение практики использования франчайзинга, развитие сетевой торговли и других современных форматов;</w:t>
      </w:r>
    </w:p>
    <w:p>
      <w:pPr>
        <w:pStyle w:val="0"/>
        <w:spacing w:before="200" w:line-rule="auto"/>
        <w:ind w:firstLine="540"/>
        <w:jc w:val="both"/>
      </w:pPr>
      <w:r>
        <w:rPr>
          <w:sz w:val="20"/>
        </w:rPr>
        <w:t xml:space="preserve">- создание условий для расширения рынков сбыта продукции тюменских товаропроизводителей, развитие эффективной логистической инфраструктуры;</w:t>
      </w:r>
    </w:p>
    <w:p>
      <w:pPr>
        <w:pStyle w:val="0"/>
        <w:spacing w:before="200" w:line-rule="auto"/>
        <w:ind w:firstLine="540"/>
        <w:jc w:val="both"/>
      </w:pPr>
      <w:r>
        <w:rPr>
          <w:sz w:val="20"/>
        </w:rPr>
        <w:t xml:space="preserve">- продвижение продукции тюменских товаропроизводителей: проведение специализированных ярмарок; закупочных сессий и дегустаций продукции местных производителей, формирование региональных товарных брендов;</w:t>
      </w:r>
    </w:p>
    <w:p>
      <w:pPr>
        <w:pStyle w:val="0"/>
        <w:spacing w:before="200" w:line-rule="auto"/>
        <w:ind w:firstLine="540"/>
        <w:jc w:val="both"/>
      </w:pPr>
      <w:r>
        <w:rPr>
          <w:sz w:val="20"/>
        </w:rPr>
        <w:t xml:space="preserve">- создание условий для обеспечения безопасности и повышения качества реализуемых товаров (оказываемых услуг) и защиты прав потребителей, формирования и укрепления кадрового потенциала в сфере потребительского рынка;</w:t>
      </w:r>
    </w:p>
    <w:p>
      <w:pPr>
        <w:pStyle w:val="0"/>
        <w:spacing w:before="200" w:line-rule="auto"/>
        <w:ind w:firstLine="540"/>
        <w:jc w:val="both"/>
      </w:pPr>
      <w:r>
        <w:rPr>
          <w:sz w:val="20"/>
        </w:rPr>
        <w:t xml:space="preserve">- осуществление регионального государственного контроля (надзора) в области розничной продажи алкогольной и спиртосодержащей продукции в соответствии с требованиями действующего законодательства;</w:t>
      </w:r>
    </w:p>
    <w:p>
      <w:pPr>
        <w:pStyle w:val="0"/>
        <w:spacing w:before="200" w:line-rule="auto"/>
        <w:ind w:firstLine="540"/>
        <w:jc w:val="both"/>
      </w:pPr>
      <w:r>
        <w:rPr>
          <w:sz w:val="20"/>
        </w:rPr>
        <w:t xml:space="preserve">- проведение мониторинга качества пищевой продукции;</w:t>
      </w:r>
    </w:p>
    <w:p>
      <w:pPr>
        <w:pStyle w:val="0"/>
        <w:spacing w:before="200" w:line-rule="auto"/>
        <w:ind w:firstLine="540"/>
        <w:jc w:val="both"/>
      </w:pPr>
      <w:r>
        <w:rPr>
          <w:sz w:val="20"/>
        </w:rPr>
        <w:t xml:space="preserve">- повышение правовой, финансовой грамотности, информированности населения по вопросам защиты прав потребителей;</w:t>
      </w:r>
    </w:p>
    <w:p>
      <w:pPr>
        <w:pStyle w:val="0"/>
        <w:spacing w:before="200" w:line-rule="auto"/>
        <w:ind w:firstLine="540"/>
        <w:jc w:val="both"/>
      </w:pPr>
      <w:r>
        <w:rPr>
          <w:sz w:val="20"/>
        </w:rPr>
        <w:t xml:space="preserve">- содействие в создании и продвижении на внутреннем и международном туристских рынках туристских продуктов с максимальным использованием туристско-рекреационного потенциала Тюменской области;</w:t>
      </w:r>
    </w:p>
    <w:p>
      <w:pPr>
        <w:pStyle w:val="0"/>
        <w:spacing w:before="200" w:line-rule="auto"/>
        <w:ind w:firstLine="540"/>
        <w:jc w:val="both"/>
      </w:pPr>
      <w:r>
        <w:rPr>
          <w:sz w:val="20"/>
        </w:rPr>
        <w:t xml:space="preserve">- развитие комфортной туристской среды;</w:t>
      </w:r>
    </w:p>
    <w:p>
      <w:pPr>
        <w:pStyle w:val="0"/>
        <w:spacing w:before="200" w:line-rule="auto"/>
        <w:ind w:firstLine="540"/>
        <w:jc w:val="both"/>
      </w:pPr>
      <w:r>
        <w:rPr>
          <w:sz w:val="20"/>
        </w:rPr>
        <w:t xml:space="preserve">- развитие туристско-рекреационной инфраструктуры;</w:t>
      </w:r>
    </w:p>
    <w:p>
      <w:pPr>
        <w:pStyle w:val="0"/>
        <w:spacing w:before="200" w:line-rule="auto"/>
        <w:ind w:firstLine="540"/>
        <w:jc w:val="both"/>
      </w:pPr>
      <w:r>
        <w:rPr>
          <w:sz w:val="20"/>
        </w:rPr>
        <w:t xml:space="preserve">- стимулирование организаций туристской отрасли к созданию высококачественных турпродуктов;</w:t>
      </w:r>
    </w:p>
    <w:p>
      <w:pPr>
        <w:pStyle w:val="0"/>
        <w:spacing w:before="200" w:line-rule="auto"/>
        <w:ind w:firstLine="540"/>
        <w:jc w:val="both"/>
      </w:pPr>
      <w:r>
        <w:rPr>
          <w:sz w:val="20"/>
        </w:rPr>
        <w:t xml:space="preserve">- формирование положительного туристского имиджа Тюменской области.</w:t>
      </w:r>
    </w:p>
    <w:p>
      <w:pPr>
        <w:pStyle w:val="0"/>
        <w:spacing w:before="200" w:line-rule="auto"/>
        <w:ind w:firstLine="540"/>
        <w:jc w:val="both"/>
      </w:pPr>
      <w:r>
        <w:rPr>
          <w:sz w:val="20"/>
        </w:rPr>
        <w:t xml:space="preserve">Решение задач по развитию потребительского сервиса в части туристских услуг связано с формированием потенциального туристско-рекреационного кластера.</w:t>
      </w:r>
    </w:p>
    <w:p>
      <w:pPr>
        <w:pStyle w:val="2"/>
        <w:spacing w:before="200" w:line-rule="auto"/>
        <w:outlineLvl w:val="6"/>
        <w:ind w:firstLine="540"/>
        <w:jc w:val="both"/>
      </w:pPr>
      <w:r>
        <w:rPr>
          <w:sz w:val="20"/>
        </w:rPr>
        <w:t xml:space="preserve">Туристско-рекреационный кластер</w:t>
      </w:r>
    </w:p>
    <w:p>
      <w:pPr>
        <w:pStyle w:val="0"/>
        <w:spacing w:before="200" w:line-rule="auto"/>
        <w:ind w:firstLine="540"/>
        <w:jc w:val="both"/>
      </w:pPr>
      <w:r>
        <w:rPr>
          <w:sz w:val="20"/>
        </w:rPr>
        <w:t xml:space="preserve">Целевое видение: повышение конкурентоспособности Тюменской области на туристическом рынке.</w:t>
      </w:r>
    </w:p>
    <w:p>
      <w:pPr>
        <w:pStyle w:val="0"/>
        <w:spacing w:before="200" w:line-rule="auto"/>
        <w:ind w:firstLine="540"/>
        <w:jc w:val="both"/>
      </w:pPr>
      <w:r>
        <w:rPr>
          <w:sz w:val="20"/>
        </w:rPr>
        <w:t xml:space="preserve">Основания формирования кластерной инициативы:</w:t>
      </w:r>
    </w:p>
    <w:p>
      <w:pPr>
        <w:pStyle w:val="0"/>
        <w:spacing w:before="200" w:line-rule="auto"/>
        <w:ind w:firstLine="540"/>
        <w:jc w:val="both"/>
      </w:pPr>
      <w:r>
        <w:rPr>
          <w:sz w:val="20"/>
        </w:rPr>
        <w:t xml:space="preserve">наличие туристических ресурсов (разнообразие культурно-познавательных объектов, широкое распространение источников минеральных вод, в том числе термальных, лечебных грязей, богатая природа и животный мир, охотничьи и промысловые ресурсы и т.д.);</w:t>
      </w:r>
    </w:p>
    <w:p>
      <w:pPr>
        <w:pStyle w:val="0"/>
        <w:spacing w:before="200" w:line-rule="auto"/>
        <w:ind w:firstLine="540"/>
        <w:jc w:val="both"/>
      </w:pPr>
      <w:r>
        <w:rPr>
          <w:sz w:val="20"/>
        </w:rPr>
        <w:t xml:space="preserve">наличие развитой туристской инфраструктуры (санатории, базы отдыха, гостиницы, конгресс-центры, музеи, театры, спортивные центры и т.д.), ресторанов и торгово-развлекательных центров;</w:t>
      </w:r>
    </w:p>
    <w:p>
      <w:pPr>
        <w:pStyle w:val="0"/>
        <w:spacing w:before="200" w:line-rule="auto"/>
        <w:ind w:firstLine="540"/>
        <w:jc w:val="both"/>
      </w:pPr>
      <w:r>
        <w:rPr>
          <w:sz w:val="20"/>
        </w:rPr>
        <w:t xml:space="preserve">предоставление конкурентоспособных туристских услуг, осуществление государственной поддержки развития туризма, реализация программ по сохранению и восстановлению памятников историко-культурного наследия и их интеграции в культурное пространство, функционирование информационного портала о туристских ресурсах Тюменской области, проведение ежегодных событийных туристских мероприятий;</w:t>
      </w:r>
    </w:p>
    <w:p>
      <w:pPr>
        <w:pStyle w:val="0"/>
        <w:spacing w:before="200" w:line-rule="auto"/>
        <w:ind w:firstLine="540"/>
        <w:jc w:val="both"/>
      </w:pPr>
      <w:r>
        <w:rPr>
          <w:sz w:val="20"/>
        </w:rPr>
        <w:t xml:space="preserve">развитый деловой туризм.</w:t>
      </w:r>
    </w:p>
    <w:p>
      <w:pPr>
        <w:pStyle w:val="0"/>
        <w:spacing w:before="200" w:line-rule="auto"/>
        <w:ind w:firstLine="540"/>
        <w:jc w:val="both"/>
      </w:pPr>
      <w:r>
        <w:rPr>
          <w:sz w:val="20"/>
        </w:rPr>
        <w:t xml:space="preserve">Основными направлениями развития туризма в регионе являются:</w:t>
      </w:r>
    </w:p>
    <w:p>
      <w:pPr>
        <w:pStyle w:val="0"/>
        <w:spacing w:before="200" w:line-rule="auto"/>
        <w:ind w:firstLine="540"/>
        <w:jc w:val="both"/>
      </w:pPr>
      <w:r>
        <w:rPr>
          <w:sz w:val="20"/>
        </w:rPr>
        <w:t xml:space="preserve">деловой туризм (город Тюмень, город Тобольск);</w:t>
      </w:r>
    </w:p>
    <w:p>
      <w:pPr>
        <w:pStyle w:val="0"/>
        <w:spacing w:before="200" w:line-rule="auto"/>
        <w:ind w:firstLine="540"/>
        <w:jc w:val="both"/>
      </w:pPr>
      <w:r>
        <w:rPr>
          <w:sz w:val="20"/>
        </w:rPr>
        <w:t xml:space="preserve">санаторно-курортный туризм (Тюменский, Нижнетавдинский районы, город Ялуторовск и Ялуторовский район, Заводоуковский городской округ, в перспективе другие районы);</w:t>
      </w:r>
    </w:p>
    <w:p>
      <w:pPr>
        <w:pStyle w:val="0"/>
        <w:spacing w:before="200" w:line-rule="auto"/>
        <w:ind w:firstLine="540"/>
        <w:jc w:val="both"/>
      </w:pPr>
      <w:r>
        <w:rPr>
          <w:sz w:val="20"/>
        </w:rPr>
        <w:t xml:space="preserve">медицинский туризм на базе лечебных учреждений города Тюмени с последующей реабилитацией в санаторно-курортных учреждениях Тюменской области;</w:t>
      </w:r>
    </w:p>
    <w:p>
      <w:pPr>
        <w:pStyle w:val="0"/>
        <w:spacing w:before="200" w:line-rule="auto"/>
        <w:ind w:firstLine="540"/>
        <w:jc w:val="both"/>
      </w:pPr>
      <w:r>
        <w:rPr>
          <w:sz w:val="20"/>
        </w:rPr>
        <w:t xml:space="preserve">историко-культурный туризм, в том числе базирующийся на важнейшем для региона туристическом маршруте, связанном с историей семьи последнего российского императора Николая II Романова (город Тобольск - место ссылки императорской семьи, село Покровское Ярковского района - родина Григория Распутина);</w:t>
      </w:r>
    </w:p>
    <w:p>
      <w:pPr>
        <w:pStyle w:val="0"/>
        <w:spacing w:before="200" w:line-rule="auto"/>
        <w:ind w:firstLine="540"/>
        <w:jc w:val="both"/>
      </w:pPr>
      <w:r>
        <w:rPr>
          <w:sz w:val="20"/>
        </w:rPr>
        <w:t xml:space="preserve">экологический туризм;</w:t>
      </w:r>
    </w:p>
    <w:p>
      <w:pPr>
        <w:pStyle w:val="0"/>
        <w:spacing w:before="200" w:line-rule="auto"/>
        <w:ind w:firstLine="540"/>
        <w:jc w:val="both"/>
      </w:pPr>
      <w:r>
        <w:rPr>
          <w:sz w:val="20"/>
        </w:rPr>
        <w:t xml:space="preserve">промышленный туризм;</w:t>
      </w:r>
    </w:p>
    <w:p>
      <w:pPr>
        <w:pStyle w:val="0"/>
        <w:spacing w:before="200" w:line-rule="auto"/>
        <w:ind w:firstLine="540"/>
        <w:jc w:val="both"/>
      </w:pPr>
      <w:r>
        <w:rPr>
          <w:sz w:val="20"/>
        </w:rPr>
        <w:t xml:space="preserve">охотничье-рыболовный туризм;</w:t>
      </w:r>
    </w:p>
    <w:p>
      <w:pPr>
        <w:pStyle w:val="0"/>
        <w:spacing w:before="200" w:line-rule="auto"/>
        <w:ind w:firstLine="540"/>
        <w:jc w:val="both"/>
      </w:pPr>
      <w:r>
        <w:rPr>
          <w:sz w:val="20"/>
        </w:rPr>
        <w:t xml:space="preserve">спортивный туризм;</w:t>
      </w:r>
    </w:p>
    <w:p>
      <w:pPr>
        <w:pStyle w:val="0"/>
        <w:spacing w:before="200" w:line-rule="auto"/>
        <w:ind w:firstLine="540"/>
        <w:jc w:val="both"/>
      </w:pPr>
      <w:r>
        <w:rPr>
          <w:sz w:val="20"/>
        </w:rPr>
        <w:t xml:space="preserve">событийный туризм;</w:t>
      </w:r>
    </w:p>
    <w:p>
      <w:pPr>
        <w:pStyle w:val="0"/>
        <w:spacing w:before="200" w:line-rule="auto"/>
        <w:ind w:firstLine="540"/>
        <w:jc w:val="both"/>
      </w:pPr>
      <w:r>
        <w:rPr>
          <w:sz w:val="20"/>
        </w:rPr>
        <w:t xml:space="preserve">межрегиональные маршруты, в первую очередь, с регионами, входящими в УФО.</w:t>
      </w:r>
    </w:p>
    <w:p>
      <w:pPr>
        <w:pStyle w:val="0"/>
        <w:spacing w:before="200" w:line-rule="auto"/>
        <w:ind w:firstLine="540"/>
        <w:jc w:val="both"/>
      </w:pPr>
      <w:r>
        <w:rPr>
          <w:sz w:val="20"/>
        </w:rPr>
        <w:t xml:space="preserve">Проблемы, требующие решения в рамках формирования кластера:</w:t>
      </w:r>
    </w:p>
    <w:p>
      <w:pPr>
        <w:pStyle w:val="0"/>
        <w:spacing w:before="200" w:line-rule="auto"/>
        <w:ind w:firstLine="540"/>
        <w:jc w:val="both"/>
      </w:pPr>
      <w:r>
        <w:rPr>
          <w:sz w:val="20"/>
        </w:rPr>
        <w:t xml:space="preserve">недостаточно высокий уровень оказываемых сервисных услуг и квалификации специалистов в сфере туризма;</w:t>
      </w:r>
    </w:p>
    <w:p>
      <w:pPr>
        <w:pStyle w:val="0"/>
        <w:spacing w:before="200" w:line-rule="auto"/>
        <w:ind w:firstLine="540"/>
        <w:jc w:val="both"/>
      </w:pPr>
      <w:r>
        <w:rPr>
          <w:sz w:val="20"/>
        </w:rPr>
        <w:t xml:space="preserve">недостаточный уровень кооперации предприятий отрасли для получения эффекта за счет совместного использования возможностей и ресурсов;</w:t>
      </w:r>
    </w:p>
    <w:p>
      <w:pPr>
        <w:pStyle w:val="0"/>
        <w:spacing w:before="200" w:line-rule="auto"/>
        <w:ind w:firstLine="540"/>
        <w:jc w:val="both"/>
      </w:pPr>
      <w:r>
        <w:rPr>
          <w:sz w:val="20"/>
        </w:rPr>
        <w:t xml:space="preserve">недостаточное количество сформированных комплексных туров в Тюменскую область;</w:t>
      </w:r>
    </w:p>
    <w:p>
      <w:pPr>
        <w:pStyle w:val="0"/>
        <w:spacing w:before="200" w:line-rule="auto"/>
        <w:ind w:firstLine="540"/>
        <w:jc w:val="both"/>
      </w:pPr>
      <w:r>
        <w:rPr>
          <w:sz w:val="20"/>
        </w:rPr>
        <w:t xml:space="preserve">недостаточность туристической инфраструктуры (средств размещения, баз отдыха, предприятий общественного питания и других);</w:t>
      </w:r>
    </w:p>
    <w:p>
      <w:pPr>
        <w:pStyle w:val="0"/>
        <w:spacing w:before="200" w:line-rule="auto"/>
        <w:ind w:firstLine="540"/>
        <w:jc w:val="both"/>
      </w:pPr>
      <w:r>
        <w:rPr>
          <w:sz w:val="20"/>
        </w:rPr>
        <w:t xml:space="preserve">низкая активность инвесторов в туристической отрасли;</w:t>
      </w:r>
    </w:p>
    <w:p>
      <w:pPr>
        <w:pStyle w:val="0"/>
        <w:spacing w:before="200" w:line-rule="auto"/>
        <w:ind w:firstLine="540"/>
        <w:jc w:val="both"/>
      </w:pPr>
      <w:r>
        <w:rPr>
          <w:sz w:val="20"/>
        </w:rPr>
        <w:t xml:space="preserve">недостаточный уровень развития транспортной инфраструктуры, в том числе уровня придорожного сервиса;</w:t>
      </w:r>
    </w:p>
    <w:p>
      <w:pPr>
        <w:pStyle w:val="0"/>
        <w:spacing w:before="200" w:line-rule="auto"/>
        <w:ind w:firstLine="540"/>
        <w:jc w:val="both"/>
      </w:pPr>
      <w:r>
        <w:rPr>
          <w:sz w:val="20"/>
        </w:rPr>
        <w:t xml:space="preserve">относительно высокая стоимость отечественного туристского продукта, в первую очередь, транспортного обслуживания;</w:t>
      </w:r>
    </w:p>
    <w:p>
      <w:pPr>
        <w:pStyle w:val="0"/>
        <w:spacing w:before="200" w:line-rule="auto"/>
        <w:ind w:firstLine="540"/>
        <w:jc w:val="both"/>
      </w:pPr>
      <w:r>
        <w:rPr>
          <w:sz w:val="20"/>
        </w:rPr>
        <w:t xml:space="preserve">недостаточно комфортная туристская информационная среда, в том числе низкая осведомленность населения о туристских возможностях региона, разрозненность информационных ресурсов в сфере туризма и отсутствие единой системы информационной поддержки внутреннего и въездного туризма.</w:t>
      </w:r>
    </w:p>
    <w:p>
      <w:pPr>
        <w:pStyle w:val="0"/>
        <w:spacing w:before="200" w:line-rule="auto"/>
        <w:ind w:firstLine="540"/>
        <w:jc w:val="both"/>
      </w:pPr>
      <w:r>
        <w:rPr>
          <w:sz w:val="20"/>
        </w:rPr>
        <w:t xml:space="preserve">Перспективы и направления действий:</w:t>
      </w:r>
    </w:p>
    <w:p>
      <w:pPr>
        <w:pStyle w:val="0"/>
        <w:spacing w:before="200" w:line-rule="auto"/>
        <w:ind w:firstLine="540"/>
        <w:jc w:val="both"/>
      </w:pPr>
      <w:r>
        <w:rPr>
          <w:sz w:val="20"/>
        </w:rPr>
        <w:t xml:space="preserve">Совершенствование организационно-экономических и законодательных механизмов развития туризма в сочетании с применением мер государственной поддержки приоритетных видов туризма, развиваемых на территории Тюменской области, будет способствовать созданию туристско-рекреационного кластера.</w:t>
      </w:r>
    </w:p>
    <w:p>
      <w:pPr>
        <w:pStyle w:val="0"/>
        <w:spacing w:before="200" w:line-rule="auto"/>
        <w:ind w:firstLine="540"/>
        <w:jc w:val="both"/>
      </w:pPr>
      <w:r>
        <w:rPr>
          <w:sz w:val="20"/>
        </w:rPr>
        <w:t xml:space="preserve">Совершенствование законодательства в области обеспечения мер государственной поддержки туризма, закрепление на региональном уровне системы мониторинга рынка туристических услуг, системы классификации и сертификации объектов размещения.</w:t>
      </w:r>
    </w:p>
    <w:p>
      <w:pPr>
        <w:pStyle w:val="0"/>
        <w:spacing w:before="200" w:line-rule="auto"/>
        <w:ind w:firstLine="540"/>
        <w:jc w:val="both"/>
      </w:pPr>
      <w:r>
        <w:rPr>
          <w:sz w:val="20"/>
        </w:rPr>
        <w:t xml:space="preserve">Содействие привлечению субъектов малого и среднего предпринимательства в туристическую отрасль.</w:t>
      </w:r>
    </w:p>
    <w:p>
      <w:pPr>
        <w:pStyle w:val="0"/>
        <w:spacing w:before="200" w:line-rule="auto"/>
        <w:ind w:firstLine="540"/>
        <w:jc w:val="both"/>
      </w:pPr>
      <w:r>
        <w:rPr>
          <w:sz w:val="20"/>
        </w:rPr>
        <w:t xml:space="preserve">Концентрация усилий по развитию приоритетных видов туризма в Тюменской области: историко-культурный, деловой, событийный, санаторно-курортный, медицинский, экологический, промышленный, охотничье-рыболовный, спортивный.</w:t>
      </w:r>
    </w:p>
    <w:p>
      <w:pPr>
        <w:pStyle w:val="0"/>
        <w:spacing w:before="200" w:line-rule="auto"/>
        <w:ind w:firstLine="540"/>
        <w:jc w:val="both"/>
      </w:pPr>
      <w:r>
        <w:rPr>
          <w:sz w:val="20"/>
        </w:rPr>
        <w:t xml:space="preserve">В части развития событийного туризма необходимо проводить планомерную работу по организации и проведению крупных международных мероприятий в различных сферах экономики на территории Тюменской области.</w:t>
      </w:r>
    </w:p>
    <w:p>
      <w:pPr>
        <w:pStyle w:val="0"/>
        <w:spacing w:before="200" w:line-rule="auto"/>
        <w:ind w:firstLine="540"/>
        <w:jc w:val="both"/>
      </w:pPr>
      <w:r>
        <w:rPr>
          <w:sz w:val="20"/>
        </w:rPr>
        <w:t xml:space="preserve">Развитие санаторно-курортного отдыха в том числе организации круглогодичных посещений термальных источников на территории Тюменской области за счет организации и расширения туристического потока из соседних регионов.</w:t>
      </w:r>
    </w:p>
    <w:p>
      <w:pPr>
        <w:pStyle w:val="0"/>
        <w:spacing w:before="200" w:line-rule="auto"/>
        <w:ind w:firstLine="540"/>
        <w:jc w:val="both"/>
      </w:pPr>
      <w:r>
        <w:rPr>
          <w:sz w:val="20"/>
        </w:rPr>
        <w:t xml:space="preserve">Развитие туристско-рекреационных комплексов на наиболее перспективных в туристском отношении территориях. Использование и развитие кластерного подхода как механизма концентрации усилий органов государственной и муниципальной власти, а также частных предпринимательских инициатив для создания туристской инфраструктуры, в том числе с использованием механизмов ГЧП, в части реконструкции имеющихся и создания новых объектов туристского показа, предприятий коллективного размещения, развития транспортных узлов, формирования обслуживающей инфраструктуры.</w:t>
      </w:r>
    </w:p>
    <w:p>
      <w:pPr>
        <w:pStyle w:val="0"/>
        <w:spacing w:before="200" w:line-rule="auto"/>
        <w:ind w:firstLine="540"/>
        <w:jc w:val="both"/>
      </w:pPr>
      <w:r>
        <w:rPr>
          <w:sz w:val="20"/>
        </w:rPr>
        <w:t xml:space="preserve">Подготовка, повышение квалификации, обучение смежным профессиям специалистов в сфере туристской индустрии. Развитие системы профессионального образования в сфере туризма, в том числе в части приведения в соответствие с современными требованиями работодателей, большей ориентации образования на практику, разработка и внедрение профессиональных стандартов, повышение качества учебно-методических материалов, учет специфики организации туристской деятельности Тюменской области при подготовке кадров. Подготовка экскурсоводов, гидов-переводчиков, инструкторов-проводников.</w:t>
      </w:r>
    </w:p>
    <w:p>
      <w:pPr>
        <w:pStyle w:val="0"/>
        <w:spacing w:before="200" w:line-rule="auto"/>
        <w:ind w:firstLine="540"/>
        <w:jc w:val="both"/>
      </w:pPr>
      <w:r>
        <w:rPr>
          <w:sz w:val="20"/>
        </w:rPr>
        <w:t xml:space="preserve">Продвижение туристского продукта Тюменской области на российском и международном туристских рынках. Проведение брендинга Тюменской области как туристического центра. Организация и проведение рекламно-информационных туров по Тюменской области для туроператоров и представителей СМИ, участие в российских и международных туристических выставках, форумах. Разработка и продвижение сувенирной и рекламной продукции.</w:t>
      </w:r>
    </w:p>
    <w:p>
      <w:pPr>
        <w:pStyle w:val="0"/>
        <w:spacing w:before="200" w:line-rule="auto"/>
        <w:ind w:firstLine="540"/>
        <w:jc w:val="both"/>
      </w:pPr>
      <w:r>
        <w:rPr>
          <w:sz w:val="20"/>
        </w:rPr>
        <w:t xml:space="preserve">Повышение качества и конкурентоспособности туристского продукта Тюменской области. Формирование системы туристско-информационных центров. Создание и развитие комфортной информационной туристской среды, включая систему туристской навигации, знаки ориентирования, информацию о туристских ресурсах и программах Тюменской области. Оказание содействия в проведении классификации объектов туристской инфраструктуры. Применение современных технологий в туризме. Совершенствование регионального туристического портала, включая разработку мобильной версии. Содействие продвижению электронных гидов для индивидуальных туристов. Разработка инновационных туристических продуктов, включая виртуальные туры и экскурсии.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outlineLvl w:val="7"/>
        <w:jc w:val="center"/>
      </w:pPr>
      <w:r>
        <w:rPr>
          <w:position w:val="-318"/>
        </w:rPr>
        <w:drawing>
          <wp:inline distT="0" distB="0" distL="0" distR="0">
            <wp:extent cx="6511290" cy="4170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6511290" cy="4170045"/>
                    </a:xfrm>
                    <a:prstGeom prst="rect">
                      <a:avLst/>
                    </a:prstGeom>
                    <a:noFill/>
                    <a:ln>
                      <a:noFill/>
                    </a:ln>
                  </pic:spPr>
                </pic:pic>
              </a:graphicData>
            </a:graphic>
          </wp:inline>
        </w:drawing>
      </w:r>
    </w:p>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2"/>
        <w:jc w:val="center"/>
      </w:pPr>
      <w:r>
        <w:rPr>
          <w:sz w:val="20"/>
        </w:rPr>
        <w:t xml:space="preserve">Рисунок 12 - Территориальное расположение участников</w:t>
      </w:r>
    </w:p>
    <w:p>
      <w:pPr>
        <w:pStyle w:val="2"/>
        <w:jc w:val="center"/>
      </w:pPr>
      <w:r>
        <w:rPr>
          <w:sz w:val="20"/>
        </w:rPr>
        <w:t xml:space="preserve">и инфраструктуры туристско-рекреационного кластера</w:t>
      </w:r>
    </w:p>
    <w:p>
      <w:pPr>
        <w:pStyle w:val="0"/>
        <w:jc w:val="both"/>
      </w:pPr>
      <w:r>
        <w:rPr>
          <w:sz w:val="20"/>
        </w:rPr>
      </w:r>
    </w:p>
    <w:p>
      <w:pPr>
        <w:pStyle w:val="0"/>
        <w:ind w:firstLine="540"/>
        <w:jc w:val="both"/>
      </w:pPr>
      <w:r>
        <w:rPr>
          <w:sz w:val="20"/>
        </w:rPr>
        <w:t xml:space="preserve">Развитие туристических маршрутов, направленных на обеспечение доступа социально уязвимых слоев населения (дети, молодежь, пенсионеры) к качественным туристическим услугам. Обеспечение широкого ассортимента предлагаемых на рынке туристских программ. Наиболее эффективными формами развития социального туризма являются: прямое финансирование социального туризма в рамках социальной сферы на различных уровнях и прямая (косвенная) долевая его поддержка государством, туристическими предприятиями и заинтересованными организациями.</w:t>
      </w:r>
    </w:p>
    <w:p>
      <w:pPr>
        <w:pStyle w:val="0"/>
        <w:spacing w:before="200" w:line-rule="auto"/>
        <w:ind w:firstLine="540"/>
        <w:jc w:val="both"/>
      </w:pPr>
      <w:r>
        <w:rPr>
          <w:sz w:val="20"/>
        </w:rPr>
        <w:t xml:space="preserve">Научно-образовательный потенциал кластера заключается в наличии государственных образовательных учреждений в области обеспечения подготовки и переподготовки кадров.</w:t>
      </w:r>
    </w:p>
    <w:p>
      <w:pPr>
        <w:pStyle w:val="0"/>
        <w:spacing w:before="200" w:line-rule="auto"/>
        <w:ind w:firstLine="540"/>
        <w:jc w:val="both"/>
      </w:pPr>
      <w:r>
        <w:rPr>
          <w:sz w:val="20"/>
        </w:rPr>
        <w:t xml:space="preserve">Рынок туристских услуг ориентирован на жителей Тюменской области и целевые группы туристов из регионов России (главным образом, жителей регионов УФО, располагающихся в 3 - 5-часовой доступности автомобильным и железнодорожным транспортом до города Тюмени), а также на туристов из Казахстана, Китая и других стран.</w:t>
      </w:r>
    </w:p>
    <w:p>
      <w:pPr>
        <w:pStyle w:val="2"/>
        <w:spacing w:before="200" w:line-rule="auto"/>
        <w:outlineLvl w:val="5"/>
        <w:ind w:firstLine="540"/>
        <w:jc w:val="both"/>
      </w:pPr>
      <w:r>
        <w:rPr>
          <w:sz w:val="20"/>
        </w:rPr>
        <w:t xml:space="preserve">Задача 2.1.6. Развитие малого и среднего предпринимательства (МАЛОЕ И СРЕДНЕЕ ПРЕДПРИНИМАТЕЛЬСТВО)</w:t>
      </w:r>
    </w:p>
    <w:p>
      <w:pPr>
        <w:pStyle w:val="0"/>
        <w:spacing w:before="200" w:line-rule="auto"/>
        <w:ind w:firstLine="540"/>
        <w:jc w:val="both"/>
      </w:pPr>
      <w:r>
        <w:rPr>
          <w:sz w:val="20"/>
        </w:rPr>
        <w:t xml:space="preserve">Малый и средний бизнес присутствует практически во всех отраслях экономики Тюменской области. Его развитие оказывает непосредственное влияние на общее состояние региональной экономики, способствует насыщению рынка товарами и услугами, развитию конкуренции, созданию новых рабочих мест и новых производств.</w:t>
      </w:r>
    </w:p>
    <w:p>
      <w:pPr>
        <w:pStyle w:val="0"/>
        <w:spacing w:before="200" w:line-rule="auto"/>
        <w:ind w:firstLine="540"/>
        <w:jc w:val="both"/>
      </w:pPr>
      <w:r>
        <w:rPr>
          <w:sz w:val="20"/>
        </w:rPr>
        <w:t xml:space="preserve">Развитие малого и среднего предпринимательства взаимоувязано с развитием отраслей экономики области и реализацией крупных инвестиционных проектов.</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создание условий для повышения объема выпуска конкурентоспособной продукции (работ, услуг) малого и среднего предпринимательства (МСП), продвижение ее на внутреннем и внешнем рынках;</w:t>
      </w:r>
    </w:p>
    <w:p>
      <w:pPr>
        <w:pStyle w:val="0"/>
        <w:spacing w:before="200" w:line-rule="auto"/>
        <w:ind w:firstLine="540"/>
        <w:jc w:val="both"/>
      </w:pPr>
      <w:r>
        <w:rPr>
          <w:sz w:val="20"/>
        </w:rPr>
        <w:t xml:space="preserve">- развитие системы региональных институтов поддержки и развития МСП;</w:t>
      </w:r>
    </w:p>
    <w:p>
      <w:pPr>
        <w:pStyle w:val="0"/>
        <w:spacing w:before="200" w:line-rule="auto"/>
        <w:ind w:firstLine="540"/>
        <w:jc w:val="both"/>
      </w:pPr>
      <w:r>
        <w:rPr>
          <w:sz w:val="20"/>
        </w:rPr>
        <w:t xml:space="preserve">-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p>
      <w:pPr>
        <w:pStyle w:val="0"/>
        <w:spacing w:before="200" w:line-rule="auto"/>
        <w:ind w:firstLine="540"/>
        <w:jc w:val="both"/>
      </w:pPr>
      <w:r>
        <w:rPr>
          <w:sz w:val="20"/>
        </w:rPr>
        <w:t xml:space="preserve">- содействие снижению расходов субъектов малого и среднего предпринимательства, связанных с прохождением административных процедур;</w:t>
      </w:r>
    </w:p>
    <w:p>
      <w:pPr>
        <w:pStyle w:val="0"/>
        <w:spacing w:before="200" w:line-rule="auto"/>
        <w:ind w:firstLine="540"/>
        <w:jc w:val="both"/>
      </w:pPr>
      <w:r>
        <w:rPr>
          <w:sz w:val="20"/>
        </w:rPr>
        <w:t xml:space="preserve">- создание условий для углубления процессов кооперации, интеграции и развития межотраслевого взаимодействия субъектов науки, образования, промышленности и малого предпринимательства;</w:t>
      </w:r>
    </w:p>
    <w:p>
      <w:pPr>
        <w:pStyle w:val="0"/>
        <w:spacing w:before="200" w:line-rule="auto"/>
        <w:ind w:firstLine="540"/>
        <w:jc w:val="both"/>
      </w:pPr>
      <w:r>
        <w:rPr>
          <w:sz w:val="20"/>
        </w:rPr>
        <w:t xml:space="preserve">- содействие развитию молодежного предпринимательства;</w:t>
      </w:r>
    </w:p>
    <w:p>
      <w:pPr>
        <w:pStyle w:val="0"/>
        <w:spacing w:before="200" w:line-rule="auto"/>
        <w:ind w:firstLine="540"/>
        <w:jc w:val="both"/>
      </w:pPr>
      <w:r>
        <w:rPr>
          <w:sz w:val="20"/>
        </w:rPr>
        <w:t xml:space="preserve">- развитие направлений деятельности малого бизнеса на рынках социальных услуг (физкультурных и спортивных, дошкольных образовательных, дополнительного образования, отдыха и оздоровления детей, реабилитации детей с ограниченными возможностями здоровья, в сфере культуры и других);</w:t>
      </w:r>
    </w:p>
    <w:p>
      <w:pPr>
        <w:pStyle w:val="0"/>
        <w:spacing w:before="200" w:line-rule="auto"/>
        <w:ind w:firstLine="540"/>
        <w:jc w:val="both"/>
      </w:pPr>
      <w:r>
        <w:rPr>
          <w:sz w:val="20"/>
        </w:rPr>
        <w:t xml:space="preserve">- развитие придорожного сервиса, связанного с усилением роли областного центра как крупного транспортного узла со значительным потоком транзитного транспорта.</w:t>
      </w:r>
    </w:p>
    <w:p>
      <w:pPr>
        <w:pStyle w:val="0"/>
        <w:spacing w:before="200" w:line-rule="auto"/>
        <w:ind w:firstLine="540"/>
        <w:jc w:val="both"/>
      </w:pPr>
      <w:r>
        <w:rPr>
          <w:sz w:val="20"/>
        </w:rPr>
        <w:t xml:space="preserve">В долгосрочной перспективе одним из важных факторов экономического роста Тюменской области станет увеличение роли малых и средних предприятий в реальном секторе экономики. В первую очередь, это сельское хозяйство, рыболовство, лесной комплекс, обрабатывающие производства.</w:t>
      </w:r>
    </w:p>
    <w:p>
      <w:pPr>
        <w:pStyle w:val="0"/>
        <w:spacing w:before="200" w:line-rule="auto"/>
        <w:ind w:firstLine="540"/>
        <w:jc w:val="both"/>
      </w:pPr>
      <w:r>
        <w:rPr>
          <w:sz w:val="20"/>
        </w:rPr>
        <w:t xml:space="preserve">Важное значение в развитии малого и среднего предпринимательства имеют реализуемые в области крупные инвестиционное проекты, которые позволяют задействовать предпринимателей региона в процесс создания новых предприятий, привлекать к выполнению части заказов для их нужд, а также способствуют развитию сферы услуг.</w:t>
      </w:r>
    </w:p>
    <w:p>
      <w:pPr>
        <w:pStyle w:val="0"/>
        <w:spacing w:before="200" w:line-rule="auto"/>
        <w:ind w:firstLine="540"/>
        <w:jc w:val="both"/>
      </w:pPr>
      <w:r>
        <w:rPr>
          <w:sz w:val="20"/>
        </w:rPr>
        <w:t xml:space="preserve">Развитие индустриальных парков будет способствовать развитию малого и среднего предпринимательства в обрабатывающих производствах.</w:t>
      </w:r>
    </w:p>
    <w:p>
      <w:pPr>
        <w:pStyle w:val="0"/>
        <w:spacing w:before="200" w:line-rule="auto"/>
        <w:ind w:firstLine="540"/>
        <w:jc w:val="both"/>
      </w:pPr>
      <w:r>
        <w:rPr>
          <w:sz w:val="20"/>
        </w:rPr>
        <w:t xml:space="preserve">Развитие туристской отрасли будет способствовать развитию сферы услуг, традиционных (национальных) ремесел и промыслов.</w:t>
      </w:r>
    </w:p>
    <w:p>
      <w:pPr>
        <w:pStyle w:val="0"/>
        <w:spacing w:before="200" w:line-rule="auto"/>
        <w:ind w:firstLine="540"/>
        <w:jc w:val="both"/>
      </w:pPr>
      <w:r>
        <w:rPr>
          <w:sz w:val="20"/>
        </w:rPr>
        <w:t xml:space="preserve">Государственная поддержка в агропромышленном комплексе стимулирует развитие малого и среднего предпринимательства (строительство животноводческих комплексов, цехов по переработке молочной и мясной продукции, выращиванию и переработке овощей и другое).</w:t>
      </w:r>
    </w:p>
    <w:p>
      <w:pPr>
        <w:pStyle w:val="0"/>
        <w:jc w:val="both"/>
      </w:pPr>
      <w:r>
        <w:rPr>
          <w:sz w:val="20"/>
        </w:rPr>
      </w:r>
    </w:p>
    <w:p>
      <w:pPr>
        <w:pStyle w:val="2"/>
        <w:outlineLvl w:val="4"/>
        <w:ind w:firstLine="540"/>
        <w:jc w:val="both"/>
      </w:pPr>
      <w:r>
        <w:rPr>
          <w:sz w:val="20"/>
        </w:rPr>
        <w:t xml:space="preserve">Цель 2.2. Развитие научно-инновационной сферы и информационных технологий (РАЗВИТИЕ ИННОВАЦИЙ И ИНФОРМАЦИОННЫХ ТЕХНОЛОГИЙ)</w:t>
      </w:r>
    </w:p>
    <w:p>
      <w:pPr>
        <w:pStyle w:val="0"/>
        <w:spacing w:before="200" w:line-rule="auto"/>
        <w:ind w:firstLine="540"/>
        <w:jc w:val="both"/>
      </w:pPr>
      <w:r>
        <w:rPr>
          <w:sz w:val="20"/>
        </w:rPr>
        <w:t xml:space="preserve">Ориентиры, приоритеты и перспективы развития научно-инновационной сферы определены Стратегией научно-технологического развития Российской Федерации и нацелены на создание эффективной системы наращивания и наиболее полного использования интеллектуального потенциала населения.</w:t>
      </w:r>
    </w:p>
    <w:p>
      <w:pPr>
        <w:pStyle w:val="0"/>
        <w:spacing w:before="200" w:line-rule="auto"/>
        <w:ind w:firstLine="540"/>
        <w:jc w:val="both"/>
      </w:pPr>
      <w:r>
        <w:rPr>
          <w:sz w:val="20"/>
        </w:rPr>
        <w:t xml:space="preserve">Развитие научно-инновационной сферы Тюменской области направлено, в первую очередь, на создание эффективной инновационной системы, обеспечивающей взаимодействие устойчиво развивающегося сектора исследований и инновационных разработок с реальным сектором экономики, обеспечение модернизации экономики региона на основе передовых конкурентоспособных технологий и инноваций.</w:t>
      </w:r>
    </w:p>
    <w:p>
      <w:pPr>
        <w:pStyle w:val="0"/>
        <w:spacing w:before="200" w:line-rule="auto"/>
        <w:ind w:firstLine="540"/>
        <w:jc w:val="both"/>
      </w:pPr>
      <w:r>
        <w:rPr>
          <w:sz w:val="20"/>
        </w:rPr>
        <w:t xml:space="preserve">Достижение цели по формированию высокотехнологичных отраслей для ускоренного инновационного развития Тюменской области заключается в развитии региональной инновационной системы, которая должна обеспечить экономические, правовые и организационные условия для поэтапного перехода экономики Тюменской области на инновационный путь развития на основе ускоренного внедрения и коммерциализации наукоемких технологий.</w:t>
      </w:r>
    </w:p>
    <w:p>
      <w:pPr>
        <w:pStyle w:val="0"/>
        <w:spacing w:before="200" w:line-rule="auto"/>
        <w:ind w:firstLine="540"/>
        <w:jc w:val="both"/>
      </w:pPr>
      <w:r>
        <w:rPr>
          <w:sz w:val="20"/>
        </w:rPr>
        <w:t xml:space="preserve">Развитие региональной инновационной системы требует реализации следующих мер:</w:t>
      </w:r>
    </w:p>
    <w:p>
      <w:pPr>
        <w:pStyle w:val="0"/>
        <w:spacing w:before="200" w:line-rule="auto"/>
        <w:ind w:firstLine="540"/>
        <w:jc w:val="both"/>
      </w:pPr>
      <w:r>
        <w:rPr>
          <w:sz w:val="20"/>
        </w:rPr>
        <w:t xml:space="preserve">формирование развитой инновационной экосистемы, в том числе для ИТ-проектов;</w:t>
      </w:r>
    </w:p>
    <w:p>
      <w:pPr>
        <w:pStyle w:val="0"/>
        <w:spacing w:before="200" w:line-rule="auto"/>
        <w:ind w:firstLine="540"/>
        <w:jc w:val="both"/>
      </w:pPr>
      <w:r>
        <w:rPr>
          <w:sz w:val="20"/>
        </w:rPr>
        <w:t xml:space="preserve">поддержка инновационно активных предприятий;</w:t>
      </w:r>
    </w:p>
    <w:p>
      <w:pPr>
        <w:pStyle w:val="0"/>
        <w:spacing w:before="200" w:line-rule="auto"/>
        <w:ind w:firstLine="540"/>
        <w:jc w:val="both"/>
      </w:pPr>
      <w:r>
        <w:rPr>
          <w:sz w:val="20"/>
        </w:rPr>
        <w:t xml:space="preserve">реализация образовательных проектов, направленных на развитие компетенций предпринимателей;</w:t>
      </w:r>
    </w:p>
    <w:p>
      <w:pPr>
        <w:pStyle w:val="0"/>
        <w:spacing w:before="200" w:line-rule="auto"/>
        <w:ind w:firstLine="540"/>
        <w:jc w:val="both"/>
      </w:pPr>
      <w:r>
        <w:rPr>
          <w:sz w:val="20"/>
        </w:rPr>
        <w:t xml:space="preserve">продвижение инновационной продукции на внутреннем и внешнем рынках;</w:t>
      </w:r>
    </w:p>
    <w:p>
      <w:pPr>
        <w:pStyle w:val="0"/>
        <w:spacing w:before="200" w:line-rule="auto"/>
        <w:ind w:firstLine="540"/>
        <w:jc w:val="both"/>
      </w:pPr>
      <w:r>
        <w:rPr>
          <w:sz w:val="20"/>
        </w:rPr>
        <w:t xml:space="preserve">развитие кооперации вузов, инновационных предприятий и крупных компаний;</w:t>
      </w:r>
    </w:p>
    <w:p>
      <w:pPr>
        <w:pStyle w:val="0"/>
        <w:spacing w:before="200" w:line-rule="auto"/>
        <w:ind w:firstLine="540"/>
        <w:jc w:val="both"/>
      </w:pPr>
      <w:r>
        <w:rPr>
          <w:sz w:val="20"/>
        </w:rPr>
        <w:t xml:space="preserve">участие Тюменской области в национальной технологической инициативе;</w:t>
      </w:r>
    </w:p>
    <w:p>
      <w:pPr>
        <w:pStyle w:val="0"/>
        <w:spacing w:before="200" w:line-rule="auto"/>
        <w:ind w:firstLine="540"/>
        <w:jc w:val="both"/>
      </w:pPr>
      <w:r>
        <w:rPr>
          <w:sz w:val="20"/>
        </w:rPr>
        <w:t xml:space="preserve">формирование в регионе конкурентоспособной отрасли ИТ.</w:t>
      </w:r>
    </w:p>
    <w:p>
      <w:pPr>
        <w:pStyle w:val="2"/>
        <w:spacing w:before="200" w:line-rule="auto"/>
        <w:outlineLvl w:val="5"/>
        <w:ind w:firstLine="540"/>
        <w:jc w:val="both"/>
      </w:pPr>
      <w:r>
        <w:rPr>
          <w:sz w:val="20"/>
        </w:rPr>
        <w:t xml:space="preserve">Задача 2.2.1. Развитие культуры инноваций (КУЛЬТУРА ИННОВАЦИЙ)</w:t>
      </w:r>
    </w:p>
    <w:p>
      <w:pPr>
        <w:pStyle w:val="0"/>
        <w:spacing w:before="200" w:line-rule="auto"/>
        <w:ind w:firstLine="540"/>
        <w:jc w:val="both"/>
      </w:pPr>
      <w:r>
        <w:rPr>
          <w:sz w:val="20"/>
        </w:rPr>
        <w:t xml:space="preserve">Развитие культуры инноваций подразумевает развитие человеческого капитала в сфере науки, образования, технологий, инноваций и вовлечение общества в научно-инновационную среду.</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развитие структур дополнительного школьного образования, ориентированных на подготовку будущих специалистов в области технических и естественных наук, в том числе детского технопарка (Кванториум), сети центров молодежного инновационного творчества;</w:t>
      </w:r>
    </w:p>
    <w:p>
      <w:pPr>
        <w:pStyle w:val="0"/>
        <w:spacing w:before="200" w:line-rule="auto"/>
        <w:ind w:firstLine="540"/>
        <w:jc w:val="both"/>
      </w:pPr>
      <w:r>
        <w:rPr>
          <w:sz w:val="20"/>
        </w:rPr>
        <w:t xml:space="preserve">- формирование у молодежи ключевых для инновационного предпринимательства жизненных установок и модели поведения (личностные качества - мобильность, желание обучаться в течение всей жизни, склонность к предпринимательству и принятию риска, креативность);</w:t>
      </w:r>
    </w:p>
    <w:p>
      <w:pPr>
        <w:pStyle w:val="0"/>
        <w:spacing w:before="200" w:line-rule="auto"/>
        <w:ind w:firstLine="540"/>
        <w:jc w:val="both"/>
      </w:pPr>
      <w:r>
        <w:rPr>
          <w:sz w:val="20"/>
        </w:rPr>
        <w:t xml:space="preserve">- развитие системы выявления и поддержки талантов и изобретателей, в том числе поддержка талантливой молодежи и стартапов на ранних стадиях инновационной деятельности;</w:t>
      </w:r>
    </w:p>
    <w:p>
      <w:pPr>
        <w:pStyle w:val="0"/>
        <w:spacing w:before="200" w:line-rule="auto"/>
        <w:ind w:firstLine="540"/>
        <w:jc w:val="both"/>
      </w:pPr>
      <w:r>
        <w:rPr>
          <w:sz w:val="20"/>
        </w:rPr>
        <w:t xml:space="preserve">- создание благоприятной инновационной экосистемы для ученых, предпринимателей и инноваторов;</w:t>
      </w:r>
    </w:p>
    <w:p>
      <w:pPr>
        <w:pStyle w:val="0"/>
        <w:spacing w:before="200" w:line-rule="auto"/>
        <w:ind w:firstLine="540"/>
        <w:jc w:val="both"/>
      </w:pPr>
      <w:r>
        <w:rPr>
          <w:sz w:val="20"/>
        </w:rPr>
        <w:t xml:space="preserve">- развитие системы подготовки кадров для высокотехнологичных отраслей.</w:t>
      </w:r>
    </w:p>
    <w:p>
      <w:pPr>
        <w:pStyle w:val="2"/>
        <w:spacing w:before="200" w:line-rule="auto"/>
        <w:outlineLvl w:val="5"/>
        <w:ind w:firstLine="540"/>
        <w:jc w:val="both"/>
      </w:pPr>
      <w:r>
        <w:rPr>
          <w:sz w:val="20"/>
        </w:rPr>
        <w:t xml:space="preserve">Задача 2.2.2. Содействие интеграции научно-технической сферы и производства, обеспечивающей внедрение новых технологий (ВНЕДРЕНИЕ ИННОВАЦИЙ)</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развитие инновационной инфраструктуры:</w:t>
      </w:r>
    </w:p>
    <w:p>
      <w:pPr>
        <w:pStyle w:val="0"/>
        <w:spacing w:before="200" w:line-rule="auto"/>
        <w:ind w:firstLine="540"/>
        <w:jc w:val="both"/>
      </w:pPr>
      <w:r>
        <w:rPr>
          <w:sz w:val="20"/>
        </w:rPr>
        <w:t xml:space="preserve">расширение направлений деятельности технопарка "Западно-Сибирский инновационный центр";</w:t>
      </w:r>
    </w:p>
    <w:p>
      <w:pPr>
        <w:pStyle w:val="0"/>
        <w:spacing w:before="200" w:line-rule="auto"/>
        <w:ind w:firstLine="540"/>
        <w:jc w:val="both"/>
      </w:pPr>
      <w:r>
        <w:rPr>
          <w:sz w:val="20"/>
        </w:rPr>
        <w:t xml:space="preserve">развитие элементов технологической инфраструктуры технопарка "Западно-Сибирский инновационный центр" для поддержки инновационной деятельности;</w:t>
      </w:r>
    </w:p>
    <w:p>
      <w:pPr>
        <w:pStyle w:val="0"/>
        <w:spacing w:before="200" w:line-rule="auto"/>
        <w:ind w:firstLine="540"/>
        <w:jc w:val="both"/>
      </w:pPr>
      <w:r>
        <w:rPr>
          <w:sz w:val="20"/>
        </w:rPr>
        <w:t xml:space="preserve">развитие единой инновационно-производственной инфраструктуры поддержки МСП;</w:t>
      </w:r>
    </w:p>
    <w:p>
      <w:pPr>
        <w:pStyle w:val="0"/>
        <w:spacing w:before="200" w:line-rule="auto"/>
        <w:ind w:firstLine="540"/>
        <w:jc w:val="both"/>
      </w:pPr>
      <w:r>
        <w:rPr>
          <w:sz w:val="20"/>
        </w:rPr>
        <w:t xml:space="preserve">- содействие реализации и продвижению инновационных проектов и разработок, включая меры по повышению восприимчивости крупных и средних предприятий к инновациям, а также запуск механизмов стимулирования спроса на инновации как со стороны государства, так и со стороны корпоративного сектора, в том числе:</w:t>
      </w:r>
    </w:p>
    <w:p>
      <w:pPr>
        <w:pStyle w:val="0"/>
        <w:spacing w:before="200" w:line-rule="auto"/>
        <w:ind w:firstLine="540"/>
        <w:jc w:val="both"/>
      </w:pPr>
      <w:r>
        <w:rPr>
          <w:sz w:val="20"/>
        </w:rPr>
        <w:t xml:space="preserve">стимулирование создания и внедрения технологий, конкурентоспособных на мировом уровне (приоритетная поддержка изобретений, имеющих не только локальное применение, но и востребованных на национальном и международном рынках);</w:t>
      </w:r>
    </w:p>
    <w:p>
      <w:pPr>
        <w:pStyle w:val="0"/>
        <w:spacing w:before="200" w:line-rule="auto"/>
        <w:ind w:firstLine="540"/>
        <w:jc w:val="both"/>
      </w:pPr>
      <w:r>
        <w:rPr>
          <w:sz w:val="20"/>
        </w:rPr>
        <w:t xml:space="preserve">поддержка проектов по диверсификации производств за счет развития смежных отраслей (развитие отраслей, связанных с нефтегазодобычей: нефтегазовое машиностроение, нефтегазохимическая промышленность, новые строительные материалы, технологии рационального природопользования и другие);</w:t>
      </w:r>
    </w:p>
    <w:p>
      <w:pPr>
        <w:pStyle w:val="0"/>
        <w:spacing w:before="200" w:line-rule="auto"/>
        <w:ind w:firstLine="540"/>
        <w:jc w:val="both"/>
      </w:pPr>
      <w:r>
        <w:rPr>
          <w:sz w:val="20"/>
        </w:rPr>
        <w:t xml:space="preserve">содействие сотрудничеству вузов как разработчиков технологий с промышленными предприятиями - потребителями технологий;</w:t>
      </w:r>
    </w:p>
    <w:p>
      <w:pPr>
        <w:pStyle w:val="0"/>
        <w:spacing w:before="200" w:line-rule="auto"/>
        <w:ind w:firstLine="540"/>
        <w:jc w:val="both"/>
      </w:pPr>
      <w:r>
        <w:rPr>
          <w:sz w:val="20"/>
        </w:rPr>
        <w:t xml:space="preserve">- создание инструментов, стимулирующих генерацию и применение инновационных разработок и технологий крупными и средними компаниями;</w:t>
      </w:r>
    </w:p>
    <w:p>
      <w:pPr>
        <w:pStyle w:val="0"/>
        <w:spacing w:before="200" w:line-rule="auto"/>
        <w:ind w:firstLine="540"/>
        <w:jc w:val="both"/>
      </w:pPr>
      <w:r>
        <w:rPr>
          <w:sz w:val="20"/>
        </w:rPr>
        <w:t xml:space="preserve">- оказание государственной поддержки в сфере научной, научно-технической и инновационной деятельности;</w:t>
      </w:r>
    </w:p>
    <w:p>
      <w:pPr>
        <w:pStyle w:val="0"/>
        <w:spacing w:before="200" w:line-rule="auto"/>
        <w:ind w:firstLine="540"/>
        <w:jc w:val="both"/>
      </w:pPr>
      <w:r>
        <w:rPr>
          <w:sz w:val="20"/>
        </w:rPr>
        <w:t xml:space="preserve">- привлечение внебюджетных инвестиций в высокотехнологичную сферу;</w:t>
      </w:r>
    </w:p>
    <w:p>
      <w:pPr>
        <w:pStyle w:val="0"/>
        <w:spacing w:before="200" w:line-rule="auto"/>
        <w:ind w:firstLine="540"/>
        <w:jc w:val="both"/>
      </w:pPr>
      <w:r>
        <w:rPr>
          <w:sz w:val="20"/>
        </w:rPr>
        <w:t xml:space="preserve">- содействие коммерциализации технологических инноваций:</w:t>
      </w:r>
    </w:p>
    <w:p>
      <w:pPr>
        <w:pStyle w:val="0"/>
        <w:spacing w:before="200" w:line-rule="auto"/>
        <w:ind w:firstLine="540"/>
        <w:jc w:val="both"/>
      </w:pPr>
      <w:r>
        <w:rPr>
          <w:sz w:val="20"/>
        </w:rPr>
        <w:t xml:space="preserve">повышение эффективности механизмов предоставления государственной поддержки в сфере научной, научно-технической и инновационной деятельности;</w:t>
      </w:r>
    </w:p>
    <w:p>
      <w:pPr>
        <w:pStyle w:val="0"/>
        <w:spacing w:before="200" w:line-rule="auto"/>
        <w:ind w:firstLine="540"/>
        <w:jc w:val="both"/>
      </w:pPr>
      <w:r>
        <w:rPr>
          <w:sz w:val="20"/>
        </w:rPr>
        <w:t xml:space="preserve">проведение семинаров и программ обучения субъектов МСП по вопросам продвижения инновационных продуктов и технологий, в том числе в социальной сфере;</w:t>
      </w:r>
    </w:p>
    <w:p>
      <w:pPr>
        <w:pStyle w:val="0"/>
        <w:spacing w:before="200" w:line-rule="auto"/>
        <w:ind w:firstLine="540"/>
        <w:jc w:val="both"/>
      </w:pPr>
      <w:r>
        <w:rPr>
          <w:sz w:val="20"/>
        </w:rPr>
        <w:t xml:space="preserve">поддержка предприятий, завершивших НИОКР и планирующих создание или расширение производства инновационной продукции;</w:t>
      </w:r>
    </w:p>
    <w:p>
      <w:pPr>
        <w:pStyle w:val="0"/>
        <w:spacing w:before="200" w:line-rule="auto"/>
        <w:ind w:firstLine="540"/>
        <w:jc w:val="both"/>
      </w:pPr>
      <w:r>
        <w:rPr>
          <w:sz w:val="20"/>
        </w:rPr>
        <w:t xml:space="preserve">поддержка инновационной деятельности в рамках взаимодействия крупных компаний с малым бизнесом;</w:t>
      </w:r>
    </w:p>
    <w:p>
      <w:pPr>
        <w:pStyle w:val="0"/>
        <w:spacing w:before="200" w:line-rule="auto"/>
        <w:ind w:firstLine="540"/>
        <w:jc w:val="both"/>
      </w:pPr>
      <w:r>
        <w:rPr>
          <w:sz w:val="20"/>
        </w:rPr>
        <w:t xml:space="preserve">осуществление комплекса организационных мероприятий, в том числе связанных с информационным обеспечением инновационной деятельности (инновационных форумов, презентаций перспективных инновационных проектов с привлечением инвесторов, круглых столов с представителями науки и бизнеса и других).</w:t>
      </w:r>
    </w:p>
    <w:p>
      <w:pPr>
        <w:pStyle w:val="0"/>
        <w:spacing w:before="200" w:line-rule="auto"/>
        <w:ind w:firstLine="540"/>
        <w:jc w:val="both"/>
      </w:pPr>
      <w:r>
        <w:rPr>
          <w:sz w:val="20"/>
        </w:rPr>
        <w:t xml:space="preserve">Ключевым проектом по интеграции научно-технической сферы и производства, обеспечивающим внедрение новых технологий, будет формирование кластера инновационных технологий.</w:t>
      </w:r>
    </w:p>
    <w:p>
      <w:pPr>
        <w:pStyle w:val="2"/>
        <w:spacing w:before="200" w:line-rule="auto"/>
        <w:outlineLvl w:val="5"/>
        <w:ind w:firstLine="540"/>
        <w:jc w:val="both"/>
      </w:pPr>
      <w:r>
        <w:rPr>
          <w:sz w:val="20"/>
        </w:rPr>
        <w:t xml:space="preserve">Задача 2.2.3. Развитие отрасли информационных технологий (РАЗВИТИЕ ОТРАСЛИ ИНФОРМАЦИОННЫХ ТЕХНОЛОГИЙ)</w:t>
      </w:r>
    </w:p>
    <w:p>
      <w:pPr>
        <w:pStyle w:val="0"/>
        <w:spacing w:before="200" w:line-rule="auto"/>
        <w:ind w:firstLine="540"/>
        <w:jc w:val="both"/>
      </w:pPr>
      <w:r>
        <w:rPr>
          <w:sz w:val="20"/>
        </w:rPr>
        <w:t xml:space="preserve">Развитие сферы информационных технологий до полноценной отрасли региональной экономики, создающей высокопроизводительные рабочие места и обеспечивающей выпуск конкурентоспособной продукции, обеспечивающей другие сферы экономики и социальной сферы качественными информационными технологиями, будет идти одновременно по двум векторам:</w:t>
      </w:r>
    </w:p>
    <w:p>
      <w:pPr>
        <w:pStyle w:val="0"/>
        <w:spacing w:before="200" w:line-rule="auto"/>
        <w:ind w:firstLine="540"/>
        <w:jc w:val="both"/>
      </w:pPr>
      <w:r>
        <w:rPr>
          <w:sz w:val="20"/>
        </w:rPr>
        <w:t xml:space="preserve">создание (привлечение) и развитие локальных компаний;</w:t>
      </w:r>
    </w:p>
    <w:p>
      <w:pPr>
        <w:pStyle w:val="0"/>
        <w:spacing w:before="200" w:line-rule="auto"/>
        <w:ind w:firstLine="540"/>
        <w:jc w:val="both"/>
      </w:pPr>
      <w:r>
        <w:rPr>
          <w:sz w:val="20"/>
        </w:rPr>
        <w:t xml:space="preserve">привлечение крупных международных компаний.</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подготовка специалистов для отрасли ИТ, в том числе развитие профильного образования и организация специализированных курсов;</w:t>
      </w:r>
    </w:p>
    <w:p>
      <w:pPr>
        <w:pStyle w:val="0"/>
        <w:spacing w:before="200" w:line-rule="auto"/>
        <w:ind w:firstLine="540"/>
        <w:jc w:val="both"/>
      </w:pPr>
      <w:r>
        <w:rPr>
          <w:sz w:val="20"/>
        </w:rPr>
        <w:t xml:space="preserve">- популяризация профессий отрасли среди школьников, начальная подготовка школьников по программированию;</w:t>
      </w:r>
    </w:p>
    <w:p>
      <w:pPr>
        <w:pStyle w:val="0"/>
        <w:spacing w:before="200" w:line-rule="auto"/>
        <w:ind w:firstLine="540"/>
        <w:jc w:val="both"/>
      </w:pPr>
      <w:r>
        <w:rPr>
          <w:sz w:val="20"/>
        </w:rPr>
        <w:t xml:space="preserve">- комплексная государственная поддержка (налоговая, финансовая, имущественная) ИТ-компаний;</w:t>
      </w:r>
    </w:p>
    <w:p>
      <w:pPr>
        <w:pStyle w:val="0"/>
        <w:spacing w:before="200" w:line-rule="auto"/>
        <w:ind w:firstLine="540"/>
        <w:jc w:val="both"/>
      </w:pPr>
      <w:r>
        <w:rPr>
          <w:sz w:val="20"/>
        </w:rPr>
        <w:t xml:space="preserve">- содействие в продвижении продукции региональных ИТ-компаний;</w:t>
      </w:r>
    </w:p>
    <w:p>
      <w:pPr>
        <w:pStyle w:val="0"/>
        <w:spacing w:before="200" w:line-rule="auto"/>
        <w:ind w:firstLine="540"/>
        <w:jc w:val="both"/>
      </w:pPr>
      <w:r>
        <w:rPr>
          <w:sz w:val="20"/>
        </w:rPr>
        <w:t xml:space="preserve">- содействие дальнейшей глубокой информатизации экономики и социальной сферы, в том числе государственного сектора.</w:t>
      </w:r>
    </w:p>
    <w:p>
      <w:pPr>
        <w:pStyle w:val="2"/>
        <w:spacing w:before="200" w:line-rule="auto"/>
        <w:outlineLvl w:val="6"/>
        <w:ind w:firstLine="540"/>
        <w:jc w:val="both"/>
      </w:pPr>
      <w:r>
        <w:rPr>
          <w:sz w:val="20"/>
        </w:rPr>
        <w:t xml:space="preserve">Кластер инновационных и информационных технологий</w:t>
      </w:r>
    </w:p>
    <w:p>
      <w:pPr>
        <w:pStyle w:val="0"/>
        <w:spacing w:before="200" w:line-rule="auto"/>
        <w:ind w:firstLine="540"/>
        <w:jc w:val="both"/>
      </w:pPr>
      <w:r>
        <w:rPr>
          <w:sz w:val="20"/>
        </w:rPr>
        <w:t xml:space="preserve">Целевое видение: расширение сети инновационных компаний, занимающихся исследованиями и разработками по приоритетным научным направлениям развития сервиса в ТЭК и нефтегазохимии, других отраслей экономики; создание и внедрение технологий, в том числе информационных, конкурентоспособных на российском и мировом рынках; рост конкурентоспособности вузов как разработчиков новых технологий.</w:t>
      </w:r>
    </w:p>
    <w:p>
      <w:pPr>
        <w:pStyle w:val="0"/>
        <w:spacing w:before="200" w:line-rule="auto"/>
        <w:ind w:firstLine="540"/>
        <w:jc w:val="both"/>
      </w:pPr>
      <w:r>
        <w:rPr>
          <w:sz w:val="20"/>
        </w:rPr>
        <w:t xml:space="preserve">Основания формирования кластера:</w:t>
      </w:r>
    </w:p>
    <w:p>
      <w:pPr>
        <w:pStyle w:val="0"/>
        <w:spacing w:before="200" w:line-rule="auto"/>
        <w:ind w:firstLine="540"/>
        <w:jc w:val="both"/>
      </w:pPr>
      <w:r>
        <w:rPr>
          <w:sz w:val="20"/>
        </w:rPr>
        <w:t xml:space="preserve">развитая научно-промышленная база научно-исследовательских и проектно-изыскательских отраслевых институтов в нефтегазовом секторе;</w:t>
      </w:r>
    </w:p>
    <w:p>
      <w:pPr>
        <w:pStyle w:val="0"/>
        <w:spacing w:before="200" w:line-rule="auto"/>
        <w:ind w:firstLine="540"/>
        <w:jc w:val="both"/>
      </w:pPr>
      <w:r>
        <w:rPr>
          <w:sz w:val="20"/>
        </w:rPr>
        <w:t xml:space="preserve">сложившаяся региональная инфраструктура поддержки инноваций (технопарки, бизнес-инкубаторы, центр прототипирования, ЦМИТы, центр коллективного пользования и лаборатории вузов);</w:t>
      </w:r>
    </w:p>
    <w:p>
      <w:pPr>
        <w:pStyle w:val="0"/>
        <w:spacing w:before="200" w:line-rule="auto"/>
        <w:ind w:firstLine="540"/>
        <w:jc w:val="both"/>
      </w:pPr>
      <w:r>
        <w:rPr>
          <w:sz w:val="20"/>
        </w:rPr>
        <w:t xml:space="preserve">достаточно высокий уровень диверсификации экономики региона за счет создания целого ряда различных обрабатывающих производств и развития новых направлений в агропромышленном комплексе;</w:t>
      </w:r>
    </w:p>
    <w:p>
      <w:pPr>
        <w:pStyle w:val="0"/>
        <w:spacing w:before="200" w:line-rule="auto"/>
        <w:ind w:firstLine="540"/>
        <w:jc w:val="both"/>
      </w:pPr>
      <w:r>
        <w:rPr>
          <w:sz w:val="20"/>
        </w:rPr>
        <w:t xml:space="preserve">устойчивые социально-экономические условия для инновационного развития региона, многостороннее межрегиональное и международное сотрудничество;</w:t>
      </w:r>
    </w:p>
    <w:p>
      <w:pPr>
        <w:pStyle w:val="0"/>
        <w:spacing w:before="200" w:line-rule="auto"/>
        <w:ind w:firstLine="540"/>
        <w:jc w:val="both"/>
      </w:pPr>
      <w:r>
        <w:rPr>
          <w:sz w:val="20"/>
        </w:rPr>
        <w:t xml:space="preserve">развитие сформированных приоритетных направлений развития науки, технологий и техники в Тюменской области.</w:t>
      </w:r>
    </w:p>
    <w:p>
      <w:pPr>
        <w:pStyle w:val="0"/>
        <w:spacing w:before="200" w:line-rule="auto"/>
        <w:ind w:firstLine="540"/>
        <w:jc w:val="both"/>
      </w:pPr>
      <w:r>
        <w:rPr>
          <w:sz w:val="20"/>
        </w:rPr>
        <w:t xml:space="preserve">Проблемы, требующие решения в рамках развития кластера:</w:t>
      </w:r>
    </w:p>
    <w:p>
      <w:pPr>
        <w:pStyle w:val="0"/>
        <w:spacing w:before="200" w:line-rule="auto"/>
        <w:ind w:firstLine="540"/>
        <w:jc w:val="both"/>
      </w:pPr>
      <w:r>
        <w:rPr>
          <w:sz w:val="20"/>
        </w:rPr>
        <w:t xml:space="preserve">слабая восприимчивость экономики к инновациям (низкая заинтересованность в инновациях со стороны предприятий реального сектора экономики);</w:t>
      </w:r>
    </w:p>
    <w:p>
      <w:pPr>
        <w:pStyle w:val="0"/>
        <w:spacing w:before="200" w:line-rule="auto"/>
        <w:ind w:firstLine="540"/>
        <w:jc w:val="both"/>
      </w:pPr>
      <w:r>
        <w:rPr>
          <w:sz w:val="20"/>
        </w:rPr>
        <w:t xml:space="preserve">слабая взаимосвязь предприятий с наукой и институциональными структурами региональной инновационной системы;</w:t>
      </w:r>
    </w:p>
    <w:p>
      <w:pPr>
        <w:pStyle w:val="0"/>
        <w:spacing w:before="200" w:line-rule="auto"/>
        <w:ind w:firstLine="540"/>
        <w:jc w:val="both"/>
      </w:pPr>
      <w:r>
        <w:rPr>
          <w:sz w:val="20"/>
        </w:rPr>
        <w:t xml:space="preserve">неотработанный механизм коммерциализации и передачи передовых технологий, созданных в государственных научных организациях и вузах, технопаркам и предприятиям;</w:t>
      </w:r>
    </w:p>
    <w:p>
      <w:pPr>
        <w:pStyle w:val="0"/>
        <w:spacing w:before="200" w:line-rule="auto"/>
        <w:ind w:firstLine="540"/>
        <w:jc w:val="both"/>
      </w:pPr>
      <w:r>
        <w:rPr>
          <w:sz w:val="20"/>
        </w:rPr>
        <w:t xml:space="preserve">дефицит высокопрофессиональных креативных специалистов, способных повысить эффективность инновационной деятельности на предприятиях;</w:t>
      </w:r>
    </w:p>
    <w:p>
      <w:pPr>
        <w:pStyle w:val="0"/>
        <w:spacing w:before="200" w:line-rule="auto"/>
        <w:ind w:firstLine="540"/>
        <w:jc w:val="both"/>
      </w:pPr>
      <w:r>
        <w:rPr>
          <w:sz w:val="20"/>
        </w:rPr>
        <w:t xml:space="preserve">неразвитость связей инновационного предпринимательства и науки с финансовым сектором.</w:t>
      </w:r>
    </w:p>
    <w:p>
      <w:pPr>
        <w:pStyle w:val="0"/>
        <w:spacing w:before="200" w:line-rule="auto"/>
        <w:ind w:firstLine="540"/>
        <w:jc w:val="both"/>
      </w:pPr>
      <w:r>
        <w:rPr>
          <w:sz w:val="20"/>
        </w:rPr>
        <w:t xml:space="preserve">Перспективы и направления действий:</w:t>
      </w:r>
    </w:p>
    <w:p>
      <w:pPr>
        <w:pStyle w:val="0"/>
        <w:spacing w:before="200" w:line-rule="auto"/>
        <w:ind w:firstLine="540"/>
        <w:jc w:val="both"/>
      </w:pPr>
      <w:r>
        <w:rPr>
          <w:sz w:val="20"/>
        </w:rPr>
        <w:t xml:space="preserve">Развитие объектов инновационной инфраструктуры.</w:t>
      </w:r>
    </w:p>
    <w:p>
      <w:pPr>
        <w:pStyle w:val="0"/>
        <w:spacing w:before="200" w:line-rule="auto"/>
        <w:ind w:firstLine="540"/>
        <w:jc w:val="both"/>
      </w:pPr>
      <w:r>
        <w:rPr>
          <w:sz w:val="20"/>
        </w:rPr>
        <w:t xml:space="preserve">Содействие в продвижении инновационной продукции на внутреннем и внешних рынках.</w:t>
      </w:r>
    </w:p>
    <w:p>
      <w:pPr>
        <w:pStyle w:val="0"/>
        <w:spacing w:before="200" w:line-rule="auto"/>
        <w:ind w:firstLine="540"/>
        <w:jc w:val="both"/>
      </w:pPr>
      <w:r>
        <w:rPr>
          <w:sz w:val="20"/>
        </w:rPr>
        <w:t xml:space="preserve">Поддержка развития кооперации вузов, инновационных предприятий и крупных компаний.</w:t>
      </w:r>
    </w:p>
    <w:p>
      <w:pPr>
        <w:pStyle w:val="0"/>
        <w:spacing w:before="200" w:line-rule="auto"/>
        <w:ind w:firstLine="540"/>
        <w:jc w:val="both"/>
      </w:pPr>
      <w:r>
        <w:rPr>
          <w:sz w:val="20"/>
        </w:rPr>
        <w:t xml:space="preserve">Формирование сети представительств инвестиционных компаний и венчурных фондов, деятельности клубов и сообществ, объединяющих молодых людей, занимающихся новаторством.</w:t>
      </w:r>
    </w:p>
    <w:p>
      <w:pPr>
        <w:pStyle w:val="0"/>
        <w:spacing w:before="200" w:line-rule="auto"/>
        <w:ind w:firstLine="540"/>
        <w:jc w:val="both"/>
      </w:pPr>
      <w:r>
        <w:rPr>
          <w:sz w:val="20"/>
        </w:rPr>
        <w:t xml:space="preserve">Привлечение в регион компаний из числа крупнейших российских и мировых представителей ИТ-сферы.</w:t>
      </w:r>
    </w:p>
    <w:p>
      <w:pPr>
        <w:pStyle w:val="0"/>
        <w:spacing w:before="200" w:line-rule="auto"/>
        <w:ind w:firstLine="540"/>
        <w:jc w:val="both"/>
      </w:pPr>
      <w:r>
        <w:rPr>
          <w:sz w:val="20"/>
        </w:rPr>
        <w:t xml:space="preserve">Участие Тюменской области в национальной технологической инициативе.</w:t>
      </w:r>
    </w:p>
    <w:p>
      <w:pPr>
        <w:pStyle w:val="0"/>
        <w:spacing w:before="200" w:line-rule="auto"/>
        <w:ind w:firstLine="540"/>
        <w:jc w:val="both"/>
      </w:pPr>
      <w:r>
        <w:rPr>
          <w:sz w:val="20"/>
        </w:rPr>
        <w:t xml:space="preserve">Территориальное расположение кластера: город Тюмень, город Тобольск.</w:t>
      </w:r>
    </w:p>
    <w:p>
      <w:pPr>
        <w:pStyle w:val="0"/>
        <w:spacing w:before="200" w:line-rule="auto"/>
        <w:ind w:firstLine="540"/>
        <w:jc w:val="both"/>
      </w:pPr>
      <w:r>
        <w:rPr>
          <w:sz w:val="20"/>
        </w:rPr>
        <w:t xml:space="preserve">Научно-образовательный потенциал реализации кластера обеспечивается государственными образовательными учреждениями, связанными с деятельностью по подготовке высококвалифицированных кадров, и научно-исследовательскими и проектно-конструкторскими организациями различной отраслевой направленности: Тюменский государственный университет, Тюменский индустриальный университет, Государственный аграрный университет Северного Зауралья, Тюменский государственный медицинский университет.</w:t>
      </w:r>
    </w:p>
    <w:p>
      <w:pPr>
        <w:pStyle w:val="0"/>
        <w:spacing w:before="200" w:line-rule="auto"/>
        <w:ind w:firstLine="540"/>
        <w:jc w:val="both"/>
      </w:pPr>
      <w:r>
        <w:rPr>
          <w:sz w:val="20"/>
        </w:rPr>
        <w:t xml:space="preserve">Продуктовые направления:</w:t>
      </w:r>
    </w:p>
    <w:p>
      <w:pPr>
        <w:pStyle w:val="0"/>
        <w:spacing w:before="200" w:line-rule="auto"/>
        <w:ind w:firstLine="540"/>
        <w:jc w:val="both"/>
      </w:pPr>
      <w:r>
        <w:rPr>
          <w:sz w:val="20"/>
        </w:rPr>
        <w:t xml:space="preserve">- существующие:</w:t>
      </w:r>
    </w:p>
    <w:p>
      <w:pPr>
        <w:pStyle w:val="0"/>
        <w:spacing w:before="200" w:line-rule="auto"/>
        <w:ind w:firstLine="540"/>
        <w:jc w:val="both"/>
      </w:pPr>
      <w:r>
        <w:rPr>
          <w:sz w:val="20"/>
        </w:rPr>
        <w:t xml:space="preserve">рациональное природопользование: оборудование и материалы для проведения геологоразведочных работ, повышения эффективности добычи полезных ископаемых, рекультивации природных сред, переработки отходов, методы и приборы контроля и испытаний, диагностики процессов в ТЭК, а также исследования и разработки в области геокриологии (мерзлотоведения);</w:t>
      </w:r>
    </w:p>
    <w:p>
      <w:pPr>
        <w:pStyle w:val="0"/>
        <w:spacing w:before="200" w:line-rule="auto"/>
        <w:ind w:firstLine="540"/>
        <w:jc w:val="both"/>
      </w:pPr>
      <w:r>
        <w:rPr>
          <w:sz w:val="20"/>
        </w:rPr>
        <w:t xml:space="preserve">отдельные разработки в сфере агропромышленного комплекса (гуминовые препараты, капсулированные удобрения, методы и оборудование для повышения эффективности процессов в сельском хозяйстве и рыбоводстве), медицины и диагностики, строительных материалов, транспорта и других;</w:t>
      </w:r>
    </w:p>
    <w:p>
      <w:pPr>
        <w:pStyle w:val="0"/>
        <w:spacing w:before="200" w:line-rule="auto"/>
        <w:ind w:firstLine="540"/>
        <w:jc w:val="both"/>
      </w:pPr>
      <w:r>
        <w:rPr>
          <w:sz w:val="20"/>
        </w:rPr>
        <w:t xml:space="preserve">программное обеспечение, ИТ-услуги (сопровождение государственных интернет-ресурсов и информационных систем, техническое обслуживание вычислительного оборудования, оргтехники и общесистемного программного обеспечения, использование технологии глобальной навигационной спутниковой системы "ГЛОНАСС", образовательные услуги, предоставление телекоммуникационных услуг, услуг в сфере информационной безопасности, консультационных услуг, услуг системной интеграции, моделирования бизнес-процессов, услуг по геологическому, гидродинамическому и геомеханическому моделированию для нефтегазовой отрасли), элементы ИКТ, используемые для совершенствования производственных процессов и другое;</w:t>
      </w:r>
    </w:p>
    <w:p>
      <w:pPr>
        <w:pStyle w:val="0"/>
        <w:spacing w:before="200" w:line-rule="auto"/>
        <w:ind w:firstLine="540"/>
        <w:jc w:val="both"/>
      </w:pPr>
      <w:r>
        <w:rPr>
          <w:sz w:val="20"/>
        </w:rPr>
        <w:t xml:space="preserve">- новые:</w:t>
      </w:r>
    </w:p>
    <w:p>
      <w:pPr>
        <w:pStyle w:val="0"/>
        <w:spacing w:before="200" w:line-rule="auto"/>
        <w:ind w:firstLine="540"/>
        <w:jc w:val="both"/>
      </w:pPr>
      <w:r>
        <w:rPr>
          <w:sz w:val="20"/>
        </w:rPr>
        <w:t xml:space="preserve">новые материалы: топливные элементы, катализаторы для получения инновационных энергоносителей (ветрогенераторы, биотопливо), композитные материалы, функциональные материалы (биоматериалы, конструкционные, углеродные, теплофизические и электрические материалы, суперионики), компьютерное моделирование материалов и процессов;</w:t>
      </w:r>
    </w:p>
    <w:p>
      <w:pPr>
        <w:pStyle w:val="0"/>
        <w:spacing w:before="200" w:line-rule="auto"/>
        <w:ind w:firstLine="540"/>
        <w:jc w:val="both"/>
      </w:pPr>
      <w:r>
        <w:rPr>
          <w:sz w:val="20"/>
        </w:rPr>
        <w:t xml:space="preserve">оборудование, материалы и технологии для повышения эффективности добычи полезных ископаемых, агропромышленного комплекса, медицины, транспорта, строительства и ЖКХ;</w:t>
      </w:r>
    </w:p>
    <w:p>
      <w:pPr>
        <w:pStyle w:val="0"/>
        <w:spacing w:before="200" w:line-rule="auto"/>
        <w:ind w:firstLine="540"/>
        <w:jc w:val="both"/>
      </w:pPr>
      <w:r>
        <w:rPr>
          <w:sz w:val="20"/>
        </w:rPr>
        <w:t xml:space="preserve">оборудование и технологии эффективного использования энергии, глубокой переработки органического топлива, эффективной транспортировки топлива и энергии;</w:t>
      </w:r>
    </w:p>
    <w:p>
      <w:pPr>
        <w:pStyle w:val="0"/>
        <w:spacing w:before="200" w:line-rule="auto"/>
        <w:ind w:firstLine="540"/>
        <w:jc w:val="both"/>
      </w:pPr>
      <w:r>
        <w:rPr>
          <w:sz w:val="20"/>
        </w:rPr>
        <w:t xml:space="preserve">ИТ-услуги (компьютерная лингвистика и искусственный интеллект, робототехника и программное обеспечение для роботов, 3D-проектирование и печать, дополненная и виртуальная реальность, ИТ в образовании, биоинформатика и ИТ в медицине, информатика в статистике (data science), "Интернет вещей"), элементы ИКТ для внедрения в отраслях нефтедобычи, нефтепереработки, нефтегазохимии (современные цифровые датчики, позволяющие проводить сейсморазведку продуктивных горизонтов и гравитационные изыскания, осуществлять электромагнитный мониторинг и другое, комплексы для многоформатной интерпретации больших и сложных массивов данных моделирования месторождений, рациональная проходка и ее завершение, технологии отдаленного мониторинга).</w:t>
      </w:r>
    </w:p>
    <w:p>
      <w:pPr>
        <w:pStyle w:val="0"/>
        <w:spacing w:before="200" w:line-rule="auto"/>
        <w:ind w:firstLine="540"/>
        <w:jc w:val="both"/>
      </w:pPr>
      <w:r>
        <w:rPr>
          <w:sz w:val="20"/>
        </w:rPr>
        <w:t xml:space="preserve">Ключевые участники: Западно-Сибирский инновационный центр (Тюменский технопарк), СургутНИПИнефть, ТИНГ, СибГеоПроект, СибСтрой-Экология, Сибтехнология, Сибпроект-Сервис, ЗапСибНИИГГ, ИКЗ ТюмНЦ СО РАН, Тюменьпромгеофизика, Тюменский опытно-экспериментальный завод геофизического приборостроения, СИБУР, ГМС Нефтемаш, Шлюмберже, СибБурМаш, ТюменНИИгипрогаз, филиал "Уралмаш НГО Холдинг" в городе Тюмени, Югсон-Сервис, НТЦ "Энергосбережение", Сибнефтеавтоматика, Фундаментстройаркос, Фотекон ИНТЭС, Тюменский государственный университет, Тюменский индустриальный университет, Центр информационных технологий Тюменской области, РИО-Центр, РОСТЕЛЕКОМ - РОЗНИЧНЫЕ СИСТЕМЫ, КБ-Информ, РАСТАМ-Информационные технологии, Дата Сервис Технолоджи, Тюмбит-АСУ, ГК Арсенал +, IT-инкубатор Тюменской области, филиалы и подразделения компаний Е-Софт, ИТП ГРАД, Когнитивные технологии, 1С, Техносерв, ИнфоВотч, АСБК.</w:t>
      </w:r>
    </w:p>
    <w:p>
      <w:pPr>
        <w:pStyle w:val="0"/>
        <w:spacing w:before="200" w:line-rule="auto"/>
        <w:ind w:firstLine="540"/>
        <w:jc w:val="both"/>
      </w:pPr>
      <w:r>
        <w:rPr>
          <w:sz w:val="20"/>
        </w:rPr>
        <w:t xml:space="preserve">Потенциальные рынки сбыта: внутрироссийский рынок, страны СНГ и другие.</w:t>
      </w:r>
    </w:p>
    <w:p>
      <w:pPr>
        <w:pStyle w:val="0"/>
        <w:jc w:val="both"/>
      </w:pPr>
      <w:r>
        <w:rPr>
          <w:sz w:val="20"/>
        </w:rPr>
      </w:r>
    </w:p>
    <w:p>
      <w:pPr>
        <w:pStyle w:val="2"/>
        <w:outlineLvl w:val="4"/>
        <w:ind w:firstLine="540"/>
        <w:jc w:val="both"/>
      </w:pPr>
      <w:r>
        <w:rPr>
          <w:sz w:val="20"/>
        </w:rPr>
        <w:t xml:space="preserve">Цель 2.3. Улучшение качества природной среды и условий жизни человека, рациональное природопользование и развитие "зеленой" экономики (РАЦИОНАЛЬНОЕ ПРИРОДОПОЛЬЗОВАНИЕ)</w:t>
      </w:r>
    </w:p>
    <w:p>
      <w:pPr>
        <w:pStyle w:val="2"/>
        <w:spacing w:before="200" w:line-rule="auto"/>
        <w:outlineLvl w:val="5"/>
        <w:ind w:firstLine="540"/>
        <w:jc w:val="both"/>
      </w:pPr>
      <w:r>
        <w:rPr>
          <w:sz w:val="20"/>
        </w:rPr>
        <w:t xml:space="preserve">Задача 2.3.1. Развитие бережного отношения к природе (ЭКОЛОГИЧЕСКОЕ ВОСПИТАНИЕ)</w:t>
      </w:r>
    </w:p>
    <w:p>
      <w:pPr>
        <w:pStyle w:val="0"/>
        <w:spacing w:before="200" w:line-rule="auto"/>
        <w:ind w:firstLine="540"/>
        <w:jc w:val="both"/>
      </w:pPr>
      <w:r>
        <w:rPr>
          <w:sz w:val="20"/>
        </w:rPr>
        <w:t xml:space="preserve">Ключевой задачей по реализации государственной политики в области рационального природопользования и обеспечения экологической безопасности Тюменской области должно стать развитие бережного отношения к природе как залог обеспечения благоприятных условий для жизни многих поколений людей и неистощительного использования природных ресурсов.</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повышение уровня экологической культуры и грамотности населения, развитие экологического воспитания, образования и просвещения с целью формирования бережного отношения к окружающей среде;</w:t>
      </w:r>
    </w:p>
    <w:p>
      <w:pPr>
        <w:pStyle w:val="0"/>
        <w:spacing w:before="200" w:line-rule="auto"/>
        <w:ind w:firstLine="540"/>
        <w:jc w:val="both"/>
      </w:pPr>
      <w:r>
        <w:rPr>
          <w:sz w:val="20"/>
        </w:rPr>
        <w:t xml:space="preserve">- повышение информированности общества о состоянии и деятельности в области ресурсосбережения и повышения энергетической эффективности, формирование бережливой модели поведения и хозяйствования, позитивного общественного мнения о необходимости ресурсосбережения и повышения энергетической эффективности;</w:t>
      </w:r>
    </w:p>
    <w:p>
      <w:pPr>
        <w:pStyle w:val="0"/>
        <w:spacing w:before="200" w:line-rule="auto"/>
        <w:ind w:firstLine="540"/>
        <w:jc w:val="both"/>
      </w:pPr>
      <w:r>
        <w:rPr>
          <w:sz w:val="20"/>
        </w:rPr>
        <w:t xml:space="preserve">- обеспечение баланса выбытия и воспроизводства лесов;</w:t>
      </w:r>
    </w:p>
    <w:p>
      <w:pPr>
        <w:pStyle w:val="0"/>
        <w:spacing w:before="200" w:line-rule="auto"/>
        <w:ind w:firstLine="540"/>
        <w:jc w:val="both"/>
      </w:pPr>
      <w:r>
        <w:rPr>
          <w:sz w:val="20"/>
        </w:rPr>
        <w:t xml:space="preserve">- вовлечение граждан, общественных объединений, некоммерческих организаций и хозяйствующих субъектов в принятие экологически важных решений;</w:t>
      </w:r>
    </w:p>
    <w:p>
      <w:pPr>
        <w:pStyle w:val="0"/>
        <w:spacing w:before="200" w:line-rule="auto"/>
        <w:ind w:firstLine="540"/>
        <w:jc w:val="both"/>
      </w:pPr>
      <w:r>
        <w:rPr>
          <w:sz w:val="20"/>
        </w:rPr>
        <w:t xml:space="preserve">- поддержка специального профессионального образования в области экологии, рационального природопользования;</w:t>
      </w:r>
    </w:p>
    <w:p>
      <w:pPr>
        <w:pStyle w:val="0"/>
        <w:spacing w:before="200" w:line-rule="auto"/>
        <w:ind w:firstLine="540"/>
        <w:jc w:val="both"/>
      </w:pPr>
      <w:r>
        <w:rPr>
          <w:sz w:val="20"/>
        </w:rPr>
        <w:t xml:space="preserve">- повышение уровня компетенций специалистов, ответственных за энергосбережение и повышение энергетической эффективности.</w:t>
      </w:r>
    </w:p>
    <w:p>
      <w:pPr>
        <w:pStyle w:val="2"/>
        <w:spacing w:before="200" w:line-rule="auto"/>
        <w:outlineLvl w:val="5"/>
        <w:ind w:firstLine="540"/>
        <w:jc w:val="both"/>
      </w:pPr>
      <w:r>
        <w:rPr>
          <w:sz w:val="20"/>
        </w:rPr>
        <w:t xml:space="preserve">Задача 2.3.2. Сохранение и защита природной среды, создание экологически безопасной и комфортной обстановки для населения (ЭКОЛОГИЯ ПРИРОДНОЙ СРЕДЫ, ЭКОЛОГИЯ ЧЕЛОВЕКА)</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реализация методов территориального планирования, землепользования и застройки, учитывающих экологические ограничения;</w:t>
      </w:r>
    </w:p>
    <w:p>
      <w:pPr>
        <w:pStyle w:val="0"/>
        <w:spacing w:before="200" w:line-rule="auto"/>
        <w:ind w:firstLine="540"/>
        <w:jc w:val="both"/>
      </w:pPr>
      <w:r>
        <w:rPr>
          <w:sz w:val="20"/>
        </w:rPr>
        <w:t xml:space="preserve">- развитие системы особо охраняемых природных территорий регионального значения, обеспечивающих сохранение (восстановление) естественных экосистем;</w:t>
      </w:r>
    </w:p>
    <w:p>
      <w:pPr>
        <w:pStyle w:val="0"/>
        <w:spacing w:before="200" w:line-rule="auto"/>
        <w:ind w:firstLine="540"/>
        <w:jc w:val="both"/>
      </w:pPr>
      <w:r>
        <w:rPr>
          <w:sz w:val="20"/>
        </w:rPr>
        <w:t xml:space="preserve">- обеспечение сохранения биологического разнообразия;</w:t>
      </w:r>
    </w:p>
    <w:p>
      <w:pPr>
        <w:pStyle w:val="0"/>
        <w:spacing w:before="200" w:line-rule="auto"/>
        <w:ind w:firstLine="540"/>
        <w:jc w:val="both"/>
      </w:pPr>
      <w:r>
        <w:rPr>
          <w:sz w:val="20"/>
        </w:rPr>
        <w:t xml:space="preserve">- реализация комплекса регулярных научно-исследовательских работ по мониторингу объектов охраны, создание, пополнение и использование электронной базы данных, ведение научно-информационной работы по вопросу сохранения видов животных, растений и грибов, занесенных в Красные книги Российской Федерации и Тюменской области, ведение Красной книги Тюменской области;</w:t>
      </w:r>
    </w:p>
    <w:p>
      <w:pPr>
        <w:pStyle w:val="0"/>
        <w:spacing w:before="200" w:line-rule="auto"/>
        <w:ind w:firstLine="540"/>
        <w:jc w:val="both"/>
      </w:pPr>
      <w:r>
        <w:rPr>
          <w:sz w:val="20"/>
        </w:rPr>
        <w:t xml:space="preserve">- сокращение и предотвращение загрязнения воздушной среды путем оборудования фильтрами стационарных источников, внедрения электрического общественного транспорта, выноса за город экологически опасных производств, озеленения городов и увеличения рекреационных зон в городах, создания лесопарковых зеленых поясов вокруг городов, рекультивации полигонов ТКО;</w:t>
      </w:r>
    </w:p>
    <w:p>
      <w:pPr>
        <w:pStyle w:val="0"/>
        <w:spacing w:before="200" w:line-rule="auto"/>
        <w:ind w:firstLine="540"/>
        <w:jc w:val="both"/>
      </w:pPr>
      <w:r>
        <w:rPr>
          <w:sz w:val="20"/>
        </w:rPr>
        <w:t xml:space="preserve">- сокращение и предотвращение загрязнения водных объектов, предотвращение негативного воздействия вод;</w:t>
      </w:r>
    </w:p>
    <w:p>
      <w:pPr>
        <w:pStyle w:val="0"/>
        <w:spacing w:before="200" w:line-rule="auto"/>
        <w:ind w:firstLine="540"/>
        <w:jc w:val="both"/>
      </w:pPr>
      <w:r>
        <w:rPr>
          <w:sz w:val="20"/>
        </w:rPr>
        <w:t xml:space="preserve">- формирование комплексной системы обращения с твердыми коммунальными отходами;</w:t>
      </w:r>
    </w:p>
    <w:p>
      <w:pPr>
        <w:pStyle w:val="0"/>
        <w:spacing w:before="200" w:line-rule="auto"/>
        <w:ind w:firstLine="540"/>
        <w:jc w:val="both"/>
      </w:pPr>
      <w:r>
        <w:rPr>
          <w:sz w:val="20"/>
        </w:rPr>
        <w:t xml:space="preserve">- обеспечение ликвидации объектов накопленного экологического вреда, включая ликвидацию свалок и рекультивацию территорий, на которых они размещены;</w:t>
      </w:r>
    </w:p>
    <w:p>
      <w:pPr>
        <w:pStyle w:val="0"/>
        <w:spacing w:before="200" w:line-rule="auto"/>
        <w:ind w:firstLine="540"/>
        <w:jc w:val="both"/>
      </w:pPr>
      <w:r>
        <w:rPr>
          <w:sz w:val="20"/>
        </w:rPr>
        <w:t xml:space="preserve">- проведение комплекса работ по восстановлению земель и водоемов, плодородие которых существенно снизилось в результате человеческой деятельности;</w:t>
      </w:r>
    </w:p>
    <w:p>
      <w:pPr>
        <w:pStyle w:val="0"/>
        <w:spacing w:before="200" w:line-rule="auto"/>
        <w:ind w:firstLine="540"/>
        <w:jc w:val="both"/>
      </w:pPr>
      <w:r>
        <w:rPr>
          <w:sz w:val="20"/>
        </w:rPr>
        <w:t xml:space="preserve">- сокращение площадей лесного фонда, пройденных лесными пожарами;</w:t>
      </w:r>
    </w:p>
    <w:p>
      <w:pPr>
        <w:pStyle w:val="0"/>
        <w:spacing w:before="200" w:line-rule="auto"/>
        <w:ind w:firstLine="540"/>
        <w:jc w:val="both"/>
      </w:pPr>
      <w:r>
        <w:rPr>
          <w:sz w:val="20"/>
        </w:rPr>
        <w:t xml:space="preserve">- обеспечение пожарной безопасности в лесах путем проведения противопожарных мероприятий;</w:t>
      </w:r>
    </w:p>
    <w:p>
      <w:pPr>
        <w:pStyle w:val="0"/>
        <w:spacing w:before="200" w:line-rule="auto"/>
        <w:ind w:firstLine="540"/>
        <w:jc w:val="both"/>
      </w:pPr>
      <w:r>
        <w:rPr>
          <w:sz w:val="20"/>
        </w:rPr>
        <w:t xml:space="preserve">- обеспечение увеличения площади лесовосстановления и лесоразведения;</w:t>
      </w:r>
    </w:p>
    <w:p>
      <w:pPr>
        <w:pStyle w:val="0"/>
        <w:spacing w:before="200" w:line-rule="auto"/>
        <w:ind w:firstLine="540"/>
        <w:jc w:val="both"/>
      </w:pPr>
      <w:r>
        <w:rPr>
          <w:sz w:val="20"/>
        </w:rPr>
        <w:t xml:space="preserve">- обеспечение регионального государственного экологического надзора и осуществление государственного экологического мониторинга.</w:t>
      </w:r>
    </w:p>
    <w:p>
      <w:pPr>
        <w:pStyle w:val="2"/>
        <w:spacing w:before="200" w:line-rule="auto"/>
        <w:outlineLvl w:val="5"/>
        <w:ind w:firstLine="540"/>
        <w:jc w:val="both"/>
      </w:pPr>
      <w:r>
        <w:rPr>
          <w:sz w:val="20"/>
        </w:rPr>
        <w:t xml:space="preserve">Задача 2.3.3. Стимулирование снижения ресурсопотребления и внедрения "зеленых технологий" (ЭКОЛОГИЯ ПРОИЗВОДСТВА, ЭКОБИЗНЕС)</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стимулирование разработок и внедрения ресурсосберегающих и экологически чистых (безопасных) технологий, технологий замкнутых циклов, рециклинга отходов, бракованной и вышедшей из употребления продукции;</w:t>
      </w:r>
    </w:p>
    <w:p>
      <w:pPr>
        <w:pStyle w:val="0"/>
        <w:spacing w:before="200" w:line-rule="auto"/>
        <w:ind w:firstLine="540"/>
        <w:jc w:val="both"/>
      </w:pPr>
      <w:r>
        <w:rPr>
          <w:sz w:val="20"/>
        </w:rPr>
        <w:t xml:space="preserve">- проведение исследований и разработок по освоению геотермальных энергетических источников в Тюменской области;</w:t>
      </w:r>
    </w:p>
    <w:p>
      <w:pPr>
        <w:pStyle w:val="0"/>
        <w:spacing w:before="200" w:line-rule="auto"/>
        <w:ind w:firstLine="540"/>
        <w:jc w:val="both"/>
      </w:pPr>
      <w:r>
        <w:rPr>
          <w:sz w:val="20"/>
        </w:rPr>
        <w:t xml:space="preserve">- расширение использования возобновляемых источников энергии;</w:t>
      </w:r>
    </w:p>
    <w:p>
      <w:pPr>
        <w:pStyle w:val="0"/>
        <w:spacing w:before="200" w:line-rule="auto"/>
        <w:ind w:firstLine="540"/>
        <w:jc w:val="both"/>
      </w:pPr>
      <w:r>
        <w:rPr>
          <w:sz w:val="20"/>
        </w:rPr>
        <w:t xml:space="preserve">- повышение энергоэффективности в жилищно-коммунальном хозяйстве, на транспорте, в промышленности, сельском хозяйстве;</w:t>
      </w:r>
    </w:p>
    <w:p>
      <w:pPr>
        <w:pStyle w:val="0"/>
        <w:spacing w:before="200" w:line-rule="auto"/>
        <w:ind w:firstLine="540"/>
        <w:jc w:val="both"/>
      </w:pPr>
      <w:r>
        <w:rPr>
          <w:sz w:val="20"/>
        </w:rPr>
        <w:t xml:space="preserve">- развитие органического сельского хозяйства, в том числе с поэтапным отказом от химических удобрений и средств защиты растений;</w:t>
      </w:r>
    </w:p>
    <w:p>
      <w:pPr>
        <w:pStyle w:val="0"/>
        <w:spacing w:before="200" w:line-rule="auto"/>
        <w:ind w:firstLine="540"/>
        <w:jc w:val="both"/>
      </w:pPr>
      <w:r>
        <w:rPr>
          <w:sz w:val="20"/>
        </w:rPr>
        <w:t xml:space="preserve">- содействие развитию экологически чистого (безопасного) транспорта;</w:t>
      </w:r>
    </w:p>
    <w:p>
      <w:pPr>
        <w:pStyle w:val="0"/>
        <w:spacing w:before="200" w:line-rule="auto"/>
        <w:ind w:firstLine="540"/>
        <w:jc w:val="both"/>
      </w:pPr>
      <w:r>
        <w:rPr>
          <w:sz w:val="20"/>
        </w:rPr>
        <w:t xml:space="preserve">- совершенствование системы управления природными ресурсами;</w:t>
      </w:r>
    </w:p>
    <w:p>
      <w:pPr>
        <w:pStyle w:val="0"/>
        <w:spacing w:before="200" w:line-rule="auto"/>
        <w:ind w:firstLine="540"/>
        <w:jc w:val="both"/>
      </w:pPr>
      <w:r>
        <w:rPr>
          <w:sz w:val="20"/>
        </w:rPr>
        <w:t xml:space="preserve">- обеспечение эффективности использования, охраны, защиты и воспроизводства лесов;</w:t>
      </w:r>
    </w:p>
    <w:p>
      <w:pPr>
        <w:pStyle w:val="0"/>
        <w:spacing w:before="200" w:line-rule="auto"/>
        <w:ind w:firstLine="540"/>
        <w:jc w:val="both"/>
      </w:pPr>
      <w:r>
        <w:rPr>
          <w:sz w:val="20"/>
        </w:rPr>
        <w:t xml:space="preserve">- привлечение внебюджетных инвестиций, в том числе на условиях ГЧП, для реализации мероприятий и проектов в области рационального природопользования и экологической безопасности;</w:t>
      </w:r>
    </w:p>
    <w:p>
      <w:pPr>
        <w:pStyle w:val="0"/>
        <w:spacing w:before="200" w:line-rule="auto"/>
        <w:ind w:firstLine="540"/>
        <w:jc w:val="both"/>
      </w:pPr>
      <w:r>
        <w:rPr>
          <w:sz w:val="20"/>
        </w:rPr>
        <w:t xml:space="preserve">- обеспечение капитализации экологических преимуществ области (развитие рекреационного туризма, зон отдыха, розлив минеральных вод, другое).</w:t>
      </w:r>
    </w:p>
    <w:p>
      <w:pPr>
        <w:pStyle w:val="0"/>
        <w:jc w:val="both"/>
      </w:pPr>
      <w:r>
        <w:rPr>
          <w:sz w:val="20"/>
        </w:rPr>
      </w:r>
    </w:p>
    <w:p>
      <w:pPr>
        <w:pStyle w:val="2"/>
        <w:outlineLvl w:val="3"/>
        <w:ind w:firstLine="540"/>
        <w:jc w:val="both"/>
      </w:pPr>
      <w:r>
        <w:rPr>
          <w:sz w:val="20"/>
        </w:rPr>
        <w:t xml:space="preserve">Приоритет 3. ПРОСТРАНСТВО</w:t>
      </w:r>
    </w:p>
    <w:p>
      <w:pPr>
        <w:pStyle w:val="0"/>
        <w:spacing w:before="200" w:line-rule="auto"/>
        <w:ind w:firstLine="540"/>
        <w:jc w:val="both"/>
      </w:pPr>
      <w:r>
        <w:rPr>
          <w:sz w:val="20"/>
        </w:rPr>
        <w:t xml:space="preserve">Сбалансированное пространственное развитие</w:t>
      </w:r>
    </w:p>
    <w:p>
      <w:pPr>
        <w:pStyle w:val="0"/>
        <w:spacing w:before="200" w:line-rule="auto"/>
        <w:ind w:firstLine="540"/>
        <w:jc w:val="both"/>
      </w:pPr>
      <w:r>
        <w:rPr>
          <w:sz w:val="20"/>
        </w:rPr>
        <w:t xml:space="preserve">Совершенствование пространственной организации Тюменской области связано с развитием системы расселения, основных инфраструктурных пространственных систем и форм пространственной организации экономики на основе эффективной специализации территорий.</w:t>
      </w:r>
    </w:p>
    <w:p>
      <w:pPr>
        <w:pStyle w:val="0"/>
        <w:spacing w:before="200" w:line-rule="auto"/>
        <w:ind w:firstLine="540"/>
        <w:jc w:val="both"/>
      </w:pPr>
      <w:hyperlink w:history="0" r:id="rId52"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Стратегией</w:t>
        </w:r>
      </w:hyperlink>
      <w:r>
        <w:rPr>
          <w:sz w:val="20"/>
        </w:rPr>
        <w:t xml:space="preserve"> пространственного развития Российской Федерации на период до 2025 года (распоряжение Правительства Российской Федерации от 13.02.2019 N 207-р) определены отрасли перспективной экономической специализации Тюменской области. Город Тюмень определен одним из перспективных крупных центров экономического роста Российской Федерации (городов, образующих крупные городские агломерации и крупнейшие городские агломерации, которые обеспечат вклад в экономический рост Российской Федерации более 1% ежегодно), а также одним из перспективных центров экономического роста, где сложились условия для формирования научно-образовательного центра мирового уровня. Муниципальные образования Тюменской области, специализирующиеся на добыче нефти и природного газа, определены как перспективные центры экономического роста Тюменской области (минерально-сырьевые центры), которые обеспечат вклад в экономический рост Российской Федерации более 0,2% ежегодно.</w:t>
      </w:r>
    </w:p>
    <w:p>
      <w:pPr>
        <w:pStyle w:val="0"/>
        <w:spacing w:before="200" w:line-rule="auto"/>
        <w:ind w:firstLine="540"/>
        <w:jc w:val="both"/>
      </w:pPr>
      <w:r>
        <w:rPr>
          <w:sz w:val="20"/>
        </w:rPr>
        <w:t xml:space="preserve">Тюменская область наряду с Курганской, Свердловской, Челябинской областями, Ханты-Мансийским автономным округом - Югрой и Ямало-Ненецким автономным округом входит в состав Уральско-Сибирского макрорегиона.</w:t>
      </w:r>
    </w:p>
    <w:p>
      <w:pPr>
        <w:pStyle w:val="0"/>
        <w:spacing w:before="200" w:line-rule="auto"/>
        <w:ind w:firstLine="540"/>
        <w:jc w:val="both"/>
      </w:pPr>
      <w:r>
        <w:rPr>
          <w:sz w:val="20"/>
        </w:rPr>
        <w:t xml:space="preserve">Тюменская область включена в перечень приграничных геостратегических территорий Российской Федерации как субъект Российской Федерации, граничащий со странами, входящими в Евразийский экономический союз.</w:t>
      </w:r>
    </w:p>
    <w:p>
      <w:pPr>
        <w:pStyle w:val="0"/>
        <w:jc w:val="both"/>
      </w:pPr>
      <w:r>
        <w:rPr>
          <w:sz w:val="20"/>
        </w:rPr>
      </w:r>
    </w:p>
    <w:p>
      <w:pPr>
        <w:pStyle w:val="2"/>
        <w:outlineLvl w:val="4"/>
        <w:ind w:firstLine="540"/>
        <w:jc w:val="both"/>
      </w:pPr>
      <w:r>
        <w:rPr>
          <w:sz w:val="20"/>
        </w:rPr>
        <w:t xml:space="preserve">Цель 3.1. Организация эффективной системы расселения и распределения производительных сил (ЭФФЕКТИВНАЯ СИСТЕМА РАССЕЛЕНИЯ И РАСПРЕДЕЛЕНИЯ ПРОИЗВОДИТЕЛЬНЫХ СИЛ)</w:t>
      </w:r>
    </w:p>
    <w:p>
      <w:pPr>
        <w:pStyle w:val="2"/>
        <w:spacing w:before="200" w:line-rule="auto"/>
        <w:outlineLvl w:val="5"/>
        <w:ind w:firstLine="540"/>
        <w:jc w:val="both"/>
      </w:pPr>
      <w:r>
        <w:rPr>
          <w:sz w:val="20"/>
        </w:rPr>
        <w:t xml:space="preserve">Задача 3.1.1. Обеспечение инфраструктурной связанности региона, открывающей доступ территориям и их населению к источникам социально-экономического роста (ИНФРАСТРУКТУРНАЯ СВЯЗАННОСТЬ)</w:t>
      </w:r>
    </w:p>
    <w:p>
      <w:pPr>
        <w:pStyle w:val="0"/>
        <w:spacing w:before="200" w:line-rule="auto"/>
        <w:ind w:firstLine="540"/>
        <w:jc w:val="both"/>
      </w:pPr>
      <w:r>
        <w:rPr>
          <w:sz w:val="20"/>
        </w:rPr>
        <w:t xml:space="preserve">Качество проводимой инфраструктурной политики в Тюменской области напрямую влияет на реализацию крупных инвестиционных проектов, конкурентоспособность территорий и всей экономики региона, обеспечение внутрирегиональных и внешних связей, достижение целевых показателей реализации Стратегии. Инфраструктура выступает важным интегрирующим фактором регионального экономического роста.</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создание иерархической сетевой структуры транспортной системы Тюменской области, обеспечивающей взаимодействие федеральной сети скоростных автомагистралей, железнодорожных магистралей, авиаузлов с объектами транспортной инфраструктуры регионального, межмуниципального и местного значения;</w:t>
      </w:r>
    </w:p>
    <w:p>
      <w:pPr>
        <w:pStyle w:val="0"/>
        <w:spacing w:before="200" w:line-rule="auto"/>
        <w:ind w:firstLine="540"/>
        <w:jc w:val="both"/>
      </w:pPr>
      <w:r>
        <w:rPr>
          <w:sz w:val="20"/>
        </w:rPr>
        <w:t xml:space="preserve">- обеспечение применения инновационных технологий и материалов в дорожном хозяйстве, создание интеллектуальных транспортных систем.</w:t>
      </w:r>
    </w:p>
    <w:p>
      <w:pPr>
        <w:pStyle w:val="0"/>
        <w:spacing w:before="200" w:line-rule="auto"/>
        <w:ind w:firstLine="540"/>
        <w:jc w:val="both"/>
      </w:pPr>
      <w:r>
        <w:rPr>
          <w:sz w:val="20"/>
        </w:rPr>
        <w:t xml:space="preserve">- развитие и повышение доступности существующих видов транспорта (строительство и реконструкция автовокзалов и автостанций, развитие информационно-коммуникационных технологий на транспорте, регулирование тарифов по перевозке населения и компенсации недополученных доходов, возникших в результате снижения тарифов);</w:t>
      </w:r>
    </w:p>
    <w:p>
      <w:pPr>
        <w:pStyle w:val="0"/>
        <w:spacing w:before="200" w:line-rule="auto"/>
        <w:ind w:firstLine="540"/>
        <w:jc w:val="both"/>
      </w:pPr>
      <w:r>
        <w:rPr>
          <w:sz w:val="20"/>
        </w:rPr>
        <w:t xml:space="preserve">- интеграция различных видов транспорта в единую систему путем организации мультимодальных перевозок, развитие дополнительных видов транспорта на базе существующей инфраструктуры (организация скоростных городских и пригородных железнодорожных перевозок, развитие малой, в том числе безаэродромной, авиации);</w:t>
      </w:r>
    </w:p>
    <w:p>
      <w:pPr>
        <w:pStyle w:val="0"/>
        <w:spacing w:before="200" w:line-rule="auto"/>
        <w:ind w:firstLine="540"/>
        <w:jc w:val="both"/>
      </w:pPr>
      <w:r>
        <w:rPr>
          <w:sz w:val="20"/>
        </w:rPr>
        <w:t xml:space="preserve">- развитие энергетической инфраструктуры, обеспечивающей надежное удовлетворение спроса населения и экономики;</w:t>
      </w:r>
    </w:p>
    <w:p>
      <w:pPr>
        <w:pStyle w:val="0"/>
        <w:spacing w:before="200" w:line-rule="auto"/>
        <w:ind w:firstLine="540"/>
        <w:jc w:val="both"/>
      </w:pPr>
      <w:r>
        <w:rPr>
          <w:sz w:val="20"/>
        </w:rPr>
        <w:t xml:space="preserve">- обеспечение энергетической безопасности территории области;</w:t>
      </w:r>
    </w:p>
    <w:p>
      <w:pPr>
        <w:pStyle w:val="0"/>
        <w:spacing w:before="200" w:line-rule="auto"/>
        <w:ind w:firstLine="540"/>
        <w:jc w:val="both"/>
      </w:pPr>
      <w:r>
        <w:rPr>
          <w:sz w:val="20"/>
        </w:rPr>
        <w:t xml:space="preserve">- развитие информационно-коммуникационной инфраструктуры;</w:t>
      </w:r>
    </w:p>
    <w:p>
      <w:pPr>
        <w:pStyle w:val="0"/>
        <w:spacing w:before="200" w:line-rule="auto"/>
        <w:ind w:firstLine="540"/>
        <w:jc w:val="both"/>
      </w:pPr>
      <w:r>
        <w:rPr>
          <w:sz w:val="20"/>
        </w:rPr>
        <w:t xml:space="preserve">- обеспечение надежности и доступности услуг связи;</w:t>
      </w:r>
    </w:p>
    <w:p>
      <w:pPr>
        <w:pStyle w:val="0"/>
        <w:spacing w:before="200" w:line-rule="auto"/>
        <w:ind w:firstLine="540"/>
        <w:jc w:val="both"/>
      </w:pPr>
      <w:r>
        <w:rPr>
          <w:sz w:val="20"/>
        </w:rPr>
        <w:t xml:space="preserve">- обеспечение информационной безопасности;</w:t>
      </w:r>
    </w:p>
    <w:p>
      <w:pPr>
        <w:pStyle w:val="0"/>
        <w:spacing w:before="200" w:line-rule="auto"/>
        <w:ind w:firstLine="540"/>
        <w:jc w:val="both"/>
      </w:pPr>
      <w:r>
        <w:rPr>
          <w:sz w:val="20"/>
        </w:rPr>
        <w:t xml:space="preserve">- развитие экосистемы цифровой экономики.</w:t>
      </w:r>
    </w:p>
    <w:p>
      <w:pPr>
        <w:pStyle w:val="2"/>
        <w:spacing w:before="200" w:line-rule="auto"/>
        <w:outlineLvl w:val="6"/>
        <w:ind w:firstLine="540"/>
        <w:jc w:val="both"/>
      </w:pPr>
      <w:r>
        <w:rPr>
          <w:sz w:val="20"/>
        </w:rPr>
        <w:t xml:space="preserve">Развитие транспортно-логистической инфраструктуры</w:t>
      </w:r>
    </w:p>
    <w:p>
      <w:pPr>
        <w:pStyle w:val="0"/>
        <w:spacing w:before="200" w:line-rule="auto"/>
        <w:ind w:firstLine="540"/>
        <w:jc w:val="both"/>
      </w:pPr>
      <w:r>
        <w:rPr>
          <w:sz w:val="20"/>
        </w:rPr>
        <w:t xml:space="preserve">Целевое видение: формирование единого экономического пространства и создание условий для комплексного освоения территории на базе сбалансированного развития эффективной транспортно-логистической инфраструктуры в целях удовлетворения потребностей инновационного социально ориентированного развития экономики и общества в конкурентоспособных качественных транспортных услугах.</w:t>
      </w:r>
    </w:p>
    <w:p>
      <w:pPr>
        <w:pStyle w:val="0"/>
        <w:spacing w:before="200" w:line-rule="auto"/>
        <w:ind w:firstLine="540"/>
        <w:jc w:val="both"/>
      </w:pPr>
      <w:r>
        <w:rPr>
          <w:sz w:val="20"/>
        </w:rPr>
        <w:t xml:space="preserve">Предпосылки развития:</w:t>
      </w:r>
    </w:p>
    <w:p>
      <w:pPr>
        <w:pStyle w:val="0"/>
        <w:spacing w:before="200" w:line-rule="auto"/>
        <w:ind w:firstLine="540"/>
        <w:jc w:val="both"/>
      </w:pPr>
      <w:r>
        <w:rPr>
          <w:sz w:val="20"/>
        </w:rPr>
        <w:t xml:space="preserve">выгодное географическое расположение Тюменской области (связующее звено между восточными и западными регионами страны, нефтегазовым Севером и промышленным Уралом), а также соседство с Казахстаном, близость к республикам Средней Азии и Китаю;</w:t>
      </w:r>
    </w:p>
    <w:p>
      <w:pPr>
        <w:pStyle w:val="0"/>
        <w:spacing w:before="200" w:line-rule="auto"/>
        <w:ind w:firstLine="540"/>
        <w:jc w:val="both"/>
      </w:pPr>
      <w:r>
        <w:rPr>
          <w:sz w:val="20"/>
        </w:rPr>
        <w:t xml:space="preserve">наличие Транссибирской железнодорожной магистрали и железнодорожной магистрали в северном направлении, международного аэропорта, речных портов и сети автомобильных дорог;</w:t>
      </w:r>
    </w:p>
    <w:p>
      <w:pPr>
        <w:pStyle w:val="0"/>
        <w:spacing w:before="200" w:line-rule="auto"/>
        <w:ind w:firstLine="540"/>
        <w:jc w:val="both"/>
      </w:pPr>
      <w:r>
        <w:rPr>
          <w:sz w:val="20"/>
        </w:rPr>
        <w:t xml:space="preserve">наличие крупного транспортного узла - города Тюмени;</w:t>
      </w:r>
    </w:p>
    <w:p>
      <w:pPr>
        <w:pStyle w:val="0"/>
        <w:spacing w:before="200" w:line-rule="auto"/>
        <w:ind w:firstLine="540"/>
        <w:jc w:val="both"/>
      </w:pPr>
      <w:r>
        <w:rPr>
          <w:sz w:val="20"/>
        </w:rPr>
        <w:t xml:space="preserve">рост грузооборота автомобильного транспорта (почти в 1,7 раза в 2018 году к уровню 2007 года), отправления грузов железнодорожным транспортом (почти в 2,9 раза в 2018 году к уровню 2007 года);</w:t>
      </w:r>
    </w:p>
    <w:p>
      <w:pPr>
        <w:pStyle w:val="0"/>
        <w:spacing w:before="200" w:line-rule="auto"/>
        <w:ind w:firstLine="540"/>
        <w:jc w:val="both"/>
      </w:pPr>
      <w:r>
        <w:rPr>
          <w:sz w:val="20"/>
        </w:rPr>
        <w:t xml:space="preserve">присутствие в регионе крупных российских и иностранных торговых сетевых компаний.</w:t>
      </w:r>
    </w:p>
    <w:p>
      <w:pPr>
        <w:pStyle w:val="0"/>
        <w:spacing w:before="200" w:line-rule="auto"/>
        <w:ind w:firstLine="540"/>
        <w:jc w:val="both"/>
      </w:pPr>
      <w:r>
        <w:rPr>
          <w:sz w:val="20"/>
        </w:rPr>
        <w:t xml:space="preserve">Проблемы, требующие решения:</w:t>
      </w:r>
    </w:p>
    <w:p>
      <w:pPr>
        <w:pStyle w:val="0"/>
        <w:spacing w:before="200" w:line-rule="auto"/>
        <w:ind w:firstLine="540"/>
        <w:jc w:val="both"/>
      </w:pPr>
      <w:r>
        <w:rPr>
          <w:sz w:val="20"/>
        </w:rPr>
        <w:t xml:space="preserve">качественные характеристики дорожной сети не соответствуют социально-экономическим потребностям экономики и населения Тюменской области (так, на отдельных участках автомобильных дорог интенсивность движения превышает расчетные показатели в 3 - 4 раза: подходы к городу Тюмени, участок Тюмень - Ялуторовск - Заводоуковск, отдельные участки Тюмень - Тобольск);</w:t>
      </w:r>
    </w:p>
    <w:p>
      <w:pPr>
        <w:pStyle w:val="0"/>
        <w:spacing w:before="200" w:line-rule="auto"/>
        <w:ind w:firstLine="540"/>
        <w:jc w:val="both"/>
      </w:pPr>
      <w:r>
        <w:rPr>
          <w:sz w:val="20"/>
        </w:rPr>
        <w:t xml:space="preserve">высокая дифференциация муниципальных образований по плотности автомобильных дорог общего пользования с твердым покрытием;</w:t>
      </w:r>
    </w:p>
    <w:p>
      <w:pPr>
        <w:pStyle w:val="0"/>
        <w:spacing w:before="200" w:line-rule="auto"/>
        <w:ind w:firstLine="540"/>
        <w:jc w:val="both"/>
      </w:pPr>
      <w:r>
        <w:rPr>
          <w:sz w:val="20"/>
        </w:rPr>
        <w:t xml:space="preserve">недостаточная развитость современной логистической (складской) инфраструктуры;</w:t>
      </w:r>
    </w:p>
    <w:p>
      <w:pPr>
        <w:pStyle w:val="0"/>
        <w:spacing w:before="200" w:line-rule="auto"/>
        <w:ind w:firstLine="540"/>
        <w:jc w:val="both"/>
      </w:pPr>
      <w:r>
        <w:rPr>
          <w:sz w:val="20"/>
        </w:rPr>
        <w:t xml:space="preserve">недостаточное количество современных многофункциональных объектов придорожного сервиса;</w:t>
      </w:r>
    </w:p>
    <w:p>
      <w:pPr>
        <w:pStyle w:val="0"/>
        <w:spacing w:before="200" w:line-rule="auto"/>
        <w:ind w:firstLine="540"/>
        <w:jc w:val="both"/>
      </w:pPr>
      <w:r>
        <w:rPr>
          <w:sz w:val="20"/>
        </w:rPr>
        <w:t xml:space="preserve">слабый технический уровень оснащения и развития наземной инфраструктуры, слабо используемый потенциал малой авиации;</w:t>
      </w:r>
    </w:p>
    <w:p>
      <w:pPr>
        <w:pStyle w:val="0"/>
        <w:spacing w:before="200" w:line-rule="auto"/>
        <w:ind w:firstLine="540"/>
        <w:jc w:val="both"/>
      </w:pPr>
      <w:r>
        <w:rPr>
          <w:sz w:val="20"/>
        </w:rPr>
        <w:t xml:space="preserve">отсутствие железнодорожного сообщения в ряде муниципальных образований Тюменской области.</w:t>
      </w:r>
    </w:p>
    <w:p>
      <w:pPr>
        <w:pStyle w:val="0"/>
        <w:spacing w:before="200" w:line-rule="auto"/>
        <w:ind w:firstLine="540"/>
        <w:jc w:val="both"/>
      </w:pPr>
      <w:r>
        <w:rPr>
          <w:sz w:val="20"/>
        </w:rPr>
        <w:t xml:space="preserve">Перспективы и направления действий:</w:t>
      </w:r>
    </w:p>
    <w:p>
      <w:pPr>
        <w:pStyle w:val="0"/>
        <w:spacing w:before="200" w:line-rule="auto"/>
        <w:ind w:firstLine="540"/>
        <w:jc w:val="both"/>
      </w:pPr>
      <w:r>
        <w:rPr>
          <w:sz w:val="20"/>
        </w:rPr>
        <w:t xml:space="preserve">Развитие опорной транспортной инфраструктуры Тюменской агломерации (реализация стратегического плана по перераспределению транспортных потоков и развитию улично-дорожной сети, модернизация Тюменской кольцевой автомобильной дороги, строительство и реконструкция автодорожных подходов к городу Тюмени, в том числе участка Тюмень - р.п. Богандинский, строительство отдельных участков Тюменской кольцевой автомобильной дороги "Второй обход города Тюмени").</w:t>
      </w:r>
    </w:p>
    <w:p>
      <w:pPr>
        <w:pStyle w:val="0"/>
        <w:spacing w:before="200" w:line-rule="auto"/>
        <w:ind w:firstLine="540"/>
        <w:jc w:val="both"/>
      </w:pPr>
      <w:r>
        <w:rPr>
          <w:sz w:val="20"/>
        </w:rPr>
        <w:t xml:space="preserve">Формирование качественной и развитой сети скоростных автомобильных дорог: строительство и реконструкция участков федеральных автомобильных дорог с доведением их параметров до первой технической категории (с увеличением числа полос движения до четырех вместо двух в настоящее время) на участках Тюмень - Ишим - граница Омской области федеральной автодороги Тюмень - Ялуторовск - Ишим -- Омск; Тюмень - Тобольск - граница Ханты-Мансийского автономного округа - Югры федеральной автодороги Тюмень - Тобольск - Ханты-Мансийск; Тюмень - граница Курганской области федеральной автодороги Челябинск - Курган - Омск - Новосибирск; подъезд к городу Тюмени ("Иртыш").</w:t>
      </w:r>
    </w:p>
    <w:p>
      <w:pPr>
        <w:pStyle w:val="0"/>
        <w:spacing w:before="200" w:line-rule="auto"/>
        <w:ind w:firstLine="540"/>
        <w:jc w:val="both"/>
      </w:pPr>
      <w:r>
        <w:rPr>
          <w:sz w:val="20"/>
        </w:rPr>
        <w:t xml:space="preserve">Формирование автодорожного коридора Ишим - Тобольск.</w:t>
      </w:r>
    </w:p>
    <w:p>
      <w:pPr>
        <w:pStyle w:val="0"/>
        <w:spacing w:before="200" w:line-rule="auto"/>
        <w:ind w:firstLine="540"/>
        <w:jc w:val="both"/>
      </w:pPr>
      <w:r>
        <w:rPr>
          <w:sz w:val="20"/>
        </w:rPr>
        <w:t xml:space="preserve">Развитие и модернизация инфраструктуры железнодорожного транспорта, в том числе развитие Тюменского железнодорожного узла, строительство третьего электрифицированного железнодорожного пути на участке Екатеринбург - Тюмень (Транссиб), организация скоростных городских и пригородных железнодорожных перевозок, строительство железной дороги Называевская - Коновалово.</w:t>
      </w:r>
    </w:p>
    <w:p>
      <w:pPr>
        <w:pStyle w:val="0"/>
        <w:spacing w:before="200" w:line-rule="auto"/>
        <w:ind w:firstLine="540"/>
        <w:jc w:val="both"/>
      </w:pPr>
      <w:r>
        <w:rPr>
          <w:sz w:val="20"/>
        </w:rPr>
        <w:t xml:space="preserve">Реализация мероприятий по формированию безопасной, развитой и современной улично-дорожной сети населенных пунктов.</w:t>
      </w:r>
    </w:p>
    <w:p>
      <w:pPr>
        <w:pStyle w:val="0"/>
        <w:spacing w:before="200" w:line-rule="auto"/>
        <w:ind w:firstLine="540"/>
        <w:jc w:val="both"/>
      </w:pPr>
      <w:r>
        <w:rPr>
          <w:sz w:val="20"/>
        </w:rPr>
        <w:t xml:space="preserve">Реализация мероприятий по улучшению транспортно-эксплуатационного состояния существующей сети областных и местных автомобильных дорог и повышение безопасности дорожного движения.</w:t>
      </w:r>
    </w:p>
    <w:p>
      <w:pPr>
        <w:pStyle w:val="0"/>
        <w:spacing w:before="200" w:line-rule="auto"/>
        <w:ind w:firstLine="540"/>
        <w:jc w:val="both"/>
      </w:pPr>
      <w:r>
        <w:rPr>
          <w:sz w:val="20"/>
        </w:rPr>
        <w:t xml:space="preserve">Строительство и реконструкция автомобильных дорог общего пользования с твердым покрытием до сельских населенных пунктов, не имеющих круглогодичной связи с сетью автомобильных дорог общего пользования.</w:t>
      </w:r>
    </w:p>
    <w:p>
      <w:pPr>
        <w:pStyle w:val="0"/>
        <w:spacing w:before="200" w:line-rule="auto"/>
        <w:ind w:firstLine="540"/>
        <w:jc w:val="both"/>
      </w:pPr>
      <w:r>
        <w:rPr>
          <w:sz w:val="20"/>
        </w:rPr>
        <w:t xml:space="preserve">Развитие авиаперевозок, в том числе расширение маршрутной сети, развитие малой авиации, строительство аэропорта в городе Тобольске.</w:t>
      </w:r>
    </w:p>
    <w:p>
      <w:pPr>
        <w:pStyle w:val="0"/>
        <w:spacing w:before="200" w:line-rule="auto"/>
        <w:ind w:firstLine="540"/>
        <w:jc w:val="both"/>
      </w:pPr>
      <w:r>
        <w:rPr>
          <w:sz w:val="20"/>
        </w:rPr>
        <w:t xml:space="preserve">Обеспечение инновационного развития транспортной отрасли, включая внедрение интеллектуальных транспортных систем.</w:t>
      </w:r>
    </w:p>
    <w:p>
      <w:pPr>
        <w:pStyle w:val="0"/>
        <w:spacing w:before="200" w:line-rule="auto"/>
        <w:ind w:firstLine="540"/>
        <w:jc w:val="both"/>
      </w:pPr>
      <w:r>
        <w:rPr>
          <w:sz w:val="20"/>
        </w:rPr>
        <w:t xml:space="preserve">Развитие внутреннего водного транспорта в целях развития грузоперевозок и пассажирских перевозок, в том числе туристических.</w:t>
      </w:r>
    </w:p>
    <w:p>
      <w:pPr>
        <w:pStyle w:val="0"/>
        <w:spacing w:before="200" w:line-rule="auto"/>
        <w:ind w:firstLine="540"/>
        <w:jc w:val="both"/>
      </w:pPr>
      <w:r>
        <w:rPr>
          <w:sz w:val="20"/>
        </w:rPr>
        <w:t xml:space="preserve">Использование механизмов ГЧП, в том числе для привлечения дополнительных средств федерального бюджета, в целях реализации проектов по созданию и модернизации транспортной инфраструктуры.</w:t>
      </w:r>
    </w:p>
    <w:p>
      <w:pPr>
        <w:pStyle w:val="0"/>
        <w:jc w:val="both"/>
      </w:pPr>
      <w:r>
        <w:rPr>
          <w:sz w:val="20"/>
        </w:rPr>
      </w:r>
    </w:p>
    <w:p>
      <w:pPr>
        <w:pStyle w:val="0"/>
        <w:outlineLvl w:val="7"/>
        <w:jc w:val="center"/>
      </w:pPr>
      <w:r>
        <w:rPr>
          <w:position w:val="-321"/>
        </w:rPr>
        <w:drawing>
          <wp:inline distT="0" distB="0" distL="0" distR="0">
            <wp:extent cx="5949950" cy="4206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949950" cy="4206875"/>
                    </a:xfrm>
                    <a:prstGeom prst="rect">
                      <a:avLst/>
                    </a:prstGeom>
                    <a:noFill/>
                    <a:ln>
                      <a:noFill/>
                    </a:ln>
                  </pic:spPr>
                </pic:pic>
              </a:graphicData>
            </a:graphic>
          </wp:inline>
        </w:drawing>
      </w:r>
    </w:p>
    <w:p>
      <w:pPr>
        <w:pStyle w:val="0"/>
        <w:jc w:val="both"/>
      </w:pPr>
      <w:r>
        <w:rPr>
          <w:sz w:val="20"/>
        </w:rPr>
      </w:r>
    </w:p>
    <w:p>
      <w:pPr>
        <w:pStyle w:val="2"/>
        <w:jc w:val="center"/>
      </w:pPr>
      <w:r>
        <w:rPr>
          <w:sz w:val="20"/>
        </w:rPr>
        <w:t xml:space="preserve">Рисунок 13 - Транспортно-логистическая инфраструктура</w:t>
      </w:r>
    </w:p>
    <w:p>
      <w:pPr>
        <w:pStyle w:val="2"/>
        <w:jc w:val="center"/>
      </w:pPr>
      <w:r>
        <w:rPr>
          <w:sz w:val="20"/>
        </w:rPr>
        <w:t xml:space="preserve">Тюменской области</w:t>
      </w:r>
    </w:p>
    <w:p>
      <w:pPr>
        <w:pStyle w:val="0"/>
        <w:jc w:val="both"/>
      </w:pPr>
      <w:r>
        <w:rPr>
          <w:sz w:val="20"/>
        </w:rPr>
      </w:r>
    </w:p>
    <w:p>
      <w:pPr>
        <w:pStyle w:val="0"/>
        <w:ind w:firstLine="540"/>
        <w:jc w:val="both"/>
      </w:pPr>
      <w:r>
        <w:rPr>
          <w:sz w:val="20"/>
        </w:rPr>
        <w:t xml:space="preserve">Научно-образовательный потенциал развития инфраструктуры заключается в наличии государственных образовательных учреждений для обеспечения подготовки и переподготовки кадров в сфере автодорожного транспорта, исследовательских и проектных организаций в сфере инженерных изысканий, инженерно-технического проектирования, управления проектами строительства автомобильных дорог и других, Тюменский индустриальный университет, ПИИ Тюменьдорпроект, Тюменский колледж транспортных технологий и сервиса, Тюменский колледж водного транспорта.</w:t>
      </w:r>
    </w:p>
    <w:p>
      <w:pPr>
        <w:pStyle w:val="0"/>
        <w:spacing w:before="200" w:line-rule="auto"/>
        <w:ind w:firstLine="540"/>
        <w:jc w:val="both"/>
      </w:pPr>
      <w:r>
        <w:rPr>
          <w:sz w:val="20"/>
        </w:rPr>
        <w:t xml:space="preserve">Отраслевые направления развития:</w:t>
      </w:r>
    </w:p>
    <w:p>
      <w:pPr>
        <w:pStyle w:val="0"/>
        <w:spacing w:before="200" w:line-rule="auto"/>
        <w:ind w:firstLine="540"/>
        <w:jc w:val="both"/>
      </w:pPr>
      <w:r>
        <w:rPr>
          <w:sz w:val="20"/>
        </w:rPr>
        <w:t xml:space="preserve">- существующие - грузовые и пассажирские перевозки автомобильным, железнодорожным, авиационным и водным видами транспорта;</w:t>
      </w:r>
    </w:p>
    <w:p>
      <w:pPr>
        <w:pStyle w:val="0"/>
        <w:spacing w:before="200" w:line-rule="auto"/>
        <w:ind w:firstLine="540"/>
        <w:jc w:val="both"/>
      </w:pPr>
      <w:r>
        <w:rPr>
          <w:sz w:val="20"/>
        </w:rPr>
        <w:t xml:space="preserve">- новые - предоставление услуг современных логистических (складских) комплексов, развитие услуг малой авиации и деловой авиации.</w:t>
      </w:r>
    </w:p>
    <w:p>
      <w:pPr>
        <w:pStyle w:val="0"/>
        <w:spacing w:before="200" w:line-rule="auto"/>
        <w:ind w:firstLine="540"/>
        <w:jc w:val="both"/>
      </w:pPr>
      <w:r>
        <w:rPr>
          <w:sz w:val="20"/>
        </w:rPr>
        <w:t xml:space="preserve">Ключевые участники: Аэропорт Рощино, Терминал-Рощино, Хелипорт Тюмень (проект многофункционального вертолетного комплекса), Объединение автовокзалов и автостанций, Российские железные дороги, Тобольский речной порт, Речное пароходство Нефтегаза, Тюменский речной порт, Судоремонт Сумкино, Судоремонт Тюмень, логистическо-распределительный центр Тандер (Магнит), X5 Retail Group, ТюменьЛогоЦентр, организации пассажирского и грузового транспорта, экспедиторские организации и другие.</w:t>
      </w:r>
    </w:p>
    <w:p>
      <w:pPr>
        <w:pStyle w:val="2"/>
        <w:spacing w:before="200" w:line-rule="auto"/>
        <w:outlineLvl w:val="6"/>
        <w:ind w:firstLine="540"/>
        <w:jc w:val="both"/>
      </w:pPr>
      <w:r>
        <w:rPr>
          <w:sz w:val="20"/>
        </w:rPr>
        <w:t xml:space="preserve">Развитие энергетической инфраструктуры</w:t>
      </w:r>
    </w:p>
    <w:p>
      <w:pPr>
        <w:pStyle w:val="0"/>
        <w:spacing w:before="200" w:line-rule="auto"/>
        <w:ind w:firstLine="540"/>
        <w:jc w:val="both"/>
      </w:pPr>
      <w:r>
        <w:rPr>
          <w:sz w:val="20"/>
        </w:rPr>
        <w:t xml:space="preserve">Целевое видение: обеспечение заданных энергетических условий развития экономики Тюменской области посредством стабилизации и поддержания высоких темпов роста ее энергоэффективности, а также обеспечения повышенного уровня энергобезопасности хозяйственного комплекса Тюменской области и социальной сферы.</w:t>
      </w:r>
    </w:p>
    <w:p>
      <w:pPr>
        <w:pStyle w:val="0"/>
        <w:spacing w:before="200" w:line-rule="auto"/>
        <w:ind w:firstLine="540"/>
        <w:jc w:val="both"/>
      </w:pPr>
      <w:r>
        <w:rPr>
          <w:sz w:val="20"/>
        </w:rPr>
        <w:t xml:space="preserve">Предпосылки развития:</w:t>
      </w:r>
    </w:p>
    <w:p>
      <w:pPr>
        <w:pStyle w:val="0"/>
        <w:spacing w:before="200" w:line-rule="auto"/>
        <w:ind w:firstLine="540"/>
        <w:jc w:val="both"/>
      </w:pPr>
      <w:r>
        <w:rPr>
          <w:sz w:val="20"/>
        </w:rPr>
        <w:t xml:space="preserve">электроэнергетическая система (ЭЭС) Тюменской области входит в состав объединенной энергосистемы (ОЭС) Урала;</w:t>
      </w:r>
    </w:p>
    <w:p>
      <w:pPr>
        <w:pStyle w:val="0"/>
        <w:spacing w:before="200" w:line-rule="auto"/>
        <w:ind w:firstLine="540"/>
        <w:jc w:val="both"/>
      </w:pPr>
      <w:r>
        <w:rPr>
          <w:sz w:val="20"/>
        </w:rPr>
        <w:t xml:space="preserve">ЭЭС Тюменской области имеет электрические связи класса напряжения 500 кВ и ниже с энергосистемами Свердловской, Курганской и Омской областей, ЭЭС Ханты-Мансийского автономного округа - Югры, а также с ЕЭС Казахстана;</w:t>
      </w:r>
    </w:p>
    <w:p>
      <w:pPr>
        <w:pStyle w:val="0"/>
        <w:spacing w:before="200" w:line-rule="auto"/>
        <w:ind w:firstLine="540"/>
        <w:jc w:val="both"/>
      </w:pPr>
      <w:r>
        <w:rPr>
          <w:sz w:val="20"/>
        </w:rPr>
        <w:t xml:space="preserve">наблюдается положительная динамика потребления электрической энергии за пятилетний период (+14,7% в 2018 году к уровню 2012 года);</w:t>
      </w:r>
    </w:p>
    <w:p>
      <w:pPr>
        <w:pStyle w:val="0"/>
        <w:spacing w:before="200" w:line-rule="auto"/>
        <w:ind w:firstLine="540"/>
        <w:jc w:val="both"/>
      </w:pPr>
      <w:r>
        <w:rPr>
          <w:sz w:val="20"/>
        </w:rPr>
        <w:t xml:space="preserve">в ЭЭС Тюменской области в рассматриваемый период 2017 - 2022 годов в рамках реализации заключенных договоров на технологическое присоединение планируется ввод новых производственных мощностей ряда крупных потребителей.</w:t>
      </w:r>
    </w:p>
    <w:p>
      <w:pPr>
        <w:pStyle w:val="0"/>
        <w:spacing w:before="200" w:line-rule="auto"/>
        <w:ind w:firstLine="540"/>
        <w:jc w:val="both"/>
      </w:pPr>
      <w:r>
        <w:rPr>
          <w:sz w:val="20"/>
        </w:rPr>
        <w:t xml:space="preserve">Проблемы, требующие решения:</w:t>
      </w:r>
    </w:p>
    <w:p>
      <w:pPr>
        <w:pStyle w:val="0"/>
        <w:spacing w:before="200" w:line-rule="auto"/>
        <w:ind w:firstLine="540"/>
        <w:jc w:val="both"/>
      </w:pPr>
      <w:r>
        <w:rPr>
          <w:sz w:val="20"/>
        </w:rPr>
        <w:t xml:space="preserve">12 центрам питания требуется разработка мероприятий по разгрузке трансформаторного оборудования;</w:t>
      </w:r>
    </w:p>
    <w:p>
      <w:pPr>
        <w:pStyle w:val="0"/>
        <w:spacing w:before="200" w:line-rule="auto"/>
        <w:ind w:firstLine="540"/>
        <w:jc w:val="both"/>
      </w:pPr>
      <w:r>
        <w:rPr>
          <w:sz w:val="20"/>
        </w:rPr>
        <w:t xml:space="preserve">требуется реконструкция ряда центров питания и линий электропередачи;</w:t>
      </w:r>
    </w:p>
    <w:p>
      <w:pPr>
        <w:pStyle w:val="0"/>
        <w:spacing w:before="200" w:line-rule="auto"/>
        <w:ind w:firstLine="540"/>
        <w:jc w:val="both"/>
      </w:pPr>
      <w:r>
        <w:rPr>
          <w:sz w:val="20"/>
        </w:rPr>
        <w:t xml:space="preserve">требуется повышение надежности электроснабжения ряда потребителей II категории.</w:t>
      </w:r>
    </w:p>
    <w:p>
      <w:pPr>
        <w:pStyle w:val="0"/>
        <w:spacing w:before="200" w:line-rule="auto"/>
        <w:ind w:firstLine="540"/>
        <w:jc w:val="both"/>
      </w:pPr>
      <w:r>
        <w:rPr>
          <w:sz w:val="20"/>
        </w:rPr>
        <w:t xml:space="preserve">Перспективы и направления действий:</w:t>
      </w:r>
    </w:p>
    <w:p>
      <w:pPr>
        <w:pStyle w:val="0"/>
        <w:spacing w:before="200" w:line-rule="auto"/>
        <w:ind w:firstLine="540"/>
        <w:jc w:val="both"/>
      </w:pPr>
      <w:r>
        <w:rPr>
          <w:sz w:val="20"/>
        </w:rPr>
        <w:t xml:space="preserve">ввод в эксплуатацию новых энергетических мощностей на генерирующих станциях Тюменской области, развитие малой энергетики для энергоснабжения нефтегазового комплекса;</w:t>
      </w:r>
    </w:p>
    <w:p>
      <w:pPr>
        <w:pStyle w:val="0"/>
        <w:spacing w:before="200" w:line-rule="auto"/>
        <w:ind w:firstLine="540"/>
        <w:jc w:val="both"/>
      </w:pPr>
      <w:r>
        <w:rPr>
          <w:sz w:val="20"/>
        </w:rPr>
        <w:t xml:space="preserve">реконструкция и техническое перевооружение основных фондов электростанций;</w:t>
      </w:r>
    </w:p>
    <w:p>
      <w:pPr>
        <w:pStyle w:val="0"/>
        <w:spacing w:before="200" w:line-rule="auto"/>
        <w:ind w:firstLine="540"/>
        <w:jc w:val="both"/>
      </w:pPr>
      <w:r>
        <w:rPr>
          <w:sz w:val="20"/>
        </w:rPr>
        <w:t xml:space="preserve">строительство и реконструкция распределительных подстанций, линий электропередачи с применением современного оборудования;</w:t>
      </w:r>
    </w:p>
    <w:p>
      <w:pPr>
        <w:pStyle w:val="0"/>
        <w:spacing w:before="200" w:line-rule="auto"/>
        <w:ind w:firstLine="540"/>
        <w:jc w:val="both"/>
      </w:pPr>
      <w:r>
        <w:rPr>
          <w:sz w:val="20"/>
        </w:rPr>
        <w:t xml:space="preserve">внедрение современных интеллектуальных устройств автоматики, реконструкция средств диспетчерско-технологического управления на основе цифровых технологий;</w:t>
      </w:r>
    </w:p>
    <w:p>
      <w:pPr>
        <w:pStyle w:val="0"/>
        <w:spacing w:before="200" w:line-rule="auto"/>
        <w:ind w:firstLine="540"/>
        <w:jc w:val="both"/>
      </w:pPr>
      <w:r>
        <w:rPr>
          <w:sz w:val="20"/>
        </w:rPr>
        <w:t xml:space="preserve">разработка и реализация комплекса мер по энергосбережению и снижению энергоемкости продукции.</w:t>
      </w:r>
    </w:p>
    <w:p>
      <w:pPr>
        <w:pStyle w:val="0"/>
        <w:jc w:val="both"/>
      </w:pPr>
      <w:r>
        <w:rPr>
          <w:sz w:val="20"/>
        </w:rPr>
      </w:r>
    </w:p>
    <w:p>
      <w:pPr>
        <w:pStyle w:val="0"/>
        <w:outlineLvl w:val="7"/>
        <w:jc w:val="center"/>
      </w:pPr>
      <w:r>
        <w:rPr>
          <w:position w:val="-346"/>
        </w:rPr>
        <w:drawing>
          <wp:inline distT="0" distB="0" distL="0" distR="0">
            <wp:extent cx="5846445" cy="4529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5846445" cy="4529455"/>
                    </a:xfrm>
                    <a:prstGeom prst="rect">
                      <a:avLst/>
                    </a:prstGeom>
                    <a:noFill/>
                    <a:ln>
                      <a:noFill/>
                    </a:ln>
                  </pic:spPr>
                </pic:pic>
              </a:graphicData>
            </a:graphic>
          </wp:inline>
        </w:drawing>
      </w:r>
    </w:p>
    <w:p>
      <w:pPr>
        <w:pStyle w:val="0"/>
        <w:jc w:val="both"/>
      </w:pPr>
      <w:r>
        <w:rPr>
          <w:sz w:val="20"/>
        </w:rPr>
      </w:r>
    </w:p>
    <w:p>
      <w:pPr>
        <w:pStyle w:val="2"/>
        <w:jc w:val="center"/>
      </w:pPr>
      <w:r>
        <w:rPr>
          <w:sz w:val="20"/>
        </w:rPr>
        <w:t xml:space="preserve">Рисунок 14 - Энергетическая инфраструктура Тюменской области</w:t>
      </w:r>
    </w:p>
    <w:p>
      <w:pPr>
        <w:pStyle w:val="0"/>
        <w:jc w:val="both"/>
      </w:pPr>
      <w:r>
        <w:rPr>
          <w:sz w:val="20"/>
        </w:rPr>
      </w:r>
    </w:p>
    <w:p>
      <w:pPr>
        <w:pStyle w:val="0"/>
        <w:ind w:firstLine="540"/>
        <w:jc w:val="both"/>
      </w:pPr>
      <w:r>
        <w:rPr>
          <w:sz w:val="20"/>
        </w:rPr>
        <w:t xml:space="preserve">Научно-образовательный потенциал заключается в наличии государственных образовательных учреждений для обеспечения подготовки и переподготовки кадров в сфере энергетики, исследовательских и проектных организаций в сфере инженерных изысканий, инженерно-технического проектирования, управления проектами строительства объектов электросетевого комплекса и других.</w:t>
      </w:r>
    </w:p>
    <w:p>
      <w:pPr>
        <w:pStyle w:val="0"/>
        <w:spacing w:before="200" w:line-rule="auto"/>
        <w:ind w:firstLine="540"/>
        <w:jc w:val="both"/>
      </w:pPr>
      <w:r>
        <w:rPr>
          <w:sz w:val="20"/>
        </w:rPr>
        <w:t xml:space="preserve">Отраслевые направления развития:</w:t>
      </w:r>
    </w:p>
    <w:p>
      <w:pPr>
        <w:pStyle w:val="0"/>
        <w:spacing w:before="200" w:line-rule="auto"/>
        <w:ind w:firstLine="540"/>
        <w:jc w:val="both"/>
      </w:pPr>
      <w:r>
        <w:rPr>
          <w:sz w:val="20"/>
        </w:rPr>
        <w:t xml:space="preserve">надежное и качественное электроснабжение потребителей на территории Тюменской области;</w:t>
      </w:r>
    </w:p>
    <w:p>
      <w:pPr>
        <w:pStyle w:val="0"/>
        <w:spacing w:before="200" w:line-rule="auto"/>
        <w:ind w:firstLine="540"/>
        <w:jc w:val="both"/>
      </w:pPr>
      <w:r>
        <w:rPr>
          <w:sz w:val="20"/>
        </w:rPr>
        <w:t xml:space="preserve">развитие систем электроснабжения в муниципальных образованиях Тюменской области.</w:t>
      </w:r>
    </w:p>
    <w:p>
      <w:pPr>
        <w:pStyle w:val="0"/>
        <w:spacing w:before="200" w:line-rule="auto"/>
        <w:ind w:firstLine="540"/>
        <w:jc w:val="both"/>
      </w:pPr>
      <w:r>
        <w:rPr>
          <w:sz w:val="20"/>
        </w:rPr>
        <w:t xml:space="preserve">Ключевые участники: Фортум, Федеральная сетевая компания Единой энергетической системы - Магистральные электрические сети Западной Сибири, Тюменьэнерго, Сибирско-Уральская энергетическая компания, Системный оператор Единой энергетической системы Объединенное диспетчерское управление энергосистемы Урала, Системный оператор Единой энергетической системы Региональное диспетчерское управление энергосистемы Тюменской области, Ханты-Мансийского автономного округа - Югры и Ямало-Ненецкого автономного округа, Тюменьэнергосбыт - филиал ЭК Восток, Тюменская энергосбытовая компания, Уральский филиал Оборонэнергосбыт.</w:t>
      </w:r>
    </w:p>
    <w:p>
      <w:pPr>
        <w:pStyle w:val="2"/>
        <w:spacing w:before="200" w:line-rule="auto"/>
        <w:outlineLvl w:val="6"/>
        <w:ind w:firstLine="540"/>
        <w:jc w:val="both"/>
      </w:pPr>
      <w:r>
        <w:rPr>
          <w:sz w:val="20"/>
        </w:rPr>
        <w:t xml:space="preserve">Развитие информационно-коммуникационной инфраструктуры</w:t>
      </w:r>
    </w:p>
    <w:p>
      <w:pPr>
        <w:pStyle w:val="0"/>
        <w:spacing w:before="200" w:line-rule="auto"/>
        <w:ind w:firstLine="540"/>
        <w:jc w:val="both"/>
      </w:pPr>
      <w:r>
        <w:rPr>
          <w:sz w:val="20"/>
        </w:rPr>
        <w:t xml:space="preserve">Целевое видение: формирование современной информационно-коммуникационной инфраструктуры, обеспечение высокого уровня ее доступности, предоставление на ее основе качественных услуг.</w:t>
      </w:r>
    </w:p>
    <w:p>
      <w:pPr>
        <w:pStyle w:val="0"/>
        <w:spacing w:before="200" w:line-rule="auto"/>
        <w:ind w:firstLine="540"/>
        <w:jc w:val="both"/>
      </w:pPr>
      <w:r>
        <w:rPr>
          <w:sz w:val="20"/>
        </w:rPr>
        <w:t xml:space="preserve">Предпосылки развития:</w:t>
      </w:r>
    </w:p>
    <w:p>
      <w:pPr>
        <w:pStyle w:val="0"/>
        <w:spacing w:before="200" w:line-rule="auto"/>
        <w:ind w:firstLine="540"/>
        <w:jc w:val="both"/>
      </w:pPr>
      <w:r>
        <w:rPr>
          <w:sz w:val="20"/>
        </w:rPr>
        <w:t xml:space="preserve">развитие поддержки ИКТ-проектов (гранты, конкурсы, государственная поддержка);</w:t>
      </w:r>
    </w:p>
    <w:p>
      <w:pPr>
        <w:pStyle w:val="0"/>
        <w:spacing w:before="200" w:line-rule="auto"/>
        <w:ind w:firstLine="540"/>
        <w:jc w:val="both"/>
      </w:pPr>
      <w:r>
        <w:rPr>
          <w:sz w:val="20"/>
        </w:rPr>
        <w:t xml:space="preserve">наличие широкополосного доступа в Интернет;</w:t>
      </w:r>
    </w:p>
    <w:p>
      <w:pPr>
        <w:pStyle w:val="0"/>
        <w:spacing w:before="200" w:line-rule="auto"/>
        <w:ind w:firstLine="540"/>
        <w:jc w:val="both"/>
      </w:pPr>
      <w:r>
        <w:rPr>
          <w:sz w:val="20"/>
        </w:rPr>
        <w:t xml:space="preserve">наличие постоянной потребности и крупных заказчиков ИКТ-решений, в том числе компаний нефтегазового комплекса;</w:t>
      </w:r>
    </w:p>
    <w:p>
      <w:pPr>
        <w:pStyle w:val="0"/>
        <w:spacing w:before="200" w:line-rule="auto"/>
        <w:ind w:firstLine="540"/>
        <w:jc w:val="both"/>
      </w:pPr>
      <w:r>
        <w:rPr>
          <w:sz w:val="20"/>
        </w:rPr>
        <w:t xml:space="preserve">отдельные успехи в развитии сферы ИТ и внедрения элементов ИКТ;</w:t>
      </w:r>
    </w:p>
    <w:p>
      <w:pPr>
        <w:pStyle w:val="0"/>
        <w:spacing w:before="200" w:line-rule="auto"/>
        <w:ind w:firstLine="540"/>
        <w:jc w:val="both"/>
      </w:pPr>
      <w:r>
        <w:rPr>
          <w:sz w:val="20"/>
        </w:rPr>
        <w:t xml:space="preserve">эффективная обратная связь с населением.</w:t>
      </w:r>
    </w:p>
    <w:p>
      <w:pPr>
        <w:pStyle w:val="0"/>
        <w:spacing w:before="200" w:line-rule="auto"/>
        <w:ind w:firstLine="540"/>
        <w:jc w:val="both"/>
      </w:pPr>
      <w:r>
        <w:rPr>
          <w:sz w:val="20"/>
        </w:rPr>
        <w:t xml:space="preserve">Проблемы, требующие решения:</w:t>
      </w:r>
    </w:p>
    <w:p>
      <w:pPr>
        <w:pStyle w:val="0"/>
        <w:spacing w:before="200" w:line-rule="auto"/>
        <w:ind w:firstLine="540"/>
        <w:jc w:val="both"/>
      </w:pPr>
      <w:r>
        <w:rPr>
          <w:sz w:val="20"/>
        </w:rPr>
        <w:t xml:space="preserve">недостаточная обеспеченность квалифицированными ИКТ-специалистами;</w:t>
      </w:r>
    </w:p>
    <w:p>
      <w:pPr>
        <w:pStyle w:val="0"/>
        <w:spacing w:before="200" w:line-rule="auto"/>
        <w:ind w:firstLine="540"/>
        <w:jc w:val="both"/>
      </w:pPr>
      <w:r>
        <w:rPr>
          <w:sz w:val="20"/>
        </w:rPr>
        <w:t xml:space="preserve">отсутствие штаб-квартир, филиалов или подразделений ИКТ-компаний мирового уровня;</w:t>
      </w:r>
    </w:p>
    <w:p>
      <w:pPr>
        <w:pStyle w:val="0"/>
        <w:spacing w:before="200" w:line-rule="auto"/>
        <w:ind w:firstLine="540"/>
        <w:jc w:val="both"/>
      </w:pPr>
      <w:r>
        <w:rPr>
          <w:sz w:val="20"/>
        </w:rPr>
        <w:t xml:space="preserve">отсутствие научно-исследовательских центров в области ИКТ;</w:t>
      </w:r>
    </w:p>
    <w:p>
      <w:pPr>
        <w:pStyle w:val="0"/>
        <w:spacing w:before="200" w:line-rule="auto"/>
        <w:ind w:firstLine="540"/>
        <w:jc w:val="both"/>
      </w:pPr>
      <w:r>
        <w:rPr>
          <w:sz w:val="20"/>
        </w:rPr>
        <w:t xml:space="preserve">отсутствие единых ИКТ-стандартов в отраслях промышленности (строительство, промышленность, услуги, торговля).</w:t>
      </w:r>
    </w:p>
    <w:p>
      <w:pPr>
        <w:pStyle w:val="0"/>
        <w:spacing w:before="200" w:line-rule="auto"/>
        <w:ind w:firstLine="540"/>
        <w:jc w:val="both"/>
      </w:pPr>
      <w:r>
        <w:rPr>
          <w:sz w:val="20"/>
        </w:rPr>
        <w:t xml:space="preserve">Перспективы и направления развития:</w:t>
      </w:r>
    </w:p>
    <w:p>
      <w:pPr>
        <w:pStyle w:val="0"/>
        <w:spacing w:before="200" w:line-rule="auto"/>
        <w:ind w:firstLine="540"/>
        <w:jc w:val="both"/>
      </w:pPr>
      <w:r>
        <w:rPr>
          <w:sz w:val="20"/>
        </w:rPr>
        <w:t xml:space="preserve">Активизация использования ИКТ для улучшения качества образования, медицинского обслуживания, социальной защиты населения, развития культуры и средств массовой информации, городской среды (среды населенных пунктов).</w:t>
      </w:r>
    </w:p>
    <w:p>
      <w:pPr>
        <w:pStyle w:val="0"/>
        <w:spacing w:before="200" w:line-rule="auto"/>
        <w:ind w:firstLine="540"/>
        <w:jc w:val="both"/>
      </w:pPr>
      <w:r>
        <w:rPr>
          <w:sz w:val="20"/>
        </w:rPr>
        <w:t xml:space="preserve">Улучшение условий для развития науки, технологий, техники и подготовки квалифицированных кадров в сфере информационных и коммуникационных технологий.</w:t>
      </w:r>
    </w:p>
    <w:p>
      <w:pPr>
        <w:pStyle w:val="0"/>
        <w:spacing w:before="200" w:line-rule="auto"/>
        <w:ind w:firstLine="540"/>
        <w:jc w:val="both"/>
      </w:pPr>
      <w:r>
        <w:rPr>
          <w:sz w:val="20"/>
        </w:rPr>
        <w:t xml:space="preserve">Активизация применения ИКТ для повышения эффективности государственного управления и местного самоуправления (Электронное Правительство), взаимодействия общества и бизнеса с органами государственной власти (АИС "Многофункциональный центр" и другие).</w:t>
      </w:r>
    </w:p>
    <w:p>
      <w:pPr>
        <w:pStyle w:val="0"/>
        <w:spacing w:before="200" w:line-rule="auto"/>
        <w:ind w:firstLine="540"/>
        <w:jc w:val="both"/>
      </w:pPr>
      <w:r>
        <w:rPr>
          <w:sz w:val="20"/>
        </w:rPr>
        <w:t xml:space="preserve">Развитие центров обучения (центров компетенций) на базе высших учебных заведений, корпораций для подготовки высококвалифицированных кадров в сфере ИКТ, создание центров разработки программного обеспечения, создание производств оборудования, комплектующих и материалов для ИКТ в Тюменской области.</w:t>
      </w:r>
    </w:p>
    <w:p>
      <w:pPr>
        <w:pStyle w:val="0"/>
        <w:spacing w:before="200" w:line-rule="auto"/>
        <w:ind w:firstLine="540"/>
        <w:jc w:val="both"/>
      </w:pPr>
      <w:r>
        <w:rPr>
          <w:sz w:val="20"/>
        </w:rPr>
        <w:t xml:space="preserve">Привлечение ИКТ-компаний мирового уровня (российских и международных) для размещения в Тюменской области филиалов или отдельных подразделений (в перспективе - штаб-квартир).</w:t>
      </w:r>
    </w:p>
    <w:p>
      <w:pPr>
        <w:pStyle w:val="0"/>
        <w:spacing w:before="200" w:line-rule="auto"/>
        <w:ind w:firstLine="540"/>
        <w:jc w:val="both"/>
      </w:pPr>
      <w:r>
        <w:rPr>
          <w:sz w:val="20"/>
        </w:rPr>
        <w:t xml:space="preserve">Научно-образовательный потенциал развития инфраструктуры обеспечивается государственными образовательными учреждениями, связанными с деятельностью по подготовке высококвалифицированных кадров: Тюменский государственный университет, Тюменский индустриальный университет.</w:t>
      </w:r>
    </w:p>
    <w:p>
      <w:pPr>
        <w:pStyle w:val="0"/>
        <w:spacing w:before="200" w:line-rule="auto"/>
        <w:ind w:firstLine="540"/>
        <w:jc w:val="both"/>
      </w:pPr>
      <w:r>
        <w:rPr>
          <w:sz w:val="20"/>
        </w:rPr>
        <w:t xml:space="preserve">Ключевые участники: Тюменский государственный университет, Тюменский индустриальный университет, Центр информационных технологий Тюменской области, РИО-Центр, РОСТЕЛЕКОМ - РОЗНИЧНЫЕ СИСТЕМЫ, КБ-Информ, РАСТАМ-Информационные технологии, Дата Сервис Технолоджи, Тюмбит-АСУ, ГК Арсенал +, IT-инкубатор Тюменской области, филиалы и подразделения компаний Е-Софт, ИТП ГРАД, Когнитивные технологии, 1С, Техносерв, ИнфоВотч, АСБК.</w:t>
      </w:r>
    </w:p>
    <w:p>
      <w:pPr>
        <w:pStyle w:val="2"/>
        <w:spacing w:before="200" w:line-rule="auto"/>
        <w:outlineLvl w:val="5"/>
        <w:ind w:firstLine="540"/>
        <w:jc w:val="both"/>
      </w:pPr>
      <w:r>
        <w:rPr>
          <w:sz w:val="20"/>
        </w:rPr>
        <w:t xml:space="preserve">Задача 3.1.2. Содействие ускоренному социально-экономическому развитию городских и сельских муниципальных образований за счет эффективного распределения производительных сил (СБАЛАНСИРОВАННОЕ РАЗВИТИЕ ТЕРРИТОРИИ)</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содействие насыщению сельских территорий и малых городов области объектами промышленности и агропромышленного комплекса, обеспечивающих занятость населения, перераспределение трудовых потоков, с целью создания условий для закрепления местного населения и привлечения высококвалифицированных кадров из других регионов Российской Федерации;</w:t>
      </w:r>
    </w:p>
    <w:p>
      <w:pPr>
        <w:pStyle w:val="0"/>
        <w:spacing w:before="200" w:line-rule="auto"/>
        <w:ind w:firstLine="540"/>
        <w:jc w:val="both"/>
      </w:pPr>
      <w:r>
        <w:rPr>
          <w:sz w:val="20"/>
        </w:rPr>
        <w:t xml:space="preserve">- формирование "точек роста" - опорных центров роста экономики (включая промышленные узлы, индустриальные парки, особые экономические зоны, иные территории с особыми условиями ведения предпринимательской деятельности) и повышения качества жизни населения, способных развиваться ускоренными темпами;</w:t>
      </w:r>
    </w:p>
    <w:p>
      <w:pPr>
        <w:pStyle w:val="0"/>
        <w:spacing w:before="200" w:line-rule="auto"/>
        <w:ind w:firstLine="540"/>
        <w:jc w:val="both"/>
      </w:pPr>
      <w:r>
        <w:rPr>
          <w:sz w:val="20"/>
        </w:rPr>
        <w:t xml:space="preserve">- укрепление и развитие преимуществ кластерной организации ведущих отраслей промышленности и сельского хозяйства для содействия эффективному размещению производительных сил, формированию устойчивых кооперационных связей и повышению конкурентоспособности предприятий;</w:t>
      </w:r>
    </w:p>
    <w:p>
      <w:pPr>
        <w:pStyle w:val="0"/>
        <w:spacing w:before="200" w:line-rule="auto"/>
        <w:ind w:firstLine="540"/>
        <w:jc w:val="both"/>
      </w:pPr>
      <w:r>
        <w:rPr>
          <w:sz w:val="20"/>
        </w:rPr>
        <w:t xml:space="preserve">- развитие малых и средних городов (средние города - Ишим, Тобольск; малые города - Заводоуковск, Ялуторовск).</w:t>
      </w:r>
    </w:p>
    <w:p>
      <w:pPr>
        <w:pStyle w:val="0"/>
        <w:spacing w:before="200" w:line-rule="auto"/>
        <w:ind w:firstLine="540"/>
        <w:jc w:val="both"/>
      </w:pPr>
      <w:r>
        <w:rPr>
          <w:sz w:val="20"/>
        </w:rPr>
        <w:t xml:space="preserve">Развитие Тюменской агломерации предполагает формирование устойчивых производственных, транспортных, социально-культурных связей города Тюмени и близлежащих к нему населенных пунктов для формирования сбалансированной и динамичной социально-экономической системы. Основным фактором формирования Тюменской агломерации является транспортно-географическое положение на пересечении железнодорожных и автомобильных путей.</w:t>
      </w:r>
    </w:p>
    <w:p>
      <w:pPr>
        <w:pStyle w:val="0"/>
        <w:spacing w:before="200" w:line-rule="auto"/>
        <w:ind w:firstLine="540"/>
        <w:jc w:val="both"/>
      </w:pPr>
      <w:r>
        <w:rPr>
          <w:sz w:val="20"/>
        </w:rPr>
        <w:t xml:space="preserve">Стратегическое развитие Тюменской агломерации связано прежде всего с укреплением статуса города Тюмени как одного из крупнейших производственных, научно-образовательных, транспортно-логистических, культурных и сервисных центров Уральского федерального округа.</w:t>
      </w:r>
    </w:p>
    <w:p>
      <w:pPr>
        <w:pStyle w:val="0"/>
        <w:spacing w:before="200" w:line-rule="auto"/>
        <w:ind w:firstLine="540"/>
        <w:jc w:val="both"/>
      </w:pPr>
      <w:r>
        <w:rPr>
          <w:sz w:val="20"/>
        </w:rPr>
        <w:t xml:space="preserve">Формирование агломерации снижает издержки бизнеса, обеспечивая лучшие условия для удовлетворения спроса потребителей.</w:t>
      </w:r>
    </w:p>
    <w:p>
      <w:pPr>
        <w:pStyle w:val="0"/>
        <w:spacing w:before="200" w:line-rule="auto"/>
        <w:ind w:firstLine="540"/>
        <w:jc w:val="both"/>
      </w:pPr>
      <w:r>
        <w:rPr>
          <w:sz w:val="20"/>
        </w:rPr>
        <w:t xml:space="preserve">Развитие Тюменской агломерации предусматривает следующие направления деятельности:</w:t>
      </w:r>
    </w:p>
    <w:p>
      <w:pPr>
        <w:pStyle w:val="0"/>
        <w:spacing w:before="200" w:line-rule="auto"/>
        <w:ind w:firstLine="540"/>
        <w:jc w:val="both"/>
      </w:pPr>
      <w:r>
        <w:rPr>
          <w:sz w:val="20"/>
        </w:rPr>
        <w:t xml:space="preserve">- обеспечение устойчивого развития территории Тюменской агломерации, которое предполагает:</w:t>
      </w:r>
    </w:p>
    <w:p>
      <w:pPr>
        <w:pStyle w:val="0"/>
        <w:spacing w:before="200" w:line-rule="auto"/>
        <w:ind w:firstLine="540"/>
        <w:jc w:val="both"/>
      </w:pPr>
      <w:r>
        <w:rPr>
          <w:sz w:val="20"/>
        </w:rPr>
        <w:t xml:space="preserve">развитие сбалансированной системы расселения за счет эффективного размещения жилых, производственных, общественно-деловых, сельскохозяйственных, рекреационных и других территориальных зон;</w:t>
      </w:r>
    </w:p>
    <w:p>
      <w:pPr>
        <w:pStyle w:val="0"/>
        <w:spacing w:before="200" w:line-rule="auto"/>
        <w:ind w:firstLine="540"/>
        <w:jc w:val="both"/>
      </w:pPr>
      <w:r>
        <w:rPr>
          <w:sz w:val="20"/>
        </w:rPr>
        <w:t xml:space="preserve">реализация комплексных проектов освоения территорий;</w:t>
      </w:r>
    </w:p>
    <w:p>
      <w:pPr>
        <w:pStyle w:val="0"/>
        <w:spacing w:before="200" w:line-rule="auto"/>
        <w:ind w:firstLine="540"/>
        <w:jc w:val="both"/>
      </w:pPr>
      <w:r>
        <w:rPr>
          <w:sz w:val="20"/>
        </w:rPr>
        <w:t xml:space="preserve">усиление транспортных связей между Тюменью и населенными пунктами, входящими в агломерацию, в том числе реализация проекта строительства и реконструкции федеральной автомобильной дороги на участке Тюмень - Боровский - Винзили - Богандинский, строительство федеральной автомобильной дороги "Южный обход города Тюмени", строительство и реконструкция областных автомобильных дорог и подходов к городу Тюмени (Тюмень - Боровский - Богандинский, Тюмень - Каменка - граница со Свердловской областью и другие);</w:t>
      </w:r>
    </w:p>
    <w:p>
      <w:pPr>
        <w:pStyle w:val="0"/>
        <w:spacing w:before="200" w:line-rule="auto"/>
        <w:ind w:firstLine="540"/>
        <w:jc w:val="both"/>
      </w:pPr>
      <w:r>
        <w:rPr>
          <w:sz w:val="20"/>
        </w:rPr>
        <w:t xml:space="preserve">расширение межмуниципальных взаимодействий в части совместного планирования и управления развитием территорий (реализация совместных инвестиционных проектов, социальных программ, межмуниципальная координация развития образовательного, культурного и научного потенциала территорий, жилищной застройки и развития коммунальной инфраструктуры);</w:t>
      </w:r>
    </w:p>
    <w:p>
      <w:pPr>
        <w:pStyle w:val="0"/>
        <w:spacing w:before="200" w:line-rule="auto"/>
        <w:ind w:firstLine="540"/>
        <w:jc w:val="both"/>
      </w:pPr>
      <w:r>
        <w:rPr>
          <w:sz w:val="20"/>
        </w:rPr>
        <w:t xml:space="preserve">комплексное развитие инженерно-коммунальной инфраструктуры (строительство кольцевого водовода города Тюмени, водозабора, объектов, используемых для переработки, утилизации, обезвреживания и захоронения твердых коммунальных отходов, и других);</w:t>
      </w:r>
    </w:p>
    <w:p>
      <w:pPr>
        <w:pStyle w:val="0"/>
        <w:spacing w:before="200" w:line-rule="auto"/>
        <w:ind w:firstLine="540"/>
        <w:jc w:val="both"/>
      </w:pPr>
      <w:r>
        <w:rPr>
          <w:sz w:val="20"/>
        </w:rPr>
        <w:t xml:space="preserve">развитие жилищной инфраструктуры (в том числе проектов по строительству арендного жилья, жилых массивов в экологически чистых районах);</w:t>
      </w:r>
    </w:p>
    <w:p>
      <w:pPr>
        <w:pStyle w:val="0"/>
        <w:spacing w:before="200" w:line-rule="auto"/>
        <w:ind w:firstLine="540"/>
        <w:jc w:val="both"/>
      </w:pPr>
      <w:r>
        <w:rPr>
          <w:sz w:val="20"/>
        </w:rPr>
        <w:t xml:space="preserve">комплексное развитие социальной инфраструктуры, обеспечение равнодоступности социальных услуг высокого качества на всей территории агломерации;</w:t>
      </w:r>
    </w:p>
    <w:p>
      <w:pPr>
        <w:pStyle w:val="0"/>
        <w:spacing w:before="200" w:line-rule="auto"/>
        <w:ind w:firstLine="540"/>
        <w:jc w:val="both"/>
      </w:pPr>
      <w:r>
        <w:rPr>
          <w:sz w:val="20"/>
        </w:rPr>
        <w:t xml:space="preserve">развитие инфраструктуры сферы туризма, отдыха и досуга;</w:t>
      </w:r>
    </w:p>
    <w:p>
      <w:pPr>
        <w:pStyle w:val="0"/>
        <w:spacing w:before="200" w:line-rule="auto"/>
        <w:ind w:firstLine="540"/>
        <w:jc w:val="both"/>
      </w:pPr>
      <w:r>
        <w:rPr>
          <w:sz w:val="20"/>
        </w:rPr>
        <w:t xml:space="preserve">развитие культуры и творческих (креативных) индустрий;</w:t>
      </w:r>
    </w:p>
    <w:p>
      <w:pPr>
        <w:pStyle w:val="0"/>
        <w:spacing w:before="200" w:line-rule="auto"/>
        <w:ind w:firstLine="540"/>
        <w:jc w:val="both"/>
      </w:pPr>
      <w:r>
        <w:rPr>
          <w:sz w:val="20"/>
        </w:rPr>
        <w:t xml:space="preserve">развитие здравоохранения и фармацевтической промышленности;</w:t>
      </w:r>
    </w:p>
    <w:p>
      <w:pPr>
        <w:pStyle w:val="0"/>
        <w:spacing w:before="200" w:line-rule="auto"/>
        <w:ind w:firstLine="540"/>
        <w:jc w:val="both"/>
      </w:pPr>
      <w:r>
        <w:rPr>
          <w:sz w:val="20"/>
        </w:rPr>
        <w:t xml:space="preserve">формирование экологически благоприятной среды на основе развития зеленых технологий, формирование общественных пространств и природно-рекреационных зон (парков, скверов и других), ревитализация земель населенных пунктов;</w:t>
      </w:r>
    </w:p>
    <w:p>
      <w:pPr>
        <w:pStyle w:val="0"/>
        <w:spacing w:before="200" w:line-rule="auto"/>
        <w:ind w:firstLine="540"/>
        <w:jc w:val="both"/>
      </w:pPr>
      <w:r>
        <w:rPr>
          <w:sz w:val="20"/>
        </w:rPr>
        <w:t xml:space="preserve">развитие пригородного сельского хозяйства.</w:t>
      </w:r>
    </w:p>
    <w:p>
      <w:pPr>
        <w:pStyle w:val="0"/>
        <w:spacing w:before="200" w:line-rule="auto"/>
        <w:ind w:firstLine="540"/>
        <w:jc w:val="both"/>
      </w:pPr>
      <w:r>
        <w:rPr>
          <w:sz w:val="20"/>
        </w:rPr>
        <w:t xml:space="preserve">Развитие сельских территорий направлено на создание условий для обеспечения стабильного улучшения качества и повышения уровня жизни сельского населения на основе преимуществ сельского образа жизни, что позволит сохранить социальный и экономический потенциал сельских территорий.</w:t>
      </w:r>
    </w:p>
    <w:p>
      <w:pPr>
        <w:pStyle w:val="0"/>
        <w:spacing w:before="200" w:line-rule="auto"/>
        <w:ind w:firstLine="540"/>
        <w:jc w:val="both"/>
      </w:pPr>
      <w:r>
        <w:rPr>
          <w:sz w:val="20"/>
        </w:rPr>
        <w:t xml:space="preserve">Развитие сельских территорий предусматривает следующие направления деятельности:</w:t>
      </w:r>
    </w:p>
    <w:p>
      <w:pPr>
        <w:pStyle w:val="0"/>
        <w:spacing w:before="200" w:line-rule="auto"/>
        <w:ind w:firstLine="540"/>
        <w:jc w:val="both"/>
      </w:pPr>
      <w:r>
        <w:rPr>
          <w:sz w:val="20"/>
        </w:rPr>
        <w:t xml:space="preserve">- улучшение финансового состояния сельских муниципальных образований:</w:t>
      </w:r>
    </w:p>
    <w:p>
      <w:pPr>
        <w:pStyle w:val="0"/>
        <w:spacing w:before="200" w:line-rule="auto"/>
        <w:ind w:firstLine="540"/>
        <w:jc w:val="both"/>
      </w:pPr>
      <w:r>
        <w:rPr>
          <w:sz w:val="20"/>
        </w:rPr>
        <w:t xml:space="preserve">стимулирование муниципальных образований к увеличению доходной базы местных бюджетов и повышению эффективности расходов;</w:t>
      </w:r>
    </w:p>
    <w:p>
      <w:pPr>
        <w:pStyle w:val="0"/>
        <w:spacing w:before="200" w:line-rule="auto"/>
        <w:ind w:firstLine="540"/>
        <w:jc w:val="both"/>
      </w:pPr>
      <w:r>
        <w:rPr>
          <w:sz w:val="20"/>
        </w:rPr>
        <w:t xml:space="preserve">создание благоприятного инвестиционного и предпринимательского климата на соответствующих сельских территориях;</w:t>
      </w:r>
    </w:p>
    <w:p>
      <w:pPr>
        <w:pStyle w:val="0"/>
        <w:spacing w:before="200" w:line-rule="auto"/>
        <w:ind w:firstLine="540"/>
        <w:jc w:val="both"/>
      </w:pPr>
      <w:r>
        <w:rPr>
          <w:sz w:val="20"/>
        </w:rPr>
        <w:t xml:space="preserve">активная работа по поиску и привлечению инвесторов для создания новых производств;</w:t>
      </w:r>
    </w:p>
    <w:p>
      <w:pPr>
        <w:pStyle w:val="0"/>
        <w:spacing w:before="200" w:line-rule="auto"/>
        <w:ind w:firstLine="540"/>
        <w:jc w:val="both"/>
      </w:pPr>
      <w:r>
        <w:rPr>
          <w:sz w:val="20"/>
        </w:rPr>
        <w:t xml:space="preserve">содействие развитию малого бизнеса, кооперации;</w:t>
      </w:r>
    </w:p>
    <w:p>
      <w:pPr>
        <w:pStyle w:val="0"/>
        <w:spacing w:before="200" w:line-rule="auto"/>
        <w:ind w:firstLine="540"/>
        <w:jc w:val="both"/>
      </w:pPr>
      <w:r>
        <w:rPr>
          <w:sz w:val="20"/>
        </w:rPr>
        <w:t xml:space="preserve">- обеспечение занятости, повышение уровня и качества жизни сельского населения и формирование позитивного отношения к сельской местности и сельскому образу жизни:</w:t>
      </w:r>
    </w:p>
    <w:p>
      <w:pPr>
        <w:pStyle w:val="0"/>
        <w:spacing w:before="200" w:line-rule="auto"/>
        <w:ind w:firstLine="540"/>
        <w:jc w:val="both"/>
      </w:pPr>
      <w:r>
        <w:rPr>
          <w:sz w:val="20"/>
        </w:rPr>
        <w:t xml:space="preserve">привлечение и закрепление в агропромышленном комплексе молодых квалифицированных кадров и повышение профессионального уровня работников отрасли;</w:t>
      </w:r>
    </w:p>
    <w:p>
      <w:pPr>
        <w:pStyle w:val="0"/>
        <w:spacing w:before="200" w:line-rule="auto"/>
        <w:ind w:firstLine="540"/>
        <w:jc w:val="both"/>
      </w:pPr>
      <w:r>
        <w:rPr>
          <w:sz w:val="20"/>
        </w:rPr>
        <w:t xml:space="preserve">улучшение жилищных условий граждан, проживающих в сельской местности, в том числе молодых семей и молодых специалистов;</w:t>
      </w:r>
    </w:p>
    <w:p>
      <w:pPr>
        <w:pStyle w:val="0"/>
        <w:spacing w:before="200" w:line-rule="auto"/>
        <w:ind w:firstLine="540"/>
        <w:jc w:val="both"/>
      </w:pPr>
      <w:r>
        <w:rPr>
          <w:sz w:val="20"/>
        </w:rPr>
        <w:t xml:space="preserve">развитие системы оказания медицинской помощи жителям села, в том числе организация выездных бригад медицинской помощи в сельские районы;</w:t>
      </w:r>
    </w:p>
    <w:p>
      <w:pPr>
        <w:pStyle w:val="0"/>
        <w:spacing w:before="200" w:line-rule="auto"/>
        <w:ind w:firstLine="540"/>
        <w:jc w:val="both"/>
      </w:pPr>
      <w:r>
        <w:rPr>
          <w:sz w:val="20"/>
        </w:rPr>
        <w:t xml:space="preserve">обеспечение сельского населения социальными услугами;</w:t>
      </w:r>
    </w:p>
    <w:p>
      <w:pPr>
        <w:pStyle w:val="0"/>
        <w:spacing w:before="200" w:line-rule="auto"/>
        <w:ind w:firstLine="540"/>
        <w:jc w:val="both"/>
      </w:pPr>
      <w:r>
        <w:rPr>
          <w:sz w:val="20"/>
        </w:rPr>
        <w:t xml:space="preserve">развитие несельскохозяйственных видов деятельности в сельской местности, в том числе туризма;</w:t>
      </w:r>
    </w:p>
    <w:p>
      <w:pPr>
        <w:pStyle w:val="0"/>
        <w:spacing w:before="200" w:line-rule="auto"/>
        <w:ind w:firstLine="540"/>
        <w:jc w:val="both"/>
      </w:pPr>
      <w:r>
        <w:rPr>
          <w:sz w:val="20"/>
        </w:rPr>
        <w:t xml:space="preserve">стимулирование инновационной активности и несельскохозяйственной занятости сельской молодежи;</w:t>
      </w:r>
    </w:p>
    <w:p>
      <w:pPr>
        <w:pStyle w:val="0"/>
        <w:spacing w:before="200" w:line-rule="auto"/>
        <w:ind w:firstLine="540"/>
        <w:jc w:val="both"/>
      </w:pPr>
      <w:r>
        <w:rPr>
          <w:sz w:val="20"/>
        </w:rPr>
        <w:t xml:space="preserve">расширение доступа сельского населения к услугам современных средств связи;</w:t>
      </w:r>
    </w:p>
    <w:p>
      <w:pPr>
        <w:pStyle w:val="0"/>
        <w:spacing w:before="200" w:line-rule="auto"/>
        <w:ind w:firstLine="540"/>
        <w:jc w:val="both"/>
      </w:pPr>
      <w:r>
        <w:rPr>
          <w:sz w:val="20"/>
        </w:rPr>
        <w:t xml:space="preserve">создание дополнительных высокотехнологичных рабочих мест в организациях агропромышленного комплекса в сельской местности;</w:t>
      </w:r>
    </w:p>
    <w:p>
      <w:pPr>
        <w:pStyle w:val="0"/>
        <w:spacing w:before="200" w:line-rule="auto"/>
        <w:ind w:firstLine="540"/>
        <w:jc w:val="both"/>
      </w:pPr>
      <w:r>
        <w:rPr>
          <w:sz w:val="20"/>
        </w:rPr>
        <w:t xml:space="preserve">- строительство и реконструкция автомобильных дорог, обеспечивающих связь сельских населенных пунктов с районными центрами и основными транспортными магистралями, развитие улично-дорожной сети населенных пунктов в сельской местности;</w:t>
      </w:r>
    </w:p>
    <w:p>
      <w:pPr>
        <w:pStyle w:val="0"/>
        <w:spacing w:before="200" w:line-rule="auto"/>
        <w:ind w:firstLine="540"/>
        <w:jc w:val="both"/>
      </w:pPr>
      <w:r>
        <w:rPr>
          <w:sz w:val="20"/>
        </w:rPr>
        <w:t xml:space="preserve">- развитие инженерной инфраструктуры, в том числе инженерная подготовка площадок для жилищного строительства в сельской местности, развитие газоснабжения, водоснабжения, в том числе противопожарного, и водоотведения в сельской местности;</w:t>
      </w:r>
    </w:p>
    <w:p>
      <w:pPr>
        <w:pStyle w:val="0"/>
        <w:spacing w:before="200" w:line-rule="auto"/>
        <w:ind w:firstLine="540"/>
        <w:jc w:val="both"/>
      </w:pPr>
      <w:r>
        <w:rPr>
          <w:sz w:val="20"/>
        </w:rPr>
        <w:t xml:space="preserve">- повышение уровня комплексного обустройства населенных пунктов, расположенных в сельской местности, объектами социальной инфраструктуры, включая реализацию мероприятий по установке модульных фельдшерско-акушерских пунктов и учреждений культурно-досугового типа, строительство плоскостных спортивных сооружений;</w:t>
      </w:r>
    </w:p>
    <w:p>
      <w:pPr>
        <w:pStyle w:val="0"/>
        <w:spacing w:before="200" w:line-rule="auto"/>
        <w:ind w:firstLine="540"/>
        <w:jc w:val="both"/>
      </w:pPr>
      <w:r>
        <w:rPr>
          <w:sz w:val="20"/>
        </w:rPr>
        <w:t xml:space="preserve">- повышение уровня защищенности населенных пунктов, расположенных в сельской местности, объектами пожарной охраны, включая реализацию мероприятий по установке модульных зданий отдельных постов;</w:t>
      </w:r>
    </w:p>
    <w:p>
      <w:pPr>
        <w:pStyle w:val="0"/>
        <w:spacing w:before="200" w:line-rule="auto"/>
        <w:ind w:firstLine="540"/>
        <w:jc w:val="both"/>
      </w:pPr>
      <w:r>
        <w:rPr>
          <w:sz w:val="20"/>
        </w:rPr>
        <w:t xml:space="preserve">- обустройство мест массового отдыха граждан на водных объектах путем увеличения количества муниципальных пляжей и оборудования спасательных постов;</w:t>
      </w:r>
    </w:p>
    <w:p>
      <w:pPr>
        <w:pStyle w:val="0"/>
        <w:spacing w:before="200" w:line-rule="auto"/>
        <w:ind w:firstLine="540"/>
        <w:jc w:val="both"/>
      </w:pPr>
      <w:r>
        <w:rPr>
          <w:sz w:val="20"/>
        </w:rPr>
        <w:t xml:space="preserve">- активизация участия граждан, проживающих на сельских территориях, в решении вопросов местного значения:</w:t>
      </w:r>
    </w:p>
    <w:p>
      <w:pPr>
        <w:pStyle w:val="0"/>
        <w:spacing w:before="200" w:line-rule="auto"/>
        <w:ind w:firstLine="540"/>
        <w:jc w:val="both"/>
      </w:pPr>
      <w:r>
        <w:rPr>
          <w:sz w:val="20"/>
        </w:rPr>
        <w:t xml:space="preserve">реализация проектов местных инициатив граждан, проживающих в сельской местности, направленных на создание детских и спортивных площадок, обустройство зон отдыха, сохранение и восстановление природных ландшафтов, историко-культурных памятников, поддержку национальных культурных традиций;</w:t>
      </w:r>
    </w:p>
    <w:p>
      <w:pPr>
        <w:pStyle w:val="0"/>
        <w:spacing w:before="200" w:line-rule="auto"/>
        <w:ind w:firstLine="540"/>
        <w:jc w:val="both"/>
      </w:pPr>
      <w:r>
        <w:rPr>
          <w:sz w:val="20"/>
        </w:rPr>
        <w:t xml:space="preserve">реализация социальных проектов по развитию культуры и поддержанию национально-культурных традиций в сельской местности;</w:t>
      </w:r>
    </w:p>
    <w:p>
      <w:pPr>
        <w:pStyle w:val="0"/>
        <w:spacing w:before="200" w:line-rule="auto"/>
        <w:ind w:firstLine="540"/>
        <w:jc w:val="both"/>
      </w:pPr>
      <w:r>
        <w:rPr>
          <w:sz w:val="20"/>
        </w:rPr>
        <w:t xml:space="preserve">организация и проведение социально значимых мероприятий, участие в районных, областных, всероссийских и международных фестивалях и конкурсах, гастрольная деятельность творческих коллективов, профессиональная аудио- и видеозапись номеров;</w:t>
      </w:r>
    </w:p>
    <w:p>
      <w:pPr>
        <w:pStyle w:val="0"/>
        <w:spacing w:before="200" w:line-rule="auto"/>
        <w:ind w:firstLine="540"/>
        <w:jc w:val="both"/>
      </w:pPr>
      <w:r>
        <w:rPr>
          <w:sz w:val="20"/>
        </w:rPr>
        <w:t xml:space="preserve">создание условий для успешной самореализации сельской молодежи.</w:t>
      </w:r>
    </w:p>
    <w:p>
      <w:pPr>
        <w:pStyle w:val="0"/>
        <w:jc w:val="both"/>
      </w:pPr>
      <w:r>
        <w:rPr>
          <w:sz w:val="20"/>
        </w:rPr>
      </w:r>
    </w:p>
    <w:p>
      <w:pPr>
        <w:pStyle w:val="2"/>
        <w:outlineLvl w:val="4"/>
        <w:ind w:firstLine="540"/>
        <w:jc w:val="both"/>
      </w:pPr>
      <w:r>
        <w:rPr>
          <w:sz w:val="20"/>
        </w:rPr>
        <w:t xml:space="preserve">Цель 3.2. Интеграция в межрегиональные и глобальные социально-экономические отношения (РАЗВИТИЕ МЕЖРЕГИОНАЛЬНЫХ И ВНЕШНЕЭКОНОМИЧЕСКИХ СВЯЗЕЙ)</w:t>
      </w:r>
    </w:p>
    <w:p>
      <w:pPr>
        <w:pStyle w:val="0"/>
        <w:spacing w:before="200" w:line-rule="auto"/>
        <w:ind w:firstLine="540"/>
        <w:jc w:val="both"/>
      </w:pPr>
      <w:r>
        <w:rPr>
          <w:sz w:val="20"/>
        </w:rPr>
        <w:t xml:space="preserve">Для успешного развития Тюменской области необходима активная и последовательная политика по интенсификации и расширению существующих, а также установлению новых экономических связей и направлений международного и межрегионального сотрудничества.</w:t>
      </w:r>
    </w:p>
    <w:p>
      <w:pPr>
        <w:pStyle w:val="0"/>
        <w:spacing w:before="200" w:line-rule="auto"/>
        <w:ind w:firstLine="540"/>
        <w:jc w:val="both"/>
      </w:pPr>
      <w:r>
        <w:rPr>
          <w:sz w:val="20"/>
        </w:rPr>
        <w:t xml:space="preserve">Большое значение в перспективе должно приобрести решение таких задач, как расширение экономических связей с другими субъектами Российской Федерации, странами СНГ и рядом стран ближнего и дальнего зарубежья по приоритетным направлениям экономического, производственного и социального сотрудничества.</w:t>
      </w:r>
    </w:p>
    <w:p>
      <w:pPr>
        <w:pStyle w:val="2"/>
        <w:spacing w:before="200" w:line-rule="auto"/>
        <w:outlineLvl w:val="5"/>
        <w:ind w:firstLine="540"/>
        <w:jc w:val="both"/>
      </w:pPr>
      <w:r>
        <w:rPr>
          <w:sz w:val="20"/>
        </w:rPr>
        <w:t xml:space="preserve">Задача 3.2.1. Развитие межрегиональных связей (МЕЖРЕГИОНАЛЬНЫЕ СВЯЗИ)</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усиление стратегических экономических, территориальных, транспортных преимуществ Тюменской области в результате создания и развития кластеров (достройка технологических цепочек, организация полного производственного цикла), развития транспортно-логистических центров, стимулирования импортозамещения;</w:t>
      </w:r>
    </w:p>
    <w:p>
      <w:pPr>
        <w:pStyle w:val="0"/>
        <w:spacing w:before="200" w:line-rule="auto"/>
        <w:ind w:firstLine="540"/>
        <w:jc w:val="both"/>
      </w:pPr>
      <w:r>
        <w:rPr>
          <w:sz w:val="20"/>
        </w:rPr>
        <w:t xml:space="preserve">- формирование и реализация планов по развитию интеграционных процессов в экономике и социальной сфере региона на основе взаимоувязанных интересов и общей задачи обеспечения достойной жизни граждан Тюменской области, Ханты-Мансийского автономного округа - Югры и Ямало-Ненецкого автономного округа.</w:t>
      </w:r>
    </w:p>
    <w:p>
      <w:pPr>
        <w:pStyle w:val="0"/>
        <w:spacing w:before="200" w:line-rule="auto"/>
        <w:ind w:firstLine="540"/>
        <w:jc w:val="both"/>
      </w:pPr>
      <w:r>
        <w:rPr>
          <w:sz w:val="20"/>
        </w:rPr>
        <w:t xml:space="preserve">Реализация направления предполагает:</w:t>
      </w:r>
    </w:p>
    <w:p>
      <w:pPr>
        <w:pStyle w:val="0"/>
        <w:spacing w:before="200" w:line-rule="auto"/>
        <w:ind w:firstLine="540"/>
        <w:jc w:val="both"/>
      </w:pPr>
      <w:r>
        <w:rPr>
          <w:sz w:val="20"/>
        </w:rPr>
        <w:t xml:space="preserve">обеспечение жителей городов и населенных пунктов автономных округов Тюменской области учреждениями культуры, спорта, здравоохранения, образования;</w:t>
      </w:r>
    </w:p>
    <w:p>
      <w:pPr>
        <w:pStyle w:val="0"/>
        <w:spacing w:before="200" w:line-rule="auto"/>
        <w:ind w:firstLine="540"/>
        <w:jc w:val="both"/>
      </w:pPr>
      <w:r>
        <w:rPr>
          <w:sz w:val="20"/>
        </w:rPr>
        <w:t xml:space="preserve">развитие межрегиональных транспортных коридоров, в частности Тюмень - Тобольск - Ханты-Мансийск;</w:t>
      </w:r>
    </w:p>
    <w:p>
      <w:pPr>
        <w:pStyle w:val="0"/>
        <w:spacing w:before="200" w:line-rule="auto"/>
        <w:ind w:firstLine="540"/>
        <w:jc w:val="both"/>
      </w:pPr>
      <w:r>
        <w:rPr>
          <w:sz w:val="20"/>
        </w:rPr>
        <w:t xml:space="preserve">содействие переезду населения из автономных округов в южные районы Тюменской области;</w:t>
      </w:r>
    </w:p>
    <w:p>
      <w:pPr>
        <w:pStyle w:val="0"/>
        <w:spacing w:before="200" w:line-rule="auto"/>
        <w:ind w:firstLine="540"/>
        <w:jc w:val="both"/>
      </w:pPr>
      <w:r>
        <w:rPr>
          <w:sz w:val="20"/>
        </w:rPr>
        <w:t xml:space="preserve">оказание специализированной медицинской помощи, а также санаторно-курортных услуг жителям автономных округов Тюменской области;</w:t>
      </w:r>
    </w:p>
    <w:p>
      <w:pPr>
        <w:pStyle w:val="0"/>
        <w:spacing w:before="200" w:line-rule="auto"/>
        <w:ind w:firstLine="540"/>
        <w:jc w:val="both"/>
      </w:pPr>
      <w:r>
        <w:rPr>
          <w:sz w:val="20"/>
        </w:rPr>
        <w:t xml:space="preserve">- развитие сотрудничества Тюменской области с субъектами Российской Федерации в сфере экономики, торговли потребительскими товарами и продукцией производственно-технического назначения и формирование общего гуманитарного пространства;</w:t>
      </w:r>
    </w:p>
    <w:p>
      <w:pPr>
        <w:pStyle w:val="0"/>
        <w:spacing w:before="200" w:line-rule="auto"/>
        <w:ind w:firstLine="540"/>
        <w:jc w:val="both"/>
      </w:pPr>
      <w:r>
        <w:rPr>
          <w:sz w:val="20"/>
        </w:rPr>
        <w:t xml:space="preserve">- позиционирование Тюменской области как сервисной территории освоения Арктической зоны Российской Федерации, требующее расширения участия в проектах тюменских предприятий не только в части поставок оборудования и материалов, но и в части подрядных, проектных работ, в том числе с использованием инновационных технологий;</w:t>
      </w:r>
    </w:p>
    <w:p>
      <w:pPr>
        <w:pStyle w:val="0"/>
        <w:spacing w:before="200" w:line-rule="auto"/>
        <w:ind w:firstLine="540"/>
        <w:jc w:val="both"/>
      </w:pPr>
      <w:r>
        <w:rPr>
          <w:sz w:val="20"/>
        </w:rPr>
        <w:t xml:space="preserve">- развитие научно-технологического и научно-образовательного потенциала Тюменской области для обеспечения промышленного освоения Арктики и подготовки специалистов для работы на промышленных площадках Арктики.</w:t>
      </w:r>
    </w:p>
    <w:p>
      <w:pPr>
        <w:pStyle w:val="2"/>
        <w:spacing w:before="200" w:line-rule="auto"/>
        <w:outlineLvl w:val="5"/>
        <w:ind w:firstLine="540"/>
        <w:jc w:val="both"/>
      </w:pPr>
      <w:r>
        <w:rPr>
          <w:sz w:val="20"/>
        </w:rPr>
        <w:t xml:space="preserve">Задача 3.2.2. Развитие внешнеэкономических связей. Стратегия в области обеспечения благоприятных условий для ведения экспортной деятельности (ВНЕШНЕЭКОНОМИЧЕСКИЕ СВЯЗИ. ЭКСПОРТНАЯ СТРАТЕГИЯ)</w:t>
      </w:r>
    </w:p>
    <w:p>
      <w:pPr>
        <w:pStyle w:val="0"/>
        <w:spacing w:before="200" w:line-rule="auto"/>
        <w:ind w:firstLine="540"/>
        <w:jc w:val="both"/>
      </w:pPr>
      <w:r>
        <w:rPr>
          <w:sz w:val="20"/>
        </w:rPr>
        <w:t xml:space="preserve">В рамках решения задачи предусмотрены следующие направления деятельности:</w:t>
      </w:r>
    </w:p>
    <w:p>
      <w:pPr>
        <w:pStyle w:val="0"/>
        <w:spacing w:before="200" w:line-rule="auto"/>
        <w:ind w:firstLine="540"/>
        <w:jc w:val="both"/>
      </w:pPr>
      <w:r>
        <w:rPr>
          <w:sz w:val="20"/>
        </w:rPr>
        <w:t xml:space="preserve">- расширение рынка сбыта продукции и услуг в целях увеличения объема их экспорта;</w:t>
      </w:r>
    </w:p>
    <w:p>
      <w:pPr>
        <w:pStyle w:val="0"/>
        <w:spacing w:before="200" w:line-rule="auto"/>
        <w:ind w:firstLine="540"/>
        <w:jc w:val="both"/>
      </w:pPr>
      <w:r>
        <w:rPr>
          <w:sz w:val="20"/>
        </w:rPr>
        <w:t xml:space="preserve">- развитие экспортного потенциала региона, диверсификация товарной и географической структуры экспорта, увеличение экспорта продукции с высокой добавленной стоимостью, преодоление сырьевой направленности экспорта;</w:t>
      </w:r>
    </w:p>
    <w:p>
      <w:pPr>
        <w:pStyle w:val="0"/>
        <w:spacing w:before="200" w:line-rule="auto"/>
        <w:ind w:firstLine="540"/>
        <w:jc w:val="both"/>
      </w:pPr>
      <w:r>
        <w:rPr>
          <w:sz w:val="20"/>
        </w:rPr>
        <w:t xml:space="preserve">- формирование и продвижение положительного образа региона для развития международного и внешнеэкономического сотрудничества;</w:t>
      </w:r>
    </w:p>
    <w:p>
      <w:pPr>
        <w:pStyle w:val="0"/>
        <w:spacing w:before="200" w:line-rule="auto"/>
        <w:ind w:firstLine="540"/>
        <w:jc w:val="both"/>
      </w:pPr>
      <w:r>
        <w:rPr>
          <w:sz w:val="20"/>
        </w:rPr>
        <w:t xml:space="preserve">- повышение инвестиционной привлекательности Тюменской области для иностранных контрагентов (организация визитов в Тюменскую область официальных делегаций и бизнес-делегаций, в том числе иностранных, а также организация визитов официальных делегаций Тюменской области за рубеж, представление интересов Тюменской области при взаимодействии с руководством посольств, консульств и представительств иностранных государств);</w:t>
      </w:r>
    </w:p>
    <w:p>
      <w:pPr>
        <w:pStyle w:val="0"/>
        <w:spacing w:before="200" w:line-rule="auto"/>
        <w:ind w:firstLine="540"/>
        <w:jc w:val="both"/>
      </w:pPr>
      <w:r>
        <w:rPr>
          <w:sz w:val="20"/>
        </w:rPr>
        <w:t xml:space="preserve">- активизация развития приграничного сотрудничества;</w:t>
      </w:r>
    </w:p>
    <w:p>
      <w:pPr>
        <w:pStyle w:val="0"/>
        <w:spacing w:before="200" w:line-rule="auto"/>
        <w:ind w:firstLine="540"/>
        <w:jc w:val="both"/>
      </w:pPr>
      <w:r>
        <w:rPr>
          <w:sz w:val="20"/>
        </w:rPr>
        <w:t xml:space="preserve">- содействие в развитии внешнеэкономической деятельности тюменских предприятий (создание условий для усиления внешнеэкономической активности тюменских предприятий, организация информационно-обучающих мероприятий для предприятий Тюменской области, содействие в разработке информационных материалов с целью продвижения продукции предприятий Тюменской области на внешних рынках);</w:t>
      </w:r>
    </w:p>
    <w:p>
      <w:pPr>
        <w:pStyle w:val="0"/>
        <w:spacing w:before="200" w:line-rule="auto"/>
        <w:ind w:firstLine="540"/>
        <w:jc w:val="both"/>
      </w:pPr>
      <w:r>
        <w:rPr>
          <w:sz w:val="20"/>
        </w:rPr>
        <w:t xml:space="preserve">- развитие высокотехнологичного экспорта товаров и услуг:</w:t>
      </w:r>
    </w:p>
    <w:p>
      <w:pPr>
        <w:pStyle w:val="0"/>
        <w:spacing w:before="200" w:line-rule="auto"/>
        <w:ind w:firstLine="540"/>
        <w:jc w:val="both"/>
      </w:pPr>
      <w:r>
        <w:rPr>
          <w:sz w:val="20"/>
        </w:rPr>
        <w:t xml:space="preserve">создание эффективной региональной системы поддержки экспорта;</w:t>
      </w:r>
    </w:p>
    <w:p>
      <w:pPr>
        <w:pStyle w:val="0"/>
        <w:spacing w:before="200" w:line-rule="auto"/>
        <w:ind w:firstLine="540"/>
        <w:jc w:val="both"/>
      </w:pPr>
      <w:r>
        <w:rPr>
          <w:sz w:val="20"/>
        </w:rPr>
        <w:t xml:space="preserve">развитие Тюменской области как центра выставочно-конгрессной деятельности, в том числе по нефтегазовой тематике;</w:t>
      </w:r>
    </w:p>
    <w:p>
      <w:pPr>
        <w:pStyle w:val="0"/>
        <w:spacing w:before="200" w:line-rule="auto"/>
        <w:ind w:firstLine="540"/>
        <w:jc w:val="both"/>
      </w:pPr>
      <w:r>
        <w:rPr>
          <w:sz w:val="20"/>
        </w:rPr>
        <w:t xml:space="preserve">интенсификация работы в странах - основных торговых партнерах предприятий Тюменской области с целью продвижения интересов региона;</w:t>
      </w:r>
    </w:p>
    <w:p>
      <w:pPr>
        <w:pStyle w:val="0"/>
        <w:spacing w:before="200" w:line-rule="auto"/>
        <w:ind w:firstLine="540"/>
        <w:jc w:val="both"/>
      </w:pPr>
      <w:r>
        <w:rPr>
          <w:sz w:val="20"/>
        </w:rPr>
        <w:t xml:space="preserve">- формирование и размещение в открытом доступе базы внешнеэкономических проектов предприятий региона (региональных паспортов внешнеэкономических проектов) в целях продвижения продукции на международные рынки.</w:t>
      </w:r>
    </w:p>
    <w:p>
      <w:pPr>
        <w:pStyle w:val="0"/>
        <w:spacing w:before="200" w:line-rule="auto"/>
        <w:ind w:firstLine="540"/>
        <w:jc w:val="both"/>
      </w:pPr>
      <w:hyperlink w:history="0" w:anchor="P4717" w:tooltip="СТРАТЕГИЯ">
        <w:r>
          <w:rPr>
            <w:sz w:val="20"/>
            <w:color w:val="0000ff"/>
          </w:rPr>
          <w:t xml:space="preserve">Стратегия</w:t>
        </w:r>
      </w:hyperlink>
      <w:r>
        <w:rPr>
          <w:sz w:val="20"/>
        </w:rPr>
        <w:t xml:space="preserve"> в области обеспечения благоприятных условий для ведения экспортной деятельности представлена в приложении 6.</w:t>
      </w:r>
    </w:p>
    <w:p>
      <w:pPr>
        <w:pStyle w:val="0"/>
        <w:jc w:val="both"/>
      </w:pPr>
      <w:r>
        <w:rPr>
          <w:sz w:val="20"/>
        </w:rPr>
      </w:r>
    </w:p>
    <w:p>
      <w:pPr>
        <w:pStyle w:val="2"/>
        <w:outlineLvl w:val="1"/>
        <w:jc w:val="center"/>
      </w:pPr>
      <w:r>
        <w:rPr>
          <w:sz w:val="20"/>
        </w:rPr>
        <w:t xml:space="preserve">4. Механизмы реализации Стратегии</w:t>
      </w:r>
    </w:p>
    <w:p>
      <w:pPr>
        <w:pStyle w:val="0"/>
        <w:jc w:val="both"/>
      </w:pPr>
      <w:r>
        <w:rPr>
          <w:sz w:val="20"/>
        </w:rPr>
      </w:r>
    </w:p>
    <w:p>
      <w:pPr>
        <w:pStyle w:val="0"/>
        <w:ind w:firstLine="540"/>
        <w:jc w:val="both"/>
      </w:pPr>
      <w:r>
        <w:rPr>
          <w:sz w:val="20"/>
        </w:rPr>
        <w:t xml:space="preserve">Система управления реализацией Стратегии базируется на взаимосвязи принимаемых оперативных решений и конкретных действий по реализации Стратегии с обозначенными в ней приоритетами, целями и задачами.</w:t>
      </w:r>
    </w:p>
    <w:p>
      <w:pPr>
        <w:pStyle w:val="0"/>
        <w:spacing w:before="200" w:line-rule="auto"/>
        <w:ind w:firstLine="540"/>
        <w:jc w:val="both"/>
      </w:pPr>
      <w:r>
        <w:rPr>
          <w:sz w:val="20"/>
        </w:rPr>
        <w:t xml:space="preserve">Базовый принцип, определяющий механизмы реализации Стратегии - принцип баланса интересов. Он подразумевает соблюдение интересов федеральных органов исполнительной власти, органов исполнительной власти Тюменской области, органов местного самоуправления, бизнеса, населения, в том числе общественных организаций, а также четкое разграничение полномочий и ответственности всех участников реализации Стратегии для удовлетворения потребностей настоящего времени без создания угроз возможностям будущих поколений удовлетворять свои потребности.</w:t>
      </w:r>
    </w:p>
    <w:p>
      <w:pPr>
        <w:pStyle w:val="0"/>
        <w:spacing w:before="200" w:line-rule="auto"/>
        <w:ind w:firstLine="540"/>
        <w:jc w:val="both"/>
      </w:pPr>
      <w:r>
        <w:rPr>
          <w:sz w:val="20"/>
        </w:rPr>
        <w:t xml:space="preserve">Система мер по реализации обозначенных стратегических целей и задач включает нормативные правовые, финансово-экономические, инвестиционные, организационно-управленческие механизмы, а также механизмы государственно-частного и социального партнерства.</w:t>
      </w:r>
    </w:p>
    <w:p>
      <w:pPr>
        <w:pStyle w:val="0"/>
        <w:spacing w:before="200" w:line-rule="auto"/>
        <w:ind w:firstLine="540"/>
        <w:jc w:val="both"/>
      </w:pPr>
      <w:r>
        <w:rPr>
          <w:sz w:val="20"/>
        </w:rPr>
        <w:t xml:space="preserve">Эффективность достижения заявленных в Стратегии целей и задач развития Тюменской области будет обеспечена за счет взаимодействия бизнес-сообщества, органов государственной и муниципальной власти, институтов гражданского общества, населения, включающих:</w:t>
      </w:r>
    </w:p>
    <w:p>
      <w:pPr>
        <w:pStyle w:val="0"/>
        <w:spacing w:before="200" w:line-rule="auto"/>
        <w:ind w:firstLine="540"/>
        <w:jc w:val="both"/>
      </w:pPr>
      <w:r>
        <w:rPr>
          <w:sz w:val="20"/>
        </w:rPr>
        <w:t xml:space="preserve">повышение качества и эффективности государственного и муниципального управления, в том числе за счет развития компетенций государственных и муниципальных служащих, внедрения новых управленческих технологий, перевода в электронную форму большинства государственных и муниципальных услуг, оказываемых населению и бизнесу, повышения их качества и доступности;</w:t>
      </w:r>
    </w:p>
    <w:p>
      <w:pPr>
        <w:pStyle w:val="0"/>
        <w:spacing w:before="200" w:line-rule="auto"/>
        <w:ind w:firstLine="540"/>
        <w:jc w:val="both"/>
      </w:pPr>
      <w:r>
        <w:rPr>
          <w:sz w:val="20"/>
        </w:rPr>
        <w:t xml:space="preserve">развитие и поощрение форм корпоративной социальной ответственности;</w:t>
      </w:r>
    </w:p>
    <w:p>
      <w:pPr>
        <w:pStyle w:val="0"/>
        <w:spacing w:before="200" w:line-rule="auto"/>
        <w:ind w:firstLine="540"/>
        <w:jc w:val="both"/>
      </w:pPr>
      <w:r>
        <w:rPr>
          <w:sz w:val="20"/>
        </w:rPr>
        <w:t xml:space="preserve">предоставление преференций, налоговых и иных льгот, гарантий, финансовых средств за счет бюджетных средств;</w:t>
      </w:r>
    </w:p>
    <w:p>
      <w:pPr>
        <w:pStyle w:val="0"/>
        <w:spacing w:before="200" w:line-rule="auto"/>
        <w:ind w:firstLine="540"/>
        <w:jc w:val="both"/>
      </w:pPr>
      <w:r>
        <w:rPr>
          <w:sz w:val="20"/>
        </w:rPr>
        <w:t xml:space="preserve">активное взаимодействие в инфраструктурных отраслях с целью ускоренной реализации крупномасштабных социально-экономических проектов;</w:t>
      </w:r>
    </w:p>
    <w:p>
      <w:pPr>
        <w:pStyle w:val="0"/>
        <w:spacing w:before="200" w:line-rule="auto"/>
        <w:ind w:firstLine="540"/>
        <w:jc w:val="both"/>
      </w:pPr>
      <w:r>
        <w:rPr>
          <w:sz w:val="20"/>
        </w:rPr>
        <w:t xml:space="preserve">снижение административных барьеров для бизнеса;</w:t>
      </w:r>
    </w:p>
    <w:p>
      <w:pPr>
        <w:pStyle w:val="0"/>
        <w:spacing w:before="200" w:line-rule="auto"/>
        <w:ind w:firstLine="540"/>
        <w:jc w:val="both"/>
      </w:pPr>
      <w:r>
        <w:rPr>
          <w:sz w:val="20"/>
        </w:rPr>
        <w:t xml:space="preserve">развитие проектного финансирования на конкурсной и долевой основе;</w:t>
      </w:r>
    </w:p>
    <w:p>
      <w:pPr>
        <w:pStyle w:val="0"/>
        <w:spacing w:before="200" w:line-rule="auto"/>
        <w:ind w:firstLine="540"/>
        <w:jc w:val="both"/>
      </w:pPr>
      <w:r>
        <w:rPr>
          <w:sz w:val="20"/>
        </w:rPr>
        <w:t xml:space="preserve">осуществление информационной поддержки малого бизнеса;</w:t>
      </w:r>
    </w:p>
    <w:p>
      <w:pPr>
        <w:pStyle w:val="0"/>
        <w:spacing w:before="200" w:line-rule="auto"/>
        <w:ind w:firstLine="540"/>
        <w:jc w:val="both"/>
      </w:pPr>
      <w:r>
        <w:rPr>
          <w:sz w:val="20"/>
        </w:rPr>
        <w:t xml:space="preserve">развитие практики государственно-частного и муниципально-частного партнерства;</w:t>
      </w:r>
    </w:p>
    <w:p>
      <w:pPr>
        <w:pStyle w:val="0"/>
        <w:spacing w:before="200" w:line-rule="auto"/>
        <w:ind w:firstLine="540"/>
        <w:jc w:val="both"/>
      </w:pPr>
      <w:r>
        <w:rPr>
          <w:sz w:val="20"/>
        </w:rPr>
        <w:t xml:space="preserve">включение предпринимательских структур в состав участников государственных программ;</w:t>
      </w:r>
    </w:p>
    <w:p>
      <w:pPr>
        <w:pStyle w:val="0"/>
        <w:spacing w:before="200" w:line-rule="auto"/>
        <w:ind w:firstLine="540"/>
        <w:jc w:val="both"/>
      </w:pPr>
      <w:r>
        <w:rPr>
          <w:sz w:val="20"/>
        </w:rPr>
        <w:t xml:space="preserve">участие представителей бизнес-сообщества в экспертных сессиях, в общественных советах при исполнительных органах государственной власти Тюменской области;</w:t>
      </w:r>
    </w:p>
    <w:p>
      <w:pPr>
        <w:pStyle w:val="0"/>
        <w:spacing w:before="200" w:line-rule="auto"/>
        <w:ind w:firstLine="540"/>
        <w:jc w:val="both"/>
      </w:pPr>
      <w:r>
        <w:rPr>
          <w:sz w:val="20"/>
        </w:rPr>
        <w:t xml:space="preserve">создание координационных советов с участием представителей бизнеса при реализации государственных программ, предусматривающих внебюджетное финансирование;</w:t>
      </w:r>
    </w:p>
    <w:p>
      <w:pPr>
        <w:pStyle w:val="0"/>
        <w:spacing w:before="200" w:line-rule="auto"/>
        <w:ind w:firstLine="540"/>
        <w:jc w:val="both"/>
      </w:pPr>
      <w:r>
        <w:rPr>
          <w:sz w:val="20"/>
        </w:rPr>
        <w:t xml:space="preserve">расширение участия граждан в управлении регионом и другое.</w:t>
      </w:r>
    </w:p>
    <w:p>
      <w:pPr>
        <w:pStyle w:val="0"/>
        <w:spacing w:before="200" w:line-rule="auto"/>
        <w:ind w:firstLine="540"/>
        <w:jc w:val="both"/>
      </w:pPr>
      <w:r>
        <w:rPr>
          <w:sz w:val="20"/>
        </w:rPr>
        <w:t xml:space="preserve">Реализация Стратегии осуществляется через программно-целевое и проектное управление. В рамках программно-целевого управления определены следующие инструменты:</w:t>
      </w:r>
    </w:p>
    <w:p>
      <w:pPr>
        <w:pStyle w:val="0"/>
        <w:spacing w:before="200" w:line-rule="auto"/>
        <w:ind w:firstLine="540"/>
        <w:jc w:val="both"/>
      </w:pPr>
      <w:r>
        <w:rPr>
          <w:sz w:val="20"/>
        </w:rPr>
        <w:t xml:space="preserve">план мероприятий по реализации Стратегии;</w:t>
      </w:r>
    </w:p>
    <w:p>
      <w:pPr>
        <w:pStyle w:val="0"/>
        <w:spacing w:before="200" w:line-rule="auto"/>
        <w:ind w:firstLine="540"/>
        <w:jc w:val="both"/>
      </w:pPr>
      <w:r>
        <w:rPr>
          <w:sz w:val="20"/>
        </w:rPr>
        <w:t xml:space="preserve">государственные программы Тюменской области;</w:t>
      </w:r>
    </w:p>
    <w:p>
      <w:pPr>
        <w:pStyle w:val="0"/>
        <w:spacing w:before="200" w:line-rule="auto"/>
        <w:ind w:firstLine="540"/>
        <w:jc w:val="both"/>
      </w:pPr>
      <w:r>
        <w:rPr>
          <w:sz w:val="20"/>
        </w:rPr>
        <w:t xml:space="preserve">схема территориального планирования Тюменской области.</w:t>
      </w:r>
    </w:p>
    <w:p>
      <w:pPr>
        <w:pStyle w:val="0"/>
        <w:spacing w:before="200" w:line-rule="auto"/>
        <w:ind w:firstLine="540"/>
        <w:jc w:val="both"/>
      </w:pPr>
      <w:r>
        <w:rPr>
          <w:sz w:val="20"/>
        </w:rPr>
        <w:t xml:space="preserve">Основные направления действий по реализации Стратегии будут детализированы в плане мероприятий по реализации Стратегии с указанием ответственных исполнителей и ожидаемых результатов реализации мероприятий.</w:t>
      </w:r>
    </w:p>
    <w:p>
      <w:pPr>
        <w:pStyle w:val="0"/>
        <w:spacing w:before="200" w:line-rule="auto"/>
        <w:ind w:firstLine="540"/>
        <w:jc w:val="both"/>
      </w:pPr>
      <w:r>
        <w:rPr>
          <w:sz w:val="20"/>
        </w:rPr>
        <w:t xml:space="preserve">На основе плана мероприятий по реализации Стратегии при необходимости будут внесены изменения в существующие либо разработаны новые государственные программы Тюменской области, в которых будут определены конкретные мероприятия с указанием объемов и источников финансирования.</w:t>
      </w:r>
    </w:p>
    <w:p>
      <w:pPr>
        <w:pStyle w:val="0"/>
        <w:spacing w:before="200" w:line-rule="auto"/>
        <w:ind w:firstLine="540"/>
        <w:jc w:val="both"/>
      </w:pPr>
      <w:r>
        <w:rPr>
          <w:sz w:val="20"/>
        </w:rPr>
        <w:t xml:space="preserve">Действующие государственные программы Тюменской области направлены на реализацию стратегических приоритетов (перечень государственных программ Тюменской области представлен в </w:t>
      </w:r>
      <w:hyperlink w:history="0" w:anchor="P3310" w:tooltip="Таблица - Перечень государственных программ">
        <w:r>
          <w:rPr>
            <w:sz w:val="20"/>
            <w:color w:val="0000ff"/>
          </w:rPr>
          <w:t xml:space="preserve">приложении 3</w:t>
        </w:r>
      </w:hyperlink>
      <w:r>
        <w:rPr>
          <w:sz w:val="20"/>
        </w:rPr>
        <w:t xml:space="preserve">).</w:t>
      </w:r>
    </w:p>
    <w:p>
      <w:pPr>
        <w:pStyle w:val="0"/>
        <w:spacing w:before="200" w:line-rule="auto"/>
        <w:ind w:firstLine="540"/>
        <w:jc w:val="both"/>
      </w:pPr>
      <w:r>
        <w:rPr>
          <w:sz w:val="20"/>
        </w:rPr>
        <w:t xml:space="preserve">Предполагается наличие действенной системы мониторинга и контроля реализации Стратегии, осуществляемых на основе комплексного анализа достижения показателей социально-экономического развития Тюменской области, степени выполнения запланированных мероприятий. Мониторинг дает возможность сверять реальное состояние развития Тюменской области с запланированными параметрами и при необходимости уточнять направления развития Тюменской области. Мониторинг реализации Стратегии будет осуществляться на основе оценки выполнения плана мероприятий по реализации Стратегии.</w:t>
      </w:r>
    </w:p>
    <w:p>
      <w:pPr>
        <w:pStyle w:val="0"/>
        <w:jc w:val="both"/>
      </w:pPr>
      <w:r>
        <w:rPr>
          <w:sz w:val="20"/>
        </w:rPr>
      </w:r>
    </w:p>
    <w:p>
      <w:pPr>
        <w:pStyle w:val="2"/>
        <w:outlineLvl w:val="1"/>
        <w:jc w:val="center"/>
      </w:pPr>
      <w:r>
        <w:rPr>
          <w:sz w:val="20"/>
        </w:rPr>
        <w:t xml:space="preserve">5. Оценка финансовых ресурсов для реализации Стратегии</w:t>
      </w:r>
    </w:p>
    <w:p>
      <w:pPr>
        <w:pStyle w:val="0"/>
        <w:jc w:val="both"/>
      </w:pPr>
      <w:r>
        <w:rPr>
          <w:sz w:val="20"/>
        </w:rPr>
      </w:r>
    </w:p>
    <w:p>
      <w:pPr>
        <w:pStyle w:val="0"/>
        <w:ind w:firstLine="540"/>
        <w:jc w:val="both"/>
      </w:pPr>
      <w:r>
        <w:rPr>
          <w:sz w:val="20"/>
        </w:rPr>
        <w:t xml:space="preserve">На реализацию Стратегии планируется направить бюджетные и внебюджетные средства. Ресурсный потенциал бюджетной составляющей ограничен рамками бюджетов на очередной финансовый год и плановый период, государственных и муниципальных программ Тюменской области, а также параметрами бюджетного прогноза Тюменской области на долгосрочный период (</w:t>
      </w:r>
      <w:hyperlink w:history="0" w:anchor="P2078" w:tooltip="Таблица 11 - Расходы консолидированного бюджета Тюменской области на реализацию мероприятий первого этапа Стратегии (2020 - 2022 годы), млрд рублей">
        <w:r>
          <w:rPr>
            <w:sz w:val="20"/>
            <w:color w:val="0000ff"/>
          </w:rPr>
          <w:t xml:space="preserve">табл. 11</w:t>
        </w:r>
      </w:hyperlink>
      <w:r>
        <w:rPr>
          <w:sz w:val="20"/>
        </w:rPr>
        <w:t xml:space="preserve">, </w:t>
      </w:r>
      <w:hyperlink w:history="0" w:anchor="P2089" w:tooltip="Таблица 12 - Расходы консолидированного бюджета Тюменской области на реализацию мероприятий второго этапа Стратегии (2023 - 2025 годы), млрд рублей">
        <w:r>
          <w:rPr>
            <w:sz w:val="20"/>
            <w:color w:val="0000ff"/>
          </w:rPr>
          <w:t xml:space="preserve">табл. 12</w:t>
        </w:r>
      </w:hyperlink>
      <w:r>
        <w:rPr>
          <w:sz w:val="20"/>
        </w:rPr>
        <w:t xml:space="preserve">, </w:t>
      </w:r>
      <w:hyperlink w:history="0" w:anchor="P2100" w:tooltip="Таблица 13 - Расходы консолидированного бюджета Тюменской области на реализацию мероприятий третьего этапа Стратегии (2026 - 2030 годы), млрд рублей">
        <w:r>
          <w:rPr>
            <w:sz w:val="20"/>
            <w:color w:val="0000ff"/>
          </w:rPr>
          <w:t xml:space="preserve">табл. 13</w:t>
        </w:r>
      </w:hyperlink>
      <w:r>
        <w:rPr>
          <w:sz w:val="20"/>
        </w:rPr>
        <w:t xml:space="preserve">).</w:t>
      </w:r>
    </w:p>
    <w:p>
      <w:pPr>
        <w:pStyle w:val="0"/>
        <w:spacing w:before="200" w:line-rule="auto"/>
        <w:ind w:firstLine="540"/>
        <w:jc w:val="both"/>
      </w:pPr>
      <w:r>
        <w:rPr>
          <w:sz w:val="20"/>
        </w:rPr>
        <w:t xml:space="preserve">Привлечение средств федерального бюджета планируется осуществлять на условиях софинансирования в соответствии с действующим законодательством Российской Федерации в пределах объемов бюджетных ассигнований, предусмотренных в федеральном бюджете.</w:t>
      </w:r>
    </w:p>
    <w:p>
      <w:pPr>
        <w:pStyle w:val="0"/>
        <w:jc w:val="both"/>
      </w:pPr>
      <w:r>
        <w:rPr>
          <w:sz w:val="20"/>
        </w:rPr>
      </w:r>
    </w:p>
    <w:bookmarkStart w:id="2078" w:name="P2078"/>
    <w:bookmarkEnd w:id="2078"/>
    <w:p>
      <w:pPr>
        <w:pStyle w:val="2"/>
        <w:outlineLvl w:val="2"/>
        <w:ind w:firstLine="540"/>
        <w:jc w:val="both"/>
      </w:pPr>
      <w:r>
        <w:rPr>
          <w:sz w:val="20"/>
        </w:rPr>
        <w:t xml:space="preserve">Таблица 11 - Расходы консолидированного бюджета Тюменской области на реализацию мероприятий первого этапа Стратегии (2020 - 2022 годы), млрд рублей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1700"/>
        <w:gridCol w:w="1700"/>
        <w:gridCol w:w="1700"/>
      </w:tblGrid>
      <w:tr>
        <w:tc>
          <w:tcPr>
            <w:tcW w:w="3969" w:type="dxa"/>
            <w:vAlign w:val="center"/>
          </w:tcPr>
          <w:p>
            <w:pPr>
              <w:pStyle w:val="0"/>
              <w:jc w:val="center"/>
            </w:pPr>
            <w:r>
              <w:rPr>
                <w:sz w:val="20"/>
              </w:rPr>
              <w:t xml:space="preserve">Показатель</w:t>
            </w:r>
          </w:p>
        </w:tc>
        <w:tc>
          <w:tcPr>
            <w:tcW w:w="1700" w:type="dxa"/>
            <w:vAlign w:val="center"/>
          </w:tcPr>
          <w:p>
            <w:pPr>
              <w:pStyle w:val="0"/>
              <w:jc w:val="center"/>
            </w:pPr>
            <w:r>
              <w:rPr>
                <w:sz w:val="20"/>
              </w:rPr>
              <w:t xml:space="preserve">2020 год</w:t>
            </w:r>
          </w:p>
        </w:tc>
        <w:tc>
          <w:tcPr>
            <w:tcW w:w="1700" w:type="dxa"/>
            <w:vAlign w:val="center"/>
          </w:tcPr>
          <w:p>
            <w:pPr>
              <w:pStyle w:val="0"/>
              <w:jc w:val="center"/>
            </w:pPr>
            <w:r>
              <w:rPr>
                <w:sz w:val="20"/>
              </w:rPr>
              <w:t xml:space="preserve">2021 год</w:t>
            </w:r>
          </w:p>
        </w:tc>
        <w:tc>
          <w:tcPr>
            <w:tcW w:w="1700" w:type="dxa"/>
          </w:tcPr>
          <w:p>
            <w:pPr>
              <w:pStyle w:val="0"/>
              <w:jc w:val="center"/>
            </w:pPr>
            <w:r>
              <w:rPr>
                <w:sz w:val="20"/>
              </w:rPr>
              <w:t xml:space="preserve">2022 год</w:t>
            </w:r>
          </w:p>
        </w:tc>
      </w:tr>
      <w:tr>
        <w:tc>
          <w:tcPr>
            <w:tcW w:w="3969" w:type="dxa"/>
            <w:vAlign w:val="center"/>
          </w:tcPr>
          <w:p>
            <w:pPr>
              <w:pStyle w:val="0"/>
            </w:pPr>
            <w:r>
              <w:rPr>
                <w:sz w:val="20"/>
              </w:rPr>
              <w:t xml:space="preserve">Расходы консолидированного бюджета Тюменской области</w:t>
            </w:r>
          </w:p>
        </w:tc>
        <w:tc>
          <w:tcPr>
            <w:tcW w:w="1700" w:type="dxa"/>
            <w:vAlign w:val="center"/>
          </w:tcPr>
          <w:p>
            <w:pPr>
              <w:pStyle w:val="0"/>
              <w:jc w:val="center"/>
            </w:pPr>
            <w:r>
              <w:rPr>
                <w:sz w:val="20"/>
              </w:rPr>
              <w:t xml:space="preserve">244,7</w:t>
            </w:r>
          </w:p>
        </w:tc>
        <w:tc>
          <w:tcPr>
            <w:tcW w:w="1700" w:type="dxa"/>
            <w:vAlign w:val="center"/>
          </w:tcPr>
          <w:p>
            <w:pPr>
              <w:pStyle w:val="0"/>
              <w:jc w:val="center"/>
            </w:pPr>
            <w:r>
              <w:rPr>
                <w:sz w:val="20"/>
              </w:rPr>
              <w:t xml:space="preserve">221,2</w:t>
            </w:r>
          </w:p>
        </w:tc>
        <w:tc>
          <w:tcPr>
            <w:tcW w:w="1700" w:type="dxa"/>
            <w:vAlign w:val="center"/>
          </w:tcPr>
          <w:p>
            <w:pPr>
              <w:pStyle w:val="0"/>
              <w:jc w:val="center"/>
            </w:pPr>
            <w:r>
              <w:rPr>
                <w:sz w:val="20"/>
              </w:rPr>
              <w:t xml:space="preserve">216,3</w:t>
            </w:r>
          </w:p>
        </w:tc>
      </w:tr>
    </w:tbl>
    <w:p>
      <w:pPr>
        <w:pStyle w:val="0"/>
        <w:jc w:val="both"/>
      </w:pPr>
      <w:r>
        <w:rPr>
          <w:sz w:val="20"/>
        </w:rPr>
      </w:r>
    </w:p>
    <w:bookmarkStart w:id="2089" w:name="P2089"/>
    <w:bookmarkEnd w:id="2089"/>
    <w:p>
      <w:pPr>
        <w:pStyle w:val="2"/>
        <w:outlineLvl w:val="2"/>
        <w:ind w:firstLine="540"/>
        <w:jc w:val="both"/>
      </w:pPr>
      <w:r>
        <w:rPr>
          <w:sz w:val="20"/>
        </w:rPr>
        <w:t xml:space="preserve">Таблица 12 - Расходы консолидированного бюджета Тюменской области на реализацию мероприятий второго этапа Стратегии (2023 - 2025 годы), млрд рублей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1700"/>
        <w:gridCol w:w="1700"/>
        <w:gridCol w:w="1700"/>
      </w:tblGrid>
      <w:tr>
        <w:tc>
          <w:tcPr>
            <w:tcW w:w="3969" w:type="dxa"/>
            <w:vAlign w:val="center"/>
          </w:tcPr>
          <w:p>
            <w:pPr>
              <w:pStyle w:val="0"/>
              <w:jc w:val="center"/>
            </w:pPr>
            <w:r>
              <w:rPr>
                <w:sz w:val="20"/>
              </w:rPr>
              <w:t xml:space="preserve">Показатель</w:t>
            </w:r>
          </w:p>
        </w:tc>
        <w:tc>
          <w:tcPr>
            <w:tcW w:w="1700" w:type="dxa"/>
            <w:vAlign w:val="center"/>
          </w:tcPr>
          <w:p>
            <w:pPr>
              <w:pStyle w:val="0"/>
              <w:jc w:val="center"/>
            </w:pPr>
            <w:r>
              <w:rPr>
                <w:sz w:val="20"/>
              </w:rPr>
              <w:t xml:space="preserve">2023 год</w:t>
            </w:r>
          </w:p>
        </w:tc>
        <w:tc>
          <w:tcPr>
            <w:tcW w:w="1700" w:type="dxa"/>
            <w:vAlign w:val="center"/>
          </w:tcPr>
          <w:p>
            <w:pPr>
              <w:pStyle w:val="0"/>
              <w:jc w:val="center"/>
            </w:pPr>
            <w:r>
              <w:rPr>
                <w:sz w:val="20"/>
              </w:rPr>
              <w:t xml:space="preserve">2024 год</w:t>
            </w:r>
          </w:p>
        </w:tc>
        <w:tc>
          <w:tcPr>
            <w:tcW w:w="1700" w:type="dxa"/>
            <w:vAlign w:val="center"/>
          </w:tcPr>
          <w:p>
            <w:pPr>
              <w:pStyle w:val="0"/>
              <w:jc w:val="center"/>
            </w:pPr>
            <w:r>
              <w:rPr>
                <w:sz w:val="20"/>
              </w:rPr>
              <w:t xml:space="preserve">2025 год</w:t>
            </w:r>
          </w:p>
        </w:tc>
      </w:tr>
      <w:tr>
        <w:tc>
          <w:tcPr>
            <w:tcW w:w="3969" w:type="dxa"/>
            <w:vAlign w:val="center"/>
          </w:tcPr>
          <w:p>
            <w:pPr>
              <w:pStyle w:val="0"/>
            </w:pPr>
            <w:r>
              <w:rPr>
                <w:sz w:val="20"/>
              </w:rPr>
              <w:t xml:space="preserve">Расходы консолидированного бюджета Тюменской области</w:t>
            </w:r>
          </w:p>
        </w:tc>
        <w:tc>
          <w:tcPr>
            <w:tcW w:w="1700" w:type="dxa"/>
            <w:vAlign w:val="center"/>
          </w:tcPr>
          <w:p>
            <w:pPr>
              <w:pStyle w:val="0"/>
              <w:jc w:val="center"/>
            </w:pPr>
            <w:r>
              <w:rPr>
                <w:sz w:val="20"/>
              </w:rPr>
              <w:t xml:space="preserve">202,1</w:t>
            </w:r>
          </w:p>
        </w:tc>
        <w:tc>
          <w:tcPr>
            <w:tcW w:w="1700" w:type="dxa"/>
            <w:vAlign w:val="center"/>
          </w:tcPr>
          <w:p>
            <w:pPr>
              <w:pStyle w:val="0"/>
              <w:jc w:val="center"/>
            </w:pPr>
            <w:r>
              <w:rPr>
                <w:sz w:val="20"/>
              </w:rPr>
              <w:t xml:space="preserve">210,0</w:t>
            </w:r>
          </w:p>
        </w:tc>
        <w:tc>
          <w:tcPr>
            <w:tcW w:w="1700" w:type="dxa"/>
            <w:vAlign w:val="center"/>
          </w:tcPr>
          <w:p>
            <w:pPr>
              <w:pStyle w:val="0"/>
              <w:jc w:val="center"/>
            </w:pPr>
            <w:r>
              <w:rPr>
                <w:sz w:val="20"/>
              </w:rPr>
              <w:t xml:space="preserve">184,9</w:t>
            </w:r>
          </w:p>
        </w:tc>
      </w:tr>
    </w:tbl>
    <w:p>
      <w:pPr>
        <w:pStyle w:val="0"/>
        <w:jc w:val="both"/>
      </w:pPr>
      <w:r>
        <w:rPr>
          <w:sz w:val="20"/>
        </w:rPr>
      </w:r>
    </w:p>
    <w:bookmarkStart w:id="2100" w:name="P2100"/>
    <w:bookmarkEnd w:id="2100"/>
    <w:p>
      <w:pPr>
        <w:pStyle w:val="2"/>
        <w:outlineLvl w:val="2"/>
        <w:ind w:firstLine="540"/>
        <w:jc w:val="both"/>
      </w:pPr>
      <w:r>
        <w:rPr>
          <w:sz w:val="20"/>
        </w:rPr>
        <w:t xml:space="preserve">Таблица 13 - Расходы консолидированного бюджета Тюменской области на реализацию мероприятий третьего этапа Стратегии (2026 - 2030 годы), млрд рублей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247"/>
        <w:gridCol w:w="1247"/>
        <w:gridCol w:w="1247"/>
        <w:gridCol w:w="1247"/>
        <w:gridCol w:w="1247"/>
      </w:tblGrid>
      <w:tr>
        <w:tc>
          <w:tcPr>
            <w:tcW w:w="2835" w:type="dxa"/>
            <w:vAlign w:val="center"/>
          </w:tcPr>
          <w:p>
            <w:pPr>
              <w:pStyle w:val="0"/>
              <w:jc w:val="center"/>
            </w:pPr>
            <w:r>
              <w:rPr>
                <w:sz w:val="20"/>
              </w:rPr>
              <w:t xml:space="preserve">Показатель</w:t>
            </w:r>
          </w:p>
        </w:tc>
        <w:tc>
          <w:tcPr>
            <w:tcW w:w="1247" w:type="dxa"/>
            <w:vAlign w:val="center"/>
          </w:tcPr>
          <w:p>
            <w:pPr>
              <w:pStyle w:val="0"/>
              <w:jc w:val="center"/>
            </w:pPr>
            <w:r>
              <w:rPr>
                <w:sz w:val="20"/>
              </w:rPr>
              <w:t xml:space="preserve">2026 год</w:t>
            </w:r>
          </w:p>
        </w:tc>
        <w:tc>
          <w:tcPr>
            <w:tcW w:w="1247" w:type="dxa"/>
            <w:vAlign w:val="center"/>
          </w:tcPr>
          <w:p>
            <w:pPr>
              <w:pStyle w:val="0"/>
              <w:jc w:val="center"/>
            </w:pPr>
            <w:r>
              <w:rPr>
                <w:sz w:val="20"/>
              </w:rPr>
              <w:t xml:space="preserve">2027 год</w:t>
            </w:r>
          </w:p>
        </w:tc>
        <w:tc>
          <w:tcPr>
            <w:tcW w:w="1247" w:type="dxa"/>
            <w:vAlign w:val="center"/>
          </w:tcPr>
          <w:p>
            <w:pPr>
              <w:pStyle w:val="0"/>
              <w:jc w:val="center"/>
            </w:pPr>
            <w:r>
              <w:rPr>
                <w:sz w:val="20"/>
              </w:rPr>
              <w:t xml:space="preserve">2028 год</w:t>
            </w:r>
          </w:p>
        </w:tc>
        <w:tc>
          <w:tcPr>
            <w:tcW w:w="1247" w:type="dxa"/>
            <w:vAlign w:val="center"/>
          </w:tcPr>
          <w:p>
            <w:pPr>
              <w:pStyle w:val="0"/>
              <w:jc w:val="center"/>
            </w:pPr>
            <w:r>
              <w:rPr>
                <w:sz w:val="20"/>
              </w:rPr>
              <w:t xml:space="preserve">2029 год</w:t>
            </w:r>
          </w:p>
        </w:tc>
        <w:tc>
          <w:tcPr>
            <w:tcW w:w="1247" w:type="dxa"/>
            <w:vAlign w:val="center"/>
          </w:tcPr>
          <w:p>
            <w:pPr>
              <w:pStyle w:val="0"/>
              <w:jc w:val="center"/>
            </w:pPr>
            <w:r>
              <w:rPr>
                <w:sz w:val="20"/>
              </w:rPr>
              <w:t xml:space="preserve">2030 год</w:t>
            </w:r>
          </w:p>
        </w:tc>
      </w:tr>
      <w:tr>
        <w:tc>
          <w:tcPr>
            <w:tcW w:w="2835" w:type="dxa"/>
            <w:vAlign w:val="center"/>
          </w:tcPr>
          <w:p>
            <w:pPr>
              <w:pStyle w:val="0"/>
            </w:pPr>
            <w:r>
              <w:rPr>
                <w:sz w:val="20"/>
              </w:rPr>
              <w:t xml:space="preserve">Расходы консолидированного бюджета Тюменской области</w:t>
            </w:r>
          </w:p>
        </w:tc>
        <w:tc>
          <w:tcPr>
            <w:tcW w:w="1247" w:type="dxa"/>
            <w:vAlign w:val="center"/>
          </w:tcPr>
          <w:p>
            <w:pPr>
              <w:pStyle w:val="0"/>
              <w:jc w:val="center"/>
            </w:pPr>
            <w:r>
              <w:rPr>
                <w:sz w:val="20"/>
              </w:rPr>
              <w:t xml:space="preserve">179,3</w:t>
            </w:r>
          </w:p>
        </w:tc>
        <w:tc>
          <w:tcPr>
            <w:tcW w:w="1247" w:type="dxa"/>
            <w:vAlign w:val="center"/>
          </w:tcPr>
          <w:p>
            <w:pPr>
              <w:pStyle w:val="0"/>
              <w:jc w:val="center"/>
            </w:pPr>
            <w:r>
              <w:rPr>
                <w:sz w:val="20"/>
              </w:rPr>
              <w:t xml:space="preserve">187,2</w:t>
            </w:r>
          </w:p>
        </w:tc>
        <w:tc>
          <w:tcPr>
            <w:tcW w:w="1247" w:type="dxa"/>
            <w:vAlign w:val="center"/>
          </w:tcPr>
          <w:p>
            <w:pPr>
              <w:pStyle w:val="0"/>
              <w:jc w:val="center"/>
            </w:pPr>
            <w:r>
              <w:rPr>
                <w:sz w:val="20"/>
              </w:rPr>
              <w:t xml:space="preserve">195,6</w:t>
            </w:r>
          </w:p>
        </w:tc>
        <w:tc>
          <w:tcPr>
            <w:tcW w:w="1247" w:type="dxa"/>
            <w:vAlign w:val="center"/>
          </w:tcPr>
          <w:p>
            <w:pPr>
              <w:pStyle w:val="0"/>
              <w:jc w:val="center"/>
            </w:pPr>
            <w:r>
              <w:rPr>
                <w:sz w:val="20"/>
              </w:rPr>
              <w:t xml:space="preserve">203,0</w:t>
            </w:r>
          </w:p>
        </w:tc>
        <w:tc>
          <w:tcPr>
            <w:tcW w:w="1247" w:type="dxa"/>
            <w:vAlign w:val="center"/>
          </w:tcPr>
          <w:p>
            <w:pPr>
              <w:pStyle w:val="0"/>
              <w:jc w:val="center"/>
            </w:pPr>
            <w:r>
              <w:rPr>
                <w:sz w:val="20"/>
              </w:rPr>
              <w:t xml:space="preserve">211,0</w:t>
            </w:r>
          </w:p>
        </w:tc>
      </w:tr>
    </w:tbl>
    <w:p>
      <w:pPr>
        <w:pStyle w:val="0"/>
        <w:jc w:val="both"/>
      </w:pPr>
      <w:r>
        <w:rPr>
          <w:sz w:val="20"/>
        </w:rPr>
      </w:r>
    </w:p>
    <w:p>
      <w:pPr>
        <w:pStyle w:val="0"/>
        <w:ind w:firstLine="540"/>
        <w:jc w:val="both"/>
      </w:pPr>
      <w:r>
        <w:rPr>
          <w:sz w:val="20"/>
        </w:rPr>
        <w:t xml:space="preserve">Помимо бюджетных ассигнований важным финансовым ресурсом для реализации Стратегии должны стать внебюджетные средства, привлекаемые от юридических и физических лиц, в том числе на принципах государственно-частного и муниципально-частного партнерства посредством институтов развития, международных финансовых институтов и иностранных инвестиций для реализации в регионе инвестиционных и инфраструктурных проектов.</w:t>
      </w:r>
    </w:p>
    <w:p>
      <w:pPr>
        <w:pStyle w:val="0"/>
        <w:spacing w:before="200" w:line-rule="auto"/>
        <w:ind w:firstLine="540"/>
        <w:jc w:val="both"/>
      </w:pPr>
      <w:r>
        <w:rPr>
          <w:sz w:val="20"/>
        </w:rPr>
        <w:t xml:space="preserve">Главным финансовым инструментом достижения целей и задач Стратегии является программный бюджет, поскольку цели и задачи реализуемых государственных (муниципальных) программ разработаны в соответствии со стратегическими приоритетами социально-экономического развития региона, документами стратегического планирования Тюменской области с учетом отраслевых документов стратегического планирования Российской Федерации. В соответствии с действующим порядком предусмотрено ежегодное проведение оценки эффективности реализации программных мероприятий, использования финансовых ресурсов, по результатам которой вырабатываются меры, направленные на достижение плановых значений показателей, а также повышение эффективности использования бюджетных средств.</w:t>
      </w:r>
    </w:p>
    <w:p>
      <w:pPr>
        <w:pStyle w:val="0"/>
        <w:spacing w:before="200" w:line-rule="auto"/>
        <w:ind w:firstLine="540"/>
        <w:jc w:val="both"/>
      </w:pPr>
      <w:r>
        <w:rPr>
          <w:sz w:val="20"/>
        </w:rPr>
        <w:t xml:space="preserve">Кроме того, реализации целей и задач Стратегии помимо прямого финансирования мероприятий будут способствовать реализуемые Правительством Тюменской области механизмы поддержания благоприятных условий для развития реального сектора экономики Тюменской области, малого и среднего предпринимательства путем предоставления региональных налоговых преференций. Главная цель проводимых мероприятий - привлечение инвестиций в разные сферы региональной экономики, ориентированное на поддержку новых производств. При этом целью проведения такой налоговой политики является максимальная поддержка предприятий на стадии инвестирования и строительства с поэтапным переходом от предоставления полного пакета налоговых преференций к частичному освобождению от уплаты налогов при переходе к стадии промышленной эксплуатации.</w:t>
      </w:r>
    </w:p>
    <w:p>
      <w:pPr>
        <w:pStyle w:val="0"/>
        <w:spacing w:before="200" w:line-rule="auto"/>
        <w:ind w:firstLine="540"/>
        <w:jc w:val="both"/>
      </w:pPr>
      <w:r>
        <w:rPr>
          <w:sz w:val="20"/>
        </w:rPr>
        <w:t xml:space="preserve">Проводимая Правительством Тюменской области экономическая политика, в том числе бюджетная и налоговая, направлена на консолидацию всех привлекаемых ресурсов с целью обеспечения реализации целей и задач Стратегии.</w:t>
      </w:r>
    </w:p>
    <w:p>
      <w:pPr>
        <w:pStyle w:val="0"/>
        <w:jc w:val="both"/>
      </w:pPr>
      <w:r>
        <w:rPr>
          <w:sz w:val="20"/>
        </w:rPr>
      </w:r>
    </w:p>
    <w:p>
      <w:pPr>
        <w:pStyle w:val="2"/>
        <w:outlineLvl w:val="1"/>
        <w:jc w:val="center"/>
      </w:pPr>
      <w:r>
        <w:rPr>
          <w:sz w:val="20"/>
        </w:rPr>
        <w:t xml:space="preserve">6. Ожидаемые результаты реализации Стратегии</w:t>
      </w:r>
    </w:p>
    <w:p>
      <w:pPr>
        <w:pStyle w:val="0"/>
        <w:jc w:val="both"/>
      </w:pPr>
      <w:r>
        <w:rPr>
          <w:sz w:val="20"/>
        </w:rPr>
      </w:r>
    </w:p>
    <w:p>
      <w:pPr>
        <w:pStyle w:val="2"/>
        <w:outlineLvl w:val="2"/>
        <w:jc w:val="center"/>
      </w:pPr>
      <w:r>
        <w:rPr>
          <w:sz w:val="20"/>
        </w:rPr>
        <w:t xml:space="preserve">6.1. Этапы и ожидаемые результаты реализации Стратегии</w:t>
      </w:r>
    </w:p>
    <w:p>
      <w:pPr>
        <w:pStyle w:val="0"/>
        <w:jc w:val="both"/>
      </w:pPr>
      <w:r>
        <w:rPr>
          <w:sz w:val="20"/>
        </w:rPr>
      </w:r>
    </w:p>
    <w:p>
      <w:pPr>
        <w:pStyle w:val="0"/>
        <w:ind w:firstLine="540"/>
        <w:jc w:val="both"/>
      </w:pPr>
      <w:r>
        <w:rPr>
          <w:sz w:val="20"/>
        </w:rPr>
        <w:t xml:space="preserve">Реализация Стратегии предполагается в 3 этапа, что отражает последовательное движение к достижению стратегической цели (табл. 14).</w:t>
      </w:r>
    </w:p>
    <w:p>
      <w:pPr>
        <w:pStyle w:val="0"/>
        <w:jc w:val="both"/>
      </w:pPr>
      <w:r>
        <w:rPr>
          <w:sz w:val="20"/>
        </w:rPr>
      </w:r>
    </w:p>
    <w:p>
      <w:pPr>
        <w:pStyle w:val="2"/>
        <w:outlineLvl w:val="3"/>
        <w:ind w:firstLine="540"/>
        <w:jc w:val="both"/>
      </w:pPr>
      <w:r>
        <w:rPr>
          <w:sz w:val="20"/>
        </w:rPr>
        <w:t xml:space="preserve">Таблица 14 - Этапы и ожидаемые результаты реализации Стратегии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75"/>
        <w:gridCol w:w="2551"/>
        <w:gridCol w:w="4706"/>
      </w:tblGrid>
      <w:tr>
        <w:tc>
          <w:tcPr>
            <w:tcW w:w="1775" w:type="dxa"/>
          </w:tcPr>
          <w:p>
            <w:pPr>
              <w:pStyle w:val="0"/>
              <w:jc w:val="center"/>
            </w:pPr>
            <w:r>
              <w:rPr>
                <w:sz w:val="20"/>
              </w:rPr>
              <w:t xml:space="preserve">Этап</w:t>
            </w:r>
          </w:p>
        </w:tc>
        <w:tc>
          <w:tcPr>
            <w:tcW w:w="2551" w:type="dxa"/>
          </w:tcPr>
          <w:p>
            <w:pPr>
              <w:pStyle w:val="0"/>
              <w:jc w:val="center"/>
            </w:pPr>
            <w:r>
              <w:rPr>
                <w:sz w:val="20"/>
              </w:rPr>
              <w:t xml:space="preserve">Описание</w:t>
            </w:r>
          </w:p>
        </w:tc>
        <w:tc>
          <w:tcPr>
            <w:tcW w:w="4706" w:type="dxa"/>
          </w:tcPr>
          <w:p>
            <w:pPr>
              <w:pStyle w:val="0"/>
              <w:jc w:val="center"/>
            </w:pPr>
            <w:r>
              <w:rPr>
                <w:sz w:val="20"/>
              </w:rPr>
              <w:t xml:space="preserve">Ожидаемый результат</w:t>
            </w:r>
          </w:p>
        </w:tc>
      </w:tr>
      <w:tr>
        <w:tc>
          <w:tcPr>
            <w:tcW w:w="1775" w:type="dxa"/>
          </w:tcPr>
          <w:p>
            <w:pPr>
              <w:pStyle w:val="0"/>
            </w:pPr>
            <w:r>
              <w:rPr>
                <w:sz w:val="20"/>
              </w:rPr>
              <w:t xml:space="preserve">1 Этап</w:t>
            </w:r>
          </w:p>
          <w:p>
            <w:pPr>
              <w:pStyle w:val="0"/>
            </w:pPr>
            <w:r>
              <w:rPr>
                <w:sz w:val="20"/>
              </w:rPr>
              <w:t xml:space="preserve">(2020 - 2022 годы)</w:t>
            </w:r>
          </w:p>
        </w:tc>
        <w:tc>
          <w:tcPr>
            <w:tcW w:w="2551" w:type="dxa"/>
          </w:tcPr>
          <w:p>
            <w:pPr>
              <w:pStyle w:val="0"/>
            </w:pPr>
            <w:r>
              <w:rPr>
                <w:sz w:val="20"/>
              </w:rPr>
              <w:t xml:space="preserve">Завершение формирования сложившейся структуры экономики</w:t>
            </w:r>
          </w:p>
        </w:tc>
        <w:tc>
          <w:tcPr>
            <w:tcW w:w="4706" w:type="dxa"/>
          </w:tcPr>
          <w:p>
            <w:pPr>
              <w:pStyle w:val="0"/>
            </w:pPr>
            <w:r>
              <w:rPr>
                <w:sz w:val="20"/>
              </w:rPr>
              <w:t xml:space="preserve">- Повышение уровня жизни населения.</w:t>
            </w:r>
          </w:p>
          <w:p>
            <w:pPr>
              <w:pStyle w:val="0"/>
            </w:pPr>
            <w:r>
              <w:rPr>
                <w:sz w:val="20"/>
              </w:rPr>
              <w:t xml:space="preserve">- Развитие производственных и сервисных секторов экономики.</w:t>
            </w:r>
          </w:p>
          <w:p>
            <w:pPr>
              <w:pStyle w:val="0"/>
            </w:pPr>
            <w:r>
              <w:rPr>
                <w:sz w:val="20"/>
              </w:rPr>
              <w:t xml:space="preserve">- Развитие инвестиционного потенциала муниципальных образований</w:t>
            </w:r>
          </w:p>
        </w:tc>
      </w:tr>
      <w:tr>
        <w:tc>
          <w:tcPr>
            <w:tcW w:w="1775" w:type="dxa"/>
          </w:tcPr>
          <w:p>
            <w:pPr>
              <w:pStyle w:val="0"/>
            </w:pPr>
            <w:r>
              <w:rPr>
                <w:sz w:val="20"/>
              </w:rPr>
              <w:t xml:space="preserve">2 Этап</w:t>
            </w:r>
          </w:p>
          <w:p>
            <w:pPr>
              <w:pStyle w:val="0"/>
            </w:pPr>
            <w:r>
              <w:rPr>
                <w:sz w:val="20"/>
              </w:rPr>
              <w:t xml:space="preserve">(2023 - 2025 годы)</w:t>
            </w:r>
          </w:p>
        </w:tc>
        <w:tc>
          <w:tcPr>
            <w:tcW w:w="2551" w:type="dxa"/>
          </w:tcPr>
          <w:p>
            <w:pPr>
              <w:pStyle w:val="0"/>
            </w:pPr>
            <w:r>
              <w:rPr>
                <w:sz w:val="20"/>
              </w:rPr>
              <w:t xml:space="preserve">Изменение качества экономического роста</w:t>
            </w:r>
          </w:p>
        </w:tc>
        <w:tc>
          <w:tcPr>
            <w:tcW w:w="4706" w:type="dxa"/>
          </w:tcPr>
          <w:p>
            <w:pPr>
              <w:pStyle w:val="0"/>
            </w:pPr>
            <w:r>
              <w:rPr>
                <w:sz w:val="20"/>
              </w:rPr>
              <w:t xml:space="preserve">- Улучшение качества человеческого потенциала, качества жизни населения.</w:t>
            </w:r>
          </w:p>
          <w:p>
            <w:pPr>
              <w:pStyle w:val="0"/>
            </w:pPr>
            <w:r>
              <w:rPr>
                <w:sz w:val="20"/>
              </w:rPr>
              <w:t xml:space="preserve">- Активное развитие технологической базы.</w:t>
            </w:r>
          </w:p>
          <w:p>
            <w:pPr>
              <w:pStyle w:val="0"/>
            </w:pPr>
            <w:r>
              <w:rPr>
                <w:sz w:val="20"/>
              </w:rPr>
              <w:t xml:space="preserve">- Рост конкурентоспособности экономики за счет формирования технологических заделов, роста производительности труда, развития кластерной организации и цифровизации экономики.</w:t>
            </w:r>
          </w:p>
          <w:p>
            <w:pPr>
              <w:pStyle w:val="0"/>
            </w:pPr>
            <w:r>
              <w:rPr>
                <w:sz w:val="20"/>
              </w:rPr>
              <w:t xml:space="preserve">- Активная реализация экономического потенциала муниципальных образований</w:t>
            </w:r>
          </w:p>
        </w:tc>
      </w:tr>
      <w:tr>
        <w:tc>
          <w:tcPr>
            <w:tcW w:w="1775" w:type="dxa"/>
          </w:tcPr>
          <w:p>
            <w:pPr>
              <w:pStyle w:val="0"/>
            </w:pPr>
            <w:r>
              <w:rPr>
                <w:sz w:val="20"/>
              </w:rPr>
              <w:t xml:space="preserve">3 Этап</w:t>
            </w:r>
          </w:p>
          <w:p>
            <w:pPr>
              <w:pStyle w:val="0"/>
            </w:pPr>
            <w:r>
              <w:rPr>
                <w:sz w:val="20"/>
              </w:rPr>
              <w:t xml:space="preserve">(2026 - 2030 годы)</w:t>
            </w:r>
          </w:p>
        </w:tc>
        <w:tc>
          <w:tcPr>
            <w:tcW w:w="2551" w:type="dxa"/>
          </w:tcPr>
          <w:p>
            <w:pPr>
              <w:pStyle w:val="0"/>
            </w:pPr>
            <w:r>
              <w:rPr>
                <w:sz w:val="20"/>
              </w:rPr>
              <w:t xml:space="preserve">Переход к "умной" экономике</w:t>
            </w:r>
          </w:p>
        </w:tc>
        <w:tc>
          <w:tcPr>
            <w:tcW w:w="4706" w:type="dxa"/>
          </w:tcPr>
          <w:p>
            <w:pPr>
              <w:pStyle w:val="0"/>
            </w:pPr>
            <w:r>
              <w:rPr>
                <w:sz w:val="20"/>
              </w:rPr>
              <w:t xml:space="preserve">- Высокий уровень и качество жизни населения.</w:t>
            </w:r>
          </w:p>
          <w:p>
            <w:pPr>
              <w:pStyle w:val="0"/>
            </w:pPr>
            <w:r>
              <w:rPr>
                <w:sz w:val="20"/>
              </w:rPr>
              <w:t xml:space="preserve">- Высокий уровень производительности труда и инновационной составляющей экономического развития.</w:t>
            </w:r>
          </w:p>
          <w:p>
            <w:pPr>
              <w:pStyle w:val="0"/>
            </w:pPr>
            <w:r>
              <w:rPr>
                <w:sz w:val="20"/>
              </w:rPr>
              <w:t xml:space="preserve">- Сбалансированное пространственное развитие</w:t>
            </w:r>
          </w:p>
        </w:tc>
      </w:tr>
    </w:tbl>
    <w:p>
      <w:pPr>
        <w:pStyle w:val="0"/>
        <w:jc w:val="both"/>
      </w:pPr>
      <w:r>
        <w:rPr>
          <w:sz w:val="20"/>
        </w:rPr>
      </w:r>
    </w:p>
    <w:p>
      <w:pPr>
        <w:pStyle w:val="2"/>
        <w:outlineLvl w:val="2"/>
        <w:jc w:val="center"/>
      </w:pPr>
      <w:r>
        <w:rPr>
          <w:sz w:val="20"/>
        </w:rPr>
        <w:t xml:space="preserve">6.2. Показатели достижения целей социально-экономического</w:t>
      </w:r>
    </w:p>
    <w:p>
      <w:pPr>
        <w:pStyle w:val="2"/>
        <w:jc w:val="center"/>
      </w:pPr>
      <w:r>
        <w:rPr>
          <w:sz w:val="20"/>
        </w:rPr>
        <w:t xml:space="preserve">развития Тюменской области</w:t>
      </w:r>
    </w:p>
    <w:p>
      <w:pPr>
        <w:pStyle w:val="0"/>
        <w:jc w:val="both"/>
      </w:pPr>
      <w:r>
        <w:rPr>
          <w:sz w:val="20"/>
        </w:rPr>
      </w:r>
    </w:p>
    <w:p>
      <w:pPr>
        <w:pStyle w:val="0"/>
        <w:ind w:firstLine="540"/>
        <w:jc w:val="both"/>
      </w:pPr>
      <w:r>
        <w:rPr>
          <w:sz w:val="20"/>
        </w:rPr>
        <w:t xml:space="preserve">В таблице 15 приведены ожидаемые результаты достижения целевых показателей эффективности реализации Стратегии по базовому сценарию.</w:t>
      </w:r>
    </w:p>
    <w:p>
      <w:pPr>
        <w:pStyle w:val="0"/>
        <w:jc w:val="both"/>
      </w:pPr>
      <w:r>
        <w:rPr>
          <w:sz w:val="20"/>
        </w:rPr>
      </w:r>
    </w:p>
    <w:p>
      <w:pPr>
        <w:pStyle w:val="2"/>
        <w:outlineLvl w:val="3"/>
        <w:ind w:firstLine="540"/>
        <w:jc w:val="both"/>
      </w:pPr>
      <w:r>
        <w:rPr>
          <w:sz w:val="20"/>
        </w:rPr>
        <w:t xml:space="preserve">Таблица 15 - Показатели достижения целей социально-экономического развития Тюменской области (данные на 17.02.2020)</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22"/>
        <w:gridCol w:w="1077"/>
        <w:gridCol w:w="1077"/>
        <w:gridCol w:w="1417"/>
        <w:gridCol w:w="1077"/>
        <w:gridCol w:w="1303"/>
        <w:gridCol w:w="1303"/>
        <w:gridCol w:w="1303"/>
      </w:tblGrid>
      <w:tr>
        <w:tc>
          <w:tcPr>
            <w:tcW w:w="4422" w:type="dxa"/>
            <w:vAlign w:val="center"/>
          </w:tcPr>
          <w:p>
            <w:pPr>
              <w:pStyle w:val="0"/>
              <w:jc w:val="center"/>
            </w:pPr>
            <w:r>
              <w:rPr>
                <w:sz w:val="20"/>
              </w:rPr>
              <w:t xml:space="preserve">Показатель</w:t>
            </w:r>
          </w:p>
        </w:tc>
        <w:tc>
          <w:tcPr>
            <w:tcW w:w="1077" w:type="dxa"/>
            <w:vAlign w:val="center"/>
          </w:tcPr>
          <w:p>
            <w:pPr>
              <w:pStyle w:val="0"/>
              <w:jc w:val="center"/>
            </w:pPr>
            <w:r>
              <w:rPr>
                <w:sz w:val="20"/>
              </w:rPr>
              <w:t xml:space="preserve">2015 год</w:t>
            </w:r>
          </w:p>
          <w:p>
            <w:pPr>
              <w:pStyle w:val="0"/>
              <w:jc w:val="center"/>
            </w:pPr>
            <w:r>
              <w:rPr>
                <w:sz w:val="20"/>
              </w:rPr>
              <w:t xml:space="preserve">отчет</w:t>
            </w:r>
          </w:p>
        </w:tc>
        <w:tc>
          <w:tcPr>
            <w:tcW w:w="1077" w:type="dxa"/>
            <w:vAlign w:val="center"/>
          </w:tcPr>
          <w:p>
            <w:pPr>
              <w:pStyle w:val="0"/>
              <w:jc w:val="center"/>
            </w:pPr>
            <w:r>
              <w:rPr>
                <w:sz w:val="20"/>
              </w:rPr>
              <w:t xml:space="preserve">2016 год</w:t>
            </w:r>
          </w:p>
          <w:p>
            <w:pPr>
              <w:pStyle w:val="0"/>
              <w:jc w:val="center"/>
            </w:pPr>
            <w:r>
              <w:rPr>
                <w:sz w:val="20"/>
              </w:rPr>
              <w:t xml:space="preserve">отчет</w:t>
            </w:r>
          </w:p>
        </w:tc>
        <w:tc>
          <w:tcPr>
            <w:tcW w:w="1417" w:type="dxa"/>
            <w:vAlign w:val="center"/>
          </w:tcPr>
          <w:p>
            <w:pPr>
              <w:pStyle w:val="0"/>
              <w:jc w:val="center"/>
            </w:pPr>
            <w:r>
              <w:rPr>
                <w:sz w:val="20"/>
              </w:rPr>
              <w:t xml:space="preserve">2017 год</w:t>
            </w:r>
          </w:p>
          <w:p>
            <w:pPr>
              <w:pStyle w:val="0"/>
              <w:jc w:val="center"/>
            </w:pPr>
            <w:r>
              <w:rPr>
                <w:sz w:val="20"/>
              </w:rPr>
              <w:t xml:space="preserve">отчет</w:t>
            </w:r>
          </w:p>
        </w:tc>
        <w:tc>
          <w:tcPr>
            <w:tcW w:w="1077" w:type="dxa"/>
            <w:vAlign w:val="center"/>
          </w:tcPr>
          <w:p>
            <w:pPr>
              <w:pStyle w:val="0"/>
              <w:jc w:val="center"/>
            </w:pPr>
            <w:r>
              <w:rPr>
                <w:sz w:val="20"/>
              </w:rPr>
              <w:t xml:space="preserve">2018 год</w:t>
            </w:r>
          </w:p>
          <w:p>
            <w:pPr>
              <w:pStyle w:val="0"/>
              <w:jc w:val="center"/>
            </w:pPr>
            <w:r>
              <w:rPr>
                <w:sz w:val="20"/>
              </w:rPr>
              <w:t xml:space="preserve">отчет</w:t>
            </w:r>
          </w:p>
        </w:tc>
        <w:tc>
          <w:tcPr>
            <w:tcW w:w="1303" w:type="dxa"/>
            <w:vAlign w:val="center"/>
          </w:tcPr>
          <w:p>
            <w:pPr>
              <w:pStyle w:val="0"/>
              <w:jc w:val="center"/>
            </w:pPr>
            <w:r>
              <w:rPr>
                <w:sz w:val="20"/>
              </w:rPr>
              <w:t xml:space="preserve">2020 - 2022 годы</w:t>
            </w:r>
          </w:p>
        </w:tc>
        <w:tc>
          <w:tcPr>
            <w:tcW w:w="1303" w:type="dxa"/>
            <w:vAlign w:val="center"/>
          </w:tcPr>
          <w:p>
            <w:pPr>
              <w:pStyle w:val="0"/>
              <w:jc w:val="center"/>
            </w:pPr>
            <w:r>
              <w:rPr>
                <w:sz w:val="20"/>
              </w:rPr>
              <w:t xml:space="preserve">2023 - 2025 годы</w:t>
            </w:r>
          </w:p>
        </w:tc>
        <w:tc>
          <w:tcPr>
            <w:tcW w:w="1303" w:type="dxa"/>
            <w:vAlign w:val="center"/>
          </w:tcPr>
          <w:p>
            <w:pPr>
              <w:pStyle w:val="0"/>
              <w:jc w:val="center"/>
            </w:pPr>
            <w:r>
              <w:rPr>
                <w:sz w:val="20"/>
              </w:rPr>
              <w:t xml:space="preserve">2026 - 2030 годы</w:t>
            </w:r>
          </w:p>
        </w:tc>
      </w:tr>
      <w:tr>
        <w:tc>
          <w:tcPr>
            <w:gridSpan w:val="8"/>
            <w:tcW w:w="12979" w:type="dxa"/>
            <w:vAlign w:val="center"/>
          </w:tcPr>
          <w:p>
            <w:pPr>
              <w:pStyle w:val="0"/>
              <w:outlineLvl w:val="4"/>
            </w:pPr>
            <w:r>
              <w:rPr>
                <w:sz w:val="20"/>
              </w:rPr>
              <w:t xml:space="preserve">ПРИОРИТЕТ 1 "ЧЕЛОВЕК"</w:t>
            </w:r>
          </w:p>
        </w:tc>
      </w:tr>
      <w:tr>
        <w:tc>
          <w:tcPr>
            <w:tcW w:w="4422" w:type="dxa"/>
            <w:vAlign w:val="center"/>
          </w:tcPr>
          <w:p>
            <w:pPr>
              <w:pStyle w:val="0"/>
            </w:pPr>
            <w:r>
              <w:rPr>
                <w:sz w:val="20"/>
              </w:rPr>
              <w:t xml:space="preserve">Среднегодовая численность населения, тыс. человек</w:t>
            </w:r>
          </w:p>
        </w:tc>
        <w:tc>
          <w:tcPr>
            <w:tcW w:w="1077" w:type="dxa"/>
            <w:vAlign w:val="center"/>
          </w:tcPr>
          <w:p>
            <w:pPr>
              <w:pStyle w:val="0"/>
              <w:jc w:val="center"/>
            </w:pPr>
            <w:r>
              <w:rPr>
                <w:sz w:val="20"/>
              </w:rPr>
              <w:t xml:space="preserve">1441,9</w:t>
            </w:r>
          </w:p>
        </w:tc>
        <w:tc>
          <w:tcPr>
            <w:tcW w:w="1077" w:type="dxa"/>
            <w:vAlign w:val="center"/>
          </w:tcPr>
          <w:p>
            <w:pPr>
              <w:pStyle w:val="0"/>
              <w:jc w:val="center"/>
            </w:pPr>
            <w:r>
              <w:rPr>
                <w:sz w:val="20"/>
              </w:rPr>
              <w:t xml:space="preserve">1466,3</w:t>
            </w:r>
          </w:p>
        </w:tc>
        <w:tc>
          <w:tcPr>
            <w:tcW w:w="1417" w:type="dxa"/>
            <w:vAlign w:val="center"/>
          </w:tcPr>
          <w:p>
            <w:pPr>
              <w:pStyle w:val="0"/>
              <w:jc w:val="center"/>
            </w:pPr>
            <w:r>
              <w:rPr>
                <w:sz w:val="20"/>
              </w:rPr>
              <w:t xml:space="preserve">1488,3</w:t>
            </w:r>
          </w:p>
        </w:tc>
        <w:tc>
          <w:tcPr>
            <w:tcW w:w="1077" w:type="dxa"/>
            <w:vAlign w:val="center"/>
          </w:tcPr>
          <w:p>
            <w:pPr>
              <w:pStyle w:val="0"/>
              <w:jc w:val="center"/>
            </w:pPr>
            <w:r>
              <w:rPr>
                <w:sz w:val="20"/>
              </w:rPr>
              <w:t xml:space="preserve">1508,7</w:t>
            </w:r>
          </w:p>
        </w:tc>
        <w:tc>
          <w:tcPr>
            <w:tcW w:w="1303" w:type="dxa"/>
            <w:vAlign w:val="center"/>
          </w:tcPr>
          <w:p>
            <w:pPr>
              <w:pStyle w:val="0"/>
              <w:jc w:val="center"/>
            </w:pPr>
            <w:r>
              <w:rPr>
                <w:sz w:val="20"/>
              </w:rPr>
              <w:t xml:space="preserve">1588</w:t>
            </w:r>
          </w:p>
          <w:p>
            <w:pPr>
              <w:pStyle w:val="0"/>
              <w:jc w:val="center"/>
            </w:pPr>
            <w:r>
              <w:rPr>
                <w:sz w:val="20"/>
              </w:rPr>
              <w:t xml:space="preserve">2022 год</w:t>
            </w:r>
          </w:p>
        </w:tc>
        <w:tc>
          <w:tcPr>
            <w:tcW w:w="1303" w:type="dxa"/>
            <w:vAlign w:val="center"/>
          </w:tcPr>
          <w:p>
            <w:pPr>
              <w:pStyle w:val="0"/>
              <w:jc w:val="center"/>
            </w:pPr>
            <w:r>
              <w:rPr>
                <w:sz w:val="20"/>
              </w:rPr>
              <w:t xml:space="preserve">1652</w:t>
            </w:r>
          </w:p>
          <w:p>
            <w:pPr>
              <w:pStyle w:val="0"/>
              <w:jc w:val="center"/>
            </w:pPr>
            <w:r>
              <w:rPr>
                <w:sz w:val="20"/>
              </w:rPr>
              <w:t xml:space="preserve">2025 год</w:t>
            </w:r>
          </w:p>
        </w:tc>
        <w:tc>
          <w:tcPr>
            <w:tcW w:w="1303" w:type="dxa"/>
            <w:vAlign w:val="center"/>
          </w:tcPr>
          <w:p>
            <w:pPr>
              <w:pStyle w:val="0"/>
              <w:jc w:val="center"/>
            </w:pPr>
            <w:r>
              <w:rPr>
                <w:sz w:val="20"/>
              </w:rPr>
              <w:t xml:space="preserve">1749</w:t>
            </w:r>
          </w:p>
          <w:p>
            <w:pPr>
              <w:pStyle w:val="0"/>
              <w:jc w:val="center"/>
            </w:pPr>
            <w:r>
              <w:rPr>
                <w:sz w:val="20"/>
              </w:rPr>
              <w:t xml:space="preserve">2030 год</w:t>
            </w:r>
          </w:p>
        </w:tc>
      </w:tr>
      <w:tr>
        <w:tc>
          <w:tcPr>
            <w:gridSpan w:val="8"/>
            <w:tcW w:w="12979" w:type="dxa"/>
            <w:vAlign w:val="center"/>
          </w:tcPr>
          <w:p>
            <w:pPr>
              <w:pStyle w:val="0"/>
              <w:outlineLvl w:val="5"/>
            </w:pPr>
            <w:r>
              <w:rPr>
                <w:sz w:val="20"/>
              </w:rPr>
              <w:t xml:space="preserve">Цель 1.1. Повышение уровня жизни</w:t>
            </w:r>
          </w:p>
        </w:tc>
      </w:tr>
      <w:tr>
        <w:tc>
          <w:tcPr>
            <w:gridSpan w:val="8"/>
            <w:tcW w:w="12979" w:type="dxa"/>
            <w:vAlign w:val="center"/>
          </w:tcPr>
          <w:p>
            <w:pPr>
              <w:pStyle w:val="0"/>
            </w:pPr>
            <w:r>
              <w:rPr>
                <w:sz w:val="20"/>
              </w:rPr>
              <w:t xml:space="preserve">Задача 1.1.1. Благосостояние, эффективная занятость, кадровый потенциал</w:t>
            </w:r>
          </w:p>
        </w:tc>
      </w:tr>
      <w:tr>
        <w:tc>
          <w:tcPr>
            <w:gridSpan w:val="8"/>
            <w:tcW w:w="12979" w:type="dxa"/>
            <w:vAlign w:val="center"/>
          </w:tcPr>
          <w:p>
            <w:pPr>
              <w:pStyle w:val="0"/>
            </w:pPr>
            <w:r>
              <w:rPr>
                <w:sz w:val="20"/>
              </w:rPr>
              <w:t xml:space="preserve">Задача 1.1.2. Социальная защита</w:t>
            </w:r>
          </w:p>
        </w:tc>
      </w:tr>
      <w:tr>
        <w:tc>
          <w:tcPr>
            <w:gridSpan w:val="8"/>
            <w:tcW w:w="12979" w:type="dxa"/>
            <w:vAlign w:val="center"/>
          </w:tcPr>
          <w:p>
            <w:pPr>
              <w:pStyle w:val="0"/>
            </w:pPr>
            <w:r>
              <w:rPr>
                <w:sz w:val="20"/>
              </w:rPr>
              <w:t xml:space="preserve">Задача 1.1.3. Доступное и комфортное жилье</w:t>
            </w:r>
          </w:p>
        </w:tc>
      </w:tr>
      <w:tr>
        <w:tc>
          <w:tcPr>
            <w:gridSpan w:val="8"/>
            <w:tcW w:w="12979" w:type="dxa"/>
            <w:vAlign w:val="center"/>
          </w:tcPr>
          <w:p>
            <w:pPr>
              <w:pStyle w:val="0"/>
            </w:pPr>
            <w:r>
              <w:rPr>
                <w:sz w:val="20"/>
              </w:rPr>
              <w:t xml:space="preserve">Задача 1.1.4. Безопасность</w:t>
            </w:r>
          </w:p>
        </w:tc>
      </w:tr>
      <w:tr>
        <w:tc>
          <w:tcPr>
            <w:tcW w:w="4422" w:type="dxa"/>
            <w:vAlign w:val="center"/>
          </w:tcPr>
          <w:p>
            <w:pPr>
              <w:pStyle w:val="0"/>
            </w:pPr>
            <w:r>
              <w:rPr>
                <w:sz w:val="20"/>
              </w:rPr>
              <w:t xml:space="preserve">Реальная начисленная заработная плата, % к предыдущему году</w:t>
            </w:r>
          </w:p>
        </w:tc>
        <w:tc>
          <w:tcPr>
            <w:tcW w:w="1077" w:type="dxa"/>
            <w:vAlign w:val="center"/>
          </w:tcPr>
          <w:p>
            <w:pPr>
              <w:pStyle w:val="0"/>
              <w:jc w:val="center"/>
            </w:pPr>
            <w:r>
              <w:rPr>
                <w:sz w:val="20"/>
              </w:rPr>
              <w:t xml:space="preserve">91,5</w:t>
            </w:r>
          </w:p>
        </w:tc>
        <w:tc>
          <w:tcPr>
            <w:tcW w:w="1077" w:type="dxa"/>
            <w:vAlign w:val="center"/>
          </w:tcPr>
          <w:p>
            <w:pPr>
              <w:pStyle w:val="0"/>
              <w:jc w:val="center"/>
            </w:pPr>
            <w:r>
              <w:rPr>
                <w:sz w:val="20"/>
              </w:rPr>
              <w:t xml:space="preserve">97,3</w:t>
            </w:r>
          </w:p>
        </w:tc>
        <w:tc>
          <w:tcPr>
            <w:tcW w:w="1417" w:type="dxa"/>
            <w:vAlign w:val="center"/>
          </w:tcPr>
          <w:p>
            <w:pPr>
              <w:pStyle w:val="0"/>
              <w:jc w:val="center"/>
            </w:pPr>
            <w:r>
              <w:rPr>
                <w:sz w:val="20"/>
              </w:rPr>
              <w:t xml:space="preserve">103,6</w:t>
            </w:r>
          </w:p>
        </w:tc>
        <w:tc>
          <w:tcPr>
            <w:tcW w:w="1077" w:type="dxa"/>
            <w:vAlign w:val="center"/>
          </w:tcPr>
          <w:p>
            <w:pPr>
              <w:pStyle w:val="0"/>
              <w:jc w:val="center"/>
            </w:pPr>
            <w:r>
              <w:rPr>
                <w:sz w:val="20"/>
              </w:rPr>
              <w:t xml:space="preserve">108,6</w:t>
            </w:r>
          </w:p>
        </w:tc>
        <w:tc>
          <w:tcPr>
            <w:tcW w:w="1303" w:type="dxa"/>
            <w:vAlign w:val="center"/>
          </w:tcPr>
          <w:p>
            <w:pPr>
              <w:pStyle w:val="0"/>
              <w:jc w:val="center"/>
            </w:pPr>
            <w:r>
              <w:rPr>
                <w:sz w:val="20"/>
              </w:rPr>
              <w:t xml:space="preserve">107,0</w:t>
            </w:r>
          </w:p>
          <w:p>
            <w:pPr>
              <w:pStyle w:val="0"/>
              <w:jc w:val="center"/>
            </w:pPr>
            <w:r>
              <w:rPr>
                <w:sz w:val="20"/>
              </w:rPr>
              <w:t xml:space="preserve">2022 год к</w:t>
            </w:r>
          </w:p>
          <w:p>
            <w:pPr>
              <w:pStyle w:val="0"/>
              <w:jc w:val="center"/>
            </w:pPr>
            <w:r>
              <w:rPr>
                <w:sz w:val="20"/>
              </w:rPr>
              <w:t xml:space="preserve">2019 году</w:t>
            </w:r>
          </w:p>
        </w:tc>
        <w:tc>
          <w:tcPr>
            <w:tcW w:w="1303" w:type="dxa"/>
            <w:vAlign w:val="center"/>
          </w:tcPr>
          <w:p>
            <w:pPr>
              <w:pStyle w:val="0"/>
              <w:jc w:val="center"/>
            </w:pPr>
            <w:r>
              <w:rPr>
                <w:sz w:val="20"/>
              </w:rPr>
              <w:t xml:space="preserve">107,8</w:t>
            </w:r>
          </w:p>
          <w:p>
            <w:pPr>
              <w:pStyle w:val="0"/>
              <w:jc w:val="center"/>
            </w:pPr>
            <w:r>
              <w:rPr>
                <w:sz w:val="20"/>
              </w:rPr>
              <w:t xml:space="preserve">2025 год к 2022 году</w:t>
            </w:r>
          </w:p>
        </w:tc>
        <w:tc>
          <w:tcPr>
            <w:tcW w:w="1303" w:type="dxa"/>
            <w:vAlign w:val="center"/>
          </w:tcPr>
          <w:p>
            <w:pPr>
              <w:pStyle w:val="0"/>
              <w:jc w:val="center"/>
            </w:pPr>
            <w:r>
              <w:rPr>
                <w:sz w:val="20"/>
              </w:rPr>
              <w:t xml:space="preserve">113,4</w:t>
            </w:r>
          </w:p>
          <w:p>
            <w:pPr>
              <w:pStyle w:val="0"/>
              <w:jc w:val="center"/>
            </w:pPr>
            <w:r>
              <w:rPr>
                <w:sz w:val="20"/>
              </w:rPr>
              <w:t xml:space="preserve">2030 год к</w:t>
            </w:r>
          </w:p>
          <w:p>
            <w:pPr>
              <w:pStyle w:val="0"/>
              <w:jc w:val="center"/>
            </w:pPr>
            <w:r>
              <w:rPr>
                <w:sz w:val="20"/>
              </w:rPr>
              <w:t xml:space="preserve">2025 году</w:t>
            </w:r>
          </w:p>
        </w:tc>
      </w:tr>
      <w:tr>
        <w:tc>
          <w:tcPr>
            <w:tcW w:w="4422" w:type="dxa"/>
            <w:vAlign w:val="center"/>
          </w:tcPr>
          <w:p>
            <w:pPr>
              <w:pStyle w:val="0"/>
            </w:pPr>
            <w:r>
              <w:rPr>
                <w:sz w:val="20"/>
              </w:rPr>
              <w:t xml:space="preserve">Реальные располагаемые денежные доходы населения, % к предыдущему году</w:t>
            </w:r>
          </w:p>
        </w:tc>
        <w:tc>
          <w:tcPr>
            <w:tcW w:w="1077" w:type="dxa"/>
            <w:vAlign w:val="center"/>
          </w:tcPr>
          <w:p>
            <w:pPr>
              <w:pStyle w:val="0"/>
              <w:jc w:val="center"/>
            </w:pPr>
            <w:r>
              <w:rPr>
                <w:sz w:val="20"/>
              </w:rPr>
              <w:t xml:space="preserve">99,3</w:t>
            </w:r>
          </w:p>
        </w:tc>
        <w:tc>
          <w:tcPr>
            <w:tcW w:w="1077" w:type="dxa"/>
            <w:vAlign w:val="center"/>
          </w:tcPr>
          <w:p>
            <w:pPr>
              <w:pStyle w:val="0"/>
              <w:jc w:val="center"/>
            </w:pPr>
            <w:r>
              <w:rPr>
                <w:sz w:val="20"/>
              </w:rPr>
              <w:t xml:space="preserve">94,3</w:t>
            </w:r>
          </w:p>
        </w:tc>
        <w:tc>
          <w:tcPr>
            <w:tcW w:w="1417" w:type="dxa"/>
            <w:vAlign w:val="center"/>
          </w:tcPr>
          <w:p>
            <w:pPr>
              <w:pStyle w:val="0"/>
              <w:jc w:val="center"/>
            </w:pPr>
            <w:r>
              <w:rPr>
                <w:sz w:val="20"/>
              </w:rPr>
              <w:t xml:space="preserve">98,9</w:t>
            </w:r>
          </w:p>
        </w:tc>
        <w:tc>
          <w:tcPr>
            <w:tcW w:w="1077" w:type="dxa"/>
            <w:vAlign w:val="center"/>
          </w:tcPr>
          <w:p>
            <w:pPr>
              <w:pStyle w:val="0"/>
              <w:jc w:val="center"/>
            </w:pPr>
            <w:r>
              <w:rPr>
                <w:sz w:val="20"/>
              </w:rPr>
              <w:t xml:space="preserve">102,7</w:t>
            </w:r>
          </w:p>
        </w:tc>
        <w:tc>
          <w:tcPr>
            <w:tcW w:w="1303" w:type="dxa"/>
            <w:vAlign w:val="center"/>
          </w:tcPr>
          <w:p>
            <w:pPr>
              <w:pStyle w:val="0"/>
              <w:jc w:val="center"/>
            </w:pPr>
            <w:r>
              <w:rPr>
                <w:sz w:val="20"/>
              </w:rPr>
              <w:t xml:space="preserve">106,3</w:t>
            </w:r>
          </w:p>
          <w:p>
            <w:pPr>
              <w:pStyle w:val="0"/>
              <w:jc w:val="center"/>
            </w:pPr>
            <w:r>
              <w:rPr>
                <w:sz w:val="20"/>
              </w:rPr>
              <w:t xml:space="preserve">2022 год к</w:t>
            </w:r>
          </w:p>
          <w:p>
            <w:pPr>
              <w:pStyle w:val="0"/>
              <w:jc w:val="center"/>
            </w:pPr>
            <w:r>
              <w:rPr>
                <w:sz w:val="20"/>
              </w:rPr>
              <w:t xml:space="preserve">2019 году</w:t>
            </w:r>
          </w:p>
        </w:tc>
        <w:tc>
          <w:tcPr>
            <w:tcW w:w="1303" w:type="dxa"/>
            <w:vAlign w:val="center"/>
          </w:tcPr>
          <w:p>
            <w:pPr>
              <w:pStyle w:val="0"/>
              <w:jc w:val="center"/>
            </w:pPr>
            <w:r>
              <w:rPr>
                <w:sz w:val="20"/>
              </w:rPr>
              <w:t xml:space="preserve">107,7</w:t>
            </w:r>
          </w:p>
          <w:p>
            <w:pPr>
              <w:pStyle w:val="0"/>
              <w:jc w:val="center"/>
            </w:pPr>
            <w:r>
              <w:rPr>
                <w:sz w:val="20"/>
              </w:rPr>
              <w:t xml:space="preserve">2025 год к 2022 году</w:t>
            </w:r>
          </w:p>
        </w:tc>
        <w:tc>
          <w:tcPr>
            <w:tcW w:w="1303" w:type="dxa"/>
            <w:vAlign w:val="center"/>
          </w:tcPr>
          <w:p>
            <w:pPr>
              <w:pStyle w:val="0"/>
              <w:jc w:val="center"/>
            </w:pPr>
            <w:r>
              <w:rPr>
                <w:sz w:val="20"/>
              </w:rPr>
              <w:t xml:space="preserve">112,9</w:t>
            </w:r>
          </w:p>
          <w:p>
            <w:pPr>
              <w:pStyle w:val="0"/>
              <w:jc w:val="center"/>
            </w:pPr>
            <w:r>
              <w:rPr>
                <w:sz w:val="20"/>
              </w:rPr>
              <w:t xml:space="preserve">2030 год к</w:t>
            </w:r>
          </w:p>
          <w:p>
            <w:pPr>
              <w:pStyle w:val="0"/>
              <w:jc w:val="center"/>
            </w:pPr>
            <w:r>
              <w:rPr>
                <w:sz w:val="20"/>
              </w:rPr>
              <w:t xml:space="preserve">2025 году</w:t>
            </w:r>
          </w:p>
        </w:tc>
      </w:tr>
      <w:tr>
        <w:tc>
          <w:tcPr>
            <w:tcW w:w="4422" w:type="dxa"/>
            <w:vAlign w:val="center"/>
          </w:tcPr>
          <w:p>
            <w:pPr>
              <w:pStyle w:val="0"/>
            </w:pPr>
            <w:r>
              <w:rPr>
                <w:sz w:val="20"/>
              </w:rPr>
              <w:t xml:space="preserve">Уровень безработицы по методологии Международной организации труда, %</w:t>
            </w:r>
          </w:p>
        </w:tc>
        <w:tc>
          <w:tcPr>
            <w:tcW w:w="1077" w:type="dxa"/>
            <w:vAlign w:val="center"/>
          </w:tcPr>
          <w:p>
            <w:pPr>
              <w:pStyle w:val="0"/>
              <w:jc w:val="center"/>
            </w:pPr>
            <w:r>
              <w:rPr>
                <w:sz w:val="20"/>
              </w:rPr>
              <w:t xml:space="preserve">6,2</w:t>
            </w:r>
          </w:p>
        </w:tc>
        <w:tc>
          <w:tcPr>
            <w:tcW w:w="1077" w:type="dxa"/>
            <w:vAlign w:val="center"/>
          </w:tcPr>
          <w:p>
            <w:pPr>
              <w:pStyle w:val="0"/>
              <w:jc w:val="center"/>
            </w:pPr>
            <w:r>
              <w:rPr>
                <w:sz w:val="20"/>
              </w:rPr>
              <w:t xml:space="preserve">5,6</w:t>
            </w:r>
          </w:p>
        </w:tc>
        <w:tc>
          <w:tcPr>
            <w:tcW w:w="1417" w:type="dxa"/>
            <w:vAlign w:val="center"/>
          </w:tcPr>
          <w:p>
            <w:pPr>
              <w:pStyle w:val="0"/>
              <w:jc w:val="center"/>
            </w:pPr>
            <w:r>
              <w:rPr>
                <w:sz w:val="20"/>
              </w:rPr>
              <w:t xml:space="preserve">5,0</w:t>
            </w:r>
          </w:p>
        </w:tc>
        <w:tc>
          <w:tcPr>
            <w:tcW w:w="1077" w:type="dxa"/>
            <w:vAlign w:val="center"/>
          </w:tcPr>
          <w:p>
            <w:pPr>
              <w:pStyle w:val="0"/>
              <w:jc w:val="center"/>
            </w:pPr>
            <w:r>
              <w:rPr>
                <w:sz w:val="20"/>
              </w:rPr>
              <w:t xml:space="preserve">4,5</w:t>
            </w:r>
          </w:p>
        </w:tc>
        <w:tc>
          <w:tcPr>
            <w:tcW w:w="1303" w:type="dxa"/>
            <w:vAlign w:val="center"/>
          </w:tcPr>
          <w:p>
            <w:pPr>
              <w:pStyle w:val="0"/>
              <w:jc w:val="center"/>
            </w:pPr>
            <w:r>
              <w:rPr>
                <w:sz w:val="20"/>
              </w:rPr>
              <w:t xml:space="preserve">4,5</w:t>
            </w:r>
          </w:p>
          <w:p>
            <w:pPr>
              <w:pStyle w:val="0"/>
              <w:jc w:val="center"/>
            </w:pPr>
            <w:r>
              <w:rPr>
                <w:sz w:val="20"/>
              </w:rPr>
              <w:t xml:space="preserve">2022 год</w:t>
            </w:r>
          </w:p>
        </w:tc>
        <w:tc>
          <w:tcPr>
            <w:tcW w:w="1303" w:type="dxa"/>
            <w:vAlign w:val="center"/>
          </w:tcPr>
          <w:p>
            <w:pPr>
              <w:pStyle w:val="0"/>
              <w:jc w:val="center"/>
            </w:pPr>
            <w:r>
              <w:rPr>
                <w:sz w:val="20"/>
              </w:rPr>
              <w:t xml:space="preserve">4,2</w:t>
            </w:r>
          </w:p>
          <w:p>
            <w:pPr>
              <w:pStyle w:val="0"/>
              <w:jc w:val="center"/>
            </w:pPr>
            <w:r>
              <w:rPr>
                <w:sz w:val="20"/>
              </w:rPr>
              <w:t xml:space="preserve">2025 год</w:t>
            </w:r>
          </w:p>
        </w:tc>
        <w:tc>
          <w:tcPr>
            <w:tcW w:w="1303" w:type="dxa"/>
            <w:vAlign w:val="center"/>
          </w:tcPr>
          <w:p>
            <w:pPr>
              <w:pStyle w:val="0"/>
              <w:jc w:val="center"/>
            </w:pPr>
            <w:r>
              <w:rPr>
                <w:sz w:val="20"/>
              </w:rPr>
              <w:t xml:space="preserve">4,2</w:t>
            </w:r>
          </w:p>
          <w:p>
            <w:pPr>
              <w:pStyle w:val="0"/>
              <w:jc w:val="center"/>
            </w:pPr>
            <w:r>
              <w:rPr>
                <w:sz w:val="20"/>
              </w:rPr>
              <w:t xml:space="preserve">2030 год</w:t>
            </w:r>
          </w:p>
        </w:tc>
      </w:tr>
      <w:tr>
        <w:tc>
          <w:tcPr>
            <w:tcW w:w="4422" w:type="dxa"/>
            <w:vAlign w:val="center"/>
          </w:tcPr>
          <w:p>
            <w:pPr>
              <w:pStyle w:val="0"/>
            </w:pPr>
            <w:r>
              <w:rPr>
                <w:sz w:val="20"/>
              </w:rPr>
              <w:t xml:space="preserve">Среднегодовая численность занятых в экономике (по данным баланса трудовых ресурсов), тыс. человек</w:t>
            </w:r>
          </w:p>
        </w:tc>
        <w:tc>
          <w:tcPr>
            <w:tcW w:w="1077" w:type="dxa"/>
            <w:vAlign w:val="center"/>
          </w:tcPr>
          <w:p>
            <w:pPr>
              <w:pStyle w:val="0"/>
              <w:jc w:val="center"/>
            </w:pPr>
            <w:r>
              <w:rPr>
                <w:sz w:val="20"/>
              </w:rPr>
              <w:t xml:space="preserve">778,6</w:t>
            </w:r>
          </w:p>
        </w:tc>
        <w:tc>
          <w:tcPr>
            <w:tcW w:w="1077" w:type="dxa"/>
            <w:vAlign w:val="center"/>
          </w:tcPr>
          <w:p>
            <w:pPr>
              <w:pStyle w:val="0"/>
              <w:jc w:val="center"/>
            </w:pPr>
            <w:r>
              <w:rPr>
                <w:sz w:val="20"/>
              </w:rPr>
              <w:t xml:space="preserve">762,5</w:t>
            </w:r>
          </w:p>
        </w:tc>
        <w:tc>
          <w:tcPr>
            <w:tcW w:w="1417" w:type="dxa"/>
            <w:vAlign w:val="center"/>
          </w:tcPr>
          <w:p>
            <w:pPr>
              <w:pStyle w:val="0"/>
              <w:jc w:val="center"/>
            </w:pPr>
            <w:r>
              <w:rPr>
                <w:sz w:val="20"/>
              </w:rPr>
              <w:t xml:space="preserve">728,7</w:t>
            </w:r>
          </w:p>
        </w:tc>
        <w:tc>
          <w:tcPr>
            <w:tcW w:w="1077" w:type="dxa"/>
            <w:vAlign w:val="center"/>
          </w:tcPr>
          <w:p>
            <w:pPr>
              <w:pStyle w:val="0"/>
              <w:jc w:val="center"/>
            </w:pPr>
            <w:r>
              <w:rPr>
                <w:sz w:val="20"/>
              </w:rPr>
              <w:t xml:space="preserve">729,5</w:t>
            </w:r>
          </w:p>
        </w:tc>
        <w:tc>
          <w:tcPr>
            <w:tcW w:w="1303" w:type="dxa"/>
            <w:vAlign w:val="center"/>
          </w:tcPr>
          <w:p>
            <w:pPr>
              <w:pStyle w:val="0"/>
              <w:jc w:val="center"/>
            </w:pPr>
            <w:r>
              <w:rPr>
                <w:sz w:val="20"/>
              </w:rPr>
              <w:t xml:space="preserve">733,1</w:t>
            </w:r>
          </w:p>
          <w:p>
            <w:pPr>
              <w:pStyle w:val="0"/>
              <w:jc w:val="center"/>
            </w:pPr>
            <w:r>
              <w:rPr>
                <w:sz w:val="20"/>
              </w:rPr>
              <w:t xml:space="preserve">2022 год</w:t>
            </w:r>
          </w:p>
        </w:tc>
        <w:tc>
          <w:tcPr>
            <w:tcW w:w="1303" w:type="dxa"/>
            <w:vAlign w:val="center"/>
          </w:tcPr>
          <w:p>
            <w:pPr>
              <w:pStyle w:val="0"/>
              <w:jc w:val="center"/>
            </w:pPr>
            <w:r>
              <w:rPr>
                <w:sz w:val="20"/>
              </w:rPr>
              <w:t xml:space="preserve">740,4</w:t>
            </w:r>
          </w:p>
          <w:p>
            <w:pPr>
              <w:pStyle w:val="0"/>
              <w:jc w:val="center"/>
            </w:pPr>
            <w:r>
              <w:rPr>
                <w:sz w:val="20"/>
              </w:rPr>
              <w:t xml:space="preserve">2025 год</w:t>
            </w:r>
          </w:p>
        </w:tc>
        <w:tc>
          <w:tcPr>
            <w:tcW w:w="1303" w:type="dxa"/>
            <w:vAlign w:val="center"/>
          </w:tcPr>
          <w:p>
            <w:pPr>
              <w:pStyle w:val="0"/>
              <w:jc w:val="center"/>
            </w:pPr>
            <w:r>
              <w:rPr>
                <w:sz w:val="20"/>
              </w:rPr>
              <w:t xml:space="preserve">772,4</w:t>
            </w:r>
          </w:p>
          <w:p>
            <w:pPr>
              <w:pStyle w:val="0"/>
              <w:jc w:val="center"/>
            </w:pPr>
            <w:r>
              <w:rPr>
                <w:sz w:val="20"/>
              </w:rPr>
              <w:t xml:space="preserve">2030 год</w:t>
            </w:r>
          </w:p>
        </w:tc>
      </w:tr>
      <w:tr>
        <w:tc>
          <w:tcPr>
            <w:tcW w:w="4422" w:type="dxa"/>
            <w:vAlign w:val="center"/>
          </w:tcPr>
          <w:p>
            <w:pPr>
              <w:pStyle w:val="0"/>
            </w:pPr>
            <w:r>
              <w:rPr>
                <w:sz w:val="20"/>
              </w:rPr>
              <w:t xml:space="preserve">Доля средств бюджета субъекта Российской Федерации, выделяемых негосударственным организациям на предоставление услуг, в общем объеме средств бюджета, выделяемых на предоставление услуг в социальной сфере, %</w:t>
            </w:r>
          </w:p>
        </w:tc>
        <w:tc>
          <w:tcPr>
            <w:tcW w:w="1077" w:type="dxa"/>
            <w:vAlign w:val="center"/>
          </w:tcPr>
          <w:p>
            <w:pPr>
              <w:pStyle w:val="0"/>
              <w:jc w:val="center"/>
            </w:pPr>
            <w:r>
              <w:rPr>
                <w:sz w:val="20"/>
              </w:rPr>
              <w:t xml:space="preserve">-</w:t>
            </w:r>
          </w:p>
        </w:tc>
        <w:tc>
          <w:tcPr>
            <w:tcW w:w="1077" w:type="dxa"/>
            <w:vAlign w:val="center"/>
          </w:tcPr>
          <w:p>
            <w:pPr>
              <w:pStyle w:val="0"/>
              <w:jc w:val="center"/>
            </w:pPr>
            <w:r>
              <w:rPr>
                <w:sz w:val="20"/>
              </w:rPr>
              <w:t xml:space="preserve">-</w:t>
            </w:r>
          </w:p>
        </w:tc>
        <w:tc>
          <w:tcPr>
            <w:tcW w:w="1417" w:type="dxa"/>
            <w:vAlign w:val="center"/>
          </w:tcPr>
          <w:p>
            <w:pPr>
              <w:pStyle w:val="0"/>
              <w:jc w:val="center"/>
            </w:pPr>
            <w:r>
              <w:rPr>
                <w:sz w:val="20"/>
              </w:rPr>
              <w:t xml:space="preserve">3</w:t>
            </w:r>
          </w:p>
        </w:tc>
        <w:tc>
          <w:tcPr>
            <w:tcW w:w="1077" w:type="dxa"/>
            <w:vAlign w:val="center"/>
          </w:tcPr>
          <w:p>
            <w:pPr>
              <w:pStyle w:val="0"/>
              <w:jc w:val="center"/>
            </w:pPr>
            <w:r>
              <w:rPr>
                <w:sz w:val="20"/>
              </w:rPr>
              <w:t xml:space="preserve">5</w:t>
            </w:r>
          </w:p>
        </w:tc>
        <w:tc>
          <w:tcPr>
            <w:tcW w:w="1303" w:type="dxa"/>
            <w:vAlign w:val="center"/>
          </w:tcPr>
          <w:p>
            <w:pPr>
              <w:pStyle w:val="0"/>
              <w:jc w:val="center"/>
            </w:pPr>
            <w:r>
              <w:rPr>
                <w:sz w:val="20"/>
              </w:rPr>
              <w:t xml:space="preserve">12</w:t>
            </w:r>
          </w:p>
          <w:p>
            <w:pPr>
              <w:pStyle w:val="0"/>
              <w:jc w:val="center"/>
            </w:pPr>
            <w:r>
              <w:rPr>
                <w:sz w:val="20"/>
              </w:rPr>
              <w:t xml:space="preserve">2022 год</w:t>
            </w:r>
          </w:p>
        </w:tc>
        <w:tc>
          <w:tcPr>
            <w:tcW w:w="1303" w:type="dxa"/>
            <w:vAlign w:val="center"/>
          </w:tcPr>
          <w:p>
            <w:pPr>
              <w:pStyle w:val="0"/>
              <w:jc w:val="center"/>
            </w:pPr>
            <w:r>
              <w:rPr>
                <w:sz w:val="20"/>
              </w:rPr>
              <w:t xml:space="preserve">15</w:t>
            </w:r>
          </w:p>
          <w:p>
            <w:pPr>
              <w:pStyle w:val="0"/>
              <w:jc w:val="center"/>
            </w:pPr>
            <w:r>
              <w:rPr>
                <w:sz w:val="20"/>
              </w:rPr>
              <w:t xml:space="preserve">2025 год</w:t>
            </w:r>
          </w:p>
        </w:tc>
        <w:tc>
          <w:tcPr>
            <w:tcW w:w="1303" w:type="dxa"/>
            <w:vAlign w:val="center"/>
          </w:tcPr>
          <w:p>
            <w:pPr>
              <w:pStyle w:val="0"/>
              <w:jc w:val="center"/>
            </w:pPr>
            <w:r>
              <w:rPr>
                <w:sz w:val="20"/>
              </w:rPr>
              <w:t xml:space="preserve">20</w:t>
            </w:r>
          </w:p>
          <w:p>
            <w:pPr>
              <w:pStyle w:val="0"/>
              <w:jc w:val="center"/>
            </w:pPr>
            <w:r>
              <w:rPr>
                <w:sz w:val="20"/>
              </w:rPr>
              <w:t xml:space="preserve">2030 год</w:t>
            </w:r>
          </w:p>
        </w:tc>
      </w:tr>
      <w:tr>
        <w:tc>
          <w:tcPr>
            <w:tcW w:w="4422" w:type="dxa"/>
            <w:vAlign w:val="center"/>
          </w:tcPr>
          <w:p>
            <w:pPr>
              <w:pStyle w:val="0"/>
            </w:pPr>
            <w:r>
              <w:rPr>
                <w:sz w:val="20"/>
              </w:rPr>
              <w:t xml:space="preserve">Общая площадь жилых помещений, приходящаяся в среднем на одного жителя, кв. м</w:t>
            </w:r>
          </w:p>
        </w:tc>
        <w:tc>
          <w:tcPr>
            <w:tcW w:w="1077" w:type="dxa"/>
            <w:vAlign w:val="center"/>
          </w:tcPr>
          <w:p>
            <w:pPr>
              <w:pStyle w:val="0"/>
              <w:jc w:val="center"/>
            </w:pPr>
            <w:r>
              <w:rPr>
                <w:sz w:val="20"/>
              </w:rPr>
              <w:t xml:space="preserve">26,2</w:t>
            </w:r>
          </w:p>
        </w:tc>
        <w:tc>
          <w:tcPr>
            <w:tcW w:w="1077" w:type="dxa"/>
            <w:vAlign w:val="center"/>
          </w:tcPr>
          <w:p>
            <w:pPr>
              <w:pStyle w:val="0"/>
              <w:jc w:val="center"/>
            </w:pPr>
            <w:r>
              <w:rPr>
                <w:sz w:val="20"/>
              </w:rPr>
              <w:t xml:space="preserve">26,8</w:t>
            </w:r>
          </w:p>
        </w:tc>
        <w:tc>
          <w:tcPr>
            <w:tcW w:w="1417" w:type="dxa"/>
            <w:vAlign w:val="center"/>
          </w:tcPr>
          <w:p>
            <w:pPr>
              <w:pStyle w:val="0"/>
              <w:jc w:val="center"/>
            </w:pPr>
            <w:r>
              <w:rPr>
                <w:sz w:val="20"/>
              </w:rPr>
              <w:t xml:space="preserve">27,5</w:t>
            </w:r>
          </w:p>
        </w:tc>
        <w:tc>
          <w:tcPr>
            <w:tcW w:w="1077" w:type="dxa"/>
            <w:vAlign w:val="center"/>
          </w:tcPr>
          <w:p>
            <w:pPr>
              <w:pStyle w:val="0"/>
              <w:jc w:val="center"/>
            </w:pPr>
            <w:r>
              <w:rPr>
                <w:sz w:val="20"/>
              </w:rPr>
              <w:t xml:space="preserve">27,8</w:t>
            </w:r>
          </w:p>
        </w:tc>
        <w:tc>
          <w:tcPr>
            <w:tcW w:w="1303" w:type="dxa"/>
            <w:vAlign w:val="center"/>
          </w:tcPr>
          <w:p>
            <w:pPr>
              <w:pStyle w:val="0"/>
              <w:jc w:val="center"/>
            </w:pPr>
            <w:r>
              <w:rPr>
                <w:sz w:val="20"/>
              </w:rPr>
              <w:t xml:space="preserve">30,1</w:t>
            </w:r>
          </w:p>
          <w:p>
            <w:pPr>
              <w:pStyle w:val="0"/>
              <w:jc w:val="center"/>
            </w:pPr>
            <w:r>
              <w:rPr>
                <w:sz w:val="20"/>
              </w:rPr>
              <w:t xml:space="preserve">2022 год</w:t>
            </w:r>
          </w:p>
        </w:tc>
        <w:tc>
          <w:tcPr>
            <w:tcW w:w="1303" w:type="dxa"/>
            <w:vAlign w:val="center"/>
          </w:tcPr>
          <w:p>
            <w:pPr>
              <w:pStyle w:val="0"/>
              <w:jc w:val="center"/>
            </w:pPr>
            <w:r>
              <w:rPr>
                <w:sz w:val="20"/>
              </w:rPr>
              <w:t xml:space="preserve">32,5</w:t>
            </w:r>
          </w:p>
          <w:p>
            <w:pPr>
              <w:pStyle w:val="0"/>
              <w:jc w:val="center"/>
            </w:pPr>
            <w:r>
              <w:rPr>
                <w:sz w:val="20"/>
              </w:rPr>
              <w:t xml:space="preserve">2025 год</w:t>
            </w:r>
          </w:p>
        </w:tc>
        <w:tc>
          <w:tcPr>
            <w:tcW w:w="1303" w:type="dxa"/>
            <w:vAlign w:val="center"/>
          </w:tcPr>
          <w:p>
            <w:pPr>
              <w:pStyle w:val="0"/>
              <w:jc w:val="center"/>
            </w:pPr>
            <w:r>
              <w:rPr>
                <w:sz w:val="20"/>
              </w:rPr>
              <w:t xml:space="preserve">36,3</w:t>
            </w:r>
          </w:p>
          <w:p>
            <w:pPr>
              <w:pStyle w:val="0"/>
              <w:jc w:val="center"/>
            </w:pPr>
            <w:r>
              <w:rPr>
                <w:sz w:val="20"/>
              </w:rPr>
              <w:t xml:space="preserve">2030 год</w:t>
            </w:r>
          </w:p>
        </w:tc>
      </w:tr>
      <w:tr>
        <w:tc>
          <w:tcPr>
            <w:tcW w:w="4422" w:type="dxa"/>
            <w:vAlign w:val="center"/>
          </w:tcPr>
          <w:p>
            <w:pPr>
              <w:pStyle w:val="0"/>
            </w:pPr>
            <w:r>
              <w:rPr>
                <w:sz w:val="20"/>
              </w:rPr>
              <w:t xml:space="preserve">Площадь жилищного фонда, оборудованного всеми видами благоустройства, % от общей площади жилищного фонда</w:t>
            </w:r>
          </w:p>
        </w:tc>
        <w:tc>
          <w:tcPr>
            <w:tcW w:w="1077" w:type="dxa"/>
            <w:vAlign w:val="center"/>
          </w:tcPr>
          <w:p>
            <w:pPr>
              <w:pStyle w:val="0"/>
              <w:jc w:val="center"/>
            </w:pPr>
            <w:r>
              <w:rPr>
                <w:sz w:val="20"/>
              </w:rPr>
              <w:t xml:space="preserve">53,7</w:t>
            </w:r>
          </w:p>
        </w:tc>
        <w:tc>
          <w:tcPr>
            <w:tcW w:w="1077" w:type="dxa"/>
            <w:vAlign w:val="center"/>
          </w:tcPr>
          <w:p>
            <w:pPr>
              <w:pStyle w:val="0"/>
              <w:jc w:val="center"/>
            </w:pPr>
            <w:r>
              <w:rPr>
                <w:sz w:val="20"/>
              </w:rPr>
              <w:t xml:space="preserve">58,7</w:t>
            </w:r>
          </w:p>
        </w:tc>
        <w:tc>
          <w:tcPr>
            <w:tcW w:w="1417" w:type="dxa"/>
            <w:vAlign w:val="center"/>
          </w:tcPr>
          <w:p>
            <w:pPr>
              <w:pStyle w:val="0"/>
              <w:jc w:val="center"/>
            </w:pPr>
            <w:r>
              <w:rPr>
                <w:sz w:val="20"/>
              </w:rPr>
              <w:t xml:space="preserve">60,5</w:t>
            </w:r>
          </w:p>
        </w:tc>
        <w:tc>
          <w:tcPr>
            <w:tcW w:w="1077" w:type="dxa"/>
            <w:vAlign w:val="center"/>
          </w:tcPr>
          <w:p>
            <w:pPr>
              <w:pStyle w:val="0"/>
              <w:jc w:val="center"/>
            </w:pPr>
            <w:r>
              <w:rPr>
                <w:sz w:val="20"/>
              </w:rPr>
              <w:t xml:space="preserve">61,1</w:t>
            </w:r>
          </w:p>
        </w:tc>
        <w:tc>
          <w:tcPr>
            <w:tcW w:w="1303" w:type="dxa"/>
            <w:vAlign w:val="center"/>
          </w:tcPr>
          <w:p>
            <w:pPr>
              <w:pStyle w:val="0"/>
              <w:jc w:val="center"/>
            </w:pPr>
            <w:r>
              <w:rPr>
                <w:sz w:val="20"/>
              </w:rPr>
              <w:t xml:space="preserve">63,0</w:t>
            </w:r>
          </w:p>
          <w:p>
            <w:pPr>
              <w:pStyle w:val="0"/>
              <w:jc w:val="center"/>
            </w:pPr>
            <w:r>
              <w:rPr>
                <w:sz w:val="20"/>
              </w:rPr>
              <w:t xml:space="preserve">2022 год</w:t>
            </w:r>
          </w:p>
        </w:tc>
        <w:tc>
          <w:tcPr>
            <w:tcW w:w="1303" w:type="dxa"/>
            <w:vAlign w:val="center"/>
          </w:tcPr>
          <w:p>
            <w:pPr>
              <w:pStyle w:val="0"/>
              <w:jc w:val="center"/>
            </w:pPr>
            <w:r>
              <w:rPr>
                <w:sz w:val="20"/>
              </w:rPr>
              <w:t xml:space="preserve">64,5</w:t>
            </w:r>
          </w:p>
          <w:p>
            <w:pPr>
              <w:pStyle w:val="0"/>
              <w:jc w:val="center"/>
            </w:pPr>
            <w:r>
              <w:rPr>
                <w:sz w:val="20"/>
              </w:rPr>
              <w:t xml:space="preserve">2025 год</w:t>
            </w:r>
          </w:p>
        </w:tc>
        <w:tc>
          <w:tcPr>
            <w:tcW w:w="1303" w:type="dxa"/>
            <w:vAlign w:val="center"/>
          </w:tcPr>
          <w:p>
            <w:pPr>
              <w:pStyle w:val="0"/>
              <w:jc w:val="center"/>
            </w:pPr>
            <w:r>
              <w:rPr>
                <w:sz w:val="20"/>
              </w:rPr>
              <w:t xml:space="preserve">67,0</w:t>
            </w:r>
          </w:p>
          <w:p>
            <w:pPr>
              <w:pStyle w:val="0"/>
              <w:jc w:val="center"/>
            </w:pPr>
            <w:r>
              <w:rPr>
                <w:sz w:val="20"/>
              </w:rPr>
              <w:t xml:space="preserve">2030 год</w:t>
            </w:r>
          </w:p>
        </w:tc>
      </w:tr>
      <w:tr>
        <w:tc>
          <w:tcPr>
            <w:tcW w:w="4422" w:type="dxa"/>
            <w:vAlign w:val="center"/>
          </w:tcPr>
          <w:p>
            <w:pPr>
              <w:pStyle w:val="0"/>
            </w:pPr>
            <w:r>
              <w:rPr>
                <w:sz w:val="20"/>
              </w:rPr>
              <w:t xml:space="preserve">Прикрытие территории Тюменской области подразделениями различных видов пожарной охраны (имеющих выездную пожарную технику), %</w:t>
            </w:r>
          </w:p>
        </w:tc>
        <w:tc>
          <w:tcPr>
            <w:tcW w:w="1077" w:type="dxa"/>
            <w:vAlign w:val="center"/>
          </w:tcPr>
          <w:p>
            <w:pPr>
              <w:pStyle w:val="0"/>
              <w:jc w:val="center"/>
            </w:pPr>
            <w:r>
              <w:rPr>
                <w:sz w:val="20"/>
              </w:rPr>
              <w:t xml:space="preserve">84,4</w:t>
            </w:r>
          </w:p>
        </w:tc>
        <w:tc>
          <w:tcPr>
            <w:tcW w:w="1077" w:type="dxa"/>
            <w:vAlign w:val="center"/>
          </w:tcPr>
          <w:p>
            <w:pPr>
              <w:pStyle w:val="0"/>
              <w:jc w:val="center"/>
            </w:pPr>
            <w:r>
              <w:rPr>
                <w:sz w:val="20"/>
              </w:rPr>
              <w:t xml:space="preserve">84,4</w:t>
            </w:r>
          </w:p>
        </w:tc>
        <w:tc>
          <w:tcPr>
            <w:tcW w:w="1417" w:type="dxa"/>
            <w:vAlign w:val="center"/>
          </w:tcPr>
          <w:p>
            <w:pPr>
              <w:pStyle w:val="0"/>
              <w:jc w:val="center"/>
            </w:pPr>
            <w:r>
              <w:rPr>
                <w:sz w:val="20"/>
              </w:rPr>
              <w:t xml:space="preserve">84,4</w:t>
            </w:r>
          </w:p>
        </w:tc>
        <w:tc>
          <w:tcPr>
            <w:tcW w:w="1077" w:type="dxa"/>
            <w:vAlign w:val="center"/>
          </w:tcPr>
          <w:p>
            <w:pPr>
              <w:pStyle w:val="0"/>
              <w:jc w:val="center"/>
            </w:pPr>
            <w:r>
              <w:rPr>
                <w:sz w:val="20"/>
              </w:rPr>
              <w:t xml:space="preserve">79,2</w:t>
            </w:r>
          </w:p>
        </w:tc>
        <w:tc>
          <w:tcPr>
            <w:tcW w:w="1303" w:type="dxa"/>
            <w:vAlign w:val="center"/>
          </w:tcPr>
          <w:p>
            <w:pPr>
              <w:pStyle w:val="0"/>
              <w:jc w:val="center"/>
            </w:pPr>
            <w:r>
              <w:rPr>
                <w:sz w:val="20"/>
              </w:rPr>
              <w:t xml:space="preserve">89,7</w:t>
            </w:r>
          </w:p>
          <w:p>
            <w:pPr>
              <w:pStyle w:val="0"/>
              <w:jc w:val="center"/>
            </w:pPr>
            <w:r>
              <w:rPr>
                <w:sz w:val="20"/>
              </w:rPr>
              <w:t xml:space="preserve">2022 год</w:t>
            </w:r>
          </w:p>
        </w:tc>
        <w:tc>
          <w:tcPr>
            <w:tcW w:w="1303" w:type="dxa"/>
            <w:vAlign w:val="center"/>
          </w:tcPr>
          <w:p>
            <w:pPr>
              <w:pStyle w:val="0"/>
              <w:jc w:val="center"/>
            </w:pPr>
            <w:r>
              <w:rPr>
                <w:sz w:val="20"/>
              </w:rPr>
              <w:t xml:space="preserve">100</w:t>
            </w:r>
          </w:p>
          <w:p>
            <w:pPr>
              <w:pStyle w:val="0"/>
              <w:jc w:val="center"/>
            </w:pPr>
            <w:r>
              <w:rPr>
                <w:sz w:val="20"/>
              </w:rPr>
              <w:t xml:space="preserve">2025 год</w:t>
            </w:r>
          </w:p>
        </w:tc>
        <w:tc>
          <w:tcPr>
            <w:tcW w:w="1303" w:type="dxa"/>
            <w:vAlign w:val="center"/>
          </w:tcPr>
          <w:p>
            <w:pPr>
              <w:pStyle w:val="0"/>
              <w:jc w:val="center"/>
            </w:pPr>
            <w:r>
              <w:rPr>
                <w:sz w:val="20"/>
              </w:rPr>
              <w:t xml:space="preserve">100</w:t>
            </w:r>
          </w:p>
          <w:p>
            <w:pPr>
              <w:pStyle w:val="0"/>
              <w:jc w:val="center"/>
            </w:pPr>
            <w:r>
              <w:rPr>
                <w:sz w:val="20"/>
              </w:rPr>
              <w:t xml:space="preserve">2030 год</w:t>
            </w:r>
          </w:p>
        </w:tc>
      </w:tr>
      <w:tr>
        <w:tc>
          <w:tcPr>
            <w:tcW w:w="4422" w:type="dxa"/>
            <w:vAlign w:val="center"/>
          </w:tcPr>
          <w:p>
            <w:pPr>
              <w:pStyle w:val="0"/>
            </w:pPr>
            <w:r>
              <w:rPr>
                <w:sz w:val="20"/>
              </w:rPr>
              <w:t xml:space="preserve">Количество зарегистрированных преступлений, ед. на 100 тысяч населения (не более)</w:t>
            </w:r>
          </w:p>
        </w:tc>
        <w:tc>
          <w:tcPr>
            <w:tcW w:w="1077" w:type="dxa"/>
            <w:vAlign w:val="center"/>
          </w:tcPr>
          <w:p>
            <w:pPr>
              <w:pStyle w:val="0"/>
              <w:jc w:val="center"/>
            </w:pPr>
            <w:r>
              <w:rPr>
                <w:sz w:val="20"/>
              </w:rPr>
              <w:t xml:space="preserve">2167,5</w:t>
            </w:r>
          </w:p>
        </w:tc>
        <w:tc>
          <w:tcPr>
            <w:tcW w:w="1077" w:type="dxa"/>
            <w:vAlign w:val="center"/>
          </w:tcPr>
          <w:p>
            <w:pPr>
              <w:pStyle w:val="0"/>
              <w:jc w:val="center"/>
            </w:pPr>
            <w:r>
              <w:rPr>
                <w:sz w:val="20"/>
              </w:rPr>
              <w:t xml:space="preserve">1888,2</w:t>
            </w:r>
          </w:p>
        </w:tc>
        <w:tc>
          <w:tcPr>
            <w:tcW w:w="1417" w:type="dxa"/>
            <w:vAlign w:val="center"/>
          </w:tcPr>
          <w:p>
            <w:pPr>
              <w:pStyle w:val="0"/>
              <w:jc w:val="center"/>
            </w:pPr>
            <w:r>
              <w:rPr>
                <w:sz w:val="20"/>
              </w:rPr>
              <w:t xml:space="preserve">1789,8</w:t>
            </w:r>
          </w:p>
        </w:tc>
        <w:tc>
          <w:tcPr>
            <w:tcW w:w="1077" w:type="dxa"/>
            <w:vAlign w:val="center"/>
          </w:tcPr>
          <w:p>
            <w:pPr>
              <w:pStyle w:val="0"/>
              <w:jc w:val="center"/>
            </w:pPr>
            <w:r>
              <w:rPr>
                <w:sz w:val="20"/>
              </w:rPr>
              <w:t xml:space="preserve">1699,4</w:t>
            </w:r>
          </w:p>
        </w:tc>
        <w:tc>
          <w:tcPr>
            <w:tcW w:w="1303" w:type="dxa"/>
            <w:vAlign w:val="center"/>
          </w:tcPr>
          <w:p>
            <w:pPr>
              <w:pStyle w:val="0"/>
              <w:jc w:val="center"/>
            </w:pPr>
            <w:r>
              <w:rPr>
                <w:sz w:val="20"/>
              </w:rPr>
              <w:t xml:space="preserve">1410,3</w:t>
            </w:r>
          </w:p>
          <w:p>
            <w:pPr>
              <w:pStyle w:val="0"/>
              <w:jc w:val="center"/>
            </w:pPr>
            <w:r>
              <w:rPr>
                <w:sz w:val="20"/>
              </w:rPr>
              <w:t xml:space="preserve">2022 год</w:t>
            </w:r>
          </w:p>
        </w:tc>
        <w:tc>
          <w:tcPr>
            <w:tcW w:w="1303" w:type="dxa"/>
            <w:vAlign w:val="center"/>
          </w:tcPr>
          <w:p>
            <w:pPr>
              <w:pStyle w:val="0"/>
              <w:jc w:val="center"/>
            </w:pPr>
            <w:r>
              <w:rPr>
                <w:sz w:val="20"/>
              </w:rPr>
              <w:t xml:space="preserve">1235,2</w:t>
            </w:r>
          </w:p>
          <w:p>
            <w:pPr>
              <w:pStyle w:val="0"/>
              <w:jc w:val="center"/>
            </w:pPr>
            <w:r>
              <w:rPr>
                <w:sz w:val="20"/>
              </w:rPr>
              <w:t xml:space="preserve">2025 год</w:t>
            </w:r>
          </w:p>
        </w:tc>
        <w:tc>
          <w:tcPr>
            <w:tcW w:w="1303" w:type="dxa"/>
            <w:vAlign w:val="center"/>
          </w:tcPr>
          <w:p>
            <w:pPr>
              <w:pStyle w:val="0"/>
              <w:jc w:val="center"/>
            </w:pPr>
            <w:r>
              <w:rPr>
                <w:sz w:val="20"/>
              </w:rPr>
              <w:t xml:space="preserve">1025,0</w:t>
            </w:r>
          </w:p>
          <w:p>
            <w:pPr>
              <w:pStyle w:val="0"/>
              <w:jc w:val="center"/>
            </w:pPr>
            <w:r>
              <w:rPr>
                <w:sz w:val="20"/>
              </w:rPr>
              <w:t xml:space="preserve">2030 год</w:t>
            </w:r>
          </w:p>
        </w:tc>
      </w:tr>
      <w:tr>
        <w:tc>
          <w:tcPr>
            <w:tcW w:w="4422" w:type="dxa"/>
            <w:vAlign w:val="center"/>
          </w:tcPr>
          <w:p>
            <w:pPr>
              <w:pStyle w:val="0"/>
            </w:pPr>
            <w:r>
              <w:rPr>
                <w:sz w:val="20"/>
              </w:rPr>
              <w:t xml:space="preserve">Смертность в результате дорожно-транспортных происшествий, человек на 100 тыс. населения (не более)</w:t>
            </w:r>
          </w:p>
        </w:tc>
        <w:tc>
          <w:tcPr>
            <w:tcW w:w="1077" w:type="dxa"/>
            <w:vAlign w:val="center"/>
          </w:tcPr>
          <w:p>
            <w:pPr>
              <w:pStyle w:val="0"/>
              <w:jc w:val="center"/>
            </w:pPr>
            <w:r>
              <w:rPr>
                <w:sz w:val="20"/>
              </w:rPr>
              <w:t xml:space="preserve">15,8</w:t>
            </w:r>
          </w:p>
        </w:tc>
        <w:tc>
          <w:tcPr>
            <w:tcW w:w="1077" w:type="dxa"/>
            <w:vAlign w:val="center"/>
          </w:tcPr>
          <w:p>
            <w:pPr>
              <w:pStyle w:val="0"/>
              <w:jc w:val="center"/>
            </w:pPr>
            <w:r>
              <w:rPr>
                <w:sz w:val="20"/>
              </w:rPr>
              <w:t xml:space="preserve">18</w:t>
            </w:r>
          </w:p>
        </w:tc>
        <w:tc>
          <w:tcPr>
            <w:tcW w:w="1417" w:type="dxa"/>
            <w:vAlign w:val="center"/>
          </w:tcPr>
          <w:p>
            <w:pPr>
              <w:pStyle w:val="0"/>
              <w:jc w:val="center"/>
            </w:pPr>
            <w:r>
              <w:rPr>
                <w:sz w:val="20"/>
              </w:rPr>
              <w:t xml:space="preserve">16,1</w:t>
            </w:r>
          </w:p>
        </w:tc>
        <w:tc>
          <w:tcPr>
            <w:tcW w:w="1077" w:type="dxa"/>
            <w:vAlign w:val="center"/>
          </w:tcPr>
          <w:p>
            <w:pPr>
              <w:pStyle w:val="0"/>
              <w:jc w:val="center"/>
            </w:pPr>
            <w:r>
              <w:rPr>
                <w:sz w:val="20"/>
              </w:rPr>
              <w:t xml:space="preserve">12,6</w:t>
            </w:r>
          </w:p>
        </w:tc>
        <w:tc>
          <w:tcPr>
            <w:tcW w:w="1303" w:type="dxa"/>
            <w:vAlign w:val="center"/>
          </w:tcPr>
          <w:p>
            <w:pPr>
              <w:pStyle w:val="0"/>
              <w:jc w:val="center"/>
            </w:pPr>
            <w:r>
              <w:rPr>
                <w:sz w:val="20"/>
              </w:rPr>
              <w:t xml:space="preserve">10,3</w:t>
            </w:r>
          </w:p>
          <w:p>
            <w:pPr>
              <w:pStyle w:val="0"/>
              <w:jc w:val="center"/>
            </w:pPr>
            <w:r>
              <w:rPr>
                <w:sz w:val="20"/>
              </w:rPr>
              <w:t xml:space="preserve">2022 год</w:t>
            </w:r>
          </w:p>
        </w:tc>
        <w:tc>
          <w:tcPr>
            <w:tcW w:w="1303" w:type="dxa"/>
            <w:vAlign w:val="center"/>
          </w:tcPr>
          <w:p>
            <w:pPr>
              <w:pStyle w:val="0"/>
              <w:jc w:val="center"/>
            </w:pPr>
            <w:r>
              <w:rPr>
                <w:sz w:val="20"/>
              </w:rPr>
              <w:t xml:space="preserve">4,4</w:t>
            </w:r>
          </w:p>
          <w:p>
            <w:pPr>
              <w:pStyle w:val="0"/>
              <w:jc w:val="center"/>
            </w:pPr>
            <w:r>
              <w:rPr>
                <w:sz w:val="20"/>
              </w:rPr>
              <w:t xml:space="preserve">2025 год</w:t>
            </w:r>
          </w:p>
        </w:tc>
        <w:tc>
          <w:tcPr>
            <w:tcW w:w="1303" w:type="dxa"/>
            <w:vAlign w:val="center"/>
          </w:tcPr>
          <w:p>
            <w:pPr>
              <w:pStyle w:val="0"/>
              <w:jc w:val="center"/>
            </w:pPr>
            <w:r>
              <w:rPr>
                <w:sz w:val="20"/>
              </w:rPr>
              <w:t xml:space="preserve">3,6</w:t>
            </w:r>
          </w:p>
          <w:p>
            <w:pPr>
              <w:pStyle w:val="0"/>
              <w:jc w:val="center"/>
            </w:pPr>
            <w:r>
              <w:rPr>
                <w:sz w:val="20"/>
              </w:rPr>
              <w:t xml:space="preserve">2030 год</w:t>
            </w:r>
          </w:p>
        </w:tc>
      </w:tr>
      <w:tr>
        <w:tc>
          <w:tcPr>
            <w:tcW w:w="4422" w:type="dxa"/>
            <w:vAlign w:val="center"/>
          </w:tcPr>
          <w:p>
            <w:pPr>
              <w:pStyle w:val="0"/>
            </w:pPr>
            <w:r>
              <w:rPr>
                <w:sz w:val="20"/>
              </w:rPr>
              <w:t xml:space="preserve">Количество населения, погибшего при деструктивных событиях (чрезвычайных ситуациях, пожарах, происшествиях на водных объектах), человек (не более)</w:t>
            </w:r>
          </w:p>
        </w:tc>
        <w:tc>
          <w:tcPr>
            <w:tcW w:w="1077" w:type="dxa"/>
            <w:vAlign w:val="center"/>
          </w:tcPr>
          <w:p>
            <w:pPr>
              <w:pStyle w:val="0"/>
              <w:jc w:val="center"/>
            </w:pPr>
            <w:r>
              <w:rPr>
                <w:sz w:val="20"/>
              </w:rPr>
              <w:t xml:space="preserve">199</w:t>
            </w:r>
          </w:p>
        </w:tc>
        <w:tc>
          <w:tcPr>
            <w:tcW w:w="1077" w:type="dxa"/>
            <w:vAlign w:val="center"/>
          </w:tcPr>
          <w:p>
            <w:pPr>
              <w:pStyle w:val="0"/>
              <w:jc w:val="center"/>
            </w:pPr>
            <w:r>
              <w:rPr>
                <w:sz w:val="20"/>
              </w:rPr>
              <w:t xml:space="preserve">199</w:t>
            </w:r>
          </w:p>
        </w:tc>
        <w:tc>
          <w:tcPr>
            <w:tcW w:w="1417" w:type="dxa"/>
            <w:vAlign w:val="center"/>
          </w:tcPr>
          <w:p>
            <w:pPr>
              <w:pStyle w:val="0"/>
              <w:jc w:val="center"/>
            </w:pPr>
            <w:r>
              <w:rPr>
                <w:sz w:val="20"/>
              </w:rPr>
              <w:t xml:space="preserve">191</w:t>
            </w:r>
          </w:p>
        </w:tc>
        <w:tc>
          <w:tcPr>
            <w:tcW w:w="1077" w:type="dxa"/>
            <w:vAlign w:val="center"/>
          </w:tcPr>
          <w:p>
            <w:pPr>
              <w:pStyle w:val="0"/>
              <w:jc w:val="center"/>
            </w:pPr>
            <w:r>
              <w:rPr>
                <w:sz w:val="20"/>
              </w:rPr>
              <w:t xml:space="preserve">202</w:t>
            </w:r>
          </w:p>
        </w:tc>
        <w:tc>
          <w:tcPr>
            <w:tcW w:w="1303" w:type="dxa"/>
            <w:vAlign w:val="center"/>
          </w:tcPr>
          <w:p>
            <w:pPr>
              <w:pStyle w:val="0"/>
              <w:jc w:val="center"/>
            </w:pPr>
            <w:r>
              <w:rPr>
                <w:sz w:val="20"/>
              </w:rPr>
              <w:t xml:space="preserve">145</w:t>
            </w:r>
          </w:p>
          <w:p>
            <w:pPr>
              <w:pStyle w:val="0"/>
              <w:jc w:val="center"/>
            </w:pPr>
            <w:r>
              <w:rPr>
                <w:sz w:val="20"/>
              </w:rPr>
              <w:t xml:space="preserve">2022 год</w:t>
            </w:r>
          </w:p>
        </w:tc>
        <w:tc>
          <w:tcPr>
            <w:tcW w:w="1303" w:type="dxa"/>
            <w:vAlign w:val="center"/>
          </w:tcPr>
          <w:p>
            <w:pPr>
              <w:pStyle w:val="0"/>
              <w:jc w:val="center"/>
            </w:pPr>
            <w:r>
              <w:rPr>
                <w:sz w:val="20"/>
              </w:rPr>
              <w:t xml:space="preserve">142</w:t>
            </w:r>
          </w:p>
          <w:p>
            <w:pPr>
              <w:pStyle w:val="0"/>
              <w:jc w:val="center"/>
            </w:pPr>
            <w:r>
              <w:rPr>
                <w:sz w:val="20"/>
              </w:rPr>
              <w:t xml:space="preserve">2025 год</w:t>
            </w:r>
          </w:p>
        </w:tc>
        <w:tc>
          <w:tcPr>
            <w:tcW w:w="1303" w:type="dxa"/>
            <w:vAlign w:val="center"/>
          </w:tcPr>
          <w:p>
            <w:pPr>
              <w:pStyle w:val="0"/>
              <w:jc w:val="center"/>
            </w:pPr>
            <w:r>
              <w:rPr>
                <w:sz w:val="20"/>
              </w:rPr>
              <w:t xml:space="preserve">137</w:t>
            </w:r>
          </w:p>
          <w:p>
            <w:pPr>
              <w:pStyle w:val="0"/>
              <w:jc w:val="center"/>
            </w:pPr>
            <w:r>
              <w:rPr>
                <w:sz w:val="20"/>
              </w:rPr>
              <w:t xml:space="preserve">2030 год</w:t>
            </w:r>
          </w:p>
        </w:tc>
      </w:tr>
      <w:tr>
        <w:tc>
          <w:tcPr>
            <w:tcW w:w="4422" w:type="dxa"/>
            <w:vAlign w:val="center"/>
          </w:tcPr>
          <w:p>
            <w:pPr>
              <w:pStyle w:val="0"/>
            </w:pPr>
            <w:r>
              <w:rPr>
                <w:sz w:val="20"/>
              </w:rPr>
              <w:t xml:space="preserve">Численность населения с денежными доходами ниже величины </w:t>
            </w:r>
            <w:hyperlink w:history="0" r:id="rId55" w:tooltip="Справочная информация: &quot;Величина прожиточного минимума в Тюменской области (без автономных округов)&quot; (Материал подготовлен специалистами КонсультантПлюс) {КонсультантПлюс}">
              <w:r>
                <w:rPr>
                  <w:sz w:val="20"/>
                  <w:color w:val="0000ff"/>
                </w:rPr>
                <w:t xml:space="preserve">прожиточного минимума</w:t>
              </w:r>
            </w:hyperlink>
            <w:r>
              <w:rPr>
                <w:sz w:val="20"/>
              </w:rPr>
              <w:t xml:space="preserve">, в % от общей численности населения</w:t>
            </w:r>
          </w:p>
        </w:tc>
        <w:tc>
          <w:tcPr>
            <w:tcW w:w="1077" w:type="dxa"/>
            <w:vAlign w:val="center"/>
          </w:tcPr>
          <w:p>
            <w:pPr>
              <w:pStyle w:val="0"/>
              <w:jc w:val="center"/>
            </w:pPr>
            <w:r>
              <w:rPr>
                <w:sz w:val="20"/>
              </w:rPr>
              <w:t xml:space="preserve">14,7</w:t>
            </w:r>
          </w:p>
        </w:tc>
        <w:tc>
          <w:tcPr>
            <w:tcW w:w="1077" w:type="dxa"/>
            <w:vAlign w:val="center"/>
          </w:tcPr>
          <w:p>
            <w:pPr>
              <w:pStyle w:val="0"/>
              <w:jc w:val="center"/>
            </w:pPr>
            <w:r>
              <w:rPr>
                <w:sz w:val="20"/>
              </w:rPr>
              <w:t xml:space="preserve">15,5</w:t>
            </w:r>
          </w:p>
        </w:tc>
        <w:tc>
          <w:tcPr>
            <w:tcW w:w="1417" w:type="dxa"/>
            <w:vAlign w:val="center"/>
          </w:tcPr>
          <w:p>
            <w:pPr>
              <w:pStyle w:val="0"/>
              <w:jc w:val="center"/>
            </w:pPr>
            <w:r>
              <w:rPr>
                <w:sz w:val="20"/>
              </w:rPr>
              <w:t xml:space="preserve">15,4</w:t>
            </w:r>
          </w:p>
        </w:tc>
        <w:tc>
          <w:tcPr>
            <w:tcW w:w="1077" w:type="dxa"/>
            <w:vAlign w:val="center"/>
          </w:tcPr>
          <w:p>
            <w:pPr>
              <w:pStyle w:val="0"/>
              <w:jc w:val="center"/>
            </w:pPr>
            <w:r>
              <w:rPr>
                <w:sz w:val="20"/>
              </w:rPr>
              <w:t xml:space="preserve">14,9</w:t>
            </w:r>
          </w:p>
        </w:tc>
        <w:tc>
          <w:tcPr>
            <w:tcW w:w="1303" w:type="dxa"/>
            <w:vAlign w:val="center"/>
          </w:tcPr>
          <w:p>
            <w:pPr>
              <w:pStyle w:val="0"/>
              <w:jc w:val="center"/>
            </w:pPr>
            <w:r>
              <w:rPr>
                <w:sz w:val="20"/>
              </w:rPr>
              <w:t xml:space="preserve">9,4</w:t>
            </w:r>
          </w:p>
          <w:p>
            <w:pPr>
              <w:pStyle w:val="0"/>
              <w:jc w:val="center"/>
            </w:pPr>
            <w:r>
              <w:rPr>
                <w:sz w:val="20"/>
              </w:rPr>
              <w:t xml:space="preserve">2022 год</w:t>
            </w:r>
          </w:p>
        </w:tc>
        <w:tc>
          <w:tcPr>
            <w:tcW w:w="1303" w:type="dxa"/>
            <w:vAlign w:val="center"/>
          </w:tcPr>
          <w:p>
            <w:pPr>
              <w:pStyle w:val="0"/>
              <w:jc w:val="center"/>
            </w:pPr>
            <w:r>
              <w:rPr>
                <w:sz w:val="20"/>
              </w:rPr>
              <w:t xml:space="preserve">7,3</w:t>
            </w:r>
          </w:p>
          <w:p>
            <w:pPr>
              <w:pStyle w:val="0"/>
              <w:jc w:val="center"/>
            </w:pPr>
            <w:r>
              <w:rPr>
                <w:sz w:val="20"/>
              </w:rPr>
              <w:t xml:space="preserve">2025 год</w:t>
            </w:r>
          </w:p>
        </w:tc>
        <w:tc>
          <w:tcPr>
            <w:tcW w:w="1303" w:type="dxa"/>
            <w:vAlign w:val="center"/>
          </w:tcPr>
          <w:p>
            <w:pPr>
              <w:pStyle w:val="0"/>
              <w:jc w:val="center"/>
            </w:pPr>
            <w:r>
              <w:rPr>
                <w:sz w:val="20"/>
              </w:rPr>
              <w:t xml:space="preserve">6,6</w:t>
            </w:r>
          </w:p>
          <w:p>
            <w:pPr>
              <w:pStyle w:val="0"/>
              <w:jc w:val="center"/>
            </w:pPr>
            <w:r>
              <w:rPr>
                <w:sz w:val="20"/>
              </w:rPr>
              <w:t xml:space="preserve">2030 год</w:t>
            </w:r>
          </w:p>
        </w:tc>
      </w:tr>
      <w:tr>
        <w:tc>
          <w:tcPr>
            <w:gridSpan w:val="8"/>
            <w:tcW w:w="12979" w:type="dxa"/>
            <w:vAlign w:val="center"/>
          </w:tcPr>
          <w:p>
            <w:pPr>
              <w:pStyle w:val="0"/>
              <w:outlineLvl w:val="5"/>
            </w:pPr>
            <w:r>
              <w:rPr>
                <w:sz w:val="20"/>
              </w:rPr>
              <w:t xml:space="preserve">Цель 1.2. Развитие человеческого капитала</w:t>
            </w:r>
          </w:p>
        </w:tc>
      </w:tr>
      <w:tr>
        <w:tc>
          <w:tcPr>
            <w:gridSpan w:val="8"/>
            <w:tcW w:w="12979" w:type="dxa"/>
            <w:vAlign w:val="center"/>
          </w:tcPr>
          <w:p>
            <w:pPr>
              <w:pStyle w:val="0"/>
            </w:pPr>
            <w:r>
              <w:rPr>
                <w:sz w:val="20"/>
              </w:rPr>
              <w:t xml:space="preserve">Задача 1.2.1. Здоровье и долголетие</w:t>
            </w:r>
          </w:p>
        </w:tc>
      </w:tr>
      <w:tr>
        <w:tc>
          <w:tcPr>
            <w:gridSpan w:val="8"/>
            <w:tcW w:w="12979" w:type="dxa"/>
            <w:vAlign w:val="center"/>
          </w:tcPr>
          <w:p>
            <w:pPr>
              <w:pStyle w:val="0"/>
            </w:pPr>
            <w:r>
              <w:rPr>
                <w:sz w:val="20"/>
              </w:rPr>
              <w:t xml:space="preserve">Задача 1.2.2. Здоровый образ жизни</w:t>
            </w:r>
          </w:p>
        </w:tc>
      </w:tr>
      <w:tr>
        <w:tc>
          <w:tcPr>
            <w:gridSpan w:val="8"/>
            <w:tcW w:w="12979" w:type="dxa"/>
            <w:vAlign w:val="center"/>
          </w:tcPr>
          <w:p>
            <w:pPr>
              <w:pStyle w:val="0"/>
            </w:pPr>
            <w:r>
              <w:rPr>
                <w:sz w:val="20"/>
              </w:rPr>
              <w:t xml:space="preserve">Задача 1.2.3. Семья. Демографическое развитие</w:t>
            </w:r>
          </w:p>
        </w:tc>
      </w:tr>
      <w:tr>
        <w:tc>
          <w:tcPr>
            <w:gridSpan w:val="8"/>
            <w:tcW w:w="12979" w:type="dxa"/>
            <w:vAlign w:val="center"/>
          </w:tcPr>
          <w:p>
            <w:pPr>
              <w:pStyle w:val="0"/>
            </w:pPr>
            <w:r>
              <w:rPr>
                <w:sz w:val="20"/>
              </w:rPr>
              <w:t xml:space="preserve">Задача 1.2.4. Образование</w:t>
            </w:r>
          </w:p>
        </w:tc>
      </w:tr>
      <w:tr>
        <w:tc>
          <w:tcPr>
            <w:gridSpan w:val="8"/>
            <w:tcW w:w="12979" w:type="dxa"/>
            <w:vAlign w:val="center"/>
          </w:tcPr>
          <w:p>
            <w:pPr>
              <w:pStyle w:val="0"/>
            </w:pPr>
            <w:r>
              <w:rPr>
                <w:sz w:val="20"/>
              </w:rPr>
              <w:t xml:space="preserve">Задача 1.2.5. Культура, творчество, гражданственность</w:t>
            </w:r>
          </w:p>
        </w:tc>
      </w:tr>
      <w:tr>
        <w:tc>
          <w:tcPr>
            <w:gridSpan w:val="8"/>
            <w:tcW w:w="12979" w:type="dxa"/>
            <w:vAlign w:val="center"/>
          </w:tcPr>
          <w:p>
            <w:pPr>
              <w:pStyle w:val="0"/>
            </w:pPr>
            <w:r>
              <w:rPr>
                <w:sz w:val="20"/>
              </w:rPr>
              <w:t xml:space="preserve">Задача 1.2.6. Информация</w:t>
            </w:r>
          </w:p>
        </w:tc>
      </w:tr>
      <w:tr>
        <w:tc>
          <w:tcPr>
            <w:tcW w:w="4422" w:type="dxa"/>
            <w:vAlign w:val="center"/>
          </w:tcPr>
          <w:p>
            <w:pPr>
              <w:pStyle w:val="0"/>
            </w:pPr>
            <w:r>
              <w:rPr>
                <w:sz w:val="20"/>
              </w:rPr>
              <w:t xml:space="preserve">Ожидаемая продолжительность жизни при рождении, лет</w:t>
            </w:r>
          </w:p>
        </w:tc>
        <w:tc>
          <w:tcPr>
            <w:tcW w:w="1077" w:type="dxa"/>
            <w:vAlign w:val="center"/>
          </w:tcPr>
          <w:p>
            <w:pPr>
              <w:pStyle w:val="0"/>
              <w:jc w:val="center"/>
            </w:pPr>
            <w:r>
              <w:rPr>
                <w:sz w:val="20"/>
              </w:rPr>
              <w:t xml:space="preserve">70,58</w:t>
            </w:r>
          </w:p>
        </w:tc>
        <w:tc>
          <w:tcPr>
            <w:tcW w:w="1077" w:type="dxa"/>
            <w:vAlign w:val="center"/>
          </w:tcPr>
          <w:p>
            <w:pPr>
              <w:pStyle w:val="0"/>
              <w:jc w:val="center"/>
            </w:pPr>
            <w:r>
              <w:rPr>
                <w:sz w:val="20"/>
              </w:rPr>
              <w:t xml:space="preserve">71,03</w:t>
            </w:r>
          </w:p>
        </w:tc>
        <w:tc>
          <w:tcPr>
            <w:tcW w:w="1417" w:type="dxa"/>
            <w:vAlign w:val="center"/>
          </w:tcPr>
          <w:p>
            <w:pPr>
              <w:pStyle w:val="0"/>
              <w:jc w:val="center"/>
            </w:pPr>
            <w:r>
              <w:rPr>
                <w:sz w:val="20"/>
              </w:rPr>
              <w:t xml:space="preserve">72,06</w:t>
            </w:r>
          </w:p>
        </w:tc>
        <w:tc>
          <w:tcPr>
            <w:tcW w:w="1077" w:type="dxa"/>
            <w:vAlign w:val="center"/>
          </w:tcPr>
          <w:p>
            <w:pPr>
              <w:pStyle w:val="0"/>
              <w:jc w:val="center"/>
            </w:pPr>
            <w:r>
              <w:rPr>
                <w:sz w:val="20"/>
              </w:rPr>
              <w:t xml:space="preserve">72,08</w:t>
            </w:r>
          </w:p>
        </w:tc>
        <w:tc>
          <w:tcPr>
            <w:tcW w:w="1303" w:type="dxa"/>
            <w:vAlign w:val="center"/>
          </w:tcPr>
          <w:p>
            <w:pPr>
              <w:pStyle w:val="0"/>
              <w:jc w:val="center"/>
            </w:pPr>
            <w:r>
              <w:rPr>
                <w:sz w:val="20"/>
              </w:rPr>
              <w:t xml:space="preserve">75,72</w:t>
            </w:r>
          </w:p>
          <w:p>
            <w:pPr>
              <w:pStyle w:val="0"/>
              <w:jc w:val="center"/>
            </w:pPr>
            <w:r>
              <w:rPr>
                <w:sz w:val="20"/>
              </w:rPr>
              <w:t xml:space="preserve">2022 год</w:t>
            </w:r>
          </w:p>
        </w:tc>
        <w:tc>
          <w:tcPr>
            <w:tcW w:w="1303" w:type="dxa"/>
            <w:vAlign w:val="center"/>
          </w:tcPr>
          <w:p>
            <w:pPr>
              <w:pStyle w:val="0"/>
              <w:jc w:val="center"/>
            </w:pPr>
            <w:r>
              <w:rPr>
                <w:sz w:val="20"/>
              </w:rPr>
              <w:t xml:space="preserve">75,73</w:t>
            </w:r>
          </w:p>
          <w:p>
            <w:pPr>
              <w:pStyle w:val="0"/>
              <w:jc w:val="center"/>
            </w:pPr>
            <w:r>
              <w:rPr>
                <w:sz w:val="20"/>
              </w:rPr>
              <w:t xml:space="preserve">2025 год</w:t>
            </w:r>
          </w:p>
        </w:tc>
        <w:tc>
          <w:tcPr>
            <w:tcW w:w="1303" w:type="dxa"/>
            <w:vAlign w:val="center"/>
          </w:tcPr>
          <w:p>
            <w:pPr>
              <w:pStyle w:val="0"/>
              <w:jc w:val="center"/>
            </w:pPr>
            <w:r>
              <w:rPr>
                <w:sz w:val="20"/>
              </w:rPr>
              <w:t xml:space="preserve">77,57</w:t>
            </w:r>
          </w:p>
          <w:p>
            <w:pPr>
              <w:pStyle w:val="0"/>
              <w:jc w:val="center"/>
            </w:pPr>
            <w:r>
              <w:rPr>
                <w:sz w:val="20"/>
              </w:rPr>
              <w:t xml:space="preserve">2030 год</w:t>
            </w:r>
          </w:p>
        </w:tc>
      </w:tr>
      <w:tr>
        <w:tc>
          <w:tcPr>
            <w:tcW w:w="4422" w:type="dxa"/>
            <w:vAlign w:val="center"/>
          </w:tcPr>
          <w:p>
            <w:pPr>
              <w:pStyle w:val="0"/>
            </w:pPr>
            <w:r>
              <w:rPr>
                <w:sz w:val="20"/>
              </w:rPr>
              <w:t xml:space="preserve">Суммарный коэффициент рождаемости, число детей на одну женщину</w:t>
            </w:r>
          </w:p>
        </w:tc>
        <w:tc>
          <w:tcPr>
            <w:tcW w:w="1077" w:type="dxa"/>
            <w:vAlign w:val="center"/>
          </w:tcPr>
          <w:p>
            <w:pPr>
              <w:pStyle w:val="0"/>
              <w:jc w:val="center"/>
            </w:pPr>
            <w:r>
              <w:rPr>
                <w:sz w:val="20"/>
              </w:rPr>
              <w:t xml:space="preserve">2,064</w:t>
            </w:r>
          </w:p>
        </w:tc>
        <w:tc>
          <w:tcPr>
            <w:tcW w:w="1077" w:type="dxa"/>
            <w:vAlign w:val="center"/>
          </w:tcPr>
          <w:p>
            <w:pPr>
              <w:pStyle w:val="0"/>
              <w:jc w:val="center"/>
            </w:pPr>
            <w:r>
              <w:rPr>
                <w:sz w:val="20"/>
              </w:rPr>
              <w:t xml:space="preserve">2,002</w:t>
            </w:r>
          </w:p>
        </w:tc>
        <w:tc>
          <w:tcPr>
            <w:tcW w:w="1417" w:type="dxa"/>
            <w:vAlign w:val="center"/>
          </w:tcPr>
          <w:p>
            <w:pPr>
              <w:pStyle w:val="0"/>
              <w:jc w:val="center"/>
            </w:pPr>
            <w:r>
              <w:rPr>
                <w:sz w:val="20"/>
              </w:rPr>
              <w:t xml:space="preserve">1,877</w:t>
            </w:r>
          </w:p>
        </w:tc>
        <w:tc>
          <w:tcPr>
            <w:tcW w:w="1077" w:type="dxa"/>
            <w:vAlign w:val="center"/>
          </w:tcPr>
          <w:p>
            <w:pPr>
              <w:pStyle w:val="0"/>
              <w:jc w:val="center"/>
            </w:pPr>
            <w:r>
              <w:rPr>
                <w:sz w:val="20"/>
              </w:rPr>
              <w:t xml:space="preserve">1,85</w:t>
            </w:r>
          </w:p>
        </w:tc>
        <w:tc>
          <w:tcPr>
            <w:tcW w:w="1303" w:type="dxa"/>
            <w:vAlign w:val="center"/>
          </w:tcPr>
          <w:p>
            <w:pPr>
              <w:pStyle w:val="0"/>
              <w:jc w:val="center"/>
            </w:pPr>
            <w:r>
              <w:rPr>
                <w:sz w:val="20"/>
              </w:rPr>
              <w:t xml:space="preserve">1,940</w:t>
            </w:r>
          </w:p>
          <w:p>
            <w:pPr>
              <w:pStyle w:val="0"/>
              <w:jc w:val="center"/>
            </w:pPr>
            <w:r>
              <w:rPr>
                <w:sz w:val="20"/>
              </w:rPr>
              <w:t xml:space="preserve">2022 год</w:t>
            </w:r>
          </w:p>
        </w:tc>
        <w:tc>
          <w:tcPr>
            <w:tcW w:w="1303" w:type="dxa"/>
            <w:vAlign w:val="center"/>
          </w:tcPr>
          <w:p>
            <w:pPr>
              <w:pStyle w:val="0"/>
              <w:jc w:val="center"/>
            </w:pPr>
            <w:r>
              <w:rPr>
                <w:sz w:val="20"/>
              </w:rPr>
              <w:t xml:space="preserve">1,986</w:t>
            </w:r>
          </w:p>
          <w:p>
            <w:pPr>
              <w:pStyle w:val="0"/>
              <w:jc w:val="center"/>
            </w:pPr>
            <w:r>
              <w:rPr>
                <w:sz w:val="20"/>
              </w:rPr>
              <w:t xml:space="preserve">2025 год</w:t>
            </w:r>
          </w:p>
        </w:tc>
        <w:tc>
          <w:tcPr>
            <w:tcW w:w="1303" w:type="dxa"/>
            <w:vAlign w:val="center"/>
          </w:tcPr>
          <w:p>
            <w:pPr>
              <w:pStyle w:val="0"/>
              <w:jc w:val="center"/>
            </w:pPr>
            <w:r>
              <w:rPr>
                <w:sz w:val="20"/>
              </w:rPr>
              <w:t xml:space="preserve">1,987</w:t>
            </w:r>
          </w:p>
          <w:p>
            <w:pPr>
              <w:pStyle w:val="0"/>
              <w:jc w:val="center"/>
            </w:pPr>
            <w:r>
              <w:rPr>
                <w:sz w:val="20"/>
              </w:rPr>
              <w:t xml:space="preserve">2030 год</w:t>
            </w:r>
          </w:p>
        </w:tc>
      </w:tr>
      <w:tr>
        <w:tc>
          <w:tcPr>
            <w:tcW w:w="4422" w:type="dxa"/>
            <w:vAlign w:val="center"/>
          </w:tcPr>
          <w:p>
            <w:pPr>
              <w:pStyle w:val="0"/>
            </w:pPr>
            <w:r>
              <w:rPr>
                <w:sz w:val="20"/>
              </w:rPr>
              <w:t xml:space="preserve">Коэффициент естественного прироста населения на 1000 человек населения</w:t>
            </w:r>
          </w:p>
        </w:tc>
        <w:tc>
          <w:tcPr>
            <w:tcW w:w="1077" w:type="dxa"/>
            <w:vAlign w:val="center"/>
          </w:tcPr>
          <w:p>
            <w:pPr>
              <w:pStyle w:val="0"/>
              <w:jc w:val="center"/>
            </w:pPr>
            <w:r>
              <w:rPr>
                <w:sz w:val="20"/>
              </w:rPr>
              <w:t xml:space="preserve">5,2</w:t>
            </w:r>
          </w:p>
        </w:tc>
        <w:tc>
          <w:tcPr>
            <w:tcW w:w="1077" w:type="dxa"/>
            <w:vAlign w:val="center"/>
          </w:tcPr>
          <w:p>
            <w:pPr>
              <w:pStyle w:val="0"/>
              <w:jc w:val="center"/>
            </w:pPr>
            <w:r>
              <w:rPr>
                <w:sz w:val="20"/>
              </w:rPr>
              <w:t xml:space="preserve">4,5</w:t>
            </w:r>
          </w:p>
        </w:tc>
        <w:tc>
          <w:tcPr>
            <w:tcW w:w="1417" w:type="dxa"/>
            <w:vAlign w:val="center"/>
          </w:tcPr>
          <w:p>
            <w:pPr>
              <w:pStyle w:val="0"/>
              <w:jc w:val="center"/>
            </w:pPr>
            <w:r>
              <w:rPr>
                <w:sz w:val="20"/>
              </w:rPr>
              <w:t xml:space="preserve">3,5</w:t>
            </w:r>
          </w:p>
        </w:tc>
        <w:tc>
          <w:tcPr>
            <w:tcW w:w="1077" w:type="dxa"/>
            <w:vAlign w:val="center"/>
          </w:tcPr>
          <w:p>
            <w:pPr>
              <w:pStyle w:val="0"/>
              <w:jc w:val="center"/>
            </w:pPr>
            <w:r>
              <w:rPr>
                <w:sz w:val="20"/>
              </w:rPr>
              <w:t xml:space="preserve">2,8</w:t>
            </w:r>
          </w:p>
        </w:tc>
        <w:tc>
          <w:tcPr>
            <w:tcW w:w="1303" w:type="dxa"/>
            <w:vAlign w:val="center"/>
          </w:tcPr>
          <w:p>
            <w:pPr>
              <w:pStyle w:val="0"/>
              <w:jc w:val="center"/>
            </w:pPr>
            <w:r>
              <w:rPr>
                <w:sz w:val="20"/>
              </w:rPr>
              <w:t xml:space="preserve">3,6</w:t>
            </w:r>
          </w:p>
          <w:p>
            <w:pPr>
              <w:pStyle w:val="0"/>
              <w:jc w:val="center"/>
            </w:pPr>
            <w:r>
              <w:rPr>
                <w:sz w:val="20"/>
              </w:rPr>
              <w:t xml:space="preserve">2022 год</w:t>
            </w:r>
          </w:p>
        </w:tc>
        <w:tc>
          <w:tcPr>
            <w:tcW w:w="1303" w:type="dxa"/>
            <w:vAlign w:val="center"/>
          </w:tcPr>
          <w:p>
            <w:pPr>
              <w:pStyle w:val="0"/>
              <w:jc w:val="center"/>
            </w:pPr>
            <w:r>
              <w:rPr>
                <w:sz w:val="20"/>
              </w:rPr>
              <w:t xml:space="preserve">3,5</w:t>
            </w:r>
          </w:p>
          <w:p>
            <w:pPr>
              <w:pStyle w:val="0"/>
              <w:jc w:val="center"/>
            </w:pPr>
            <w:r>
              <w:rPr>
                <w:sz w:val="20"/>
              </w:rPr>
              <w:t xml:space="preserve">2025 год</w:t>
            </w:r>
          </w:p>
        </w:tc>
        <w:tc>
          <w:tcPr>
            <w:tcW w:w="1303" w:type="dxa"/>
            <w:vAlign w:val="center"/>
          </w:tcPr>
          <w:p>
            <w:pPr>
              <w:pStyle w:val="0"/>
              <w:jc w:val="center"/>
            </w:pPr>
            <w:r>
              <w:rPr>
                <w:sz w:val="20"/>
              </w:rPr>
              <w:t xml:space="preserve">2,9</w:t>
            </w:r>
          </w:p>
          <w:p>
            <w:pPr>
              <w:pStyle w:val="0"/>
              <w:jc w:val="center"/>
            </w:pPr>
            <w:r>
              <w:rPr>
                <w:sz w:val="20"/>
              </w:rPr>
              <w:t xml:space="preserve">2030 год</w:t>
            </w:r>
          </w:p>
        </w:tc>
      </w:tr>
      <w:tr>
        <w:tc>
          <w:tcPr>
            <w:tcW w:w="4422" w:type="dxa"/>
            <w:vAlign w:val="center"/>
          </w:tcPr>
          <w:p>
            <w:pPr>
              <w:pStyle w:val="0"/>
            </w:pPr>
            <w:r>
              <w:rPr>
                <w:sz w:val="20"/>
              </w:rPr>
              <w:t xml:space="preserve">Доля населения, систематически занимающегося физической культурой и спортом в общей численности населения в возрасте от 3 до 79 лет, %</w:t>
            </w:r>
          </w:p>
        </w:tc>
        <w:tc>
          <w:tcPr>
            <w:tcW w:w="1077" w:type="dxa"/>
            <w:vAlign w:val="center"/>
          </w:tcPr>
          <w:p>
            <w:pPr>
              <w:pStyle w:val="0"/>
              <w:jc w:val="center"/>
            </w:pPr>
            <w:r>
              <w:rPr>
                <w:sz w:val="20"/>
              </w:rPr>
              <w:t xml:space="preserve">36,6</w:t>
            </w:r>
          </w:p>
        </w:tc>
        <w:tc>
          <w:tcPr>
            <w:tcW w:w="1077" w:type="dxa"/>
            <w:vAlign w:val="center"/>
          </w:tcPr>
          <w:p>
            <w:pPr>
              <w:pStyle w:val="0"/>
              <w:jc w:val="center"/>
            </w:pPr>
            <w:r>
              <w:rPr>
                <w:sz w:val="20"/>
              </w:rPr>
              <w:t xml:space="preserve">38,1</w:t>
            </w:r>
          </w:p>
        </w:tc>
        <w:tc>
          <w:tcPr>
            <w:tcW w:w="1417" w:type="dxa"/>
            <w:vAlign w:val="center"/>
          </w:tcPr>
          <w:p>
            <w:pPr>
              <w:pStyle w:val="0"/>
              <w:jc w:val="center"/>
            </w:pPr>
            <w:r>
              <w:rPr>
                <w:sz w:val="20"/>
              </w:rPr>
              <w:t xml:space="preserve">40,9</w:t>
            </w:r>
          </w:p>
        </w:tc>
        <w:tc>
          <w:tcPr>
            <w:tcW w:w="1077" w:type="dxa"/>
            <w:vAlign w:val="center"/>
          </w:tcPr>
          <w:p>
            <w:pPr>
              <w:pStyle w:val="0"/>
              <w:jc w:val="center"/>
            </w:pPr>
            <w:r>
              <w:rPr>
                <w:sz w:val="20"/>
              </w:rPr>
              <w:t xml:space="preserve">43,5</w:t>
            </w:r>
          </w:p>
        </w:tc>
        <w:tc>
          <w:tcPr>
            <w:tcW w:w="1303" w:type="dxa"/>
            <w:vAlign w:val="center"/>
          </w:tcPr>
          <w:p>
            <w:pPr>
              <w:pStyle w:val="0"/>
              <w:jc w:val="center"/>
            </w:pPr>
            <w:r>
              <w:rPr>
                <w:sz w:val="20"/>
              </w:rPr>
              <w:t xml:space="preserve">57,3</w:t>
            </w:r>
          </w:p>
          <w:p>
            <w:pPr>
              <w:pStyle w:val="0"/>
              <w:jc w:val="center"/>
            </w:pPr>
            <w:r>
              <w:rPr>
                <w:sz w:val="20"/>
              </w:rPr>
              <w:t xml:space="preserve">2022 год</w:t>
            </w:r>
          </w:p>
        </w:tc>
        <w:tc>
          <w:tcPr>
            <w:tcW w:w="1303" w:type="dxa"/>
            <w:vAlign w:val="center"/>
          </w:tcPr>
          <w:p>
            <w:pPr>
              <w:pStyle w:val="0"/>
              <w:jc w:val="center"/>
            </w:pPr>
            <w:r>
              <w:rPr>
                <w:sz w:val="20"/>
              </w:rPr>
              <w:t xml:space="preserve">59,1</w:t>
            </w:r>
          </w:p>
          <w:p>
            <w:pPr>
              <w:pStyle w:val="0"/>
              <w:jc w:val="center"/>
            </w:pPr>
            <w:r>
              <w:rPr>
                <w:sz w:val="20"/>
              </w:rPr>
              <w:t xml:space="preserve">2025 год</w:t>
            </w:r>
          </w:p>
        </w:tc>
        <w:tc>
          <w:tcPr>
            <w:tcW w:w="1303" w:type="dxa"/>
            <w:vAlign w:val="center"/>
          </w:tcPr>
          <w:p>
            <w:pPr>
              <w:pStyle w:val="0"/>
              <w:jc w:val="center"/>
            </w:pPr>
            <w:r>
              <w:rPr>
                <w:sz w:val="20"/>
              </w:rPr>
              <w:t xml:space="preserve">59,1</w:t>
            </w:r>
          </w:p>
          <w:p>
            <w:pPr>
              <w:pStyle w:val="0"/>
              <w:jc w:val="center"/>
            </w:pPr>
            <w:r>
              <w:rPr>
                <w:sz w:val="20"/>
              </w:rPr>
              <w:t xml:space="preserve">2030 год</w:t>
            </w:r>
          </w:p>
        </w:tc>
      </w:tr>
      <w:tr>
        <w:tc>
          <w:tcPr>
            <w:tcW w:w="4422" w:type="dxa"/>
            <w:vAlign w:val="center"/>
          </w:tcPr>
          <w:p>
            <w:pPr>
              <w:pStyle w:val="0"/>
            </w:pPr>
            <w:r>
              <w:rPr>
                <w:sz w:val="20"/>
              </w:rPr>
              <w:t xml:space="preserve">Охват детей и подростков организованными формами отдыха, оздоровления и занятости, %</w:t>
            </w:r>
          </w:p>
        </w:tc>
        <w:tc>
          <w:tcPr>
            <w:tcW w:w="1077" w:type="dxa"/>
            <w:vAlign w:val="center"/>
          </w:tcPr>
          <w:p>
            <w:pPr>
              <w:pStyle w:val="0"/>
              <w:jc w:val="center"/>
            </w:pPr>
            <w:r>
              <w:rPr>
                <w:sz w:val="20"/>
              </w:rPr>
              <w:t xml:space="preserve">96,0</w:t>
            </w:r>
          </w:p>
        </w:tc>
        <w:tc>
          <w:tcPr>
            <w:tcW w:w="1077" w:type="dxa"/>
            <w:vAlign w:val="center"/>
          </w:tcPr>
          <w:p>
            <w:pPr>
              <w:pStyle w:val="0"/>
              <w:jc w:val="center"/>
            </w:pPr>
            <w:r>
              <w:rPr>
                <w:sz w:val="20"/>
              </w:rPr>
              <w:t xml:space="preserve">96,0</w:t>
            </w:r>
          </w:p>
        </w:tc>
        <w:tc>
          <w:tcPr>
            <w:tcW w:w="1417" w:type="dxa"/>
            <w:vAlign w:val="center"/>
          </w:tcPr>
          <w:p>
            <w:pPr>
              <w:pStyle w:val="0"/>
              <w:jc w:val="center"/>
            </w:pPr>
            <w:r>
              <w:rPr>
                <w:sz w:val="20"/>
              </w:rPr>
              <w:t xml:space="preserve">96,0</w:t>
            </w:r>
          </w:p>
        </w:tc>
        <w:tc>
          <w:tcPr>
            <w:tcW w:w="1077" w:type="dxa"/>
            <w:vAlign w:val="center"/>
          </w:tcPr>
          <w:p>
            <w:pPr>
              <w:pStyle w:val="0"/>
              <w:jc w:val="center"/>
            </w:pPr>
            <w:r>
              <w:rPr>
                <w:sz w:val="20"/>
              </w:rPr>
              <w:t xml:space="preserve">96,0</w:t>
            </w:r>
          </w:p>
        </w:tc>
        <w:tc>
          <w:tcPr>
            <w:tcW w:w="1303" w:type="dxa"/>
            <w:vAlign w:val="center"/>
          </w:tcPr>
          <w:p>
            <w:pPr>
              <w:pStyle w:val="0"/>
              <w:jc w:val="center"/>
            </w:pPr>
            <w:r>
              <w:rPr>
                <w:sz w:val="20"/>
              </w:rPr>
              <w:t xml:space="preserve">96,0</w:t>
            </w:r>
          </w:p>
          <w:p>
            <w:pPr>
              <w:pStyle w:val="0"/>
              <w:jc w:val="center"/>
            </w:pPr>
            <w:r>
              <w:rPr>
                <w:sz w:val="20"/>
              </w:rPr>
              <w:t xml:space="preserve">2022 год</w:t>
            </w:r>
          </w:p>
        </w:tc>
        <w:tc>
          <w:tcPr>
            <w:tcW w:w="1303" w:type="dxa"/>
            <w:vAlign w:val="center"/>
          </w:tcPr>
          <w:p>
            <w:pPr>
              <w:pStyle w:val="0"/>
              <w:jc w:val="center"/>
            </w:pPr>
            <w:r>
              <w:rPr>
                <w:sz w:val="20"/>
              </w:rPr>
              <w:t xml:space="preserve">96,0</w:t>
            </w:r>
          </w:p>
          <w:p>
            <w:pPr>
              <w:pStyle w:val="0"/>
              <w:jc w:val="center"/>
            </w:pPr>
            <w:r>
              <w:rPr>
                <w:sz w:val="20"/>
              </w:rPr>
              <w:t xml:space="preserve">2025 год</w:t>
            </w:r>
          </w:p>
        </w:tc>
        <w:tc>
          <w:tcPr>
            <w:tcW w:w="1303" w:type="dxa"/>
            <w:vAlign w:val="center"/>
          </w:tcPr>
          <w:p>
            <w:pPr>
              <w:pStyle w:val="0"/>
              <w:jc w:val="center"/>
            </w:pPr>
            <w:r>
              <w:rPr>
                <w:sz w:val="20"/>
              </w:rPr>
              <w:t xml:space="preserve">96,0</w:t>
            </w:r>
          </w:p>
          <w:p>
            <w:pPr>
              <w:pStyle w:val="0"/>
              <w:jc w:val="center"/>
            </w:pPr>
            <w:r>
              <w:rPr>
                <w:sz w:val="20"/>
              </w:rPr>
              <w:t xml:space="preserve">2030 год</w:t>
            </w:r>
          </w:p>
        </w:tc>
      </w:tr>
      <w:tr>
        <w:tc>
          <w:tcPr>
            <w:tcW w:w="4422" w:type="dxa"/>
            <w:vAlign w:val="center"/>
          </w:tcPr>
          <w:p>
            <w:pPr>
              <w:pStyle w:val="0"/>
            </w:pPr>
            <w:r>
              <w:rPr>
                <w:sz w:val="20"/>
              </w:rPr>
              <w:t xml:space="preserve">Доступность дошкольного образования для детей в возрасте от 2 месяцев до 3 лет, %</w:t>
            </w:r>
          </w:p>
        </w:tc>
        <w:tc>
          <w:tcPr>
            <w:tcW w:w="1077" w:type="dxa"/>
            <w:vAlign w:val="center"/>
          </w:tcPr>
          <w:p>
            <w:pPr>
              <w:pStyle w:val="0"/>
              <w:jc w:val="center"/>
            </w:pPr>
            <w:r>
              <w:rPr>
                <w:sz w:val="20"/>
              </w:rPr>
              <w:t xml:space="preserve">95,0</w:t>
            </w:r>
          </w:p>
        </w:tc>
        <w:tc>
          <w:tcPr>
            <w:tcW w:w="1077" w:type="dxa"/>
            <w:vAlign w:val="center"/>
          </w:tcPr>
          <w:p>
            <w:pPr>
              <w:pStyle w:val="0"/>
              <w:jc w:val="center"/>
            </w:pPr>
            <w:r>
              <w:rPr>
                <w:sz w:val="20"/>
              </w:rPr>
              <w:t xml:space="preserve">95,0</w:t>
            </w:r>
          </w:p>
        </w:tc>
        <w:tc>
          <w:tcPr>
            <w:tcW w:w="1417" w:type="dxa"/>
            <w:vAlign w:val="center"/>
          </w:tcPr>
          <w:p>
            <w:pPr>
              <w:pStyle w:val="0"/>
              <w:jc w:val="center"/>
            </w:pPr>
            <w:r>
              <w:rPr>
                <w:sz w:val="20"/>
              </w:rPr>
              <w:t xml:space="preserve">80,0</w:t>
            </w:r>
          </w:p>
        </w:tc>
        <w:tc>
          <w:tcPr>
            <w:tcW w:w="1077" w:type="dxa"/>
            <w:vAlign w:val="center"/>
          </w:tcPr>
          <w:p>
            <w:pPr>
              <w:pStyle w:val="0"/>
              <w:jc w:val="center"/>
            </w:pPr>
            <w:r>
              <w:rPr>
                <w:sz w:val="20"/>
              </w:rPr>
              <w:t xml:space="preserve">86</w:t>
            </w:r>
          </w:p>
        </w:tc>
        <w:tc>
          <w:tcPr>
            <w:tcW w:w="1303" w:type="dxa"/>
            <w:vAlign w:val="center"/>
          </w:tcPr>
          <w:p>
            <w:pPr>
              <w:pStyle w:val="0"/>
              <w:jc w:val="center"/>
            </w:pPr>
            <w:r>
              <w:rPr>
                <w:sz w:val="20"/>
              </w:rPr>
              <w:t xml:space="preserve">100</w:t>
            </w:r>
          </w:p>
          <w:p>
            <w:pPr>
              <w:pStyle w:val="0"/>
              <w:jc w:val="center"/>
            </w:pPr>
            <w:r>
              <w:rPr>
                <w:sz w:val="20"/>
              </w:rPr>
              <w:t xml:space="preserve">2022 год</w:t>
            </w:r>
          </w:p>
        </w:tc>
        <w:tc>
          <w:tcPr>
            <w:tcW w:w="1303" w:type="dxa"/>
            <w:vAlign w:val="center"/>
          </w:tcPr>
          <w:p>
            <w:pPr>
              <w:pStyle w:val="0"/>
              <w:jc w:val="center"/>
            </w:pPr>
            <w:r>
              <w:rPr>
                <w:sz w:val="20"/>
              </w:rPr>
              <w:t xml:space="preserve">100</w:t>
            </w:r>
          </w:p>
          <w:p>
            <w:pPr>
              <w:pStyle w:val="0"/>
              <w:jc w:val="center"/>
            </w:pPr>
            <w:r>
              <w:rPr>
                <w:sz w:val="20"/>
              </w:rPr>
              <w:t xml:space="preserve">2025 год</w:t>
            </w:r>
          </w:p>
        </w:tc>
        <w:tc>
          <w:tcPr>
            <w:tcW w:w="1303" w:type="dxa"/>
            <w:vAlign w:val="center"/>
          </w:tcPr>
          <w:p>
            <w:pPr>
              <w:pStyle w:val="0"/>
              <w:jc w:val="center"/>
            </w:pPr>
            <w:r>
              <w:rPr>
                <w:sz w:val="20"/>
              </w:rPr>
              <w:t xml:space="preserve">100</w:t>
            </w:r>
          </w:p>
          <w:p>
            <w:pPr>
              <w:pStyle w:val="0"/>
              <w:jc w:val="center"/>
            </w:pPr>
            <w:r>
              <w:rPr>
                <w:sz w:val="20"/>
              </w:rPr>
              <w:t xml:space="preserve">2030 год</w:t>
            </w:r>
          </w:p>
        </w:tc>
      </w:tr>
      <w:tr>
        <w:tc>
          <w:tcPr>
            <w:tcW w:w="4422" w:type="dxa"/>
            <w:vAlign w:val="center"/>
          </w:tcPr>
          <w:p>
            <w:pPr>
              <w:pStyle w:val="0"/>
            </w:pPr>
            <w:r>
              <w:rPr>
                <w:sz w:val="20"/>
              </w:rPr>
              <w:t xml:space="preserve">Удельный вес числа зданий, имеющих все виды благоустройства,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w:t>
            </w:r>
          </w:p>
        </w:tc>
        <w:tc>
          <w:tcPr>
            <w:tcW w:w="1077" w:type="dxa"/>
            <w:vAlign w:val="center"/>
          </w:tcPr>
          <w:p>
            <w:pPr>
              <w:pStyle w:val="0"/>
              <w:jc w:val="center"/>
            </w:pPr>
            <w:r>
              <w:rPr>
                <w:sz w:val="20"/>
              </w:rPr>
              <w:t xml:space="preserve">94</w:t>
            </w:r>
          </w:p>
        </w:tc>
        <w:tc>
          <w:tcPr>
            <w:tcW w:w="1077" w:type="dxa"/>
            <w:vAlign w:val="center"/>
          </w:tcPr>
          <w:p>
            <w:pPr>
              <w:pStyle w:val="0"/>
              <w:jc w:val="center"/>
            </w:pPr>
            <w:r>
              <w:rPr>
                <w:sz w:val="20"/>
              </w:rPr>
              <w:t xml:space="preserve">95</w:t>
            </w:r>
          </w:p>
        </w:tc>
        <w:tc>
          <w:tcPr>
            <w:tcW w:w="1417" w:type="dxa"/>
            <w:vAlign w:val="center"/>
          </w:tcPr>
          <w:p>
            <w:pPr>
              <w:pStyle w:val="0"/>
              <w:jc w:val="center"/>
            </w:pPr>
            <w:r>
              <w:rPr>
                <w:sz w:val="20"/>
              </w:rPr>
              <w:t xml:space="preserve">96</w:t>
            </w:r>
          </w:p>
        </w:tc>
        <w:tc>
          <w:tcPr>
            <w:tcW w:w="1077" w:type="dxa"/>
            <w:vAlign w:val="center"/>
          </w:tcPr>
          <w:p>
            <w:pPr>
              <w:pStyle w:val="0"/>
              <w:jc w:val="center"/>
            </w:pPr>
            <w:r>
              <w:rPr>
                <w:sz w:val="20"/>
              </w:rPr>
              <w:t xml:space="preserve">98,8</w:t>
            </w:r>
          </w:p>
        </w:tc>
        <w:tc>
          <w:tcPr>
            <w:tcW w:w="1303" w:type="dxa"/>
            <w:vAlign w:val="center"/>
          </w:tcPr>
          <w:p>
            <w:pPr>
              <w:pStyle w:val="0"/>
              <w:jc w:val="center"/>
            </w:pPr>
            <w:r>
              <w:rPr>
                <w:sz w:val="20"/>
              </w:rPr>
              <w:t xml:space="preserve">100</w:t>
            </w:r>
          </w:p>
          <w:p>
            <w:pPr>
              <w:pStyle w:val="0"/>
              <w:jc w:val="center"/>
            </w:pPr>
            <w:r>
              <w:rPr>
                <w:sz w:val="20"/>
              </w:rPr>
              <w:t xml:space="preserve">2022 год</w:t>
            </w:r>
          </w:p>
        </w:tc>
        <w:tc>
          <w:tcPr>
            <w:tcW w:w="1303" w:type="dxa"/>
            <w:vAlign w:val="center"/>
          </w:tcPr>
          <w:p>
            <w:pPr>
              <w:pStyle w:val="0"/>
              <w:jc w:val="center"/>
            </w:pPr>
            <w:r>
              <w:rPr>
                <w:sz w:val="20"/>
              </w:rPr>
              <w:t xml:space="preserve">100</w:t>
            </w:r>
          </w:p>
          <w:p>
            <w:pPr>
              <w:pStyle w:val="0"/>
              <w:jc w:val="center"/>
            </w:pPr>
            <w:r>
              <w:rPr>
                <w:sz w:val="20"/>
              </w:rPr>
              <w:t xml:space="preserve">2025 год</w:t>
            </w:r>
          </w:p>
        </w:tc>
        <w:tc>
          <w:tcPr>
            <w:tcW w:w="1303" w:type="dxa"/>
            <w:vAlign w:val="center"/>
          </w:tcPr>
          <w:p>
            <w:pPr>
              <w:pStyle w:val="0"/>
              <w:jc w:val="center"/>
            </w:pPr>
            <w:r>
              <w:rPr>
                <w:sz w:val="20"/>
              </w:rPr>
              <w:t xml:space="preserve">100</w:t>
            </w:r>
          </w:p>
          <w:p>
            <w:pPr>
              <w:pStyle w:val="0"/>
              <w:jc w:val="center"/>
            </w:pPr>
            <w:r>
              <w:rPr>
                <w:sz w:val="20"/>
              </w:rPr>
              <w:t xml:space="preserve">2030 год</w:t>
            </w:r>
          </w:p>
        </w:tc>
      </w:tr>
      <w:tr>
        <w:tc>
          <w:tcPr>
            <w:tcW w:w="4422" w:type="dxa"/>
            <w:vAlign w:val="center"/>
          </w:tcPr>
          <w:p>
            <w:pPr>
              <w:pStyle w:val="0"/>
            </w:pPr>
            <w:r>
              <w:rPr>
                <w:sz w:val="20"/>
              </w:rPr>
              <w:t xml:space="preserve">Доля профессиональных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требующим среднего профессионального образования, в общем количестве профессиональных образовательных организаций, %</w:t>
            </w:r>
          </w:p>
        </w:tc>
        <w:tc>
          <w:tcPr>
            <w:tcW w:w="1077" w:type="dxa"/>
            <w:vAlign w:val="center"/>
          </w:tcPr>
          <w:p>
            <w:pPr>
              <w:pStyle w:val="0"/>
              <w:jc w:val="center"/>
            </w:pPr>
            <w:r>
              <w:rPr>
                <w:sz w:val="20"/>
              </w:rPr>
              <w:t xml:space="preserve">25,0</w:t>
            </w:r>
          </w:p>
        </w:tc>
        <w:tc>
          <w:tcPr>
            <w:tcW w:w="1077" w:type="dxa"/>
            <w:vAlign w:val="center"/>
          </w:tcPr>
          <w:p>
            <w:pPr>
              <w:pStyle w:val="0"/>
              <w:jc w:val="center"/>
            </w:pPr>
            <w:r>
              <w:rPr>
                <w:sz w:val="20"/>
              </w:rPr>
              <w:t xml:space="preserve">25,0</w:t>
            </w:r>
          </w:p>
        </w:tc>
        <w:tc>
          <w:tcPr>
            <w:tcW w:w="1417" w:type="dxa"/>
            <w:vAlign w:val="center"/>
          </w:tcPr>
          <w:p>
            <w:pPr>
              <w:pStyle w:val="0"/>
              <w:jc w:val="center"/>
            </w:pPr>
            <w:r>
              <w:rPr>
                <w:sz w:val="20"/>
              </w:rPr>
              <w:t xml:space="preserve">80,0</w:t>
            </w:r>
          </w:p>
        </w:tc>
        <w:tc>
          <w:tcPr>
            <w:tcW w:w="1077" w:type="dxa"/>
            <w:vAlign w:val="center"/>
          </w:tcPr>
          <w:p>
            <w:pPr>
              <w:pStyle w:val="0"/>
              <w:jc w:val="center"/>
            </w:pPr>
            <w:r>
              <w:rPr>
                <w:sz w:val="20"/>
              </w:rPr>
              <w:t xml:space="preserve">80,0</w:t>
            </w:r>
          </w:p>
        </w:tc>
        <w:tc>
          <w:tcPr>
            <w:tcW w:w="1303" w:type="dxa"/>
            <w:vAlign w:val="center"/>
          </w:tcPr>
          <w:p>
            <w:pPr>
              <w:pStyle w:val="0"/>
              <w:jc w:val="center"/>
            </w:pPr>
            <w:r>
              <w:rPr>
                <w:sz w:val="20"/>
              </w:rPr>
              <w:t xml:space="preserve">93</w:t>
            </w:r>
          </w:p>
          <w:p>
            <w:pPr>
              <w:pStyle w:val="0"/>
              <w:jc w:val="center"/>
            </w:pPr>
            <w:r>
              <w:rPr>
                <w:sz w:val="20"/>
              </w:rPr>
              <w:t xml:space="preserve">2022 год</w:t>
            </w:r>
          </w:p>
        </w:tc>
        <w:tc>
          <w:tcPr>
            <w:tcW w:w="1303" w:type="dxa"/>
            <w:vAlign w:val="center"/>
          </w:tcPr>
          <w:p>
            <w:pPr>
              <w:pStyle w:val="0"/>
              <w:jc w:val="center"/>
            </w:pPr>
            <w:r>
              <w:rPr>
                <w:sz w:val="20"/>
              </w:rPr>
              <w:t xml:space="preserve">100</w:t>
            </w:r>
          </w:p>
          <w:p>
            <w:pPr>
              <w:pStyle w:val="0"/>
              <w:jc w:val="center"/>
            </w:pPr>
            <w:r>
              <w:rPr>
                <w:sz w:val="20"/>
              </w:rPr>
              <w:t xml:space="preserve">2025 год</w:t>
            </w:r>
          </w:p>
        </w:tc>
        <w:tc>
          <w:tcPr>
            <w:tcW w:w="1303" w:type="dxa"/>
            <w:vAlign w:val="center"/>
          </w:tcPr>
          <w:p>
            <w:pPr>
              <w:pStyle w:val="0"/>
              <w:jc w:val="center"/>
            </w:pPr>
            <w:r>
              <w:rPr>
                <w:sz w:val="20"/>
              </w:rPr>
              <w:t xml:space="preserve">100</w:t>
            </w:r>
          </w:p>
          <w:p>
            <w:pPr>
              <w:pStyle w:val="0"/>
              <w:jc w:val="center"/>
            </w:pPr>
            <w:r>
              <w:rPr>
                <w:sz w:val="20"/>
              </w:rPr>
              <w:t xml:space="preserve">2030 год</w:t>
            </w:r>
          </w:p>
        </w:tc>
      </w:tr>
      <w:tr>
        <w:tc>
          <w:tcPr>
            <w:tcW w:w="4422" w:type="dxa"/>
            <w:vAlign w:val="center"/>
          </w:tcPr>
          <w:p>
            <w:pPr>
              <w:pStyle w:val="0"/>
            </w:pPr>
            <w:r>
              <w:rPr>
                <w:sz w:val="20"/>
              </w:rPr>
              <w:t xml:space="preserve">Доля объектов культурного наследия, включенных в единый государственный реестр объектов культурного наследия, в отношении которых утверждены границы их территории и предметы охраны, в общем количестве таких объектов, %</w:t>
            </w:r>
          </w:p>
        </w:tc>
        <w:tc>
          <w:tcPr>
            <w:tcW w:w="1077" w:type="dxa"/>
            <w:vAlign w:val="center"/>
          </w:tcPr>
          <w:p>
            <w:pPr>
              <w:pStyle w:val="0"/>
              <w:jc w:val="center"/>
            </w:pPr>
            <w:r>
              <w:rPr>
                <w:sz w:val="20"/>
              </w:rPr>
              <w:t xml:space="preserve">-</w:t>
            </w:r>
          </w:p>
        </w:tc>
        <w:tc>
          <w:tcPr>
            <w:tcW w:w="1077" w:type="dxa"/>
            <w:vAlign w:val="center"/>
          </w:tcPr>
          <w:p>
            <w:pPr>
              <w:pStyle w:val="0"/>
              <w:jc w:val="center"/>
            </w:pPr>
            <w:r>
              <w:rPr>
                <w:sz w:val="20"/>
              </w:rPr>
              <w:t xml:space="preserve">-</w:t>
            </w:r>
          </w:p>
        </w:tc>
        <w:tc>
          <w:tcPr>
            <w:tcW w:w="1417" w:type="dxa"/>
            <w:vAlign w:val="center"/>
          </w:tcPr>
          <w:p>
            <w:pPr>
              <w:pStyle w:val="0"/>
              <w:jc w:val="center"/>
            </w:pPr>
            <w:r>
              <w:rPr>
                <w:sz w:val="20"/>
              </w:rPr>
              <w:t xml:space="preserve">-</w:t>
            </w:r>
          </w:p>
        </w:tc>
        <w:tc>
          <w:tcPr>
            <w:tcW w:w="1077" w:type="dxa"/>
            <w:vAlign w:val="center"/>
          </w:tcPr>
          <w:p>
            <w:pPr>
              <w:pStyle w:val="0"/>
              <w:jc w:val="center"/>
            </w:pPr>
            <w:r>
              <w:rPr>
                <w:sz w:val="20"/>
              </w:rPr>
              <w:t xml:space="preserve">55,8</w:t>
            </w:r>
          </w:p>
        </w:tc>
        <w:tc>
          <w:tcPr>
            <w:tcW w:w="1303" w:type="dxa"/>
            <w:vAlign w:val="center"/>
          </w:tcPr>
          <w:p>
            <w:pPr>
              <w:pStyle w:val="0"/>
              <w:jc w:val="center"/>
            </w:pPr>
            <w:r>
              <w:rPr>
                <w:sz w:val="20"/>
              </w:rPr>
              <w:t xml:space="preserve">84,1</w:t>
            </w:r>
          </w:p>
          <w:p>
            <w:pPr>
              <w:pStyle w:val="0"/>
              <w:jc w:val="center"/>
            </w:pPr>
            <w:r>
              <w:rPr>
                <w:sz w:val="20"/>
              </w:rPr>
              <w:t xml:space="preserve">2022 год</w:t>
            </w:r>
          </w:p>
        </w:tc>
        <w:tc>
          <w:tcPr>
            <w:tcW w:w="1303" w:type="dxa"/>
            <w:vAlign w:val="center"/>
          </w:tcPr>
          <w:p>
            <w:pPr>
              <w:pStyle w:val="0"/>
              <w:jc w:val="center"/>
            </w:pPr>
            <w:r>
              <w:rPr>
                <w:sz w:val="20"/>
              </w:rPr>
              <w:t xml:space="preserve">100</w:t>
            </w:r>
          </w:p>
          <w:p>
            <w:pPr>
              <w:pStyle w:val="0"/>
              <w:jc w:val="center"/>
            </w:pPr>
            <w:r>
              <w:rPr>
                <w:sz w:val="20"/>
              </w:rPr>
              <w:t xml:space="preserve">2025 год</w:t>
            </w:r>
          </w:p>
        </w:tc>
        <w:tc>
          <w:tcPr>
            <w:tcW w:w="1303" w:type="dxa"/>
            <w:vAlign w:val="center"/>
          </w:tcPr>
          <w:p>
            <w:pPr>
              <w:pStyle w:val="0"/>
              <w:jc w:val="center"/>
            </w:pPr>
            <w:r>
              <w:rPr>
                <w:sz w:val="20"/>
              </w:rPr>
              <w:t xml:space="preserve">100</w:t>
            </w:r>
          </w:p>
          <w:p>
            <w:pPr>
              <w:pStyle w:val="0"/>
              <w:jc w:val="center"/>
            </w:pPr>
            <w:r>
              <w:rPr>
                <w:sz w:val="20"/>
              </w:rPr>
              <w:t xml:space="preserve">2030 год</w:t>
            </w:r>
          </w:p>
        </w:tc>
      </w:tr>
      <w:tr>
        <w:tc>
          <w:tcPr>
            <w:tcW w:w="4422" w:type="dxa"/>
            <w:vAlign w:val="center"/>
          </w:tcPr>
          <w:p>
            <w:pPr>
              <w:pStyle w:val="0"/>
            </w:pPr>
            <w:r>
              <w:rPr>
                <w:sz w:val="20"/>
              </w:rPr>
              <w:t xml:space="preserve">Увеличение числа посещений организаций культуры (нарастающим итогом), % к 2017 году</w:t>
            </w:r>
          </w:p>
        </w:tc>
        <w:tc>
          <w:tcPr>
            <w:tcW w:w="1077" w:type="dxa"/>
            <w:vAlign w:val="center"/>
          </w:tcPr>
          <w:p>
            <w:pPr>
              <w:pStyle w:val="0"/>
              <w:jc w:val="center"/>
            </w:pPr>
            <w:r>
              <w:rPr>
                <w:sz w:val="20"/>
              </w:rPr>
              <w:t xml:space="preserve">-</w:t>
            </w:r>
          </w:p>
        </w:tc>
        <w:tc>
          <w:tcPr>
            <w:tcW w:w="1077" w:type="dxa"/>
            <w:vAlign w:val="center"/>
          </w:tcPr>
          <w:p>
            <w:pPr>
              <w:pStyle w:val="0"/>
              <w:jc w:val="center"/>
            </w:pPr>
            <w:r>
              <w:rPr>
                <w:sz w:val="20"/>
              </w:rPr>
              <w:t xml:space="preserve">-</w:t>
            </w:r>
          </w:p>
        </w:tc>
        <w:tc>
          <w:tcPr>
            <w:tcW w:w="1417" w:type="dxa"/>
            <w:vAlign w:val="center"/>
          </w:tcPr>
          <w:p>
            <w:pPr>
              <w:pStyle w:val="0"/>
              <w:jc w:val="center"/>
            </w:pPr>
            <w:r>
              <w:rPr>
                <w:sz w:val="20"/>
              </w:rPr>
              <w:t xml:space="preserve">100</w:t>
            </w:r>
          </w:p>
          <w:p>
            <w:pPr>
              <w:pStyle w:val="0"/>
              <w:jc w:val="center"/>
            </w:pPr>
            <w:r>
              <w:rPr>
                <w:sz w:val="20"/>
              </w:rPr>
              <w:t xml:space="preserve">(13211,07) тыс. посещений)</w:t>
            </w:r>
          </w:p>
        </w:tc>
        <w:tc>
          <w:tcPr>
            <w:tcW w:w="1077" w:type="dxa"/>
            <w:vAlign w:val="center"/>
          </w:tcPr>
          <w:p>
            <w:pPr>
              <w:pStyle w:val="0"/>
              <w:jc w:val="center"/>
            </w:pPr>
            <w:r>
              <w:rPr>
                <w:sz w:val="20"/>
              </w:rPr>
              <w:t xml:space="preserve">101,00</w:t>
            </w:r>
          </w:p>
        </w:tc>
        <w:tc>
          <w:tcPr>
            <w:tcW w:w="1303" w:type="dxa"/>
            <w:vAlign w:val="center"/>
          </w:tcPr>
          <w:p>
            <w:pPr>
              <w:pStyle w:val="0"/>
              <w:jc w:val="center"/>
            </w:pPr>
            <w:r>
              <w:rPr>
                <w:sz w:val="20"/>
              </w:rPr>
              <w:t xml:space="preserve">109,3</w:t>
            </w:r>
          </w:p>
          <w:p>
            <w:pPr>
              <w:pStyle w:val="0"/>
              <w:jc w:val="center"/>
            </w:pPr>
            <w:r>
              <w:rPr>
                <w:sz w:val="20"/>
              </w:rPr>
              <w:t xml:space="preserve">2022 год к</w:t>
            </w:r>
          </w:p>
          <w:p>
            <w:pPr>
              <w:pStyle w:val="0"/>
              <w:jc w:val="center"/>
            </w:pPr>
            <w:r>
              <w:rPr>
                <w:sz w:val="20"/>
              </w:rPr>
              <w:t xml:space="preserve">2017 году</w:t>
            </w:r>
          </w:p>
        </w:tc>
        <w:tc>
          <w:tcPr>
            <w:tcW w:w="1303" w:type="dxa"/>
            <w:vAlign w:val="center"/>
          </w:tcPr>
          <w:p>
            <w:pPr>
              <w:pStyle w:val="0"/>
              <w:jc w:val="center"/>
            </w:pPr>
            <w:r>
              <w:rPr>
                <w:sz w:val="20"/>
              </w:rPr>
              <w:t xml:space="preserve">117,0</w:t>
            </w:r>
          </w:p>
          <w:p>
            <w:pPr>
              <w:pStyle w:val="0"/>
              <w:jc w:val="center"/>
            </w:pPr>
            <w:r>
              <w:rPr>
                <w:sz w:val="20"/>
              </w:rPr>
              <w:t xml:space="preserve">2025 год к 2017 году</w:t>
            </w:r>
          </w:p>
        </w:tc>
        <w:tc>
          <w:tcPr>
            <w:tcW w:w="1303" w:type="dxa"/>
            <w:vAlign w:val="center"/>
          </w:tcPr>
          <w:p>
            <w:pPr>
              <w:pStyle w:val="0"/>
              <w:jc w:val="center"/>
            </w:pPr>
            <w:r>
              <w:rPr>
                <w:sz w:val="20"/>
              </w:rPr>
              <w:t xml:space="preserve">117,5</w:t>
            </w:r>
          </w:p>
          <w:p>
            <w:pPr>
              <w:pStyle w:val="0"/>
              <w:jc w:val="center"/>
            </w:pPr>
            <w:r>
              <w:rPr>
                <w:sz w:val="20"/>
              </w:rPr>
              <w:t xml:space="preserve">2030 год к</w:t>
            </w:r>
          </w:p>
          <w:p>
            <w:pPr>
              <w:pStyle w:val="0"/>
              <w:jc w:val="center"/>
            </w:pPr>
            <w:r>
              <w:rPr>
                <w:sz w:val="20"/>
              </w:rPr>
              <w:t xml:space="preserve">2017 году</w:t>
            </w:r>
          </w:p>
        </w:tc>
      </w:tr>
      <w:tr>
        <w:tc>
          <w:tcPr>
            <w:tcW w:w="4422" w:type="dxa"/>
            <w:vAlign w:val="center"/>
          </w:tcPr>
          <w:p>
            <w:pPr>
              <w:pStyle w:val="0"/>
            </w:pPr>
            <w:r>
              <w:rPr>
                <w:sz w:val="20"/>
              </w:rPr>
              <w:t xml:space="preserve">Удельный вес молодежи, вовлеченной в деятельность по направлениям молодежной политики, от численности молодежи в возрасте 14 - 30 лет, %</w:t>
            </w:r>
          </w:p>
        </w:tc>
        <w:tc>
          <w:tcPr>
            <w:tcW w:w="1077" w:type="dxa"/>
            <w:vAlign w:val="center"/>
          </w:tcPr>
          <w:p>
            <w:pPr>
              <w:pStyle w:val="0"/>
              <w:jc w:val="center"/>
            </w:pPr>
            <w:r>
              <w:rPr>
                <w:sz w:val="20"/>
              </w:rPr>
              <w:t xml:space="preserve">-</w:t>
            </w:r>
          </w:p>
        </w:tc>
        <w:tc>
          <w:tcPr>
            <w:tcW w:w="1077" w:type="dxa"/>
            <w:vAlign w:val="center"/>
          </w:tcPr>
          <w:p>
            <w:pPr>
              <w:pStyle w:val="0"/>
              <w:jc w:val="center"/>
            </w:pPr>
            <w:r>
              <w:rPr>
                <w:sz w:val="20"/>
              </w:rPr>
              <w:t xml:space="preserve">-</w:t>
            </w:r>
          </w:p>
        </w:tc>
        <w:tc>
          <w:tcPr>
            <w:tcW w:w="1417" w:type="dxa"/>
            <w:vAlign w:val="center"/>
          </w:tcPr>
          <w:p>
            <w:pPr>
              <w:pStyle w:val="0"/>
              <w:jc w:val="center"/>
            </w:pPr>
            <w:r>
              <w:rPr>
                <w:sz w:val="20"/>
              </w:rPr>
              <w:t xml:space="preserve">-</w:t>
            </w:r>
          </w:p>
        </w:tc>
        <w:tc>
          <w:tcPr>
            <w:tcW w:w="1077" w:type="dxa"/>
            <w:vAlign w:val="center"/>
          </w:tcPr>
          <w:p>
            <w:pPr>
              <w:pStyle w:val="0"/>
              <w:jc w:val="center"/>
            </w:pPr>
            <w:r>
              <w:rPr>
                <w:sz w:val="20"/>
              </w:rPr>
              <w:t xml:space="preserve">43,1</w:t>
            </w:r>
          </w:p>
        </w:tc>
        <w:tc>
          <w:tcPr>
            <w:tcW w:w="1303" w:type="dxa"/>
            <w:vAlign w:val="center"/>
          </w:tcPr>
          <w:p>
            <w:pPr>
              <w:pStyle w:val="0"/>
              <w:jc w:val="center"/>
            </w:pPr>
            <w:r>
              <w:rPr>
                <w:sz w:val="20"/>
              </w:rPr>
              <w:t xml:space="preserve">53,2</w:t>
            </w:r>
          </w:p>
          <w:p>
            <w:pPr>
              <w:pStyle w:val="0"/>
              <w:jc w:val="center"/>
            </w:pPr>
            <w:r>
              <w:rPr>
                <w:sz w:val="20"/>
              </w:rPr>
              <w:t xml:space="preserve">2022 год</w:t>
            </w:r>
          </w:p>
        </w:tc>
        <w:tc>
          <w:tcPr>
            <w:tcW w:w="1303" w:type="dxa"/>
            <w:vAlign w:val="center"/>
          </w:tcPr>
          <w:p>
            <w:pPr>
              <w:pStyle w:val="0"/>
              <w:jc w:val="center"/>
            </w:pPr>
            <w:r>
              <w:rPr>
                <w:sz w:val="20"/>
              </w:rPr>
              <w:t xml:space="preserve">55,0</w:t>
            </w:r>
          </w:p>
          <w:p>
            <w:pPr>
              <w:pStyle w:val="0"/>
              <w:jc w:val="center"/>
            </w:pPr>
            <w:r>
              <w:rPr>
                <w:sz w:val="20"/>
              </w:rPr>
              <w:t xml:space="preserve">2025 год</w:t>
            </w:r>
          </w:p>
        </w:tc>
        <w:tc>
          <w:tcPr>
            <w:tcW w:w="1303" w:type="dxa"/>
            <w:vAlign w:val="center"/>
          </w:tcPr>
          <w:p>
            <w:pPr>
              <w:pStyle w:val="0"/>
              <w:jc w:val="center"/>
            </w:pPr>
            <w:r>
              <w:rPr>
                <w:sz w:val="20"/>
              </w:rPr>
              <w:t xml:space="preserve">55,0</w:t>
            </w:r>
          </w:p>
          <w:p>
            <w:pPr>
              <w:pStyle w:val="0"/>
              <w:jc w:val="center"/>
            </w:pPr>
            <w:r>
              <w:rPr>
                <w:sz w:val="20"/>
              </w:rPr>
              <w:t xml:space="preserve">2030 год</w:t>
            </w:r>
          </w:p>
        </w:tc>
      </w:tr>
      <w:tr>
        <w:tc>
          <w:tcPr>
            <w:tcW w:w="4422" w:type="dxa"/>
            <w:vAlign w:val="center"/>
          </w:tcPr>
          <w:p>
            <w:pPr>
              <w:pStyle w:val="0"/>
            </w:pPr>
            <w:r>
              <w:rPr>
                <w:sz w:val="20"/>
              </w:rPr>
              <w:t xml:space="preserve">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1077" w:type="dxa"/>
            <w:vAlign w:val="center"/>
          </w:tcPr>
          <w:p>
            <w:pPr>
              <w:pStyle w:val="0"/>
              <w:jc w:val="center"/>
            </w:pPr>
            <w:r>
              <w:rPr>
                <w:sz w:val="20"/>
              </w:rPr>
              <w:t xml:space="preserve">77,6</w:t>
            </w:r>
          </w:p>
        </w:tc>
        <w:tc>
          <w:tcPr>
            <w:tcW w:w="1077" w:type="dxa"/>
            <w:vAlign w:val="center"/>
          </w:tcPr>
          <w:p>
            <w:pPr>
              <w:pStyle w:val="0"/>
              <w:jc w:val="center"/>
            </w:pPr>
            <w:r>
              <w:rPr>
                <w:sz w:val="20"/>
              </w:rPr>
              <w:t xml:space="preserve">85,7</w:t>
            </w:r>
          </w:p>
        </w:tc>
        <w:tc>
          <w:tcPr>
            <w:tcW w:w="1417" w:type="dxa"/>
            <w:vAlign w:val="center"/>
          </w:tcPr>
          <w:p>
            <w:pPr>
              <w:pStyle w:val="0"/>
              <w:jc w:val="center"/>
            </w:pPr>
            <w:r>
              <w:rPr>
                <w:sz w:val="20"/>
              </w:rPr>
              <w:t xml:space="preserve">85,7</w:t>
            </w:r>
          </w:p>
        </w:tc>
        <w:tc>
          <w:tcPr>
            <w:tcW w:w="1077" w:type="dxa"/>
            <w:vAlign w:val="center"/>
          </w:tcPr>
          <w:p>
            <w:pPr>
              <w:pStyle w:val="0"/>
              <w:jc w:val="center"/>
            </w:pPr>
            <w:r>
              <w:rPr>
                <w:sz w:val="20"/>
              </w:rPr>
              <w:t xml:space="preserve">85,8</w:t>
            </w:r>
          </w:p>
        </w:tc>
        <w:tc>
          <w:tcPr>
            <w:tcW w:w="1303" w:type="dxa"/>
            <w:vAlign w:val="center"/>
          </w:tcPr>
          <w:p>
            <w:pPr>
              <w:pStyle w:val="0"/>
              <w:jc w:val="center"/>
            </w:pPr>
            <w:r>
              <w:rPr>
                <w:sz w:val="20"/>
              </w:rPr>
              <w:t xml:space="preserve">87</w:t>
            </w:r>
          </w:p>
          <w:p>
            <w:pPr>
              <w:pStyle w:val="0"/>
              <w:jc w:val="center"/>
            </w:pPr>
            <w:r>
              <w:rPr>
                <w:sz w:val="20"/>
              </w:rPr>
              <w:t xml:space="preserve">2022 год</w:t>
            </w:r>
          </w:p>
        </w:tc>
        <w:tc>
          <w:tcPr>
            <w:tcW w:w="1303" w:type="dxa"/>
            <w:vAlign w:val="center"/>
          </w:tcPr>
          <w:p>
            <w:pPr>
              <w:pStyle w:val="0"/>
              <w:jc w:val="center"/>
            </w:pPr>
            <w:r>
              <w:rPr>
                <w:sz w:val="20"/>
              </w:rPr>
              <w:t xml:space="preserve">87</w:t>
            </w:r>
          </w:p>
          <w:p>
            <w:pPr>
              <w:pStyle w:val="0"/>
              <w:jc w:val="center"/>
            </w:pPr>
            <w:r>
              <w:rPr>
                <w:sz w:val="20"/>
              </w:rPr>
              <w:t xml:space="preserve">2025 год</w:t>
            </w:r>
          </w:p>
        </w:tc>
        <w:tc>
          <w:tcPr>
            <w:tcW w:w="1303" w:type="dxa"/>
            <w:vAlign w:val="center"/>
          </w:tcPr>
          <w:p>
            <w:pPr>
              <w:pStyle w:val="0"/>
              <w:jc w:val="center"/>
            </w:pPr>
            <w:r>
              <w:rPr>
                <w:sz w:val="20"/>
              </w:rPr>
              <w:t xml:space="preserve">87,3</w:t>
            </w:r>
          </w:p>
          <w:p>
            <w:pPr>
              <w:pStyle w:val="0"/>
              <w:jc w:val="center"/>
            </w:pPr>
            <w:r>
              <w:rPr>
                <w:sz w:val="20"/>
              </w:rPr>
              <w:t xml:space="preserve">2030 год</w:t>
            </w:r>
          </w:p>
        </w:tc>
      </w:tr>
      <w:tr>
        <w:tc>
          <w:tcPr>
            <w:gridSpan w:val="8"/>
            <w:tcW w:w="12979" w:type="dxa"/>
            <w:vAlign w:val="center"/>
          </w:tcPr>
          <w:p>
            <w:pPr>
              <w:pStyle w:val="0"/>
              <w:outlineLvl w:val="4"/>
            </w:pPr>
            <w:r>
              <w:rPr>
                <w:sz w:val="20"/>
              </w:rPr>
              <w:t xml:space="preserve">ПРИОРИТЕТ 2 "ЭКОНОМИКА"</w:t>
            </w:r>
          </w:p>
        </w:tc>
      </w:tr>
      <w:tr>
        <w:tc>
          <w:tcPr>
            <w:tcW w:w="4422" w:type="dxa"/>
            <w:vAlign w:val="center"/>
          </w:tcPr>
          <w:p>
            <w:pPr>
              <w:pStyle w:val="0"/>
            </w:pPr>
            <w:r>
              <w:rPr>
                <w:sz w:val="20"/>
              </w:rPr>
              <w:t xml:space="preserve">Валовой региональный продукт на душу населения, тыс. рублей</w:t>
            </w:r>
          </w:p>
        </w:tc>
        <w:tc>
          <w:tcPr>
            <w:tcW w:w="1077" w:type="dxa"/>
            <w:vAlign w:val="center"/>
          </w:tcPr>
          <w:p>
            <w:pPr>
              <w:pStyle w:val="0"/>
              <w:jc w:val="center"/>
            </w:pPr>
            <w:r>
              <w:rPr>
                <w:sz w:val="20"/>
              </w:rPr>
              <w:t xml:space="preserve">628,1</w:t>
            </w:r>
          </w:p>
        </w:tc>
        <w:tc>
          <w:tcPr>
            <w:tcW w:w="1077" w:type="dxa"/>
            <w:vAlign w:val="center"/>
          </w:tcPr>
          <w:p>
            <w:pPr>
              <w:pStyle w:val="0"/>
              <w:jc w:val="center"/>
            </w:pPr>
            <w:r>
              <w:rPr>
                <w:sz w:val="20"/>
              </w:rPr>
              <w:t xml:space="preserve">624,7</w:t>
            </w:r>
          </w:p>
        </w:tc>
        <w:tc>
          <w:tcPr>
            <w:tcW w:w="1417" w:type="dxa"/>
            <w:vAlign w:val="center"/>
          </w:tcPr>
          <w:p>
            <w:pPr>
              <w:pStyle w:val="0"/>
              <w:jc w:val="center"/>
            </w:pPr>
            <w:r>
              <w:rPr>
                <w:sz w:val="20"/>
              </w:rPr>
              <w:t xml:space="preserve">680,9</w:t>
            </w:r>
          </w:p>
        </w:tc>
        <w:tc>
          <w:tcPr>
            <w:tcW w:w="1077" w:type="dxa"/>
            <w:vAlign w:val="center"/>
          </w:tcPr>
          <w:p>
            <w:pPr>
              <w:pStyle w:val="0"/>
              <w:jc w:val="center"/>
            </w:pPr>
            <w:r>
              <w:rPr>
                <w:sz w:val="20"/>
              </w:rPr>
              <w:t xml:space="preserve">745,2</w:t>
            </w:r>
          </w:p>
          <w:p>
            <w:pPr>
              <w:pStyle w:val="0"/>
              <w:jc w:val="center"/>
            </w:pPr>
            <w:r>
              <w:rPr>
                <w:sz w:val="20"/>
              </w:rPr>
              <w:t xml:space="preserve">оценка</w:t>
            </w:r>
          </w:p>
        </w:tc>
        <w:tc>
          <w:tcPr>
            <w:tcW w:w="1303" w:type="dxa"/>
            <w:vAlign w:val="center"/>
          </w:tcPr>
          <w:p>
            <w:pPr>
              <w:pStyle w:val="0"/>
              <w:jc w:val="center"/>
            </w:pPr>
            <w:r>
              <w:rPr>
                <w:sz w:val="20"/>
              </w:rPr>
              <w:t xml:space="preserve">867,3</w:t>
            </w:r>
          </w:p>
          <w:p>
            <w:pPr>
              <w:pStyle w:val="0"/>
              <w:jc w:val="center"/>
            </w:pPr>
            <w:r>
              <w:rPr>
                <w:sz w:val="20"/>
              </w:rPr>
              <w:t xml:space="preserve">2022 год</w:t>
            </w:r>
          </w:p>
        </w:tc>
        <w:tc>
          <w:tcPr>
            <w:tcW w:w="1303" w:type="dxa"/>
            <w:vAlign w:val="center"/>
          </w:tcPr>
          <w:p>
            <w:pPr>
              <w:pStyle w:val="0"/>
              <w:jc w:val="center"/>
            </w:pPr>
            <w:r>
              <w:rPr>
                <w:sz w:val="20"/>
              </w:rPr>
              <w:t xml:space="preserve">1025,4</w:t>
            </w:r>
          </w:p>
          <w:p>
            <w:pPr>
              <w:pStyle w:val="0"/>
              <w:jc w:val="center"/>
            </w:pPr>
            <w:r>
              <w:rPr>
                <w:sz w:val="20"/>
              </w:rPr>
              <w:t xml:space="preserve">2025 год</w:t>
            </w:r>
          </w:p>
        </w:tc>
        <w:tc>
          <w:tcPr>
            <w:tcW w:w="1303" w:type="dxa"/>
            <w:vAlign w:val="center"/>
          </w:tcPr>
          <w:p>
            <w:pPr>
              <w:pStyle w:val="0"/>
              <w:jc w:val="center"/>
            </w:pPr>
            <w:r>
              <w:rPr>
                <w:sz w:val="20"/>
              </w:rPr>
              <w:t xml:space="preserve">1340,3</w:t>
            </w:r>
          </w:p>
          <w:p>
            <w:pPr>
              <w:pStyle w:val="0"/>
              <w:jc w:val="center"/>
            </w:pPr>
            <w:r>
              <w:rPr>
                <w:sz w:val="20"/>
              </w:rPr>
              <w:t xml:space="preserve">2030 год</w:t>
            </w:r>
          </w:p>
        </w:tc>
      </w:tr>
      <w:tr>
        <w:tc>
          <w:tcPr>
            <w:tcW w:w="4422" w:type="dxa"/>
            <w:vAlign w:val="center"/>
          </w:tcPr>
          <w:p>
            <w:pPr>
              <w:pStyle w:val="0"/>
            </w:pPr>
            <w:r>
              <w:rPr>
                <w:sz w:val="20"/>
              </w:rPr>
              <w:t xml:space="preserve">Индекс производительности труда, % к предыдущему году</w:t>
            </w:r>
          </w:p>
        </w:tc>
        <w:tc>
          <w:tcPr>
            <w:tcW w:w="1077" w:type="dxa"/>
            <w:vAlign w:val="center"/>
          </w:tcPr>
          <w:p>
            <w:pPr>
              <w:pStyle w:val="0"/>
              <w:jc w:val="center"/>
            </w:pPr>
            <w:r>
              <w:rPr>
                <w:sz w:val="20"/>
              </w:rPr>
              <w:t xml:space="preserve">105,2</w:t>
            </w:r>
          </w:p>
        </w:tc>
        <w:tc>
          <w:tcPr>
            <w:tcW w:w="1077" w:type="dxa"/>
            <w:vAlign w:val="center"/>
          </w:tcPr>
          <w:p>
            <w:pPr>
              <w:pStyle w:val="0"/>
              <w:jc w:val="center"/>
            </w:pPr>
            <w:r>
              <w:rPr>
                <w:sz w:val="20"/>
              </w:rPr>
              <w:t xml:space="preserve">101,1</w:t>
            </w:r>
          </w:p>
        </w:tc>
        <w:tc>
          <w:tcPr>
            <w:tcW w:w="1417" w:type="dxa"/>
            <w:vAlign w:val="center"/>
          </w:tcPr>
          <w:p>
            <w:pPr>
              <w:pStyle w:val="0"/>
              <w:jc w:val="center"/>
            </w:pPr>
            <w:r>
              <w:rPr>
                <w:sz w:val="20"/>
              </w:rPr>
              <w:t xml:space="preserve">108,9</w:t>
            </w:r>
          </w:p>
        </w:tc>
        <w:tc>
          <w:tcPr>
            <w:tcW w:w="1077" w:type="dxa"/>
            <w:vAlign w:val="center"/>
          </w:tcPr>
          <w:p>
            <w:pPr>
              <w:pStyle w:val="0"/>
              <w:jc w:val="center"/>
            </w:pPr>
            <w:r>
              <w:rPr>
                <w:sz w:val="20"/>
              </w:rPr>
              <w:t xml:space="preserve">105,7</w:t>
            </w:r>
          </w:p>
          <w:p>
            <w:pPr>
              <w:pStyle w:val="0"/>
              <w:jc w:val="center"/>
            </w:pPr>
            <w:r>
              <w:rPr>
                <w:sz w:val="20"/>
              </w:rPr>
              <w:t xml:space="preserve">оценка</w:t>
            </w:r>
          </w:p>
        </w:tc>
        <w:tc>
          <w:tcPr>
            <w:tcW w:w="1303" w:type="dxa"/>
            <w:vAlign w:val="center"/>
          </w:tcPr>
          <w:p>
            <w:pPr>
              <w:pStyle w:val="0"/>
              <w:jc w:val="center"/>
            </w:pPr>
            <w:r>
              <w:rPr>
                <w:sz w:val="20"/>
              </w:rPr>
              <w:t xml:space="preserve">110,2</w:t>
            </w:r>
          </w:p>
          <w:p>
            <w:pPr>
              <w:pStyle w:val="0"/>
              <w:jc w:val="center"/>
            </w:pPr>
            <w:r>
              <w:rPr>
                <w:sz w:val="20"/>
              </w:rPr>
              <w:t xml:space="preserve">2022 год к</w:t>
            </w:r>
          </w:p>
          <w:p>
            <w:pPr>
              <w:pStyle w:val="0"/>
              <w:jc w:val="center"/>
            </w:pPr>
            <w:r>
              <w:rPr>
                <w:sz w:val="20"/>
              </w:rPr>
              <w:t xml:space="preserve">2019 году</w:t>
            </w:r>
          </w:p>
        </w:tc>
        <w:tc>
          <w:tcPr>
            <w:tcW w:w="1303" w:type="dxa"/>
            <w:vAlign w:val="center"/>
          </w:tcPr>
          <w:p>
            <w:pPr>
              <w:pStyle w:val="0"/>
              <w:jc w:val="center"/>
            </w:pPr>
            <w:r>
              <w:rPr>
                <w:sz w:val="20"/>
              </w:rPr>
              <w:t xml:space="preserve">108,0</w:t>
            </w:r>
          </w:p>
          <w:p>
            <w:pPr>
              <w:pStyle w:val="0"/>
              <w:jc w:val="center"/>
            </w:pPr>
            <w:r>
              <w:rPr>
                <w:sz w:val="20"/>
              </w:rPr>
              <w:t xml:space="preserve">2025 год к 2022 год</w:t>
            </w:r>
          </w:p>
        </w:tc>
        <w:tc>
          <w:tcPr>
            <w:tcW w:w="1303" w:type="dxa"/>
            <w:vAlign w:val="center"/>
          </w:tcPr>
          <w:p>
            <w:pPr>
              <w:pStyle w:val="0"/>
              <w:jc w:val="center"/>
            </w:pPr>
            <w:r>
              <w:rPr>
                <w:sz w:val="20"/>
              </w:rPr>
              <w:t xml:space="preserve">108,9</w:t>
            </w:r>
          </w:p>
          <w:p>
            <w:pPr>
              <w:pStyle w:val="0"/>
              <w:jc w:val="center"/>
            </w:pPr>
            <w:r>
              <w:rPr>
                <w:sz w:val="20"/>
              </w:rPr>
              <w:t xml:space="preserve">2030 год к</w:t>
            </w:r>
          </w:p>
          <w:p>
            <w:pPr>
              <w:pStyle w:val="0"/>
              <w:jc w:val="center"/>
            </w:pPr>
            <w:r>
              <w:rPr>
                <w:sz w:val="20"/>
              </w:rPr>
              <w:t xml:space="preserve">2025 год</w:t>
            </w:r>
          </w:p>
        </w:tc>
      </w:tr>
      <w:tr>
        <w:tc>
          <w:tcPr>
            <w:gridSpan w:val="8"/>
            <w:tcW w:w="12979" w:type="dxa"/>
            <w:vAlign w:val="center"/>
          </w:tcPr>
          <w:p>
            <w:pPr>
              <w:pStyle w:val="0"/>
              <w:outlineLvl w:val="5"/>
            </w:pPr>
            <w:r>
              <w:rPr>
                <w:sz w:val="20"/>
              </w:rPr>
              <w:t xml:space="preserve">Цель 2.1. Развитие производства и сервиса</w:t>
            </w:r>
          </w:p>
        </w:tc>
      </w:tr>
      <w:tr>
        <w:tc>
          <w:tcPr>
            <w:gridSpan w:val="8"/>
            <w:tcW w:w="12979" w:type="dxa"/>
            <w:vAlign w:val="center"/>
          </w:tcPr>
          <w:p>
            <w:pPr>
              <w:pStyle w:val="0"/>
            </w:pPr>
            <w:r>
              <w:rPr>
                <w:sz w:val="20"/>
              </w:rPr>
              <w:t xml:space="preserve">Задача 2.1.1. Инвестклимат. Инвестстратегия</w:t>
            </w:r>
          </w:p>
        </w:tc>
      </w:tr>
      <w:tr>
        <w:tc>
          <w:tcPr>
            <w:gridSpan w:val="8"/>
            <w:tcW w:w="12979" w:type="dxa"/>
            <w:vAlign w:val="center"/>
          </w:tcPr>
          <w:p>
            <w:pPr>
              <w:pStyle w:val="0"/>
            </w:pPr>
            <w:r>
              <w:rPr>
                <w:sz w:val="20"/>
              </w:rPr>
              <w:t xml:space="preserve">Задача 2.1.2. Конкурентоспособная промышленность</w:t>
            </w:r>
          </w:p>
        </w:tc>
      </w:tr>
      <w:tr>
        <w:tc>
          <w:tcPr>
            <w:gridSpan w:val="8"/>
            <w:tcW w:w="12979" w:type="dxa"/>
            <w:vAlign w:val="center"/>
          </w:tcPr>
          <w:p>
            <w:pPr>
              <w:pStyle w:val="0"/>
            </w:pPr>
            <w:r>
              <w:rPr>
                <w:sz w:val="20"/>
              </w:rPr>
              <w:t xml:space="preserve">Задача 2.1.3. Конкурентоспособный промышленный сервис</w:t>
            </w:r>
          </w:p>
        </w:tc>
      </w:tr>
      <w:tr>
        <w:tc>
          <w:tcPr>
            <w:gridSpan w:val="8"/>
            <w:tcW w:w="12979" w:type="dxa"/>
            <w:vAlign w:val="center"/>
          </w:tcPr>
          <w:p>
            <w:pPr>
              <w:pStyle w:val="0"/>
            </w:pPr>
            <w:r>
              <w:rPr>
                <w:sz w:val="20"/>
              </w:rPr>
              <w:t xml:space="preserve">Задача 2.1.4. Агропромышленный комплекс</w:t>
            </w:r>
          </w:p>
        </w:tc>
      </w:tr>
      <w:tr>
        <w:tc>
          <w:tcPr>
            <w:gridSpan w:val="8"/>
            <w:tcW w:w="12979" w:type="dxa"/>
            <w:vAlign w:val="center"/>
          </w:tcPr>
          <w:p>
            <w:pPr>
              <w:pStyle w:val="0"/>
            </w:pPr>
            <w:r>
              <w:rPr>
                <w:sz w:val="20"/>
              </w:rPr>
              <w:t xml:space="preserve">Задача 2.1.5. Потребительский сервис</w:t>
            </w:r>
          </w:p>
        </w:tc>
      </w:tr>
      <w:tr>
        <w:tc>
          <w:tcPr>
            <w:gridSpan w:val="8"/>
            <w:tcW w:w="12979" w:type="dxa"/>
            <w:vAlign w:val="center"/>
          </w:tcPr>
          <w:p>
            <w:pPr>
              <w:pStyle w:val="0"/>
            </w:pPr>
            <w:r>
              <w:rPr>
                <w:sz w:val="20"/>
              </w:rPr>
              <w:t xml:space="preserve">Задача 2.1.6. Малое и среднее предпринимательство</w:t>
            </w:r>
          </w:p>
        </w:tc>
      </w:tr>
      <w:tr>
        <w:tc>
          <w:tcPr>
            <w:tcW w:w="4422" w:type="dxa"/>
            <w:vAlign w:val="center"/>
          </w:tcPr>
          <w:p>
            <w:pPr>
              <w:pStyle w:val="0"/>
            </w:pPr>
            <w:r>
              <w:rPr>
                <w:sz w:val="20"/>
              </w:rPr>
              <w:t xml:space="preserve">Индекс промышленного производства, % к предыдущему году</w:t>
            </w:r>
          </w:p>
        </w:tc>
        <w:tc>
          <w:tcPr>
            <w:tcW w:w="1077" w:type="dxa"/>
            <w:vAlign w:val="center"/>
          </w:tcPr>
          <w:p>
            <w:pPr>
              <w:pStyle w:val="0"/>
              <w:jc w:val="center"/>
            </w:pPr>
            <w:r>
              <w:rPr>
                <w:sz w:val="20"/>
              </w:rPr>
              <w:t xml:space="preserve">109,7</w:t>
            </w:r>
          </w:p>
        </w:tc>
        <w:tc>
          <w:tcPr>
            <w:tcW w:w="1077" w:type="dxa"/>
            <w:vAlign w:val="center"/>
          </w:tcPr>
          <w:p>
            <w:pPr>
              <w:pStyle w:val="0"/>
              <w:jc w:val="center"/>
            </w:pPr>
            <w:r>
              <w:rPr>
                <w:sz w:val="20"/>
              </w:rPr>
              <w:t xml:space="preserve">104,5</w:t>
            </w:r>
          </w:p>
        </w:tc>
        <w:tc>
          <w:tcPr>
            <w:tcW w:w="1417" w:type="dxa"/>
            <w:vAlign w:val="center"/>
          </w:tcPr>
          <w:p>
            <w:pPr>
              <w:pStyle w:val="0"/>
              <w:jc w:val="center"/>
            </w:pPr>
            <w:r>
              <w:rPr>
                <w:sz w:val="20"/>
              </w:rPr>
              <w:t xml:space="preserve">103,6</w:t>
            </w:r>
          </w:p>
        </w:tc>
        <w:tc>
          <w:tcPr>
            <w:tcW w:w="1077" w:type="dxa"/>
            <w:vAlign w:val="center"/>
          </w:tcPr>
          <w:p>
            <w:pPr>
              <w:pStyle w:val="0"/>
              <w:jc w:val="center"/>
            </w:pPr>
            <w:r>
              <w:rPr>
                <w:sz w:val="20"/>
              </w:rPr>
              <w:t xml:space="preserve">110,1</w:t>
            </w:r>
          </w:p>
        </w:tc>
        <w:tc>
          <w:tcPr>
            <w:tcW w:w="1303" w:type="dxa"/>
            <w:vAlign w:val="center"/>
          </w:tcPr>
          <w:p>
            <w:pPr>
              <w:pStyle w:val="0"/>
              <w:jc w:val="center"/>
            </w:pPr>
            <w:r>
              <w:rPr>
                <w:sz w:val="20"/>
              </w:rPr>
              <w:t xml:space="preserve">125,9</w:t>
            </w:r>
          </w:p>
          <w:p>
            <w:pPr>
              <w:pStyle w:val="0"/>
              <w:jc w:val="center"/>
            </w:pPr>
            <w:r>
              <w:rPr>
                <w:sz w:val="20"/>
              </w:rPr>
              <w:t xml:space="preserve">2022 год к</w:t>
            </w:r>
          </w:p>
          <w:p>
            <w:pPr>
              <w:pStyle w:val="0"/>
              <w:jc w:val="center"/>
            </w:pPr>
            <w:r>
              <w:rPr>
                <w:sz w:val="20"/>
              </w:rPr>
              <w:t xml:space="preserve">2019 году</w:t>
            </w:r>
          </w:p>
        </w:tc>
        <w:tc>
          <w:tcPr>
            <w:tcW w:w="1303" w:type="dxa"/>
            <w:vAlign w:val="center"/>
          </w:tcPr>
          <w:p>
            <w:pPr>
              <w:pStyle w:val="0"/>
              <w:jc w:val="center"/>
            </w:pPr>
            <w:r>
              <w:rPr>
                <w:sz w:val="20"/>
              </w:rPr>
              <w:t xml:space="preserve">110,9</w:t>
            </w:r>
          </w:p>
          <w:p>
            <w:pPr>
              <w:pStyle w:val="0"/>
              <w:jc w:val="center"/>
            </w:pPr>
            <w:r>
              <w:rPr>
                <w:sz w:val="20"/>
              </w:rPr>
              <w:t xml:space="preserve">2025 год к 2022 году</w:t>
            </w:r>
          </w:p>
        </w:tc>
        <w:tc>
          <w:tcPr>
            <w:tcW w:w="1303" w:type="dxa"/>
            <w:vAlign w:val="center"/>
          </w:tcPr>
          <w:p>
            <w:pPr>
              <w:pStyle w:val="0"/>
              <w:jc w:val="center"/>
            </w:pPr>
            <w:r>
              <w:rPr>
                <w:sz w:val="20"/>
              </w:rPr>
              <w:t xml:space="preserve">111,1</w:t>
            </w:r>
          </w:p>
          <w:p>
            <w:pPr>
              <w:pStyle w:val="0"/>
              <w:jc w:val="center"/>
            </w:pPr>
            <w:r>
              <w:rPr>
                <w:sz w:val="20"/>
              </w:rPr>
              <w:t xml:space="preserve">2030 год к</w:t>
            </w:r>
          </w:p>
          <w:p>
            <w:pPr>
              <w:pStyle w:val="0"/>
              <w:jc w:val="center"/>
            </w:pPr>
            <w:r>
              <w:rPr>
                <w:sz w:val="20"/>
              </w:rPr>
              <w:t xml:space="preserve">2025 году</w:t>
            </w:r>
          </w:p>
        </w:tc>
      </w:tr>
      <w:tr>
        <w:tc>
          <w:tcPr>
            <w:tcW w:w="4422" w:type="dxa"/>
            <w:vAlign w:val="center"/>
          </w:tcPr>
          <w:p>
            <w:pPr>
              <w:pStyle w:val="0"/>
            </w:pPr>
            <w:r>
              <w:rPr>
                <w:sz w:val="20"/>
              </w:rPr>
              <w:t xml:space="preserve">Инвестиции в основной капитал на душу населения, тыс. рублей</w:t>
            </w:r>
          </w:p>
        </w:tc>
        <w:tc>
          <w:tcPr>
            <w:tcW w:w="1077" w:type="dxa"/>
            <w:vAlign w:val="center"/>
          </w:tcPr>
          <w:p>
            <w:pPr>
              <w:pStyle w:val="0"/>
              <w:jc w:val="center"/>
            </w:pPr>
            <w:r>
              <w:rPr>
                <w:sz w:val="20"/>
              </w:rPr>
              <w:t xml:space="preserve">150,8</w:t>
            </w:r>
          </w:p>
        </w:tc>
        <w:tc>
          <w:tcPr>
            <w:tcW w:w="1077" w:type="dxa"/>
            <w:vAlign w:val="center"/>
          </w:tcPr>
          <w:p>
            <w:pPr>
              <w:pStyle w:val="0"/>
              <w:jc w:val="center"/>
            </w:pPr>
            <w:r>
              <w:rPr>
                <w:sz w:val="20"/>
              </w:rPr>
              <w:t xml:space="preserve">163,5</w:t>
            </w:r>
          </w:p>
        </w:tc>
        <w:tc>
          <w:tcPr>
            <w:tcW w:w="1417" w:type="dxa"/>
            <w:vAlign w:val="center"/>
          </w:tcPr>
          <w:p>
            <w:pPr>
              <w:pStyle w:val="0"/>
              <w:jc w:val="center"/>
            </w:pPr>
            <w:r>
              <w:rPr>
                <w:sz w:val="20"/>
              </w:rPr>
              <w:t xml:space="preserve">202,5</w:t>
            </w:r>
          </w:p>
        </w:tc>
        <w:tc>
          <w:tcPr>
            <w:tcW w:w="1077" w:type="dxa"/>
            <w:vAlign w:val="center"/>
          </w:tcPr>
          <w:p>
            <w:pPr>
              <w:pStyle w:val="0"/>
              <w:jc w:val="center"/>
            </w:pPr>
            <w:r>
              <w:rPr>
                <w:sz w:val="20"/>
              </w:rPr>
              <w:t xml:space="preserve">234,4</w:t>
            </w:r>
          </w:p>
        </w:tc>
        <w:tc>
          <w:tcPr>
            <w:tcW w:w="1303" w:type="dxa"/>
            <w:vAlign w:val="center"/>
          </w:tcPr>
          <w:p>
            <w:pPr>
              <w:pStyle w:val="0"/>
              <w:jc w:val="center"/>
            </w:pPr>
            <w:r>
              <w:rPr>
                <w:sz w:val="20"/>
              </w:rPr>
              <w:t xml:space="preserve">204,1</w:t>
            </w:r>
          </w:p>
          <w:p>
            <w:pPr>
              <w:pStyle w:val="0"/>
              <w:jc w:val="center"/>
            </w:pPr>
            <w:r>
              <w:rPr>
                <w:sz w:val="20"/>
              </w:rPr>
              <w:t xml:space="preserve">2022 год</w:t>
            </w:r>
          </w:p>
        </w:tc>
        <w:tc>
          <w:tcPr>
            <w:tcW w:w="1303" w:type="dxa"/>
            <w:vAlign w:val="center"/>
          </w:tcPr>
          <w:p>
            <w:pPr>
              <w:pStyle w:val="0"/>
              <w:jc w:val="center"/>
            </w:pPr>
            <w:r>
              <w:rPr>
                <w:sz w:val="20"/>
              </w:rPr>
              <w:t xml:space="preserve">252,6</w:t>
            </w:r>
          </w:p>
          <w:p>
            <w:pPr>
              <w:pStyle w:val="0"/>
              <w:jc w:val="center"/>
            </w:pPr>
            <w:r>
              <w:rPr>
                <w:sz w:val="20"/>
              </w:rPr>
              <w:t xml:space="preserve">2025 год</w:t>
            </w:r>
          </w:p>
        </w:tc>
        <w:tc>
          <w:tcPr>
            <w:tcW w:w="1303" w:type="dxa"/>
            <w:vAlign w:val="center"/>
          </w:tcPr>
          <w:p>
            <w:pPr>
              <w:pStyle w:val="0"/>
              <w:jc w:val="center"/>
            </w:pPr>
            <w:r>
              <w:rPr>
                <w:sz w:val="20"/>
              </w:rPr>
              <w:t xml:space="preserve">344,0</w:t>
            </w:r>
          </w:p>
          <w:p>
            <w:pPr>
              <w:pStyle w:val="0"/>
              <w:jc w:val="center"/>
            </w:pPr>
            <w:r>
              <w:rPr>
                <w:sz w:val="20"/>
              </w:rPr>
              <w:t xml:space="preserve">2030 год</w:t>
            </w:r>
          </w:p>
        </w:tc>
      </w:tr>
      <w:tr>
        <w:tc>
          <w:tcPr>
            <w:tcW w:w="4422" w:type="dxa"/>
            <w:vAlign w:val="center"/>
          </w:tcPr>
          <w:p>
            <w:pPr>
              <w:pStyle w:val="0"/>
            </w:pPr>
            <w:r>
              <w:rPr>
                <w:sz w:val="20"/>
              </w:rPr>
              <w:t xml:space="preserve">Индекс производства продукции сельского хозяйства в хозяйствах всех категорий, % к предыдущему году в сопоставимых ценах</w:t>
            </w:r>
          </w:p>
        </w:tc>
        <w:tc>
          <w:tcPr>
            <w:tcW w:w="1077" w:type="dxa"/>
            <w:vAlign w:val="center"/>
          </w:tcPr>
          <w:p>
            <w:pPr>
              <w:pStyle w:val="0"/>
              <w:jc w:val="center"/>
            </w:pPr>
            <w:r>
              <w:rPr>
                <w:sz w:val="20"/>
              </w:rPr>
              <w:t xml:space="preserve">96,6</w:t>
            </w:r>
          </w:p>
        </w:tc>
        <w:tc>
          <w:tcPr>
            <w:tcW w:w="1077" w:type="dxa"/>
            <w:vAlign w:val="center"/>
          </w:tcPr>
          <w:p>
            <w:pPr>
              <w:pStyle w:val="0"/>
              <w:jc w:val="center"/>
            </w:pPr>
            <w:r>
              <w:rPr>
                <w:sz w:val="20"/>
              </w:rPr>
              <w:t xml:space="preserve">98,5</w:t>
            </w:r>
          </w:p>
        </w:tc>
        <w:tc>
          <w:tcPr>
            <w:tcW w:w="1417" w:type="dxa"/>
            <w:vAlign w:val="center"/>
          </w:tcPr>
          <w:p>
            <w:pPr>
              <w:pStyle w:val="0"/>
              <w:jc w:val="center"/>
            </w:pPr>
            <w:r>
              <w:rPr>
                <w:sz w:val="20"/>
              </w:rPr>
              <w:t xml:space="preserve">105,2</w:t>
            </w:r>
          </w:p>
        </w:tc>
        <w:tc>
          <w:tcPr>
            <w:tcW w:w="1077" w:type="dxa"/>
            <w:vAlign w:val="center"/>
          </w:tcPr>
          <w:p>
            <w:pPr>
              <w:pStyle w:val="0"/>
              <w:jc w:val="center"/>
            </w:pPr>
            <w:r>
              <w:rPr>
                <w:sz w:val="20"/>
              </w:rPr>
              <w:t xml:space="preserve">100,01</w:t>
            </w:r>
          </w:p>
        </w:tc>
        <w:tc>
          <w:tcPr>
            <w:tcW w:w="1303" w:type="dxa"/>
            <w:vAlign w:val="center"/>
          </w:tcPr>
          <w:p>
            <w:pPr>
              <w:pStyle w:val="0"/>
              <w:jc w:val="center"/>
            </w:pPr>
            <w:r>
              <w:rPr>
                <w:sz w:val="20"/>
              </w:rPr>
              <w:t xml:space="preserve">102,4</w:t>
            </w:r>
          </w:p>
          <w:p>
            <w:pPr>
              <w:pStyle w:val="0"/>
              <w:jc w:val="center"/>
            </w:pPr>
            <w:r>
              <w:rPr>
                <w:sz w:val="20"/>
              </w:rPr>
              <w:t xml:space="preserve">2022 год к</w:t>
            </w:r>
          </w:p>
          <w:p>
            <w:pPr>
              <w:pStyle w:val="0"/>
              <w:jc w:val="center"/>
            </w:pPr>
            <w:r>
              <w:rPr>
                <w:sz w:val="20"/>
              </w:rPr>
              <w:t xml:space="preserve">2019 году</w:t>
            </w:r>
          </w:p>
        </w:tc>
        <w:tc>
          <w:tcPr>
            <w:tcW w:w="1303" w:type="dxa"/>
            <w:vAlign w:val="center"/>
          </w:tcPr>
          <w:p>
            <w:pPr>
              <w:pStyle w:val="0"/>
              <w:jc w:val="center"/>
            </w:pPr>
            <w:r>
              <w:rPr>
                <w:sz w:val="20"/>
              </w:rPr>
              <w:t xml:space="preserve">102,3</w:t>
            </w:r>
          </w:p>
          <w:p>
            <w:pPr>
              <w:pStyle w:val="0"/>
              <w:jc w:val="center"/>
            </w:pPr>
            <w:r>
              <w:rPr>
                <w:sz w:val="20"/>
              </w:rPr>
              <w:t xml:space="preserve">2025 год к 2022 году</w:t>
            </w:r>
          </w:p>
        </w:tc>
        <w:tc>
          <w:tcPr>
            <w:tcW w:w="1303" w:type="dxa"/>
            <w:vAlign w:val="center"/>
          </w:tcPr>
          <w:p>
            <w:pPr>
              <w:pStyle w:val="0"/>
              <w:jc w:val="center"/>
            </w:pPr>
            <w:r>
              <w:rPr>
                <w:sz w:val="20"/>
              </w:rPr>
              <w:t xml:space="preserve">102,7</w:t>
            </w:r>
          </w:p>
          <w:p>
            <w:pPr>
              <w:pStyle w:val="0"/>
              <w:jc w:val="center"/>
            </w:pPr>
            <w:r>
              <w:rPr>
                <w:sz w:val="20"/>
              </w:rPr>
              <w:t xml:space="preserve">2030 год к</w:t>
            </w:r>
          </w:p>
          <w:p>
            <w:pPr>
              <w:pStyle w:val="0"/>
              <w:jc w:val="center"/>
            </w:pPr>
            <w:r>
              <w:rPr>
                <w:sz w:val="20"/>
              </w:rPr>
              <w:t xml:space="preserve">2025 году</w:t>
            </w:r>
          </w:p>
        </w:tc>
      </w:tr>
      <w:tr>
        <w:tc>
          <w:tcPr>
            <w:tcW w:w="4422" w:type="dxa"/>
            <w:vAlign w:val="center"/>
          </w:tcPr>
          <w:p>
            <w:pPr>
              <w:pStyle w:val="0"/>
            </w:pPr>
            <w:r>
              <w:rPr>
                <w:sz w:val="20"/>
              </w:rPr>
              <w:t xml:space="preserve">Оборот розничной торговли, % к предыдущему году в сопоставимых ценах</w:t>
            </w:r>
          </w:p>
        </w:tc>
        <w:tc>
          <w:tcPr>
            <w:tcW w:w="1077" w:type="dxa"/>
            <w:vAlign w:val="center"/>
          </w:tcPr>
          <w:p>
            <w:pPr>
              <w:pStyle w:val="0"/>
              <w:jc w:val="center"/>
            </w:pPr>
            <w:r>
              <w:rPr>
                <w:sz w:val="20"/>
              </w:rPr>
              <w:t xml:space="preserve">91,3</w:t>
            </w:r>
          </w:p>
        </w:tc>
        <w:tc>
          <w:tcPr>
            <w:tcW w:w="1077" w:type="dxa"/>
            <w:vAlign w:val="center"/>
          </w:tcPr>
          <w:p>
            <w:pPr>
              <w:pStyle w:val="0"/>
              <w:jc w:val="center"/>
            </w:pPr>
            <w:r>
              <w:rPr>
                <w:sz w:val="20"/>
              </w:rPr>
              <w:t xml:space="preserve">94,7</w:t>
            </w:r>
          </w:p>
        </w:tc>
        <w:tc>
          <w:tcPr>
            <w:tcW w:w="1417" w:type="dxa"/>
            <w:vAlign w:val="center"/>
          </w:tcPr>
          <w:p>
            <w:pPr>
              <w:pStyle w:val="0"/>
              <w:jc w:val="center"/>
            </w:pPr>
            <w:r>
              <w:rPr>
                <w:sz w:val="20"/>
              </w:rPr>
              <w:t xml:space="preserve">102,0</w:t>
            </w:r>
          </w:p>
        </w:tc>
        <w:tc>
          <w:tcPr>
            <w:tcW w:w="1077" w:type="dxa"/>
            <w:vAlign w:val="center"/>
          </w:tcPr>
          <w:p>
            <w:pPr>
              <w:pStyle w:val="0"/>
              <w:jc w:val="center"/>
            </w:pPr>
            <w:r>
              <w:rPr>
                <w:sz w:val="20"/>
              </w:rPr>
              <w:t xml:space="preserve">106,6</w:t>
            </w:r>
          </w:p>
        </w:tc>
        <w:tc>
          <w:tcPr>
            <w:tcW w:w="1303" w:type="dxa"/>
            <w:vAlign w:val="center"/>
          </w:tcPr>
          <w:p>
            <w:pPr>
              <w:pStyle w:val="0"/>
              <w:jc w:val="center"/>
            </w:pPr>
            <w:r>
              <w:rPr>
                <w:sz w:val="20"/>
              </w:rPr>
              <w:t xml:space="preserve">107,7</w:t>
            </w:r>
          </w:p>
          <w:p>
            <w:pPr>
              <w:pStyle w:val="0"/>
              <w:jc w:val="center"/>
            </w:pPr>
            <w:r>
              <w:rPr>
                <w:sz w:val="20"/>
              </w:rPr>
              <w:t xml:space="preserve">2022 год к</w:t>
            </w:r>
          </w:p>
          <w:p>
            <w:pPr>
              <w:pStyle w:val="0"/>
              <w:jc w:val="center"/>
            </w:pPr>
            <w:r>
              <w:rPr>
                <w:sz w:val="20"/>
              </w:rPr>
              <w:t xml:space="preserve">2019 году</w:t>
            </w:r>
          </w:p>
        </w:tc>
        <w:tc>
          <w:tcPr>
            <w:tcW w:w="1303" w:type="dxa"/>
            <w:vAlign w:val="center"/>
          </w:tcPr>
          <w:p>
            <w:pPr>
              <w:pStyle w:val="0"/>
              <w:jc w:val="center"/>
            </w:pPr>
            <w:r>
              <w:rPr>
                <w:sz w:val="20"/>
              </w:rPr>
              <w:t xml:space="preserve">109,6</w:t>
            </w:r>
          </w:p>
          <w:p>
            <w:pPr>
              <w:pStyle w:val="0"/>
              <w:jc w:val="center"/>
            </w:pPr>
            <w:r>
              <w:rPr>
                <w:sz w:val="20"/>
              </w:rPr>
              <w:t xml:space="preserve">2025 год к 2022 году</w:t>
            </w:r>
          </w:p>
        </w:tc>
        <w:tc>
          <w:tcPr>
            <w:tcW w:w="1303" w:type="dxa"/>
            <w:vAlign w:val="center"/>
          </w:tcPr>
          <w:p>
            <w:pPr>
              <w:pStyle w:val="0"/>
              <w:jc w:val="center"/>
            </w:pPr>
            <w:r>
              <w:rPr>
                <w:sz w:val="20"/>
              </w:rPr>
              <w:t xml:space="preserve">116,2</w:t>
            </w:r>
          </w:p>
          <w:p>
            <w:pPr>
              <w:pStyle w:val="0"/>
              <w:jc w:val="center"/>
            </w:pPr>
            <w:r>
              <w:rPr>
                <w:sz w:val="20"/>
              </w:rPr>
              <w:t xml:space="preserve">2030 год к</w:t>
            </w:r>
          </w:p>
          <w:p>
            <w:pPr>
              <w:pStyle w:val="0"/>
              <w:jc w:val="center"/>
            </w:pPr>
            <w:r>
              <w:rPr>
                <w:sz w:val="20"/>
              </w:rPr>
              <w:t xml:space="preserve">2025 году</w:t>
            </w:r>
          </w:p>
        </w:tc>
      </w:tr>
      <w:tr>
        <w:tc>
          <w:tcPr>
            <w:tcW w:w="4422" w:type="dxa"/>
            <w:vAlign w:val="center"/>
          </w:tcPr>
          <w:p>
            <w:pPr>
              <w:pStyle w:val="0"/>
            </w:pPr>
            <w:r>
              <w:rPr>
                <w:sz w:val="20"/>
              </w:rPr>
              <w:t xml:space="preserve">Объем платных услуг населению, % к предыдущему году в сопоставимых ценах</w:t>
            </w:r>
          </w:p>
        </w:tc>
        <w:tc>
          <w:tcPr>
            <w:tcW w:w="1077" w:type="dxa"/>
            <w:vAlign w:val="center"/>
          </w:tcPr>
          <w:p>
            <w:pPr>
              <w:pStyle w:val="0"/>
              <w:jc w:val="center"/>
            </w:pPr>
            <w:r>
              <w:rPr>
                <w:sz w:val="20"/>
              </w:rPr>
              <w:t xml:space="preserve">103,0</w:t>
            </w:r>
          </w:p>
        </w:tc>
        <w:tc>
          <w:tcPr>
            <w:tcW w:w="1077" w:type="dxa"/>
            <w:vAlign w:val="center"/>
          </w:tcPr>
          <w:p>
            <w:pPr>
              <w:pStyle w:val="0"/>
              <w:jc w:val="center"/>
            </w:pPr>
            <w:r>
              <w:rPr>
                <w:sz w:val="20"/>
              </w:rPr>
              <w:t xml:space="preserve">102,2</w:t>
            </w:r>
          </w:p>
        </w:tc>
        <w:tc>
          <w:tcPr>
            <w:tcW w:w="1417" w:type="dxa"/>
            <w:vAlign w:val="center"/>
          </w:tcPr>
          <w:p>
            <w:pPr>
              <w:pStyle w:val="0"/>
              <w:jc w:val="center"/>
            </w:pPr>
            <w:r>
              <w:rPr>
                <w:sz w:val="20"/>
              </w:rPr>
              <w:t xml:space="preserve">102,4</w:t>
            </w:r>
          </w:p>
        </w:tc>
        <w:tc>
          <w:tcPr>
            <w:tcW w:w="1077" w:type="dxa"/>
            <w:vAlign w:val="center"/>
          </w:tcPr>
          <w:p>
            <w:pPr>
              <w:pStyle w:val="0"/>
              <w:jc w:val="center"/>
            </w:pPr>
            <w:r>
              <w:rPr>
                <w:sz w:val="20"/>
              </w:rPr>
              <w:t xml:space="preserve">102,0</w:t>
            </w:r>
          </w:p>
        </w:tc>
        <w:tc>
          <w:tcPr>
            <w:tcW w:w="1303" w:type="dxa"/>
            <w:vAlign w:val="center"/>
          </w:tcPr>
          <w:p>
            <w:pPr>
              <w:pStyle w:val="0"/>
              <w:jc w:val="center"/>
            </w:pPr>
            <w:r>
              <w:rPr>
                <w:sz w:val="20"/>
              </w:rPr>
              <w:t xml:space="preserve">106,6</w:t>
            </w:r>
          </w:p>
          <w:p>
            <w:pPr>
              <w:pStyle w:val="0"/>
              <w:jc w:val="center"/>
            </w:pPr>
            <w:r>
              <w:rPr>
                <w:sz w:val="20"/>
              </w:rPr>
              <w:t xml:space="preserve">2022 год к</w:t>
            </w:r>
          </w:p>
          <w:p>
            <w:pPr>
              <w:pStyle w:val="0"/>
              <w:jc w:val="center"/>
            </w:pPr>
            <w:r>
              <w:rPr>
                <w:sz w:val="20"/>
              </w:rPr>
              <w:t xml:space="preserve">2019 году</w:t>
            </w:r>
          </w:p>
        </w:tc>
        <w:tc>
          <w:tcPr>
            <w:tcW w:w="1303" w:type="dxa"/>
            <w:vAlign w:val="center"/>
          </w:tcPr>
          <w:p>
            <w:pPr>
              <w:pStyle w:val="0"/>
              <w:jc w:val="center"/>
            </w:pPr>
            <w:r>
              <w:rPr>
                <w:sz w:val="20"/>
              </w:rPr>
              <w:t xml:space="preserve">110,2</w:t>
            </w:r>
          </w:p>
          <w:p>
            <w:pPr>
              <w:pStyle w:val="0"/>
              <w:jc w:val="center"/>
            </w:pPr>
            <w:r>
              <w:rPr>
                <w:sz w:val="20"/>
              </w:rPr>
              <w:t xml:space="preserve">2025 год к 2022 году</w:t>
            </w:r>
          </w:p>
        </w:tc>
        <w:tc>
          <w:tcPr>
            <w:tcW w:w="1303" w:type="dxa"/>
            <w:vAlign w:val="center"/>
          </w:tcPr>
          <w:p>
            <w:pPr>
              <w:pStyle w:val="0"/>
              <w:jc w:val="center"/>
            </w:pPr>
            <w:r>
              <w:rPr>
                <w:sz w:val="20"/>
              </w:rPr>
              <w:t xml:space="preserve">116,4</w:t>
            </w:r>
          </w:p>
          <w:p>
            <w:pPr>
              <w:pStyle w:val="0"/>
              <w:jc w:val="center"/>
            </w:pPr>
            <w:r>
              <w:rPr>
                <w:sz w:val="20"/>
              </w:rPr>
              <w:t xml:space="preserve">2030 год к</w:t>
            </w:r>
          </w:p>
          <w:p>
            <w:pPr>
              <w:pStyle w:val="0"/>
              <w:jc w:val="center"/>
            </w:pPr>
            <w:r>
              <w:rPr>
                <w:sz w:val="20"/>
              </w:rPr>
              <w:t xml:space="preserve">2025 году</w:t>
            </w:r>
          </w:p>
        </w:tc>
      </w:tr>
      <w:tr>
        <w:tc>
          <w:tcPr>
            <w:tcW w:w="4422" w:type="dxa"/>
            <w:vAlign w:val="center"/>
          </w:tcPr>
          <w:p>
            <w:pPr>
              <w:pStyle w:val="0"/>
            </w:pPr>
            <w:r>
              <w:rPr>
                <w:sz w:val="20"/>
              </w:rPr>
              <w:t xml:space="preserve">Численность занятых в сфере малого и среднего предпринимательства (включая индивидуальных предпринимателей), тыс. человек</w:t>
            </w:r>
          </w:p>
        </w:tc>
        <w:tc>
          <w:tcPr>
            <w:tcW w:w="1077" w:type="dxa"/>
            <w:vAlign w:val="center"/>
          </w:tcPr>
          <w:p>
            <w:pPr>
              <w:pStyle w:val="0"/>
              <w:jc w:val="center"/>
            </w:pPr>
            <w:r>
              <w:rPr>
                <w:sz w:val="20"/>
              </w:rPr>
              <w:t xml:space="preserve">200,2</w:t>
            </w:r>
          </w:p>
        </w:tc>
        <w:tc>
          <w:tcPr>
            <w:tcW w:w="1077" w:type="dxa"/>
            <w:vAlign w:val="center"/>
          </w:tcPr>
          <w:p>
            <w:pPr>
              <w:pStyle w:val="0"/>
              <w:jc w:val="center"/>
            </w:pPr>
            <w:r>
              <w:rPr>
                <w:sz w:val="20"/>
              </w:rPr>
              <w:t xml:space="preserve">215,0</w:t>
            </w:r>
          </w:p>
        </w:tc>
        <w:tc>
          <w:tcPr>
            <w:tcW w:w="1417" w:type="dxa"/>
            <w:vAlign w:val="center"/>
          </w:tcPr>
          <w:p>
            <w:pPr>
              <w:pStyle w:val="0"/>
              <w:jc w:val="center"/>
            </w:pPr>
            <w:r>
              <w:rPr>
                <w:sz w:val="20"/>
              </w:rPr>
              <w:t xml:space="preserve">214,0</w:t>
            </w:r>
          </w:p>
        </w:tc>
        <w:tc>
          <w:tcPr>
            <w:tcW w:w="1077" w:type="dxa"/>
            <w:vAlign w:val="center"/>
          </w:tcPr>
          <w:p>
            <w:pPr>
              <w:pStyle w:val="0"/>
              <w:jc w:val="center"/>
            </w:pPr>
            <w:r>
              <w:rPr>
                <w:sz w:val="20"/>
              </w:rPr>
              <w:t xml:space="preserve">218,0</w:t>
            </w:r>
          </w:p>
        </w:tc>
        <w:tc>
          <w:tcPr>
            <w:tcW w:w="1303" w:type="dxa"/>
            <w:vAlign w:val="center"/>
          </w:tcPr>
          <w:p>
            <w:pPr>
              <w:pStyle w:val="0"/>
              <w:jc w:val="center"/>
            </w:pPr>
            <w:r>
              <w:rPr>
                <w:sz w:val="20"/>
              </w:rPr>
              <w:t xml:space="preserve">249,0</w:t>
            </w:r>
          </w:p>
          <w:p>
            <w:pPr>
              <w:pStyle w:val="0"/>
              <w:jc w:val="center"/>
            </w:pPr>
            <w:r>
              <w:rPr>
                <w:sz w:val="20"/>
              </w:rPr>
              <w:t xml:space="preserve">2022 год</w:t>
            </w:r>
          </w:p>
        </w:tc>
        <w:tc>
          <w:tcPr>
            <w:tcW w:w="1303" w:type="dxa"/>
            <w:vAlign w:val="center"/>
          </w:tcPr>
          <w:p>
            <w:pPr>
              <w:pStyle w:val="0"/>
              <w:jc w:val="center"/>
            </w:pPr>
            <w:r>
              <w:rPr>
                <w:sz w:val="20"/>
              </w:rPr>
              <w:t xml:space="preserve">265,0</w:t>
            </w:r>
          </w:p>
          <w:p>
            <w:pPr>
              <w:pStyle w:val="0"/>
              <w:jc w:val="center"/>
            </w:pPr>
            <w:r>
              <w:rPr>
                <w:sz w:val="20"/>
              </w:rPr>
              <w:t xml:space="preserve">2025 год</w:t>
            </w:r>
          </w:p>
        </w:tc>
        <w:tc>
          <w:tcPr>
            <w:tcW w:w="1303" w:type="dxa"/>
            <w:vAlign w:val="center"/>
          </w:tcPr>
          <w:p>
            <w:pPr>
              <w:pStyle w:val="0"/>
              <w:jc w:val="center"/>
            </w:pPr>
            <w:r>
              <w:rPr>
                <w:sz w:val="20"/>
              </w:rPr>
              <w:t xml:space="preserve">276,0</w:t>
            </w:r>
          </w:p>
          <w:p>
            <w:pPr>
              <w:pStyle w:val="0"/>
              <w:jc w:val="center"/>
            </w:pPr>
            <w:r>
              <w:rPr>
                <w:sz w:val="20"/>
              </w:rPr>
              <w:t xml:space="preserve">2030 год</w:t>
            </w:r>
          </w:p>
        </w:tc>
      </w:tr>
      <w:tr>
        <w:tc>
          <w:tcPr>
            <w:gridSpan w:val="8"/>
            <w:tcW w:w="12979" w:type="dxa"/>
            <w:vAlign w:val="center"/>
          </w:tcPr>
          <w:p>
            <w:pPr>
              <w:pStyle w:val="0"/>
              <w:outlineLvl w:val="5"/>
            </w:pPr>
            <w:r>
              <w:rPr>
                <w:sz w:val="20"/>
              </w:rPr>
              <w:t xml:space="preserve">Цель 2.2. Развитие инноваций и информационных технологий</w:t>
            </w:r>
          </w:p>
        </w:tc>
      </w:tr>
      <w:tr>
        <w:tc>
          <w:tcPr>
            <w:gridSpan w:val="8"/>
            <w:tcW w:w="12979" w:type="dxa"/>
            <w:vAlign w:val="center"/>
          </w:tcPr>
          <w:p>
            <w:pPr>
              <w:pStyle w:val="0"/>
            </w:pPr>
            <w:r>
              <w:rPr>
                <w:sz w:val="20"/>
              </w:rPr>
              <w:t xml:space="preserve">Задача 2.2.1. Культура инноваций</w:t>
            </w:r>
          </w:p>
        </w:tc>
      </w:tr>
      <w:tr>
        <w:tc>
          <w:tcPr>
            <w:gridSpan w:val="8"/>
            <w:tcW w:w="12979" w:type="dxa"/>
            <w:vAlign w:val="center"/>
          </w:tcPr>
          <w:p>
            <w:pPr>
              <w:pStyle w:val="0"/>
            </w:pPr>
            <w:r>
              <w:rPr>
                <w:sz w:val="20"/>
              </w:rPr>
              <w:t xml:space="preserve">Задача 2.2.2. Внедрение инноваций</w:t>
            </w:r>
          </w:p>
        </w:tc>
      </w:tr>
      <w:tr>
        <w:tc>
          <w:tcPr>
            <w:gridSpan w:val="8"/>
            <w:tcW w:w="12979" w:type="dxa"/>
            <w:vAlign w:val="center"/>
          </w:tcPr>
          <w:p>
            <w:pPr>
              <w:pStyle w:val="0"/>
            </w:pPr>
            <w:r>
              <w:rPr>
                <w:sz w:val="20"/>
              </w:rPr>
              <w:t xml:space="preserve">Задача 2.2.3. Развитие отрасли информационных технологий</w:t>
            </w:r>
          </w:p>
        </w:tc>
      </w:tr>
      <w:tr>
        <w:tc>
          <w:tcPr>
            <w:tcW w:w="4422" w:type="dxa"/>
            <w:vAlign w:val="center"/>
          </w:tcPr>
          <w:p>
            <w:pPr>
              <w:pStyle w:val="0"/>
            </w:pPr>
            <w:r>
              <w:rPr>
                <w:sz w:val="20"/>
              </w:rPr>
              <w:t xml:space="preserve">Доля организаций, осуществляющих технологические инновации, в общем количестве обследованных организаций, на конец периода, %</w:t>
            </w:r>
          </w:p>
        </w:tc>
        <w:tc>
          <w:tcPr>
            <w:tcW w:w="1077" w:type="dxa"/>
            <w:vAlign w:val="center"/>
          </w:tcPr>
          <w:p>
            <w:pPr>
              <w:pStyle w:val="0"/>
              <w:jc w:val="center"/>
            </w:pPr>
            <w:r>
              <w:rPr>
                <w:sz w:val="20"/>
              </w:rPr>
              <w:t xml:space="preserve">9,0</w:t>
            </w:r>
          </w:p>
        </w:tc>
        <w:tc>
          <w:tcPr>
            <w:tcW w:w="1077" w:type="dxa"/>
            <w:vAlign w:val="center"/>
          </w:tcPr>
          <w:p>
            <w:pPr>
              <w:pStyle w:val="0"/>
              <w:jc w:val="center"/>
            </w:pPr>
            <w:r>
              <w:rPr>
                <w:sz w:val="20"/>
              </w:rPr>
              <w:t xml:space="preserve">9,0</w:t>
            </w:r>
          </w:p>
        </w:tc>
        <w:tc>
          <w:tcPr>
            <w:tcW w:w="1417" w:type="dxa"/>
            <w:vAlign w:val="center"/>
          </w:tcPr>
          <w:p>
            <w:pPr>
              <w:pStyle w:val="0"/>
              <w:jc w:val="center"/>
            </w:pPr>
            <w:r>
              <w:rPr>
                <w:sz w:val="20"/>
              </w:rPr>
              <w:t xml:space="preserve">27,7</w:t>
            </w:r>
          </w:p>
        </w:tc>
        <w:tc>
          <w:tcPr>
            <w:tcW w:w="1077" w:type="dxa"/>
            <w:vAlign w:val="center"/>
          </w:tcPr>
          <w:p>
            <w:pPr>
              <w:pStyle w:val="0"/>
              <w:jc w:val="center"/>
            </w:pPr>
            <w:r>
              <w:rPr>
                <w:sz w:val="20"/>
              </w:rPr>
              <w:t xml:space="preserve">27,1</w:t>
            </w:r>
          </w:p>
        </w:tc>
        <w:tc>
          <w:tcPr>
            <w:tcW w:w="1303" w:type="dxa"/>
            <w:vAlign w:val="center"/>
          </w:tcPr>
          <w:p>
            <w:pPr>
              <w:pStyle w:val="0"/>
              <w:jc w:val="center"/>
            </w:pPr>
            <w:r>
              <w:rPr>
                <w:sz w:val="20"/>
              </w:rPr>
              <w:t xml:space="preserve">28,8</w:t>
            </w:r>
          </w:p>
          <w:p>
            <w:pPr>
              <w:pStyle w:val="0"/>
              <w:jc w:val="center"/>
            </w:pPr>
            <w:r>
              <w:rPr>
                <w:sz w:val="20"/>
              </w:rPr>
              <w:t xml:space="preserve">2022 год</w:t>
            </w:r>
          </w:p>
        </w:tc>
        <w:tc>
          <w:tcPr>
            <w:tcW w:w="1303" w:type="dxa"/>
            <w:vAlign w:val="center"/>
          </w:tcPr>
          <w:p>
            <w:pPr>
              <w:pStyle w:val="0"/>
              <w:jc w:val="center"/>
            </w:pPr>
            <w:r>
              <w:rPr>
                <w:sz w:val="20"/>
              </w:rPr>
              <w:t xml:space="preserve">30,0</w:t>
            </w:r>
          </w:p>
          <w:p>
            <w:pPr>
              <w:pStyle w:val="0"/>
              <w:jc w:val="center"/>
            </w:pPr>
            <w:r>
              <w:rPr>
                <w:sz w:val="20"/>
              </w:rPr>
              <w:t xml:space="preserve">2025 год</w:t>
            </w:r>
          </w:p>
        </w:tc>
        <w:tc>
          <w:tcPr>
            <w:tcW w:w="1303" w:type="dxa"/>
            <w:vAlign w:val="center"/>
          </w:tcPr>
          <w:p>
            <w:pPr>
              <w:pStyle w:val="0"/>
              <w:jc w:val="center"/>
            </w:pPr>
            <w:r>
              <w:rPr>
                <w:sz w:val="20"/>
              </w:rPr>
              <w:t xml:space="preserve">32,0</w:t>
            </w:r>
          </w:p>
          <w:p>
            <w:pPr>
              <w:pStyle w:val="0"/>
              <w:jc w:val="center"/>
            </w:pPr>
            <w:r>
              <w:rPr>
                <w:sz w:val="20"/>
              </w:rPr>
              <w:t xml:space="preserve">2030 год</w:t>
            </w:r>
          </w:p>
        </w:tc>
      </w:tr>
      <w:tr>
        <w:tc>
          <w:tcPr>
            <w:tcW w:w="4422" w:type="dxa"/>
            <w:vAlign w:val="center"/>
          </w:tcPr>
          <w:p>
            <w:pPr>
              <w:pStyle w:val="0"/>
            </w:pPr>
            <w:r>
              <w:rPr>
                <w:sz w:val="20"/>
              </w:rPr>
              <w:t xml:space="preserve">Рост числа заявок на патенты на изобретения (нарастающим итогом), % к 2018 году</w:t>
            </w:r>
          </w:p>
        </w:tc>
        <w:tc>
          <w:tcPr>
            <w:tcW w:w="1077" w:type="dxa"/>
            <w:vAlign w:val="center"/>
          </w:tcPr>
          <w:p>
            <w:pPr>
              <w:pStyle w:val="0"/>
              <w:jc w:val="center"/>
            </w:pPr>
            <w:r>
              <w:rPr>
                <w:sz w:val="20"/>
              </w:rPr>
              <w:t xml:space="preserve">-</w:t>
            </w:r>
          </w:p>
        </w:tc>
        <w:tc>
          <w:tcPr>
            <w:tcW w:w="1077" w:type="dxa"/>
            <w:vAlign w:val="center"/>
          </w:tcPr>
          <w:p>
            <w:pPr>
              <w:pStyle w:val="0"/>
              <w:jc w:val="center"/>
            </w:pPr>
            <w:r>
              <w:rPr>
                <w:sz w:val="20"/>
              </w:rPr>
              <w:t xml:space="preserve">-</w:t>
            </w:r>
          </w:p>
        </w:tc>
        <w:tc>
          <w:tcPr>
            <w:tcW w:w="1417" w:type="dxa"/>
            <w:vAlign w:val="center"/>
          </w:tcPr>
          <w:p>
            <w:pPr>
              <w:pStyle w:val="0"/>
              <w:jc w:val="center"/>
            </w:pPr>
            <w:r>
              <w:rPr>
                <w:sz w:val="20"/>
              </w:rPr>
              <w:t xml:space="preserve">-</w:t>
            </w:r>
          </w:p>
        </w:tc>
        <w:tc>
          <w:tcPr>
            <w:tcW w:w="1077" w:type="dxa"/>
            <w:vAlign w:val="center"/>
          </w:tcPr>
          <w:p>
            <w:pPr>
              <w:pStyle w:val="0"/>
              <w:jc w:val="center"/>
            </w:pPr>
            <w:r>
              <w:rPr>
                <w:sz w:val="20"/>
              </w:rPr>
              <w:t xml:space="preserve">100</w:t>
            </w:r>
          </w:p>
          <w:p>
            <w:pPr>
              <w:pStyle w:val="0"/>
              <w:jc w:val="center"/>
            </w:pPr>
            <w:r>
              <w:rPr>
                <w:sz w:val="20"/>
              </w:rPr>
              <w:t xml:space="preserve">(117 заявок)</w:t>
            </w:r>
          </w:p>
        </w:tc>
        <w:tc>
          <w:tcPr>
            <w:tcW w:w="1303" w:type="dxa"/>
            <w:vAlign w:val="center"/>
          </w:tcPr>
          <w:p>
            <w:pPr>
              <w:pStyle w:val="0"/>
              <w:jc w:val="center"/>
            </w:pPr>
            <w:r>
              <w:rPr>
                <w:sz w:val="20"/>
              </w:rPr>
              <w:t xml:space="preserve">111,1</w:t>
            </w:r>
          </w:p>
          <w:p>
            <w:pPr>
              <w:pStyle w:val="0"/>
              <w:jc w:val="center"/>
            </w:pPr>
            <w:r>
              <w:rPr>
                <w:sz w:val="20"/>
              </w:rPr>
              <w:t xml:space="preserve">2022 год к</w:t>
            </w:r>
          </w:p>
          <w:p>
            <w:pPr>
              <w:pStyle w:val="0"/>
              <w:jc w:val="center"/>
            </w:pPr>
            <w:r>
              <w:rPr>
                <w:sz w:val="20"/>
              </w:rPr>
              <w:t xml:space="preserve">2018 году</w:t>
            </w:r>
          </w:p>
        </w:tc>
        <w:tc>
          <w:tcPr>
            <w:tcW w:w="1303" w:type="dxa"/>
            <w:vAlign w:val="center"/>
          </w:tcPr>
          <w:p>
            <w:pPr>
              <w:pStyle w:val="0"/>
              <w:jc w:val="center"/>
            </w:pPr>
            <w:r>
              <w:rPr>
                <w:sz w:val="20"/>
              </w:rPr>
              <w:t xml:space="preserve">117,9</w:t>
            </w:r>
          </w:p>
          <w:p>
            <w:pPr>
              <w:pStyle w:val="0"/>
              <w:jc w:val="center"/>
            </w:pPr>
            <w:r>
              <w:rPr>
                <w:sz w:val="20"/>
              </w:rPr>
              <w:t xml:space="preserve">2025 год к 2018 году</w:t>
            </w:r>
          </w:p>
        </w:tc>
        <w:tc>
          <w:tcPr>
            <w:tcW w:w="1303" w:type="dxa"/>
            <w:vAlign w:val="center"/>
          </w:tcPr>
          <w:p>
            <w:pPr>
              <w:pStyle w:val="0"/>
              <w:jc w:val="center"/>
            </w:pPr>
            <w:r>
              <w:rPr>
                <w:sz w:val="20"/>
              </w:rPr>
              <w:t xml:space="preserve">129,9</w:t>
            </w:r>
          </w:p>
          <w:p>
            <w:pPr>
              <w:pStyle w:val="0"/>
              <w:jc w:val="center"/>
            </w:pPr>
            <w:r>
              <w:rPr>
                <w:sz w:val="20"/>
              </w:rPr>
              <w:t xml:space="preserve">2030 год к</w:t>
            </w:r>
          </w:p>
          <w:p>
            <w:pPr>
              <w:pStyle w:val="0"/>
              <w:jc w:val="center"/>
            </w:pPr>
            <w:r>
              <w:rPr>
                <w:sz w:val="20"/>
              </w:rPr>
              <w:t xml:space="preserve">2018 году</w:t>
            </w:r>
          </w:p>
        </w:tc>
      </w:tr>
      <w:tr>
        <w:tc>
          <w:tcPr>
            <w:tcW w:w="4422" w:type="dxa"/>
            <w:vAlign w:val="center"/>
          </w:tcPr>
          <w:p>
            <w:pPr>
              <w:pStyle w:val="0"/>
            </w:pPr>
            <w:r>
              <w:rPr>
                <w:sz w:val="20"/>
              </w:rPr>
              <w:t xml:space="preserve">Количество ИТ-компаний Тюменской области, получивших государственную аккредитацию в Минкомсвязи России, единиц</w:t>
            </w:r>
          </w:p>
        </w:tc>
        <w:tc>
          <w:tcPr>
            <w:tcW w:w="1077" w:type="dxa"/>
            <w:vAlign w:val="center"/>
          </w:tcPr>
          <w:p>
            <w:pPr>
              <w:pStyle w:val="0"/>
              <w:jc w:val="center"/>
            </w:pPr>
            <w:r>
              <w:rPr>
                <w:sz w:val="20"/>
              </w:rPr>
              <w:t xml:space="preserve">-</w:t>
            </w:r>
          </w:p>
        </w:tc>
        <w:tc>
          <w:tcPr>
            <w:tcW w:w="1077" w:type="dxa"/>
            <w:vAlign w:val="center"/>
          </w:tcPr>
          <w:p>
            <w:pPr>
              <w:pStyle w:val="0"/>
              <w:jc w:val="center"/>
            </w:pPr>
            <w:r>
              <w:rPr>
                <w:sz w:val="20"/>
              </w:rPr>
              <w:t xml:space="preserve">39</w:t>
            </w:r>
          </w:p>
        </w:tc>
        <w:tc>
          <w:tcPr>
            <w:tcW w:w="1417" w:type="dxa"/>
            <w:vAlign w:val="center"/>
          </w:tcPr>
          <w:p>
            <w:pPr>
              <w:pStyle w:val="0"/>
              <w:jc w:val="center"/>
            </w:pPr>
            <w:r>
              <w:rPr>
                <w:sz w:val="20"/>
              </w:rPr>
              <w:t xml:space="preserve">80</w:t>
            </w:r>
          </w:p>
        </w:tc>
        <w:tc>
          <w:tcPr>
            <w:tcW w:w="1077" w:type="dxa"/>
            <w:vAlign w:val="center"/>
          </w:tcPr>
          <w:p>
            <w:pPr>
              <w:pStyle w:val="0"/>
              <w:jc w:val="center"/>
            </w:pPr>
            <w:r>
              <w:rPr>
                <w:sz w:val="20"/>
              </w:rPr>
              <w:t xml:space="preserve">96</w:t>
            </w:r>
          </w:p>
        </w:tc>
        <w:tc>
          <w:tcPr>
            <w:tcW w:w="1303" w:type="dxa"/>
            <w:vAlign w:val="center"/>
          </w:tcPr>
          <w:p>
            <w:pPr>
              <w:pStyle w:val="0"/>
              <w:jc w:val="center"/>
            </w:pPr>
            <w:r>
              <w:rPr>
                <w:sz w:val="20"/>
              </w:rPr>
              <w:t xml:space="preserve">138</w:t>
            </w:r>
          </w:p>
          <w:p>
            <w:pPr>
              <w:pStyle w:val="0"/>
              <w:jc w:val="center"/>
            </w:pPr>
            <w:r>
              <w:rPr>
                <w:sz w:val="20"/>
              </w:rPr>
              <w:t xml:space="preserve">2022 год</w:t>
            </w:r>
          </w:p>
        </w:tc>
        <w:tc>
          <w:tcPr>
            <w:tcW w:w="1303" w:type="dxa"/>
            <w:vAlign w:val="center"/>
          </w:tcPr>
          <w:p>
            <w:pPr>
              <w:pStyle w:val="0"/>
              <w:jc w:val="center"/>
            </w:pPr>
            <w:r>
              <w:rPr>
                <w:sz w:val="20"/>
              </w:rPr>
              <w:t xml:space="preserve">153</w:t>
            </w:r>
          </w:p>
          <w:p>
            <w:pPr>
              <w:pStyle w:val="0"/>
              <w:jc w:val="center"/>
            </w:pPr>
            <w:r>
              <w:rPr>
                <w:sz w:val="20"/>
              </w:rPr>
              <w:t xml:space="preserve">2025 год</w:t>
            </w:r>
          </w:p>
        </w:tc>
        <w:tc>
          <w:tcPr>
            <w:tcW w:w="1303" w:type="dxa"/>
            <w:vAlign w:val="center"/>
          </w:tcPr>
          <w:p>
            <w:pPr>
              <w:pStyle w:val="0"/>
              <w:jc w:val="center"/>
            </w:pPr>
            <w:r>
              <w:rPr>
                <w:sz w:val="20"/>
              </w:rPr>
              <w:t xml:space="preserve">178</w:t>
            </w:r>
          </w:p>
          <w:p>
            <w:pPr>
              <w:pStyle w:val="0"/>
              <w:jc w:val="center"/>
            </w:pPr>
            <w:r>
              <w:rPr>
                <w:sz w:val="20"/>
              </w:rPr>
              <w:t xml:space="preserve">2030 год</w:t>
            </w:r>
          </w:p>
        </w:tc>
      </w:tr>
      <w:tr>
        <w:tc>
          <w:tcPr>
            <w:gridSpan w:val="8"/>
            <w:tcW w:w="12979" w:type="dxa"/>
            <w:vAlign w:val="center"/>
          </w:tcPr>
          <w:p>
            <w:pPr>
              <w:pStyle w:val="0"/>
              <w:outlineLvl w:val="5"/>
            </w:pPr>
            <w:r>
              <w:rPr>
                <w:sz w:val="20"/>
              </w:rPr>
              <w:t xml:space="preserve">Цель 2.3. Рациональное природопользование</w:t>
            </w:r>
          </w:p>
        </w:tc>
      </w:tr>
      <w:tr>
        <w:tc>
          <w:tcPr>
            <w:gridSpan w:val="8"/>
            <w:tcW w:w="12979" w:type="dxa"/>
            <w:vAlign w:val="center"/>
          </w:tcPr>
          <w:p>
            <w:pPr>
              <w:pStyle w:val="0"/>
            </w:pPr>
            <w:r>
              <w:rPr>
                <w:sz w:val="20"/>
              </w:rPr>
              <w:t xml:space="preserve">Задача 2.3.1. Экологическое воспитание</w:t>
            </w:r>
          </w:p>
        </w:tc>
      </w:tr>
      <w:tr>
        <w:tc>
          <w:tcPr>
            <w:gridSpan w:val="8"/>
            <w:tcW w:w="12979" w:type="dxa"/>
            <w:vAlign w:val="center"/>
          </w:tcPr>
          <w:p>
            <w:pPr>
              <w:pStyle w:val="0"/>
            </w:pPr>
            <w:r>
              <w:rPr>
                <w:sz w:val="20"/>
              </w:rPr>
              <w:t xml:space="preserve">Задача 2.3.2. Экология природной среды, экология человека</w:t>
            </w:r>
          </w:p>
        </w:tc>
      </w:tr>
      <w:tr>
        <w:tc>
          <w:tcPr>
            <w:gridSpan w:val="8"/>
            <w:tcW w:w="12979" w:type="dxa"/>
            <w:vAlign w:val="center"/>
          </w:tcPr>
          <w:p>
            <w:pPr>
              <w:pStyle w:val="0"/>
            </w:pPr>
            <w:r>
              <w:rPr>
                <w:sz w:val="20"/>
              </w:rPr>
              <w:t xml:space="preserve">Задача 2.3.3. Экология производства, экобизнес</w:t>
            </w:r>
          </w:p>
        </w:tc>
      </w:tr>
      <w:tr>
        <w:tc>
          <w:tcPr>
            <w:tcW w:w="4422" w:type="dxa"/>
            <w:vAlign w:val="center"/>
          </w:tcPr>
          <w:p>
            <w:pPr>
              <w:pStyle w:val="0"/>
            </w:pPr>
            <w:r>
              <w:rPr>
                <w:sz w:val="20"/>
              </w:rPr>
              <w:t xml:space="preserve">Доля особо охраняемых природных территорий, состояние которых соответствует целевому назначению и установленному режиму охраны, % от общей площади ООПТ регионального значения</w:t>
            </w:r>
          </w:p>
        </w:tc>
        <w:tc>
          <w:tcPr>
            <w:tcW w:w="1077" w:type="dxa"/>
            <w:vAlign w:val="center"/>
          </w:tcPr>
          <w:p>
            <w:pPr>
              <w:pStyle w:val="0"/>
              <w:jc w:val="center"/>
            </w:pPr>
            <w:r>
              <w:rPr>
                <w:sz w:val="20"/>
              </w:rPr>
              <w:t xml:space="preserve">100</w:t>
            </w:r>
          </w:p>
        </w:tc>
        <w:tc>
          <w:tcPr>
            <w:tcW w:w="1077" w:type="dxa"/>
            <w:vAlign w:val="center"/>
          </w:tcPr>
          <w:p>
            <w:pPr>
              <w:pStyle w:val="0"/>
              <w:jc w:val="center"/>
            </w:pPr>
            <w:r>
              <w:rPr>
                <w:sz w:val="20"/>
              </w:rPr>
              <w:t xml:space="preserve">100</w:t>
            </w:r>
          </w:p>
        </w:tc>
        <w:tc>
          <w:tcPr>
            <w:tcW w:w="1417" w:type="dxa"/>
            <w:vAlign w:val="center"/>
          </w:tcPr>
          <w:p>
            <w:pPr>
              <w:pStyle w:val="0"/>
              <w:jc w:val="center"/>
            </w:pPr>
            <w:r>
              <w:rPr>
                <w:sz w:val="20"/>
              </w:rPr>
              <w:t xml:space="preserve">100</w:t>
            </w:r>
          </w:p>
        </w:tc>
        <w:tc>
          <w:tcPr>
            <w:tcW w:w="1077" w:type="dxa"/>
            <w:vAlign w:val="center"/>
          </w:tcPr>
          <w:p>
            <w:pPr>
              <w:pStyle w:val="0"/>
              <w:jc w:val="center"/>
            </w:pPr>
            <w:r>
              <w:rPr>
                <w:sz w:val="20"/>
              </w:rPr>
              <w:t xml:space="preserve">100</w:t>
            </w:r>
          </w:p>
        </w:tc>
        <w:tc>
          <w:tcPr>
            <w:tcW w:w="1303" w:type="dxa"/>
            <w:vAlign w:val="center"/>
          </w:tcPr>
          <w:p>
            <w:pPr>
              <w:pStyle w:val="0"/>
              <w:jc w:val="center"/>
            </w:pPr>
            <w:r>
              <w:rPr>
                <w:sz w:val="20"/>
              </w:rPr>
              <w:t xml:space="preserve">100</w:t>
            </w:r>
          </w:p>
          <w:p>
            <w:pPr>
              <w:pStyle w:val="0"/>
              <w:jc w:val="center"/>
            </w:pPr>
            <w:r>
              <w:rPr>
                <w:sz w:val="20"/>
              </w:rPr>
              <w:t xml:space="preserve">2022 год</w:t>
            </w:r>
          </w:p>
        </w:tc>
        <w:tc>
          <w:tcPr>
            <w:tcW w:w="1303" w:type="dxa"/>
            <w:vAlign w:val="center"/>
          </w:tcPr>
          <w:p>
            <w:pPr>
              <w:pStyle w:val="0"/>
              <w:jc w:val="center"/>
            </w:pPr>
            <w:r>
              <w:rPr>
                <w:sz w:val="20"/>
              </w:rPr>
              <w:t xml:space="preserve">100</w:t>
            </w:r>
          </w:p>
          <w:p>
            <w:pPr>
              <w:pStyle w:val="0"/>
              <w:jc w:val="center"/>
            </w:pPr>
            <w:r>
              <w:rPr>
                <w:sz w:val="20"/>
              </w:rPr>
              <w:t xml:space="preserve">2025 год</w:t>
            </w:r>
          </w:p>
        </w:tc>
        <w:tc>
          <w:tcPr>
            <w:tcW w:w="1303" w:type="dxa"/>
            <w:vAlign w:val="center"/>
          </w:tcPr>
          <w:p>
            <w:pPr>
              <w:pStyle w:val="0"/>
              <w:jc w:val="center"/>
            </w:pPr>
            <w:r>
              <w:rPr>
                <w:sz w:val="20"/>
              </w:rPr>
              <w:t xml:space="preserve">100</w:t>
            </w:r>
          </w:p>
          <w:p>
            <w:pPr>
              <w:pStyle w:val="0"/>
              <w:jc w:val="center"/>
            </w:pPr>
            <w:r>
              <w:rPr>
                <w:sz w:val="20"/>
              </w:rPr>
              <w:t xml:space="preserve">2030 год</w:t>
            </w:r>
          </w:p>
        </w:tc>
      </w:tr>
      <w:tr>
        <w:tc>
          <w:tcPr>
            <w:tcW w:w="4422" w:type="dxa"/>
            <w:vAlign w:val="center"/>
          </w:tcPr>
          <w:p>
            <w:pPr>
              <w:pStyle w:val="0"/>
            </w:pPr>
            <w:r>
              <w:rPr>
                <w:sz w:val="20"/>
              </w:rPr>
              <w:t xml:space="preserve">Отношение площади лесовосстановления и лесоразведения к площади вырубленных и погибших лесных насаждений, %</w:t>
            </w:r>
          </w:p>
        </w:tc>
        <w:tc>
          <w:tcPr>
            <w:tcW w:w="1077" w:type="dxa"/>
            <w:vAlign w:val="center"/>
          </w:tcPr>
          <w:p>
            <w:pPr>
              <w:pStyle w:val="0"/>
              <w:jc w:val="center"/>
            </w:pPr>
            <w:r>
              <w:rPr>
                <w:sz w:val="20"/>
              </w:rPr>
              <w:t xml:space="preserve">63</w:t>
            </w:r>
          </w:p>
        </w:tc>
        <w:tc>
          <w:tcPr>
            <w:tcW w:w="1077" w:type="dxa"/>
            <w:vAlign w:val="center"/>
          </w:tcPr>
          <w:p>
            <w:pPr>
              <w:pStyle w:val="0"/>
              <w:jc w:val="center"/>
            </w:pPr>
            <w:r>
              <w:rPr>
                <w:sz w:val="20"/>
              </w:rPr>
              <w:t xml:space="preserve">55</w:t>
            </w:r>
          </w:p>
        </w:tc>
        <w:tc>
          <w:tcPr>
            <w:tcW w:w="1417" w:type="dxa"/>
            <w:vAlign w:val="center"/>
          </w:tcPr>
          <w:p>
            <w:pPr>
              <w:pStyle w:val="0"/>
              <w:jc w:val="center"/>
            </w:pPr>
            <w:r>
              <w:rPr>
                <w:sz w:val="20"/>
              </w:rPr>
              <w:t xml:space="preserve">75</w:t>
            </w:r>
          </w:p>
        </w:tc>
        <w:tc>
          <w:tcPr>
            <w:tcW w:w="1077" w:type="dxa"/>
            <w:vAlign w:val="center"/>
          </w:tcPr>
          <w:p>
            <w:pPr>
              <w:pStyle w:val="0"/>
              <w:jc w:val="center"/>
            </w:pPr>
            <w:r>
              <w:rPr>
                <w:sz w:val="20"/>
              </w:rPr>
              <w:t xml:space="preserve">62,3</w:t>
            </w:r>
          </w:p>
        </w:tc>
        <w:tc>
          <w:tcPr>
            <w:tcW w:w="1303" w:type="dxa"/>
            <w:vAlign w:val="center"/>
          </w:tcPr>
          <w:p>
            <w:pPr>
              <w:pStyle w:val="0"/>
              <w:jc w:val="center"/>
            </w:pPr>
            <w:r>
              <w:rPr>
                <w:sz w:val="20"/>
              </w:rPr>
              <w:t xml:space="preserve">85,6</w:t>
            </w:r>
          </w:p>
          <w:p>
            <w:pPr>
              <w:pStyle w:val="0"/>
              <w:jc w:val="center"/>
            </w:pPr>
            <w:r>
              <w:rPr>
                <w:sz w:val="20"/>
              </w:rPr>
              <w:t xml:space="preserve">2022 год</w:t>
            </w:r>
          </w:p>
        </w:tc>
        <w:tc>
          <w:tcPr>
            <w:tcW w:w="1303" w:type="dxa"/>
            <w:vAlign w:val="center"/>
          </w:tcPr>
          <w:p>
            <w:pPr>
              <w:pStyle w:val="0"/>
              <w:jc w:val="center"/>
            </w:pPr>
            <w:r>
              <w:rPr>
                <w:sz w:val="20"/>
              </w:rPr>
              <w:t xml:space="preserve">100</w:t>
            </w:r>
          </w:p>
          <w:p>
            <w:pPr>
              <w:pStyle w:val="0"/>
              <w:jc w:val="center"/>
            </w:pPr>
            <w:r>
              <w:rPr>
                <w:sz w:val="20"/>
              </w:rPr>
              <w:t xml:space="preserve">2025 год</w:t>
            </w:r>
          </w:p>
        </w:tc>
        <w:tc>
          <w:tcPr>
            <w:tcW w:w="1303" w:type="dxa"/>
            <w:vAlign w:val="center"/>
          </w:tcPr>
          <w:p>
            <w:pPr>
              <w:pStyle w:val="0"/>
              <w:jc w:val="center"/>
            </w:pPr>
            <w:r>
              <w:rPr>
                <w:sz w:val="20"/>
              </w:rPr>
              <w:t xml:space="preserve">100</w:t>
            </w:r>
          </w:p>
          <w:p>
            <w:pPr>
              <w:pStyle w:val="0"/>
              <w:jc w:val="center"/>
            </w:pPr>
            <w:r>
              <w:rPr>
                <w:sz w:val="20"/>
              </w:rPr>
              <w:t xml:space="preserve">2030 год</w:t>
            </w:r>
          </w:p>
        </w:tc>
      </w:tr>
      <w:tr>
        <w:tc>
          <w:tcPr>
            <w:tcW w:w="4422" w:type="dxa"/>
            <w:vAlign w:val="center"/>
          </w:tcPr>
          <w:p>
            <w:pPr>
              <w:pStyle w:val="0"/>
            </w:pPr>
            <w:r>
              <w:rPr>
                <w:sz w:val="20"/>
              </w:rPr>
              <w:t xml:space="preserve">Доля обезвреженных и утилизированных отходов производства и потребления в общем количестве образующихся отходов, %</w:t>
            </w:r>
          </w:p>
        </w:tc>
        <w:tc>
          <w:tcPr>
            <w:tcW w:w="1077" w:type="dxa"/>
            <w:vAlign w:val="center"/>
          </w:tcPr>
          <w:p>
            <w:pPr>
              <w:pStyle w:val="0"/>
              <w:jc w:val="center"/>
            </w:pPr>
            <w:r>
              <w:rPr>
                <w:sz w:val="20"/>
              </w:rPr>
              <w:t xml:space="preserve">69,4</w:t>
            </w:r>
          </w:p>
        </w:tc>
        <w:tc>
          <w:tcPr>
            <w:tcW w:w="1077" w:type="dxa"/>
            <w:vAlign w:val="center"/>
          </w:tcPr>
          <w:p>
            <w:pPr>
              <w:pStyle w:val="0"/>
              <w:jc w:val="center"/>
            </w:pPr>
            <w:r>
              <w:rPr>
                <w:sz w:val="20"/>
              </w:rPr>
              <w:t xml:space="preserve">73,2</w:t>
            </w:r>
          </w:p>
        </w:tc>
        <w:tc>
          <w:tcPr>
            <w:tcW w:w="1417" w:type="dxa"/>
            <w:vAlign w:val="center"/>
          </w:tcPr>
          <w:p>
            <w:pPr>
              <w:pStyle w:val="0"/>
              <w:jc w:val="center"/>
            </w:pPr>
            <w:r>
              <w:rPr>
                <w:sz w:val="20"/>
              </w:rPr>
              <w:t xml:space="preserve">72,5</w:t>
            </w:r>
          </w:p>
        </w:tc>
        <w:tc>
          <w:tcPr>
            <w:tcW w:w="1077" w:type="dxa"/>
            <w:vAlign w:val="center"/>
          </w:tcPr>
          <w:p>
            <w:pPr>
              <w:pStyle w:val="0"/>
              <w:jc w:val="center"/>
            </w:pPr>
            <w:r>
              <w:rPr>
                <w:sz w:val="20"/>
              </w:rPr>
              <w:t xml:space="preserve">74,3</w:t>
            </w:r>
          </w:p>
        </w:tc>
        <w:tc>
          <w:tcPr>
            <w:tcW w:w="1303" w:type="dxa"/>
            <w:vAlign w:val="center"/>
          </w:tcPr>
          <w:p>
            <w:pPr>
              <w:pStyle w:val="0"/>
              <w:jc w:val="center"/>
            </w:pPr>
            <w:r>
              <w:rPr>
                <w:sz w:val="20"/>
              </w:rPr>
              <w:t xml:space="preserve">81,3</w:t>
            </w:r>
          </w:p>
          <w:p>
            <w:pPr>
              <w:pStyle w:val="0"/>
              <w:jc w:val="center"/>
            </w:pPr>
            <w:r>
              <w:rPr>
                <w:sz w:val="20"/>
              </w:rPr>
              <w:t xml:space="preserve">2022 год</w:t>
            </w:r>
          </w:p>
        </w:tc>
        <w:tc>
          <w:tcPr>
            <w:tcW w:w="1303" w:type="dxa"/>
            <w:vAlign w:val="center"/>
          </w:tcPr>
          <w:p>
            <w:pPr>
              <w:pStyle w:val="0"/>
              <w:jc w:val="center"/>
            </w:pPr>
            <w:r>
              <w:rPr>
                <w:sz w:val="20"/>
              </w:rPr>
              <w:t xml:space="preserve">85,6</w:t>
            </w:r>
          </w:p>
          <w:p>
            <w:pPr>
              <w:pStyle w:val="0"/>
              <w:jc w:val="center"/>
            </w:pPr>
            <w:r>
              <w:rPr>
                <w:sz w:val="20"/>
              </w:rPr>
              <w:t xml:space="preserve">2025 год</w:t>
            </w:r>
          </w:p>
        </w:tc>
        <w:tc>
          <w:tcPr>
            <w:tcW w:w="1303" w:type="dxa"/>
            <w:vAlign w:val="center"/>
          </w:tcPr>
          <w:p>
            <w:pPr>
              <w:pStyle w:val="0"/>
              <w:jc w:val="center"/>
            </w:pPr>
            <w:r>
              <w:rPr>
                <w:sz w:val="20"/>
              </w:rPr>
              <w:t xml:space="preserve">90</w:t>
            </w:r>
          </w:p>
          <w:p>
            <w:pPr>
              <w:pStyle w:val="0"/>
              <w:jc w:val="center"/>
            </w:pPr>
            <w:r>
              <w:rPr>
                <w:sz w:val="20"/>
              </w:rPr>
              <w:t xml:space="preserve">2030 год</w:t>
            </w:r>
          </w:p>
        </w:tc>
      </w:tr>
      <w:tr>
        <w:tc>
          <w:tcPr>
            <w:tcW w:w="4422" w:type="dxa"/>
            <w:vAlign w:val="center"/>
          </w:tcPr>
          <w:p>
            <w:pPr>
              <w:pStyle w:val="0"/>
            </w:pPr>
            <w:r>
              <w:rPr>
                <w:sz w:val="20"/>
              </w:rPr>
              <w:t xml:space="preserve">Доля утилизированных твердых коммунальных отходов в общем количестве образующихся отходов, всего, %</w:t>
            </w:r>
          </w:p>
        </w:tc>
        <w:tc>
          <w:tcPr>
            <w:tcW w:w="1077" w:type="dxa"/>
            <w:vAlign w:val="center"/>
          </w:tcPr>
          <w:p>
            <w:pPr>
              <w:pStyle w:val="0"/>
              <w:jc w:val="center"/>
            </w:pPr>
            <w:r>
              <w:rPr>
                <w:sz w:val="20"/>
              </w:rPr>
              <w:t xml:space="preserve">-</w:t>
            </w:r>
          </w:p>
        </w:tc>
        <w:tc>
          <w:tcPr>
            <w:tcW w:w="1077" w:type="dxa"/>
            <w:vAlign w:val="center"/>
          </w:tcPr>
          <w:p>
            <w:pPr>
              <w:pStyle w:val="0"/>
              <w:jc w:val="center"/>
            </w:pPr>
            <w:r>
              <w:rPr>
                <w:sz w:val="20"/>
              </w:rPr>
              <w:t xml:space="preserve">-</w:t>
            </w:r>
          </w:p>
        </w:tc>
        <w:tc>
          <w:tcPr>
            <w:tcW w:w="1417" w:type="dxa"/>
            <w:vAlign w:val="center"/>
          </w:tcPr>
          <w:p>
            <w:pPr>
              <w:pStyle w:val="0"/>
              <w:jc w:val="center"/>
            </w:pPr>
            <w:r>
              <w:rPr>
                <w:sz w:val="20"/>
              </w:rPr>
              <w:t xml:space="preserve">-</w:t>
            </w:r>
          </w:p>
        </w:tc>
        <w:tc>
          <w:tcPr>
            <w:tcW w:w="1077" w:type="dxa"/>
            <w:vAlign w:val="center"/>
          </w:tcPr>
          <w:p>
            <w:pPr>
              <w:pStyle w:val="0"/>
              <w:jc w:val="center"/>
            </w:pPr>
            <w:r>
              <w:rPr>
                <w:sz w:val="20"/>
              </w:rPr>
              <w:t xml:space="preserve">-</w:t>
            </w:r>
          </w:p>
        </w:tc>
        <w:tc>
          <w:tcPr>
            <w:tcW w:w="1303" w:type="dxa"/>
            <w:vAlign w:val="center"/>
          </w:tcPr>
          <w:p>
            <w:pPr>
              <w:pStyle w:val="0"/>
              <w:jc w:val="center"/>
            </w:pPr>
            <w:r>
              <w:rPr>
                <w:sz w:val="20"/>
              </w:rPr>
              <w:t xml:space="preserve">37,1</w:t>
            </w:r>
          </w:p>
          <w:p>
            <w:pPr>
              <w:pStyle w:val="0"/>
              <w:jc w:val="center"/>
            </w:pPr>
            <w:r>
              <w:rPr>
                <w:sz w:val="20"/>
              </w:rPr>
              <w:t xml:space="preserve">2022 год</w:t>
            </w:r>
          </w:p>
        </w:tc>
        <w:tc>
          <w:tcPr>
            <w:tcW w:w="1303" w:type="dxa"/>
            <w:vAlign w:val="center"/>
          </w:tcPr>
          <w:p>
            <w:pPr>
              <w:pStyle w:val="0"/>
              <w:jc w:val="center"/>
            </w:pPr>
            <w:r>
              <w:rPr>
                <w:sz w:val="20"/>
              </w:rPr>
              <w:t xml:space="preserve">38,8</w:t>
            </w:r>
          </w:p>
          <w:p>
            <w:pPr>
              <w:pStyle w:val="0"/>
              <w:jc w:val="center"/>
            </w:pPr>
            <w:r>
              <w:rPr>
                <w:sz w:val="20"/>
              </w:rPr>
              <w:t xml:space="preserve">2022 год</w:t>
            </w:r>
          </w:p>
        </w:tc>
        <w:tc>
          <w:tcPr>
            <w:tcW w:w="1303" w:type="dxa"/>
            <w:vAlign w:val="center"/>
          </w:tcPr>
          <w:p>
            <w:pPr>
              <w:pStyle w:val="0"/>
              <w:jc w:val="center"/>
            </w:pPr>
            <w:r>
              <w:rPr>
                <w:sz w:val="20"/>
              </w:rPr>
              <w:t xml:space="preserve">41,0</w:t>
            </w:r>
          </w:p>
          <w:p>
            <w:pPr>
              <w:pStyle w:val="0"/>
              <w:jc w:val="center"/>
            </w:pPr>
            <w:r>
              <w:rPr>
                <w:sz w:val="20"/>
              </w:rPr>
              <w:t xml:space="preserve">2030 год</w:t>
            </w:r>
          </w:p>
        </w:tc>
      </w:tr>
      <w:tr>
        <w:tc>
          <w:tcPr>
            <w:tcW w:w="4422" w:type="dxa"/>
            <w:vAlign w:val="center"/>
          </w:tcPr>
          <w:p>
            <w:pPr>
              <w:pStyle w:val="0"/>
            </w:pPr>
            <w:r>
              <w:rPr>
                <w:sz w:val="20"/>
              </w:rPr>
              <w:t xml:space="preserve">Доля населения, обеспеченного качественной питьевой водой, %</w:t>
            </w:r>
          </w:p>
        </w:tc>
        <w:tc>
          <w:tcPr>
            <w:tcW w:w="1077" w:type="dxa"/>
            <w:vAlign w:val="center"/>
          </w:tcPr>
          <w:p>
            <w:pPr>
              <w:pStyle w:val="0"/>
              <w:jc w:val="center"/>
            </w:pPr>
            <w:r>
              <w:rPr>
                <w:sz w:val="20"/>
              </w:rPr>
              <w:t xml:space="preserve">87,00</w:t>
            </w:r>
          </w:p>
        </w:tc>
        <w:tc>
          <w:tcPr>
            <w:tcW w:w="1077" w:type="dxa"/>
            <w:vAlign w:val="center"/>
          </w:tcPr>
          <w:p>
            <w:pPr>
              <w:pStyle w:val="0"/>
              <w:jc w:val="center"/>
            </w:pPr>
            <w:r>
              <w:rPr>
                <w:sz w:val="20"/>
              </w:rPr>
              <w:t xml:space="preserve">87,10</w:t>
            </w:r>
          </w:p>
        </w:tc>
        <w:tc>
          <w:tcPr>
            <w:tcW w:w="1417" w:type="dxa"/>
            <w:vAlign w:val="center"/>
          </w:tcPr>
          <w:p>
            <w:pPr>
              <w:pStyle w:val="0"/>
              <w:jc w:val="center"/>
            </w:pPr>
            <w:r>
              <w:rPr>
                <w:sz w:val="20"/>
              </w:rPr>
              <w:t xml:space="preserve">87,30</w:t>
            </w:r>
          </w:p>
        </w:tc>
        <w:tc>
          <w:tcPr>
            <w:tcW w:w="1077" w:type="dxa"/>
            <w:vAlign w:val="center"/>
          </w:tcPr>
          <w:p>
            <w:pPr>
              <w:pStyle w:val="0"/>
              <w:jc w:val="center"/>
            </w:pPr>
            <w:r>
              <w:rPr>
                <w:sz w:val="20"/>
              </w:rPr>
              <w:t xml:space="preserve">88,20</w:t>
            </w:r>
          </w:p>
        </w:tc>
        <w:tc>
          <w:tcPr>
            <w:tcW w:w="1303" w:type="dxa"/>
            <w:vAlign w:val="center"/>
          </w:tcPr>
          <w:p>
            <w:pPr>
              <w:pStyle w:val="0"/>
              <w:jc w:val="center"/>
            </w:pPr>
            <w:r>
              <w:rPr>
                <w:sz w:val="20"/>
              </w:rPr>
              <w:t xml:space="preserve">92,4</w:t>
            </w:r>
          </w:p>
          <w:p>
            <w:pPr>
              <w:pStyle w:val="0"/>
              <w:jc w:val="center"/>
            </w:pPr>
            <w:r>
              <w:rPr>
                <w:sz w:val="20"/>
              </w:rPr>
              <w:t xml:space="preserve">2022 год</w:t>
            </w:r>
          </w:p>
        </w:tc>
        <w:tc>
          <w:tcPr>
            <w:tcW w:w="1303" w:type="dxa"/>
            <w:vAlign w:val="center"/>
          </w:tcPr>
          <w:p>
            <w:pPr>
              <w:pStyle w:val="0"/>
              <w:jc w:val="center"/>
            </w:pPr>
            <w:r>
              <w:rPr>
                <w:sz w:val="20"/>
              </w:rPr>
              <w:t xml:space="preserve">98,5</w:t>
            </w:r>
          </w:p>
          <w:p>
            <w:pPr>
              <w:pStyle w:val="0"/>
              <w:jc w:val="center"/>
            </w:pPr>
            <w:r>
              <w:rPr>
                <w:sz w:val="20"/>
              </w:rPr>
              <w:t xml:space="preserve">2025 год</w:t>
            </w:r>
          </w:p>
        </w:tc>
        <w:tc>
          <w:tcPr>
            <w:tcW w:w="1303" w:type="dxa"/>
            <w:vAlign w:val="center"/>
          </w:tcPr>
          <w:p>
            <w:pPr>
              <w:pStyle w:val="0"/>
              <w:jc w:val="center"/>
            </w:pPr>
            <w:r>
              <w:rPr>
                <w:sz w:val="20"/>
              </w:rPr>
              <w:t xml:space="preserve">99,0</w:t>
            </w:r>
          </w:p>
          <w:p>
            <w:pPr>
              <w:pStyle w:val="0"/>
              <w:jc w:val="center"/>
            </w:pPr>
            <w:r>
              <w:rPr>
                <w:sz w:val="20"/>
              </w:rPr>
              <w:t xml:space="preserve">2030 год</w:t>
            </w:r>
          </w:p>
        </w:tc>
      </w:tr>
      <w:tr>
        <w:tc>
          <w:tcPr>
            <w:tcW w:w="4422" w:type="dxa"/>
            <w:vAlign w:val="center"/>
          </w:tcPr>
          <w:p>
            <w:pPr>
              <w:pStyle w:val="0"/>
            </w:pPr>
            <w:r>
              <w:rPr>
                <w:sz w:val="20"/>
              </w:rPr>
              <w:t xml:space="preserve">Удельный расход тепловой энергии в многоквартирных домах, Гкал/кв. м</w:t>
            </w:r>
          </w:p>
        </w:tc>
        <w:tc>
          <w:tcPr>
            <w:tcW w:w="1077" w:type="dxa"/>
            <w:vAlign w:val="center"/>
          </w:tcPr>
          <w:p>
            <w:pPr>
              <w:pStyle w:val="0"/>
              <w:jc w:val="center"/>
            </w:pPr>
            <w:r>
              <w:rPr>
                <w:sz w:val="20"/>
              </w:rPr>
              <w:t xml:space="preserve">0,233</w:t>
            </w:r>
          </w:p>
        </w:tc>
        <w:tc>
          <w:tcPr>
            <w:tcW w:w="1077" w:type="dxa"/>
            <w:vAlign w:val="center"/>
          </w:tcPr>
          <w:p>
            <w:pPr>
              <w:pStyle w:val="0"/>
              <w:jc w:val="center"/>
            </w:pPr>
            <w:r>
              <w:rPr>
                <w:sz w:val="20"/>
              </w:rPr>
              <w:t xml:space="preserve">0,227</w:t>
            </w:r>
          </w:p>
        </w:tc>
        <w:tc>
          <w:tcPr>
            <w:tcW w:w="1417" w:type="dxa"/>
            <w:vAlign w:val="center"/>
          </w:tcPr>
          <w:p>
            <w:pPr>
              <w:pStyle w:val="0"/>
              <w:jc w:val="center"/>
            </w:pPr>
            <w:r>
              <w:rPr>
                <w:sz w:val="20"/>
              </w:rPr>
              <w:t xml:space="preserve">0,224</w:t>
            </w:r>
          </w:p>
        </w:tc>
        <w:tc>
          <w:tcPr>
            <w:tcW w:w="1077" w:type="dxa"/>
            <w:vAlign w:val="center"/>
          </w:tcPr>
          <w:p>
            <w:pPr>
              <w:pStyle w:val="0"/>
              <w:jc w:val="center"/>
            </w:pPr>
            <w:r>
              <w:rPr>
                <w:sz w:val="20"/>
              </w:rPr>
              <w:t xml:space="preserve">0,213</w:t>
            </w:r>
          </w:p>
        </w:tc>
        <w:tc>
          <w:tcPr>
            <w:tcW w:w="1303" w:type="dxa"/>
            <w:vAlign w:val="center"/>
          </w:tcPr>
          <w:p>
            <w:pPr>
              <w:pStyle w:val="0"/>
              <w:jc w:val="center"/>
            </w:pPr>
            <w:r>
              <w:rPr>
                <w:sz w:val="20"/>
              </w:rPr>
              <w:t xml:space="preserve">0,205</w:t>
            </w:r>
          </w:p>
          <w:p>
            <w:pPr>
              <w:pStyle w:val="0"/>
              <w:jc w:val="center"/>
            </w:pPr>
            <w:r>
              <w:rPr>
                <w:sz w:val="20"/>
              </w:rPr>
              <w:t xml:space="preserve">2022 год</w:t>
            </w:r>
          </w:p>
        </w:tc>
        <w:tc>
          <w:tcPr>
            <w:tcW w:w="1303" w:type="dxa"/>
            <w:vAlign w:val="center"/>
          </w:tcPr>
          <w:p>
            <w:pPr>
              <w:pStyle w:val="0"/>
              <w:jc w:val="center"/>
            </w:pPr>
            <w:r>
              <w:rPr>
                <w:sz w:val="20"/>
              </w:rPr>
              <w:t xml:space="preserve">0,199</w:t>
            </w:r>
          </w:p>
          <w:p>
            <w:pPr>
              <w:pStyle w:val="0"/>
              <w:jc w:val="center"/>
            </w:pPr>
            <w:r>
              <w:rPr>
                <w:sz w:val="20"/>
              </w:rPr>
              <w:t xml:space="preserve">2025 год</w:t>
            </w:r>
          </w:p>
        </w:tc>
        <w:tc>
          <w:tcPr>
            <w:tcW w:w="1303" w:type="dxa"/>
            <w:vAlign w:val="center"/>
          </w:tcPr>
          <w:p>
            <w:pPr>
              <w:pStyle w:val="0"/>
              <w:jc w:val="center"/>
            </w:pPr>
            <w:r>
              <w:rPr>
                <w:sz w:val="20"/>
              </w:rPr>
              <w:t xml:space="preserve">0,189</w:t>
            </w:r>
          </w:p>
          <w:p>
            <w:pPr>
              <w:pStyle w:val="0"/>
              <w:jc w:val="center"/>
            </w:pPr>
            <w:r>
              <w:rPr>
                <w:sz w:val="20"/>
              </w:rPr>
              <w:t xml:space="preserve">2030 год</w:t>
            </w:r>
          </w:p>
        </w:tc>
      </w:tr>
      <w:tr>
        <w:tc>
          <w:tcPr>
            <w:tcW w:w="4422" w:type="dxa"/>
            <w:vAlign w:val="center"/>
          </w:tcPr>
          <w:p>
            <w:pPr>
              <w:pStyle w:val="0"/>
            </w:pPr>
            <w:r>
              <w:rPr>
                <w:sz w:val="20"/>
              </w:rPr>
              <w:t xml:space="preserve">Потребление природного газа в качестве моторного топлива, млн м</w:t>
            </w:r>
            <w:r>
              <w:rPr>
                <w:sz w:val="20"/>
                <w:vertAlign w:val="superscript"/>
              </w:rPr>
              <w:t xml:space="preserve">3</w:t>
            </w:r>
            <w:r>
              <w:rPr>
                <w:sz w:val="20"/>
              </w:rPr>
              <w:t xml:space="preserve">/год</w:t>
            </w:r>
          </w:p>
        </w:tc>
        <w:tc>
          <w:tcPr>
            <w:tcW w:w="1077" w:type="dxa"/>
            <w:vAlign w:val="center"/>
          </w:tcPr>
          <w:p>
            <w:pPr>
              <w:pStyle w:val="0"/>
              <w:jc w:val="center"/>
            </w:pPr>
            <w:r>
              <w:rPr>
                <w:sz w:val="20"/>
              </w:rPr>
              <w:t xml:space="preserve">0,8</w:t>
            </w:r>
          </w:p>
        </w:tc>
        <w:tc>
          <w:tcPr>
            <w:tcW w:w="1077" w:type="dxa"/>
            <w:vAlign w:val="center"/>
          </w:tcPr>
          <w:p>
            <w:pPr>
              <w:pStyle w:val="0"/>
              <w:jc w:val="center"/>
            </w:pPr>
            <w:r>
              <w:rPr>
                <w:sz w:val="20"/>
              </w:rPr>
              <w:t xml:space="preserve">0,9</w:t>
            </w:r>
          </w:p>
        </w:tc>
        <w:tc>
          <w:tcPr>
            <w:tcW w:w="1417" w:type="dxa"/>
            <w:vAlign w:val="center"/>
          </w:tcPr>
          <w:p>
            <w:pPr>
              <w:pStyle w:val="0"/>
              <w:jc w:val="center"/>
            </w:pPr>
            <w:r>
              <w:rPr>
                <w:sz w:val="20"/>
              </w:rPr>
              <w:t xml:space="preserve">0,9</w:t>
            </w:r>
          </w:p>
        </w:tc>
        <w:tc>
          <w:tcPr>
            <w:tcW w:w="1077" w:type="dxa"/>
            <w:vAlign w:val="center"/>
          </w:tcPr>
          <w:p>
            <w:pPr>
              <w:pStyle w:val="0"/>
              <w:jc w:val="center"/>
            </w:pPr>
            <w:r>
              <w:rPr>
                <w:sz w:val="20"/>
              </w:rPr>
              <w:t xml:space="preserve">2,0</w:t>
            </w:r>
          </w:p>
        </w:tc>
        <w:tc>
          <w:tcPr>
            <w:tcW w:w="1303" w:type="dxa"/>
            <w:vAlign w:val="center"/>
          </w:tcPr>
          <w:p>
            <w:pPr>
              <w:pStyle w:val="0"/>
              <w:jc w:val="center"/>
            </w:pPr>
            <w:r>
              <w:rPr>
                <w:sz w:val="20"/>
              </w:rPr>
              <w:t xml:space="preserve">28,0 </w:t>
            </w:r>
            <w:hyperlink w:history="0" w:anchor="P2771" w:tooltip="&lt;*&gt; При условии готовности инвесторов к строительству намеченных АГНКС за счет внебюджетных инвестиций.">
              <w:r>
                <w:rPr>
                  <w:sz w:val="20"/>
                  <w:color w:val="0000ff"/>
                </w:rPr>
                <w:t xml:space="preserve">&lt;*&gt;</w:t>
              </w:r>
            </w:hyperlink>
          </w:p>
          <w:p>
            <w:pPr>
              <w:pStyle w:val="0"/>
              <w:jc w:val="center"/>
            </w:pPr>
            <w:r>
              <w:rPr>
                <w:sz w:val="20"/>
              </w:rPr>
              <w:t xml:space="preserve">2022 год</w:t>
            </w:r>
          </w:p>
        </w:tc>
        <w:tc>
          <w:tcPr>
            <w:tcW w:w="1303" w:type="dxa"/>
            <w:vAlign w:val="center"/>
          </w:tcPr>
          <w:p>
            <w:pPr>
              <w:pStyle w:val="0"/>
              <w:jc w:val="center"/>
            </w:pPr>
            <w:r>
              <w:rPr>
                <w:sz w:val="20"/>
              </w:rPr>
              <w:t xml:space="preserve">40,0 </w:t>
            </w:r>
            <w:hyperlink w:history="0" w:anchor="P2771" w:tooltip="&lt;*&gt; При условии готовности инвесторов к строительству намеченных АГНКС за счет внебюджетных инвестиций.">
              <w:r>
                <w:rPr>
                  <w:sz w:val="20"/>
                  <w:color w:val="0000ff"/>
                </w:rPr>
                <w:t xml:space="preserve">&lt;*&gt;</w:t>
              </w:r>
            </w:hyperlink>
          </w:p>
          <w:p>
            <w:pPr>
              <w:pStyle w:val="0"/>
              <w:jc w:val="center"/>
            </w:pPr>
            <w:r>
              <w:rPr>
                <w:sz w:val="20"/>
              </w:rPr>
              <w:t xml:space="preserve">2025 год</w:t>
            </w:r>
          </w:p>
        </w:tc>
        <w:tc>
          <w:tcPr>
            <w:tcW w:w="1303" w:type="dxa"/>
            <w:vAlign w:val="center"/>
          </w:tcPr>
          <w:p>
            <w:pPr>
              <w:pStyle w:val="0"/>
              <w:jc w:val="center"/>
            </w:pPr>
            <w:r>
              <w:rPr>
                <w:sz w:val="20"/>
              </w:rPr>
              <w:t xml:space="preserve">45,0 </w:t>
            </w:r>
            <w:hyperlink w:history="0" w:anchor="P2771" w:tooltip="&lt;*&gt; При условии готовности инвесторов к строительству намеченных АГНКС за счет внебюджетных инвестиций.">
              <w:r>
                <w:rPr>
                  <w:sz w:val="20"/>
                  <w:color w:val="0000ff"/>
                </w:rPr>
                <w:t xml:space="preserve">&lt;*&gt;</w:t>
              </w:r>
            </w:hyperlink>
          </w:p>
          <w:p>
            <w:pPr>
              <w:pStyle w:val="0"/>
              <w:jc w:val="center"/>
            </w:pPr>
            <w:r>
              <w:rPr>
                <w:sz w:val="20"/>
              </w:rPr>
              <w:t xml:space="preserve">2030 год</w:t>
            </w:r>
          </w:p>
        </w:tc>
      </w:tr>
      <w:tr>
        <w:tc>
          <w:tcPr>
            <w:tcW w:w="4422" w:type="dxa"/>
            <w:vAlign w:val="center"/>
          </w:tcPr>
          <w:p>
            <w:pPr>
              <w:pStyle w:val="0"/>
            </w:pPr>
            <w:r>
              <w:rPr>
                <w:sz w:val="20"/>
              </w:rPr>
              <w:t xml:space="preserve">Количество автомобильных газонаполнительных компрессорных станций в Тюменской области, шт.</w:t>
            </w:r>
          </w:p>
        </w:tc>
        <w:tc>
          <w:tcPr>
            <w:tcW w:w="1077" w:type="dxa"/>
            <w:vAlign w:val="center"/>
          </w:tcPr>
          <w:p>
            <w:pPr>
              <w:pStyle w:val="0"/>
              <w:jc w:val="center"/>
            </w:pPr>
            <w:r>
              <w:rPr>
                <w:sz w:val="20"/>
              </w:rPr>
              <w:t xml:space="preserve">1</w:t>
            </w:r>
          </w:p>
        </w:tc>
        <w:tc>
          <w:tcPr>
            <w:tcW w:w="1077" w:type="dxa"/>
            <w:vAlign w:val="center"/>
          </w:tcPr>
          <w:p>
            <w:pPr>
              <w:pStyle w:val="0"/>
              <w:jc w:val="center"/>
            </w:pPr>
            <w:r>
              <w:rPr>
                <w:sz w:val="20"/>
              </w:rPr>
              <w:t xml:space="preserve">1</w:t>
            </w:r>
          </w:p>
        </w:tc>
        <w:tc>
          <w:tcPr>
            <w:tcW w:w="1417" w:type="dxa"/>
            <w:vAlign w:val="center"/>
          </w:tcPr>
          <w:p>
            <w:pPr>
              <w:pStyle w:val="0"/>
              <w:jc w:val="center"/>
            </w:pPr>
            <w:r>
              <w:rPr>
                <w:sz w:val="20"/>
              </w:rPr>
              <w:t xml:space="preserve">1</w:t>
            </w:r>
          </w:p>
        </w:tc>
        <w:tc>
          <w:tcPr>
            <w:tcW w:w="1077" w:type="dxa"/>
            <w:vAlign w:val="center"/>
          </w:tcPr>
          <w:p>
            <w:pPr>
              <w:pStyle w:val="0"/>
              <w:jc w:val="center"/>
            </w:pPr>
            <w:r>
              <w:rPr>
                <w:sz w:val="20"/>
              </w:rPr>
              <w:t xml:space="preserve">1</w:t>
            </w:r>
          </w:p>
        </w:tc>
        <w:tc>
          <w:tcPr>
            <w:tcW w:w="1303" w:type="dxa"/>
            <w:vAlign w:val="center"/>
          </w:tcPr>
          <w:p>
            <w:pPr>
              <w:pStyle w:val="0"/>
              <w:jc w:val="center"/>
            </w:pPr>
            <w:r>
              <w:rPr>
                <w:sz w:val="20"/>
              </w:rPr>
              <w:t xml:space="preserve">7 </w:t>
            </w:r>
            <w:hyperlink w:history="0" w:anchor="P2771" w:tooltip="&lt;*&gt; При условии готовности инвесторов к строительству намеченных АГНКС за счет внебюджетных инвестиций.">
              <w:r>
                <w:rPr>
                  <w:sz w:val="20"/>
                  <w:color w:val="0000ff"/>
                </w:rPr>
                <w:t xml:space="preserve">&lt;*&gt;</w:t>
              </w:r>
            </w:hyperlink>
          </w:p>
          <w:p>
            <w:pPr>
              <w:pStyle w:val="0"/>
              <w:jc w:val="center"/>
            </w:pPr>
            <w:r>
              <w:rPr>
                <w:sz w:val="20"/>
              </w:rPr>
              <w:t xml:space="preserve">2022 год</w:t>
            </w:r>
          </w:p>
        </w:tc>
        <w:tc>
          <w:tcPr>
            <w:tcW w:w="1303" w:type="dxa"/>
            <w:vAlign w:val="center"/>
          </w:tcPr>
          <w:p>
            <w:pPr>
              <w:pStyle w:val="0"/>
              <w:jc w:val="center"/>
            </w:pPr>
            <w:r>
              <w:rPr>
                <w:sz w:val="20"/>
              </w:rPr>
              <w:t xml:space="preserve">10 </w:t>
            </w:r>
            <w:hyperlink w:history="0" w:anchor="P2771" w:tooltip="&lt;*&gt; При условии готовности инвесторов к строительству намеченных АГНКС за счет внебюджетных инвестиций.">
              <w:r>
                <w:rPr>
                  <w:sz w:val="20"/>
                  <w:color w:val="0000ff"/>
                </w:rPr>
                <w:t xml:space="preserve">&lt;*&gt;</w:t>
              </w:r>
            </w:hyperlink>
          </w:p>
          <w:p>
            <w:pPr>
              <w:pStyle w:val="0"/>
              <w:jc w:val="center"/>
            </w:pPr>
            <w:r>
              <w:rPr>
                <w:sz w:val="20"/>
              </w:rPr>
              <w:t xml:space="preserve">2025 год</w:t>
            </w:r>
          </w:p>
        </w:tc>
        <w:tc>
          <w:tcPr>
            <w:tcW w:w="1303" w:type="dxa"/>
            <w:vAlign w:val="center"/>
          </w:tcPr>
          <w:p>
            <w:pPr>
              <w:pStyle w:val="0"/>
              <w:jc w:val="center"/>
            </w:pPr>
            <w:r>
              <w:rPr>
                <w:sz w:val="20"/>
              </w:rPr>
              <w:t xml:space="preserve">11 </w:t>
            </w:r>
            <w:hyperlink w:history="0" w:anchor="P2771" w:tooltip="&lt;*&gt; При условии готовности инвесторов к строительству намеченных АГНКС за счет внебюджетных инвестиций.">
              <w:r>
                <w:rPr>
                  <w:sz w:val="20"/>
                  <w:color w:val="0000ff"/>
                </w:rPr>
                <w:t xml:space="preserve">&lt;*&gt;</w:t>
              </w:r>
            </w:hyperlink>
          </w:p>
          <w:p>
            <w:pPr>
              <w:pStyle w:val="0"/>
              <w:jc w:val="center"/>
            </w:pPr>
            <w:r>
              <w:rPr>
                <w:sz w:val="20"/>
              </w:rPr>
              <w:t xml:space="preserve">2030 год</w:t>
            </w:r>
          </w:p>
        </w:tc>
      </w:tr>
      <w:tr>
        <w:tc>
          <w:tcPr>
            <w:gridSpan w:val="8"/>
            <w:tcW w:w="12979" w:type="dxa"/>
            <w:vAlign w:val="center"/>
          </w:tcPr>
          <w:p>
            <w:pPr>
              <w:pStyle w:val="0"/>
              <w:outlineLvl w:val="4"/>
            </w:pPr>
            <w:r>
              <w:rPr>
                <w:sz w:val="20"/>
              </w:rPr>
              <w:t xml:space="preserve">ПРИОРИТЕТ 3 "ПРОСТРАНСТВО"</w:t>
            </w:r>
          </w:p>
        </w:tc>
      </w:tr>
      <w:tr>
        <w:tc>
          <w:tcPr>
            <w:gridSpan w:val="8"/>
            <w:tcW w:w="12979" w:type="dxa"/>
            <w:vAlign w:val="center"/>
          </w:tcPr>
          <w:p>
            <w:pPr>
              <w:pStyle w:val="0"/>
              <w:outlineLvl w:val="5"/>
            </w:pPr>
            <w:r>
              <w:rPr>
                <w:sz w:val="20"/>
              </w:rPr>
              <w:t xml:space="preserve">Цель 3.1. Эффективная система расселения и распределение производительных сил</w:t>
            </w:r>
          </w:p>
        </w:tc>
      </w:tr>
      <w:tr>
        <w:tc>
          <w:tcPr>
            <w:gridSpan w:val="8"/>
            <w:tcW w:w="12979" w:type="dxa"/>
            <w:vAlign w:val="center"/>
          </w:tcPr>
          <w:p>
            <w:pPr>
              <w:pStyle w:val="0"/>
            </w:pPr>
            <w:r>
              <w:rPr>
                <w:sz w:val="20"/>
              </w:rPr>
              <w:t xml:space="preserve">Задача 3.1.1. Инфраструктурная связанность</w:t>
            </w:r>
          </w:p>
        </w:tc>
      </w:tr>
      <w:tr>
        <w:tc>
          <w:tcPr>
            <w:gridSpan w:val="8"/>
            <w:tcW w:w="12979" w:type="dxa"/>
            <w:vAlign w:val="center"/>
          </w:tcPr>
          <w:p>
            <w:pPr>
              <w:pStyle w:val="0"/>
            </w:pPr>
            <w:r>
              <w:rPr>
                <w:sz w:val="20"/>
              </w:rPr>
              <w:t xml:space="preserve">Задача 3.1.2. Сбалансированное развитие территории</w:t>
            </w:r>
          </w:p>
        </w:tc>
      </w:tr>
      <w:tr>
        <w:tc>
          <w:tcPr>
            <w:tcW w:w="4422" w:type="dxa"/>
            <w:vAlign w:val="center"/>
          </w:tcPr>
          <w:p>
            <w:pPr>
              <w:pStyle w:val="0"/>
            </w:pPr>
            <w:r>
              <w:rPr>
                <w:sz w:val="20"/>
              </w:rPr>
              <w:t xml:space="preserve">Удельный вес сельских населенных пунктов, имеющих связь по дорогам с твердым покрытием, %</w:t>
            </w:r>
          </w:p>
        </w:tc>
        <w:tc>
          <w:tcPr>
            <w:tcW w:w="1077" w:type="dxa"/>
            <w:vAlign w:val="center"/>
          </w:tcPr>
          <w:p>
            <w:pPr>
              <w:pStyle w:val="0"/>
              <w:jc w:val="center"/>
            </w:pPr>
            <w:r>
              <w:rPr>
                <w:sz w:val="20"/>
              </w:rPr>
              <w:t xml:space="preserve">80,39</w:t>
            </w:r>
          </w:p>
        </w:tc>
        <w:tc>
          <w:tcPr>
            <w:tcW w:w="1077" w:type="dxa"/>
            <w:vAlign w:val="center"/>
          </w:tcPr>
          <w:p>
            <w:pPr>
              <w:pStyle w:val="0"/>
              <w:jc w:val="center"/>
            </w:pPr>
            <w:r>
              <w:rPr>
                <w:sz w:val="20"/>
              </w:rPr>
              <w:t xml:space="preserve">80,67</w:t>
            </w:r>
          </w:p>
        </w:tc>
        <w:tc>
          <w:tcPr>
            <w:tcW w:w="1417" w:type="dxa"/>
            <w:vAlign w:val="center"/>
          </w:tcPr>
          <w:p>
            <w:pPr>
              <w:pStyle w:val="0"/>
              <w:jc w:val="center"/>
            </w:pPr>
            <w:r>
              <w:rPr>
                <w:sz w:val="20"/>
              </w:rPr>
              <w:t xml:space="preserve">80,83</w:t>
            </w:r>
          </w:p>
        </w:tc>
        <w:tc>
          <w:tcPr>
            <w:tcW w:w="1077" w:type="dxa"/>
            <w:vAlign w:val="center"/>
          </w:tcPr>
          <w:p>
            <w:pPr>
              <w:pStyle w:val="0"/>
              <w:jc w:val="center"/>
            </w:pPr>
            <w:r>
              <w:rPr>
                <w:sz w:val="20"/>
              </w:rPr>
              <w:t xml:space="preserve">81,88</w:t>
            </w:r>
          </w:p>
        </w:tc>
        <w:tc>
          <w:tcPr>
            <w:tcW w:w="1303" w:type="dxa"/>
            <w:vAlign w:val="center"/>
          </w:tcPr>
          <w:p>
            <w:pPr>
              <w:pStyle w:val="0"/>
              <w:jc w:val="center"/>
            </w:pPr>
            <w:r>
              <w:rPr>
                <w:sz w:val="20"/>
              </w:rPr>
              <w:t xml:space="preserve">83,51</w:t>
            </w:r>
          </w:p>
          <w:p>
            <w:pPr>
              <w:pStyle w:val="0"/>
              <w:jc w:val="center"/>
            </w:pPr>
            <w:r>
              <w:rPr>
                <w:sz w:val="20"/>
              </w:rPr>
              <w:t xml:space="preserve">2022 год</w:t>
            </w:r>
          </w:p>
        </w:tc>
        <w:tc>
          <w:tcPr>
            <w:tcW w:w="1303" w:type="dxa"/>
            <w:vAlign w:val="center"/>
          </w:tcPr>
          <w:p>
            <w:pPr>
              <w:pStyle w:val="0"/>
              <w:jc w:val="center"/>
            </w:pPr>
            <w:r>
              <w:rPr>
                <w:sz w:val="20"/>
              </w:rPr>
              <w:t xml:space="preserve">84,73</w:t>
            </w:r>
          </w:p>
          <w:p>
            <w:pPr>
              <w:pStyle w:val="0"/>
              <w:jc w:val="center"/>
            </w:pPr>
            <w:r>
              <w:rPr>
                <w:sz w:val="20"/>
              </w:rPr>
              <w:t xml:space="preserve">2025 год</w:t>
            </w:r>
          </w:p>
        </w:tc>
        <w:tc>
          <w:tcPr>
            <w:tcW w:w="1303" w:type="dxa"/>
            <w:vAlign w:val="center"/>
          </w:tcPr>
          <w:p>
            <w:pPr>
              <w:pStyle w:val="0"/>
              <w:jc w:val="center"/>
            </w:pPr>
            <w:r>
              <w:rPr>
                <w:sz w:val="20"/>
              </w:rPr>
              <w:t xml:space="preserve">86,76</w:t>
            </w:r>
          </w:p>
          <w:p>
            <w:pPr>
              <w:pStyle w:val="0"/>
              <w:jc w:val="center"/>
            </w:pPr>
            <w:r>
              <w:rPr>
                <w:sz w:val="20"/>
              </w:rPr>
              <w:t xml:space="preserve">2030 год</w:t>
            </w:r>
          </w:p>
        </w:tc>
      </w:tr>
      <w:tr>
        <w:tc>
          <w:tcPr>
            <w:tcW w:w="4422" w:type="dxa"/>
            <w:vAlign w:val="center"/>
          </w:tcPr>
          <w:p>
            <w:pPr>
              <w:pStyle w:val="0"/>
            </w:pPr>
            <w:r>
              <w:rPr>
                <w:sz w:val="20"/>
              </w:rPr>
              <w:t xml:space="preserve">Удельный вес общей площади жилых помещений в сельских населенных пунктах, оборудованной всеми видами благоустройства, на конец периода, %</w:t>
            </w:r>
          </w:p>
        </w:tc>
        <w:tc>
          <w:tcPr>
            <w:tcW w:w="1077" w:type="dxa"/>
            <w:vAlign w:val="center"/>
          </w:tcPr>
          <w:p>
            <w:pPr>
              <w:pStyle w:val="0"/>
              <w:jc w:val="center"/>
            </w:pPr>
            <w:r>
              <w:rPr>
                <w:sz w:val="20"/>
              </w:rPr>
              <w:t xml:space="preserve">19,9</w:t>
            </w:r>
          </w:p>
        </w:tc>
        <w:tc>
          <w:tcPr>
            <w:tcW w:w="1077" w:type="dxa"/>
            <w:vAlign w:val="center"/>
          </w:tcPr>
          <w:p>
            <w:pPr>
              <w:pStyle w:val="0"/>
              <w:jc w:val="center"/>
            </w:pPr>
            <w:r>
              <w:rPr>
                <w:sz w:val="20"/>
              </w:rPr>
              <w:t xml:space="preserve">22,2</w:t>
            </w:r>
          </w:p>
        </w:tc>
        <w:tc>
          <w:tcPr>
            <w:tcW w:w="1417" w:type="dxa"/>
            <w:vAlign w:val="center"/>
          </w:tcPr>
          <w:p>
            <w:pPr>
              <w:pStyle w:val="0"/>
              <w:jc w:val="center"/>
            </w:pPr>
            <w:r>
              <w:rPr>
                <w:sz w:val="20"/>
              </w:rPr>
              <w:t xml:space="preserve">22,4</w:t>
            </w:r>
          </w:p>
        </w:tc>
        <w:tc>
          <w:tcPr>
            <w:tcW w:w="1077" w:type="dxa"/>
            <w:vAlign w:val="center"/>
          </w:tcPr>
          <w:p>
            <w:pPr>
              <w:pStyle w:val="0"/>
              <w:jc w:val="center"/>
            </w:pPr>
            <w:r>
              <w:rPr>
                <w:sz w:val="20"/>
              </w:rPr>
              <w:t xml:space="preserve">23,4</w:t>
            </w:r>
          </w:p>
        </w:tc>
        <w:tc>
          <w:tcPr>
            <w:tcW w:w="1303" w:type="dxa"/>
            <w:vAlign w:val="center"/>
          </w:tcPr>
          <w:p>
            <w:pPr>
              <w:pStyle w:val="0"/>
              <w:jc w:val="center"/>
            </w:pPr>
            <w:r>
              <w:rPr>
                <w:sz w:val="20"/>
              </w:rPr>
              <w:t xml:space="preserve">25,5</w:t>
            </w:r>
          </w:p>
          <w:p>
            <w:pPr>
              <w:pStyle w:val="0"/>
              <w:jc w:val="center"/>
            </w:pPr>
            <w:r>
              <w:rPr>
                <w:sz w:val="20"/>
              </w:rPr>
              <w:t xml:space="preserve">2022 год</w:t>
            </w:r>
          </w:p>
        </w:tc>
        <w:tc>
          <w:tcPr>
            <w:tcW w:w="1303" w:type="dxa"/>
            <w:vAlign w:val="center"/>
          </w:tcPr>
          <w:p>
            <w:pPr>
              <w:pStyle w:val="0"/>
              <w:jc w:val="center"/>
            </w:pPr>
            <w:r>
              <w:rPr>
                <w:sz w:val="20"/>
              </w:rPr>
              <w:t xml:space="preserve">27,0</w:t>
            </w:r>
          </w:p>
          <w:p>
            <w:pPr>
              <w:pStyle w:val="0"/>
              <w:jc w:val="center"/>
            </w:pPr>
            <w:r>
              <w:rPr>
                <w:sz w:val="20"/>
              </w:rPr>
              <w:t xml:space="preserve">2025 год</w:t>
            </w:r>
          </w:p>
        </w:tc>
        <w:tc>
          <w:tcPr>
            <w:tcW w:w="1303" w:type="dxa"/>
            <w:vAlign w:val="center"/>
          </w:tcPr>
          <w:p>
            <w:pPr>
              <w:pStyle w:val="0"/>
              <w:jc w:val="center"/>
            </w:pPr>
            <w:r>
              <w:rPr>
                <w:sz w:val="20"/>
              </w:rPr>
              <w:t xml:space="preserve">29,5</w:t>
            </w:r>
          </w:p>
          <w:p>
            <w:pPr>
              <w:pStyle w:val="0"/>
              <w:jc w:val="center"/>
            </w:pPr>
            <w:r>
              <w:rPr>
                <w:sz w:val="20"/>
              </w:rPr>
              <w:t xml:space="preserve">2030 год</w:t>
            </w:r>
          </w:p>
        </w:tc>
      </w:tr>
      <w:tr>
        <w:tc>
          <w:tcPr>
            <w:tcW w:w="4422" w:type="dxa"/>
            <w:vAlign w:val="center"/>
          </w:tcPr>
          <w:p>
            <w:pPr>
              <w:pStyle w:val="0"/>
            </w:pPr>
            <w:r>
              <w:rPr>
                <w:sz w:val="20"/>
              </w:rPr>
              <w:t xml:space="preserve">Доля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 в общей протяженности автомобильных дорог общего пользования регионального или межмуниципального значения, %</w:t>
            </w:r>
          </w:p>
        </w:tc>
        <w:tc>
          <w:tcPr>
            <w:tcW w:w="1077" w:type="dxa"/>
            <w:vAlign w:val="center"/>
          </w:tcPr>
          <w:p>
            <w:pPr>
              <w:pStyle w:val="0"/>
              <w:jc w:val="center"/>
            </w:pPr>
            <w:r>
              <w:rPr>
                <w:sz w:val="20"/>
              </w:rPr>
              <w:t xml:space="preserve">56,68</w:t>
            </w:r>
          </w:p>
        </w:tc>
        <w:tc>
          <w:tcPr>
            <w:tcW w:w="1077" w:type="dxa"/>
            <w:vAlign w:val="center"/>
          </w:tcPr>
          <w:p>
            <w:pPr>
              <w:pStyle w:val="0"/>
              <w:jc w:val="center"/>
            </w:pPr>
            <w:r>
              <w:rPr>
                <w:sz w:val="20"/>
              </w:rPr>
              <w:t xml:space="preserve">61,10</w:t>
            </w:r>
          </w:p>
        </w:tc>
        <w:tc>
          <w:tcPr>
            <w:tcW w:w="1417" w:type="dxa"/>
            <w:vAlign w:val="center"/>
          </w:tcPr>
          <w:p>
            <w:pPr>
              <w:pStyle w:val="0"/>
              <w:jc w:val="center"/>
            </w:pPr>
            <w:r>
              <w:rPr>
                <w:sz w:val="20"/>
              </w:rPr>
              <w:t xml:space="preserve">61,41</w:t>
            </w:r>
          </w:p>
        </w:tc>
        <w:tc>
          <w:tcPr>
            <w:tcW w:w="1077" w:type="dxa"/>
            <w:vAlign w:val="center"/>
          </w:tcPr>
          <w:p>
            <w:pPr>
              <w:pStyle w:val="0"/>
              <w:jc w:val="center"/>
            </w:pPr>
            <w:r>
              <w:rPr>
                <w:sz w:val="20"/>
              </w:rPr>
              <w:t xml:space="preserve">61,72</w:t>
            </w:r>
          </w:p>
        </w:tc>
        <w:tc>
          <w:tcPr>
            <w:tcW w:w="1303" w:type="dxa"/>
            <w:vAlign w:val="center"/>
          </w:tcPr>
          <w:p>
            <w:pPr>
              <w:pStyle w:val="0"/>
              <w:jc w:val="center"/>
            </w:pPr>
            <w:r>
              <w:rPr>
                <w:sz w:val="20"/>
              </w:rPr>
              <w:t xml:space="preserve">62,52</w:t>
            </w:r>
          </w:p>
          <w:p>
            <w:pPr>
              <w:pStyle w:val="0"/>
              <w:jc w:val="center"/>
            </w:pPr>
            <w:r>
              <w:rPr>
                <w:sz w:val="20"/>
              </w:rPr>
              <w:t xml:space="preserve">2022 год</w:t>
            </w:r>
          </w:p>
        </w:tc>
        <w:tc>
          <w:tcPr>
            <w:tcW w:w="1303" w:type="dxa"/>
            <w:vAlign w:val="center"/>
          </w:tcPr>
          <w:p>
            <w:pPr>
              <w:pStyle w:val="0"/>
              <w:jc w:val="center"/>
            </w:pPr>
            <w:r>
              <w:rPr>
                <w:sz w:val="20"/>
              </w:rPr>
              <w:t xml:space="preserve">63,2</w:t>
            </w:r>
          </w:p>
          <w:p>
            <w:pPr>
              <w:pStyle w:val="0"/>
              <w:jc w:val="center"/>
            </w:pPr>
            <w:r>
              <w:rPr>
                <w:sz w:val="20"/>
              </w:rPr>
              <w:t xml:space="preserve">2025 год</w:t>
            </w:r>
          </w:p>
        </w:tc>
        <w:tc>
          <w:tcPr>
            <w:tcW w:w="1303" w:type="dxa"/>
            <w:vAlign w:val="center"/>
          </w:tcPr>
          <w:p>
            <w:pPr>
              <w:pStyle w:val="0"/>
              <w:jc w:val="center"/>
            </w:pPr>
            <w:r>
              <w:rPr>
                <w:sz w:val="20"/>
              </w:rPr>
              <w:t xml:space="preserve">64,2</w:t>
            </w:r>
          </w:p>
          <w:p>
            <w:pPr>
              <w:pStyle w:val="0"/>
              <w:jc w:val="center"/>
            </w:pPr>
            <w:r>
              <w:rPr>
                <w:sz w:val="20"/>
              </w:rPr>
              <w:t xml:space="preserve">2030 год</w:t>
            </w:r>
          </w:p>
        </w:tc>
      </w:tr>
      <w:tr>
        <w:tc>
          <w:tcPr>
            <w:gridSpan w:val="8"/>
            <w:tcW w:w="12979" w:type="dxa"/>
            <w:vAlign w:val="center"/>
          </w:tcPr>
          <w:p>
            <w:pPr>
              <w:pStyle w:val="0"/>
              <w:outlineLvl w:val="5"/>
            </w:pPr>
            <w:r>
              <w:rPr>
                <w:sz w:val="20"/>
              </w:rPr>
              <w:t xml:space="preserve">Цель 3.2. Развитие межрегиональных и внешнеэкономических связей</w:t>
            </w:r>
          </w:p>
        </w:tc>
      </w:tr>
      <w:tr>
        <w:tc>
          <w:tcPr>
            <w:gridSpan w:val="8"/>
            <w:tcW w:w="12979" w:type="dxa"/>
            <w:vAlign w:val="center"/>
          </w:tcPr>
          <w:p>
            <w:pPr>
              <w:pStyle w:val="0"/>
            </w:pPr>
            <w:r>
              <w:rPr>
                <w:sz w:val="20"/>
              </w:rPr>
              <w:t xml:space="preserve">Задача 3.2.1. Межрегиональные связи</w:t>
            </w:r>
          </w:p>
        </w:tc>
      </w:tr>
      <w:tr>
        <w:tc>
          <w:tcPr>
            <w:gridSpan w:val="8"/>
            <w:tcW w:w="12979" w:type="dxa"/>
            <w:vAlign w:val="center"/>
          </w:tcPr>
          <w:p>
            <w:pPr>
              <w:pStyle w:val="0"/>
            </w:pPr>
            <w:r>
              <w:rPr>
                <w:sz w:val="20"/>
              </w:rPr>
              <w:t xml:space="preserve">Задача 3.2.2. Внешнеэкономические связи. Экспортная стратегия</w:t>
            </w:r>
          </w:p>
        </w:tc>
      </w:tr>
      <w:tr>
        <w:tc>
          <w:tcPr>
            <w:tcW w:w="4422" w:type="dxa"/>
            <w:vAlign w:val="center"/>
          </w:tcPr>
          <w:p>
            <w:pPr>
              <w:pStyle w:val="0"/>
            </w:pPr>
            <w:r>
              <w:rPr>
                <w:sz w:val="20"/>
              </w:rPr>
              <w:t xml:space="preserve">Прирост количества компаний-экспортеров из числа МСП по итогам внедрения Регионального экспортного стандарта 2.0, % к 2018 году</w:t>
            </w:r>
          </w:p>
        </w:tc>
        <w:tc>
          <w:tcPr>
            <w:tcW w:w="1077" w:type="dxa"/>
            <w:vAlign w:val="center"/>
          </w:tcPr>
          <w:p>
            <w:pPr>
              <w:pStyle w:val="0"/>
              <w:jc w:val="center"/>
            </w:pPr>
            <w:r>
              <w:rPr>
                <w:sz w:val="20"/>
              </w:rPr>
              <w:t xml:space="preserve">-</w:t>
            </w:r>
          </w:p>
        </w:tc>
        <w:tc>
          <w:tcPr>
            <w:tcW w:w="1077" w:type="dxa"/>
            <w:vAlign w:val="center"/>
          </w:tcPr>
          <w:p>
            <w:pPr>
              <w:pStyle w:val="0"/>
              <w:jc w:val="center"/>
            </w:pPr>
            <w:r>
              <w:rPr>
                <w:sz w:val="20"/>
              </w:rPr>
              <w:t xml:space="preserve">-</w:t>
            </w:r>
          </w:p>
        </w:tc>
        <w:tc>
          <w:tcPr>
            <w:tcW w:w="1417" w:type="dxa"/>
            <w:vAlign w:val="center"/>
          </w:tcPr>
          <w:p>
            <w:pPr>
              <w:pStyle w:val="0"/>
              <w:jc w:val="center"/>
            </w:pPr>
            <w:r>
              <w:rPr>
                <w:sz w:val="20"/>
              </w:rPr>
              <w:t xml:space="preserve">-</w:t>
            </w:r>
          </w:p>
        </w:tc>
        <w:tc>
          <w:tcPr>
            <w:tcW w:w="1077" w:type="dxa"/>
            <w:vAlign w:val="center"/>
          </w:tcPr>
          <w:p>
            <w:pPr>
              <w:pStyle w:val="0"/>
              <w:jc w:val="center"/>
            </w:pPr>
            <w:r>
              <w:rPr>
                <w:sz w:val="20"/>
              </w:rPr>
              <w:t xml:space="preserve">0</w:t>
            </w:r>
          </w:p>
        </w:tc>
        <w:tc>
          <w:tcPr>
            <w:tcW w:w="1303" w:type="dxa"/>
            <w:vAlign w:val="center"/>
          </w:tcPr>
          <w:p>
            <w:pPr>
              <w:pStyle w:val="0"/>
              <w:jc w:val="center"/>
            </w:pPr>
            <w:r>
              <w:rPr>
                <w:sz w:val="20"/>
              </w:rPr>
              <w:t xml:space="preserve">50</w:t>
            </w:r>
          </w:p>
          <w:p>
            <w:pPr>
              <w:pStyle w:val="0"/>
              <w:jc w:val="center"/>
            </w:pPr>
            <w:r>
              <w:rPr>
                <w:sz w:val="20"/>
              </w:rPr>
              <w:t xml:space="preserve">2022 год к</w:t>
            </w:r>
          </w:p>
          <w:p>
            <w:pPr>
              <w:pStyle w:val="0"/>
              <w:jc w:val="center"/>
            </w:pPr>
            <w:r>
              <w:rPr>
                <w:sz w:val="20"/>
              </w:rPr>
              <w:t xml:space="preserve">2018 году</w:t>
            </w:r>
          </w:p>
        </w:tc>
        <w:tc>
          <w:tcPr>
            <w:tcW w:w="1303" w:type="dxa"/>
            <w:vAlign w:val="center"/>
          </w:tcPr>
          <w:p>
            <w:pPr>
              <w:pStyle w:val="0"/>
              <w:jc w:val="center"/>
            </w:pPr>
            <w:r>
              <w:rPr>
                <w:sz w:val="20"/>
              </w:rPr>
              <w:t xml:space="preserve">110</w:t>
            </w:r>
          </w:p>
          <w:p>
            <w:pPr>
              <w:pStyle w:val="0"/>
              <w:jc w:val="center"/>
            </w:pPr>
            <w:r>
              <w:rPr>
                <w:sz w:val="20"/>
              </w:rPr>
              <w:t xml:space="preserve">2025 год к 2018 году</w:t>
            </w:r>
          </w:p>
        </w:tc>
        <w:tc>
          <w:tcPr>
            <w:tcW w:w="1303" w:type="dxa"/>
            <w:vAlign w:val="center"/>
          </w:tcPr>
          <w:p>
            <w:pPr>
              <w:pStyle w:val="0"/>
              <w:jc w:val="center"/>
            </w:pPr>
            <w:r>
              <w:rPr>
                <w:sz w:val="20"/>
              </w:rPr>
              <w:t xml:space="preserve">160</w:t>
            </w:r>
          </w:p>
          <w:p>
            <w:pPr>
              <w:pStyle w:val="0"/>
              <w:jc w:val="center"/>
            </w:pPr>
            <w:r>
              <w:rPr>
                <w:sz w:val="20"/>
              </w:rPr>
              <w:t xml:space="preserve">2030 год к</w:t>
            </w:r>
          </w:p>
          <w:p>
            <w:pPr>
              <w:pStyle w:val="0"/>
              <w:jc w:val="center"/>
            </w:pPr>
            <w:r>
              <w:rPr>
                <w:sz w:val="20"/>
              </w:rPr>
              <w:t xml:space="preserve">2018 году</w:t>
            </w:r>
          </w:p>
        </w:tc>
      </w:tr>
      <w:tr>
        <w:tc>
          <w:tcPr>
            <w:tcW w:w="4422" w:type="dxa"/>
            <w:vAlign w:val="center"/>
          </w:tcPr>
          <w:p>
            <w:pPr>
              <w:pStyle w:val="0"/>
            </w:pPr>
            <w:r>
              <w:rPr>
                <w:sz w:val="20"/>
              </w:rPr>
              <w:t xml:space="preserve">Доля несырьевого неэнергетического экспорта в общем объеме экспорта, %</w:t>
            </w:r>
          </w:p>
        </w:tc>
        <w:tc>
          <w:tcPr>
            <w:tcW w:w="1077" w:type="dxa"/>
            <w:vAlign w:val="center"/>
          </w:tcPr>
          <w:p>
            <w:pPr>
              <w:pStyle w:val="0"/>
              <w:jc w:val="center"/>
            </w:pPr>
            <w:r>
              <w:rPr>
                <w:sz w:val="20"/>
              </w:rPr>
              <w:t xml:space="preserve">38,5</w:t>
            </w:r>
          </w:p>
        </w:tc>
        <w:tc>
          <w:tcPr>
            <w:tcW w:w="1077" w:type="dxa"/>
            <w:vAlign w:val="center"/>
          </w:tcPr>
          <w:p>
            <w:pPr>
              <w:pStyle w:val="0"/>
              <w:jc w:val="center"/>
            </w:pPr>
            <w:r>
              <w:rPr>
                <w:sz w:val="20"/>
              </w:rPr>
              <w:t xml:space="preserve">38,7</w:t>
            </w:r>
          </w:p>
        </w:tc>
        <w:tc>
          <w:tcPr>
            <w:tcW w:w="1417" w:type="dxa"/>
            <w:vAlign w:val="center"/>
          </w:tcPr>
          <w:p>
            <w:pPr>
              <w:pStyle w:val="0"/>
              <w:jc w:val="center"/>
            </w:pPr>
            <w:r>
              <w:rPr>
                <w:sz w:val="20"/>
              </w:rPr>
              <w:t xml:space="preserve">31,8</w:t>
            </w:r>
          </w:p>
        </w:tc>
        <w:tc>
          <w:tcPr>
            <w:tcW w:w="1077" w:type="dxa"/>
            <w:vAlign w:val="center"/>
          </w:tcPr>
          <w:p>
            <w:pPr>
              <w:pStyle w:val="0"/>
              <w:jc w:val="center"/>
            </w:pPr>
            <w:r>
              <w:rPr>
                <w:sz w:val="20"/>
              </w:rPr>
              <w:t xml:space="preserve">32,6</w:t>
            </w:r>
          </w:p>
        </w:tc>
        <w:tc>
          <w:tcPr>
            <w:tcW w:w="1303" w:type="dxa"/>
            <w:vAlign w:val="center"/>
          </w:tcPr>
          <w:p>
            <w:pPr>
              <w:pStyle w:val="0"/>
              <w:jc w:val="center"/>
            </w:pPr>
            <w:r>
              <w:rPr>
                <w:sz w:val="20"/>
              </w:rPr>
              <w:t xml:space="preserve">50,6</w:t>
            </w:r>
          </w:p>
          <w:p>
            <w:pPr>
              <w:pStyle w:val="0"/>
              <w:jc w:val="center"/>
            </w:pPr>
            <w:r>
              <w:rPr>
                <w:sz w:val="20"/>
              </w:rPr>
              <w:t xml:space="preserve">2022 год</w:t>
            </w:r>
          </w:p>
        </w:tc>
        <w:tc>
          <w:tcPr>
            <w:tcW w:w="1303" w:type="dxa"/>
            <w:vAlign w:val="center"/>
          </w:tcPr>
          <w:p>
            <w:pPr>
              <w:pStyle w:val="0"/>
              <w:jc w:val="center"/>
            </w:pPr>
            <w:r>
              <w:rPr>
                <w:sz w:val="20"/>
              </w:rPr>
              <w:t xml:space="preserve">54,0</w:t>
            </w:r>
          </w:p>
          <w:p>
            <w:pPr>
              <w:pStyle w:val="0"/>
              <w:jc w:val="center"/>
            </w:pPr>
            <w:r>
              <w:rPr>
                <w:sz w:val="20"/>
              </w:rPr>
              <w:t xml:space="preserve">2025 год</w:t>
            </w:r>
          </w:p>
        </w:tc>
        <w:tc>
          <w:tcPr>
            <w:tcW w:w="1303" w:type="dxa"/>
            <w:vAlign w:val="center"/>
          </w:tcPr>
          <w:p>
            <w:pPr>
              <w:pStyle w:val="0"/>
              <w:jc w:val="center"/>
            </w:pPr>
            <w:r>
              <w:rPr>
                <w:sz w:val="20"/>
              </w:rPr>
              <w:t xml:space="preserve">59,6</w:t>
            </w:r>
          </w:p>
          <w:p>
            <w:pPr>
              <w:pStyle w:val="0"/>
              <w:jc w:val="center"/>
            </w:pPr>
            <w:r>
              <w:rPr>
                <w:sz w:val="20"/>
              </w:rPr>
              <w:t xml:space="preserve">2030 год</w:t>
            </w:r>
          </w:p>
        </w:tc>
      </w:tr>
    </w:tbl>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2771" w:name="P2771"/>
    <w:bookmarkEnd w:id="2771"/>
    <w:p>
      <w:pPr>
        <w:pStyle w:val="0"/>
        <w:spacing w:before="200" w:line-rule="auto"/>
        <w:ind w:firstLine="540"/>
        <w:jc w:val="both"/>
      </w:pPr>
      <w:r>
        <w:rPr>
          <w:sz w:val="20"/>
        </w:rPr>
        <w:t xml:space="preserve">&lt;*&gt; При условии готовности инвесторов к строительству намеченных АГНКС за счет внебюджетных инвестиций.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center"/>
      </w:pPr>
      <w:r>
        <w:rPr>
          <w:sz w:val="20"/>
        </w:rPr>
        <w:t xml:space="preserve">ПРИЛОЖЕНИЯ</w:t>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p>
      <w:pPr>
        <w:pStyle w:val="2"/>
        <w:outlineLvl w:val="2"/>
        <w:jc w:val="center"/>
      </w:pPr>
      <w:r>
        <w:rPr>
          <w:sz w:val="20"/>
        </w:rPr>
        <w:t xml:space="preserve">Таблица - Основные показатели социально-экономического</w:t>
      </w:r>
    </w:p>
    <w:p>
      <w:pPr>
        <w:pStyle w:val="2"/>
        <w:jc w:val="center"/>
      </w:pPr>
      <w:r>
        <w:rPr>
          <w:sz w:val="20"/>
        </w:rPr>
        <w:t xml:space="preserve">развития Тюменской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7"/>
        <w:gridCol w:w="1700"/>
        <w:gridCol w:w="907"/>
        <w:gridCol w:w="907"/>
        <w:gridCol w:w="907"/>
        <w:gridCol w:w="907"/>
        <w:gridCol w:w="907"/>
        <w:gridCol w:w="907"/>
        <w:gridCol w:w="907"/>
        <w:gridCol w:w="907"/>
        <w:gridCol w:w="907"/>
        <w:gridCol w:w="907"/>
        <w:gridCol w:w="907"/>
        <w:gridCol w:w="907"/>
        <w:gridCol w:w="1417"/>
        <w:gridCol w:w="1417"/>
        <w:gridCol w:w="1417"/>
        <w:gridCol w:w="1417"/>
        <w:gridCol w:w="1417"/>
      </w:tblGrid>
      <w:tr>
        <w:tc>
          <w:tcPr>
            <w:tcW w:w="2607" w:type="dxa"/>
            <w:vMerge w:val="restart"/>
          </w:tcPr>
          <w:p>
            <w:pPr>
              <w:pStyle w:val="0"/>
              <w:jc w:val="center"/>
            </w:pPr>
            <w:r>
              <w:rPr>
                <w:sz w:val="20"/>
              </w:rPr>
              <w:t xml:space="preserve">Показатель</w:t>
            </w:r>
          </w:p>
        </w:tc>
        <w:tc>
          <w:tcPr>
            <w:tcW w:w="1700" w:type="dxa"/>
            <w:vMerge w:val="restart"/>
          </w:tcPr>
          <w:p>
            <w:pPr>
              <w:pStyle w:val="0"/>
              <w:jc w:val="center"/>
            </w:pPr>
            <w:r>
              <w:rPr>
                <w:sz w:val="20"/>
              </w:rPr>
              <w:t xml:space="preserve">Единица измерения</w:t>
            </w:r>
          </w:p>
        </w:tc>
        <w:tc>
          <w:tcPr>
            <w:tcW w:w="907" w:type="dxa"/>
          </w:tcPr>
          <w:p>
            <w:pPr>
              <w:pStyle w:val="0"/>
              <w:jc w:val="center"/>
            </w:pPr>
            <w:r>
              <w:rPr>
                <w:sz w:val="20"/>
              </w:rPr>
              <w:t xml:space="preserve">2007 г.</w:t>
            </w:r>
          </w:p>
        </w:tc>
        <w:tc>
          <w:tcPr>
            <w:tcW w:w="907" w:type="dxa"/>
          </w:tcPr>
          <w:p>
            <w:pPr>
              <w:pStyle w:val="0"/>
              <w:jc w:val="center"/>
            </w:pPr>
            <w:r>
              <w:rPr>
                <w:sz w:val="20"/>
              </w:rPr>
              <w:t xml:space="preserve">2008 г.</w:t>
            </w:r>
          </w:p>
        </w:tc>
        <w:tc>
          <w:tcPr>
            <w:tcW w:w="907" w:type="dxa"/>
          </w:tcPr>
          <w:p>
            <w:pPr>
              <w:pStyle w:val="0"/>
              <w:jc w:val="center"/>
            </w:pPr>
            <w:r>
              <w:rPr>
                <w:sz w:val="20"/>
              </w:rPr>
              <w:t xml:space="preserve">2009 г.</w:t>
            </w:r>
          </w:p>
        </w:tc>
        <w:tc>
          <w:tcPr>
            <w:tcW w:w="907" w:type="dxa"/>
          </w:tcPr>
          <w:p>
            <w:pPr>
              <w:pStyle w:val="0"/>
              <w:jc w:val="center"/>
            </w:pPr>
            <w:r>
              <w:rPr>
                <w:sz w:val="20"/>
              </w:rPr>
              <w:t xml:space="preserve">2010 г.</w:t>
            </w:r>
          </w:p>
        </w:tc>
        <w:tc>
          <w:tcPr>
            <w:tcW w:w="907" w:type="dxa"/>
          </w:tcPr>
          <w:p>
            <w:pPr>
              <w:pStyle w:val="0"/>
              <w:jc w:val="center"/>
            </w:pPr>
            <w:r>
              <w:rPr>
                <w:sz w:val="20"/>
              </w:rPr>
              <w:t xml:space="preserve">2011 г.</w:t>
            </w:r>
          </w:p>
        </w:tc>
        <w:tc>
          <w:tcPr>
            <w:tcW w:w="907" w:type="dxa"/>
          </w:tcPr>
          <w:p>
            <w:pPr>
              <w:pStyle w:val="0"/>
              <w:jc w:val="center"/>
            </w:pPr>
            <w:r>
              <w:rPr>
                <w:sz w:val="20"/>
              </w:rPr>
              <w:t xml:space="preserve">2012 г.</w:t>
            </w:r>
          </w:p>
        </w:tc>
        <w:tc>
          <w:tcPr>
            <w:tcW w:w="907" w:type="dxa"/>
          </w:tcPr>
          <w:p>
            <w:pPr>
              <w:pStyle w:val="0"/>
              <w:jc w:val="center"/>
            </w:pPr>
            <w:r>
              <w:rPr>
                <w:sz w:val="20"/>
              </w:rPr>
              <w:t xml:space="preserve">2013 г.</w:t>
            </w:r>
          </w:p>
        </w:tc>
        <w:tc>
          <w:tcPr>
            <w:tcW w:w="907" w:type="dxa"/>
          </w:tcPr>
          <w:p>
            <w:pPr>
              <w:pStyle w:val="0"/>
              <w:jc w:val="center"/>
            </w:pPr>
            <w:r>
              <w:rPr>
                <w:sz w:val="20"/>
              </w:rPr>
              <w:t xml:space="preserve">2014 г.</w:t>
            </w:r>
          </w:p>
        </w:tc>
        <w:tc>
          <w:tcPr>
            <w:tcW w:w="907" w:type="dxa"/>
          </w:tcPr>
          <w:p>
            <w:pPr>
              <w:pStyle w:val="0"/>
              <w:jc w:val="center"/>
            </w:pPr>
            <w:r>
              <w:rPr>
                <w:sz w:val="20"/>
              </w:rPr>
              <w:t xml:space="preserve">2015 г.</w:t>
            </w:r>
          </w:p>
        </w:tc>
        <w:tc>
          <w:tcPr>
            <w:tcW w:w="907" w:type="dxa"/>
          </w:tcPr>
          <w:p>
            <w:pPr>
              <w:pStyle w:val="0"/>
              <w:jc w:val="center"/>
            </w:pPr>
            <w:r>
              <w:rPr>
                <w:sz w:val="20"/>
              </w:rPr>
              <w:t xml:space="preserve">2016 г.</w:t>
            </w:r>
          </w:p>
        </w:tc>
        <w:tc>
          <w:tcPr>
            <w:tcW w:w="907" w:type="dxa"/>
          </w:tcPr>
          <w:p>
            <w:pPr>
              <w:pStyle w:val="0"/>
              <w:jc w:val="center"/>
            </w:pPr>
            <w:r>
              <w:rPr>
                <w:sz w:val="20"/>
              </w:rPr>
              <w:t xml:space="preserve">2017 г.</w:t>
            </w:r>
          </w:p>
        </w:tc>
        <w:tc>
          <w:tcPr>
            <w:tcW w:w="907" w:type="dxa"/>
          </w:tcPr>
          <w:p>
            <w:pPr>
              <w:pStyle w:val="0"/>
              <w:jc w:val="center"/>
            </w:pPr>
            <w:r>
              <w:rPr>
                <w:sz w:val="20"/>
              </w:rPr>
              <w:t xml:space="preserve">2018 г.</w:t>
            </w:r>
          </w:p>
        </w:tc>
        <w:tc>
          <w:tcPr>
            <w:tcW w:w="1417" w:type="dxa"/>
          </w:tcPr>
          <w:p>
            <w:pPr>
              <w:pStyle w:val="0"/>
              <w:jc w:val="center"/>
            </w:pPr>
            <w:r>
              <w:rPr>
                <w:sz w:val="20"/>
              </w:rPr>
              <w:t xml:space="preserve">Темп роста</w:t>
            </w:r>
          </w:p>
          <w:p>
            <w:pPr>
              <w:pStyle w:val="0"/>
              <w:jc w:val="center"/>
            </w:pPr>
            <w:r>
              <w:rPr>
                <w:sz w:val="20"/>
              </w:rPr>
              <w:t xml:space="preserve">показателя</w:t>
            </w:r>
          </w:p>
          <w:p>
            <w:pPr>
              <w:pStyle w:val="0"/>
              <w:jc w:val="center"/>
            </w:pPr>
            <w:r>
              <w:rPr>
                <w:sz w:val="20"/>
              </w:rPr>
              <w:t xml:space="preserve">2018 г.</w:t>
            </w:r>
          </w:p>
          <w:p>
            <w:pPr>
              <w:pStyle w:val="0"/>
              <w:jc w:val="center"/>
            </w:pPr>
            <w:r>
              <w:rPr>
                <w:sz w:val="20"/>
              </w:rPr>
              <w:t xml:space="preserve">к 2007 г.,</w:t>
            </w:r>
          </w:p>
          <w:p>
            <w:pPr>
              <w:pStyle w:val="0"/>
              <w:jc w:val="center"/>
            </w:pPr>
            <w:r>
              <w:rPr>
                <w:sz w:val="20"/>
              </w:rPr>
              <w:t xml:space="preserve">раз</w:t>
            </w:r>
          </w:p>
        </w:tc>
        <w:tc>
          <w:tcPr>
            <w:gridSpan w:val="2"/>
            <w:tcW w:w="2834" w:type="dxa"/>
          </w:tcPr>
          <w:p>
            <w:pPr>
              <w:pStyle w:val="0"/>
              <w:jc w:val="center"/>
            </w:pPr>
            <w:r>
              <w:rPr>
                <w:sz w:val="20"/>
              </w:rPr>
              <w:t xml:space="preserve">2018 г.</w:t>
            </w:r>
          </w:p>
        </w:tc>
        <w:tc>
          <w:tcPr>
            <w:tcW w:w="1417" w:type="dxa"/>
          </w:tcPr>
          <w:p>
            <w:pPr>
              <w:pStyle w:val="0"/>
              <w:jc w:val="center"/>
            </w:pPr>
            <w:r>
              <w:rPr>
                <w:sz w:val="20"/>
              </w:rPr>
              <w:t xml:space="preserve">% от РФ</w:t>
            </w:r>
          </w:p>
        </w:tc>
        <w:tc>
          <w:tcPr>
            <w:tcW w:w="1417" w:type="dxa"/>
          </w:tcPr>
          <w:p>
            <w:pPr>
              <w:pStyle w:val="0"/>
              <w:jc w:val="center"/>
            </w:pPr>
            <w:r>
              <w:rPr>
                <w:sz w:val="20"/>
              </w:rPr>
              <w:t xml:space="preserve">% от УФО</w:t>
            </w:r>
          </w:p>
        </w:tc>
      </w:tr>
      <w:tr>
        <w:tc>
          <w:tcPr>
            <w:vMerge w:val="continue"/>
          </w:tcPr>
          <w:p/>
        </w:tc>
        <w:tc>
          <w:tcPr>
            <w:vMerge w:val="continue"/>
          </w:tcPr>
          <w:p/>
        </w:tc>
        <w:tc>
          <w:tcPr>
            <w:gridSpan w:val="11"/>
            <w:tcW w:w="9977" w:type="dxa"/>
          </w:tcPr>
          <w:p>
            <w:pPr>
              <w:pStyle w:val="0"/>
              <w:jc w:val="center"/>
            </w:pPr>
            <w:r>
              <w:rPr>
                <w:sz w:val="20"/>
              </w:rPr>
              <w:t xml:space="preserve">Тюменская область</w:t>
            </w:r>
          </w:p>
        </w:tc>
        <w:tc>
          <w:tcPr>
            <w:tcW w:w="907" w:type="dxa"/>
          </w:tcPr>
          <w:p>
            <w:pPr>
              <w:pStyle w:val="0"/>
            </w:pPr>
            <w:r>
              <w:rPr>
                <w:sz w:val="20"/>
              </w:rPr>
            </w:r>
          </w:p>
        </w:tc>
        <w:tc>
          <w:tcPr>
            <w:tcW w:w="1417" w:type="dxa"/>
          </w:tcPr>
          <w:p>
            <w:pPr>
              <w:pStyle w:val="0"/>
            </w:pPr>
            <w:r>
              <w:rPr>
                <w:sz w:val="20"/>
              </w:rPr>
            </w:r>
          </w:p>
        </w:tc>
        <w:tc>
          <w:tcPr>
            <w:tcW w:w="1417" w:type="dxa"/>
          </w:tcPr>
          <w:p>
            <w:pPr>
              <w:pStyle w:val="0"/>
              <w:jc w:val="center"/>
            </w:pPr>
            <w:r>
              <w:rPr>
                <w:sz w:val="20"/>
              </w:rPr>
              <w:t xml:space="preserve">РФ</w:t>
            </w:r>
          </w:p>
        </w:tc>
        <w:tc>
          <w:tcPr>
            <w:tcW w:w="1417" w:type="dxa"/>
          </w:tcPr>
          <w:p>
            <w:pPr>
              <w:pStyle w:val="0"/>
              <w:jc w:val="center"/>
            </w:pPr>
            <w:r>
              <w:rPr>
                <w:sz w:val="20"/>
              </w:rPr>
              <w:t xml:space="preserve">УФО</w:t>
            </w:r>
          </w:p>
        </w:tc>
        <w:tc>
          <w:tcPr>
            <w:tcW w:w="1417" w:type="dxa"/>
          </w:tcPr>
          <w:p>
            <w:pPr>
              <w:pStyle w:val="0"/>
            </w:pPr>
            <w:r>
              <w:rPr>
                <w:sz w:val="20"/>
              </w:rPr>
            </w:r>
          </w:p>
        </w:tc>
        <w:tc>
          <w:tcPr>
            <w:tcW w:w="1417" w:type="dxa"/>
          </w:tcPr>
          <w:p>
            <w:pPr>
              <w:pStyle w:val="0"/>
            </w:pPr>
            <w:r>
              <w:rPr>
                <w:sz w:val="20"/>
              </w:rPr>
            </w:r>
          </w:p>
        </w:tc>
      </w:tr>
      <w:tr>
        <w:tc>
          <w:tcPr>
            <w:tcW w:w="2607" w:type="dxa"/>
          </w:tcPr>
          <w:p>
            <w:pPr>
              <w:pStyle w:val="0"/>
            </w:pPr>
            <w:r>
              <w:rPr>
                <w:sz w:val="20"/>
              </w:rPr>
              <w:t xml:space="preserve">Территория</w:t>
            </w:r>
          </w:p>
          <w:p>
            <w:pPr>
              <w:pStyle w:val="0"/>
            </w:pPr>
            <w:r>
              <w:rPr>
                <w:sz w:val="20"/>
              </w:rPr>
              <w:t xml:space="preserve">(на конец года)</w:t>
            </w:r>
          </w:p>
        </w:tc>
        <w:tc>
          <w:tcPr>
            <w:tcW w:w="1700" w:type="dxa"/>
          </w:tcPr>
          <w:p>
            <w:pPr>
              <w:pStyle w:val="0"/>
              <w:jc w:val="center"/>
            </w:pPr>
            <w:r>
              <w:rPr>
                <w:sz w:val="20"/>
              </w:rPr>
              <w:t xml:space="preserve">тыс. кв. км</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907" w:type="dxa"/>
          </w:tcPr>
          <w:p>
            <w:pPr>
              <w:pStyle w:val="0"/>
              <w:jc w:val="center"/>
            </w:pPr>
            <w:r>
              <w:rPr>
                <w:sz w:val="20"/>
              </w:rPr>
              <w:t xml:space="preserve">160,1</w:t>
            </w:r>
          </w:p>
        </w:tc>
        <w:tc>
          <w:tcPr>
            <w:tcW w:w="1417" w:type="dxa"/>
          </w:tcPr>
          <w:p>
            <w:pPr>
              <w:pStyle w:val="0"/>
              <w:jc w:val="center"/>
            </w:pPr>
            <w:r>
              <w:rPr>
                <w:sz w:val="20"/>
              </w:rPr>
              <w:t xml:space="preserve">-</w:t>
            </w:r>
          </w:p>
        </w:tc>
        <w:tc>
          <w:tcPr>
            <w:tcW w:w="1417" w:type="dxa"/>
          </w:tcPr>
          <w:p>
            <w:pPr>
              <w:pStyle w:val="0"/>
              <w:jc w:val="center"/>
            </w:pPr>
            <w:r>
              <w:rPr>
                <w:sz w:val="20"/>
              </w:rPr>
              <w:t xml:space="preserve">17125,2</w:t>
            </w:r>
          </w:p>
        </w:tc>
        <w:tc>
          <w:tcPr>
            <w:tcW w:w="1417" w:type="dxa"/>
          </w:tcPr>
          <w:p>
            <w:pPr>
              <w:pStyle w:val="0"/>
              <w:jc w:val="center"/>
            </w:pPr>
            <w:r>
              <w:rPr>
                <w:sz w:val="20"/>
              </w:rPr>
              <w:t xml:space="preserve">1818,5</w:t>
            </w:r>
          </w:p>
        </w:tc>
        <w:tc>
          <w:tcPr>
            <w:tcW w:w="1417" w:type="dxa"/>
          </w:tcPr>
          <w:p>
            <w:pPr>
              <w:pStyle w:val="0"/>
              <w:jc w:val="center"/>
            </w:pPr>
            <w:r>
              <w:rPr>
                <w:sz w:val="20"/>
              </w:rPr>
              <w:t xml:space="preserve">0,9</w:t>
            </w:r>
          </w:p>
        </w:tc>
        <w:tc>
          <w:tcPr>
            <w:tcW w:w="1417" w:type="dxa"/>
          </w:tcPr>
          <w:p>
            <w:pPr>
              <w:pStyle w:val="0"/>
              <w:jc w:val="center"/>
            </w:pPr>
            <w:r>
              <w:rPr>
                <w:sz w:val="20"/>
              </w:rPr>
              <w:t xml:space="preserve">8,8</w:t>
            </w:r>
          </w:p>
        </w:tc>
      </w:tr>
      <w:tr>
        <w:tc>
          <w:tcPr>
            <w:tcW w:w="2607" w:type="dxa"/>
          </w:tcPr>
          <w:p>
            <w:pPr>
              <w:pStyle w:val="0"/>
            </w:pPr>
            <w:r>
              <w:rPr>
                <w:sz w:val="20"/>
              </w:rPr>
              <w:t xml:space="preserve">Численность населения (на конец года)</w:t>
            </w:r>
          </w:p>
        </w:tc>
        <w:tc>
          <w:tcPr>
            <w:tcW w:w="1700" w:type="dxa"/>
          </w:tcPr>
          <w:p>
            <w:pPr>
              <w:pStyle w:val="0"/>
              <w:jc w:val="center"/>
            </w:pPr>
            <w:r>
              <w:rPr>
                <w:sz w:val="20"/>
              </w:rPr>
              <w:t xml:space="preserve">тыс. чел.</w:t>
            </w:r>
          </w:p>
        </w:tc>
        <w:tc>
          <w:tcPr>
            <w:tcW w:w="907" w:type="dxa"/>
          </w:tcPr>
          <w:p>
            <w:pPr>
              <w:pStyle w:val="0"/>
              <w:jc w:val="center"/>
            </w:pPr>
            <w:r>
              <w:rPr>
                <w:sz w:val="20"/>
              </w:rPr>
              <w:t xml:space="preserve">1315,4</w:t>
            </w:r>
          </w:p>
        </w:tc>
        <w:tc>
          <w:tcPr>
            <w:tcW w:w="907" w:type="dxa"/>
          </w:tcPr>
          <w:p>
            <w:pPr>
              <w:pStyle w:val="0"/>
              <w:jc w:val="center"/>
            </w:pPr>
            <w:r>
              <w:rPr>
                <w:sz w:val="20"/>
              </w:rPr>
              <w:t xml:space="preserve">1324,4</w:t>
            </w:r>
          </w:p>
        </w:tc>
        <w:tc>
          <w:tcPr>
            <w:tcW w:w="907" w:type="dxa"/>
          </w:tcPr>
          <w:p>
            <w:pPr>
              <w:pStyle w:val="0"/>
              <w:jc w:val="center"/>
            </w:pPr>
            <w:r>
              <w:rPr>
                <w:sz w:val="20"/>
              </w:rPr>
              <w:t xml:space="preserve">1333,4</w:t>
            </w:r>
          </w:p>
        </w:tc>
        <w:tc>
          <w:tcPr>
            <w:tcW w:w="907" w:type="dxa"/>
          </w:tcPr>
          <w:p>
            <w:pPr>
              <w:pStyle w:val="0"/>
              <w:jc w:val="center"/>
            </w:pPr>
            <w:r>
              <w:rPr>
                <w:sz w:val="20"/>
              </w:rPr>
              <w:t xml:space="preserve">1343,2</w:t>
            </w:r>
          </w:p>
        </w:tc>
        <w:tc>
          <w:tcPr>
            <w:tcW w:w="907" w:type="dxa"/>
          </w:tcPr>
          <w:p>
            <w:pPr>
              <w:pStyle w:val="0"/>
              <w:jc w:val="center"/>
            </w:pPr>
            <w:r>
              <w:rPr>
                <w:sz w:val="20"/>
              </w:rPr>
              <w:t xml:space="preserve">1361,6</w:t>
            </w:r>
          </w:p>
        </w:tc>
        <w:tc>
          <w:tcPr>
            <w:tcW w:w="907" w:type="dxa"/>
          </w:tcPr>
          <w:p>
            <w:pPr>
              <w:pStyle w:val="0"/>
              <w:jc w:val="center"/>
            </w:pPr>
            <w:r>
              <w:rPr>
                <w:sz w:val="20"/>
              </w:rPr>
              <w:t xml:space="preserve">1385,0</w:t>
            </w:r>
          </w:p>
        </w:tc>
        <w:tc>
          <w:tcPr>
            <w:tcW w:w="907" w:type="dxa"/>
          </w:tcPr>
          <w:p>
            <w:pPr>
              <w:pStyle w:val="0"/>
              <w:jc w:val="center"/>
            </w:pPr>
            <w:r>
              <w:rPr>
                <w:sz w:val="20"/>
              </w:rPr>
              <w:t xml:space="preserve">1409,4</w:t>
            </w:r>
          </w:p>
        </w:tc>
        <w:tc>
          <w:tcPr>
            <w:tcW w:w="907" w:type="dxa"/>
          </w:tcPr>
          <w:p>
            <w:pPr>
              <w:pStyle w:val="0"/>
              <w:jc w:val="center"/>
            </w:pPr>
            <w:r>
              <w:rPr>
                <w:sz w:val="20"/>
              </w:rPr>
              <w:t xml:space="preserve">1429,2</w:t>
            </w:r>
          </w:p>
        </w:tc>
        <w:tc>
          <w:tcPr>
            <w:tcW w:w="907" w:type="dxa"/>
          </w:tcPr>
          <w:p>
            <w:pPr>
              <w:pStyle w:val="0"/>
              <w:jc w:val="center"/>
            </w:pPr>
            <w:r>
              <w:rPr>
                <w:sz w:val="20"/>
              </w:rPr>
              <w:t xml:space="preserve">1454,6</w:t>
            </w:r>
          </w:p>
        </w:tc>
        <w:tc>
          <w:tcPr>
            <w:tcW w:w="907" w:type="dxa"/>
          </w:tcPr>
          <w:p>
            <w:pPr>
              <w:pStyle w:val="0"/>
              <w:jc w:val="center"/>
            </w:pPr>
            <w:r>
              <w:rPr>
                <w:sz w:val="20"/>
              </w:rPr>
              <w:t xml:space="preserve">1477,9</w:t>
            </w:r>
          </w:p>
        </w:tc>
        <w:tc>
          <w:tcPr>
            <w:tcW w:w="907" w:type="dxa"/>
          </w:tcPr>
          <w:p>
            <w:pPr>
              <w:pStyle w:val="0"/>
              <w:jc w:val="center"/>
            </w:pPr>
            <w:r>
              <w:rPr>
                <w:sz w:val="20"/>
              </w:rPr>
              <w:t xml:space="preserve">1498,8</w:t>
            </w:r>
          </w:p>
        </w:tc>
        <w:tc>
          <w:tcPr>
            <w:tcW w:w="907" w:type="dxa"/>
          </w:tcPr>
          <w:p>
            <w:pPr>
              <w:pStyle w:val="0"/>
              <w:jc w:val="center"/>
            </w:pPr>
            <w:r>
              <w:rPr>
                <w:sz w:val="20"/>
              </w:rPr>
              <w:t xml:space="preserve">1518,7</w:t>
            </w:r>
          </w:p>
        </w:tc>
        <w:tc>
          <w:tcPr>
            <w:tcW w:w="1417" w:type="dxa"/>
          </w:tcPr>
          <w:p>
            <w:pPr>
              <w:pStyle w:val="0"/>
              <w:jc w:val="center"/>
            </w:pPr>
            <w:r>
              <w:rPr>
                <w:sz w:val="20"/>
              </w:rPr>
              <w:t xml:space="preserve">1,2</w:t>
            </w:r>
          </w:p>
        </w:tc>
        <w:tc>
          <w:tcPr>
            <w:tcW w:w="1417" w:type="dxa"/>
          </w:tcPr>
          <w:p>
            <w:pPr>
              <w:pStyle w:val="0"/>
              <w:jc w:val="center"/>
            </w:pPr>
            <w:r>
              <w:rPr>
                <w:sz w:val="20"/>
              </w:rPr>
              <w:t xml:space="preserve">146780,7</w:t>
            </w:r>
          </w:p>
        </w:tc>
        <w:tc>
          <w:tcPr>
            <w:tcW w:w="1417" w:type="dxa"/>
          </w:tcPr>
          <w:p>
            <w:pPr>
              <w:pStyle w:val="0"/>
              <w:jc w:val="center"/>
            </w:pPr>
            <w:r>
              <w:rPr>
                <w:sz w:val="20"/>
              </w:rPr>
              <w:t xml:space="preserve">12350,1</w:t>
            </w:r>
          </w:p>
        </w:tc>
        <w:tc>
          <w:tcPr>
            <w:tcW w:w="1417" w:type="dxa"/>
          </w:tcPr>
          <w:p>
            <w:pPr>
              <w:pStyle w:val="0"/>
              <w:jc w:val="center"/>
            </w:pPr>
            <w:r>
              <w:rPr>
                <w:sz w:val="20"/>
              </w:rPr>
              <w:t xml:space="preserve">1,0</w:t>
            </w:r>
          </w:p>
        </w:tc>
        <w:tc>
          <w:tcPr>
            <w:tcW w:w="1417" w:type="dxa"/>
          </w:tcPr>
          <w:p>
            <w:pPr>
              <w:pStyle w:val="0"/>
              <w:jc w:val="center"/>
            </w:pPr>
            <w:r>
              <w:rPr>
                <w:sz w:val="20"/>
              </w:rPr>
              <w:t xml:space="preserve">12,3</w:t>
            </w:r>
          </w:p>
        </w:tc>
      </w:tr>
      <w:tr>
        <w:tc>
          <w:tcPr>
            <w:tcW w:w="2607" w:type="dxa"/>
          </w:tcPr>
          <w:p>
            <w:pPr>
              <w:pStyle w:val="0"/>
            </w:pPr>
            <w:r>
              <w:rPr>
                <w:sz w:val="20"/>
              </w:rPr>
              <w:t xml:space="preserve">Валовой региональный продукт</w:t>
            </w:r>
          </w:p>
        </w:tc>
        <w:tc>
          <w:tcPr>
            <w:tcW w:w="1700" w:type="dxa"/>
          </w:tcPr>
          <w:p>
            <w:pPr>
              <w:pStyle w:val="0"/>
              <w:jc w:val="center"/>
            </w:pPr>
            <w:r>
              <w:rPr>
                <w:sz w:val="20"/>
              </w:rPr>
              <w:t xml:space="preserve">млрд руб. в действующих ценах</w:t>
            </w:r>
          </w:p>
        </w:tc>
        <w:tc>
          <w:tcPr>
            <w:tcW w:w="907" w:type="dxa"/>
          </w:tcPr>
          <w:p>
            <w:pPr>
              <w:pStyle w:val="0"/>
              <w:jc w:val="center"/>
            </w:pPr>
            <w:r>
              <w:rPr>
                <w:sz w:val="20"/>
              </w:rPr>
              <w:t xml:space="preserve">435,8</w:t>
            </w:r>
          </w:p>
        </w:tc>
        <w:tc>
          <w:tcPr>
            <w:tcW w:w="907" w:type="dxa"/>
          </w:tcPr>
          <w:p>
            <w:pPr>
              <w:pStyle w:val="0"/>
              <w:jc w:val="center"/>
            </w:pPr>
            <w:r>
              <w:rPr>
                <w:sz w:val="20"/>
              </w:rPr>
              <w:t xml:space="preserve">464,8</w:t>
            </w:r>
          </w:p>
        </w:tc>
        <w:tc>
          <w:tcPr>
            <w:tcW w:w="907" w:type="dxa"/>
          </w:tcPr>
          <w:p>
            <w:pPr>
              <w:pStyle w:val="0"/>
              <w:jc w:val="center"/>
            </w:pPr>
            <w:r>
              <w:rPr>
                <w:sz w:val="20"/>
              </w:rPr>
              <w:t xml:space="preserve">442,0</w:t>
            </w:r>
          </w:p>
        </w:tc>
        <w:tc>
          <w:tcPr>
            <w:tcW w:w="907" w:type="dxa"/>
          </w:tcPr>
          <w:p>
            <w:pPr>
              <w:pStyle w:val="0"/>
              <w:jc w:val="center"/>
            </w:pPr>
            <w:r>
              <w:rPr>
                <w:sz w:val="20"/>
              </w:rPr>
              <w:t xml:space="preserve">547,5</w:t>
            </w:r>
          </w:p>
        </w:tc>
        <w:tc>
          <w:tcPr>
            <w:tcW w:w="907" w:type="dxa"/>
          </w:tcPr>
          <w:p>
            <w:pPr>
              <w:pStyle w:val="0"/>
              <w:jc w:val="center"/>
            </w:pPr>
            <w:r>
              <w:rPr>
                <w:sz w:val="20"/>
              </w:rPr>
              <w:t xml:space="preserve">706,1</w:t>
            </w:r>
          </w:p>
        </w:tc>
        <w:tc>
          <w:tcPr>
            <w:tcW w:w="907" w:type="dxa"/>
          </w:tcPr>
          <w:p>
            <w:pPr>
              <w:pStyle w:val="0"/>
              <w:jc w:val="center"/>
            </w:pPr>
            <w:r>
              <w:rPr>
                <w:sz w:val="20"/>
              </w:rPr>
              <w:t xml:space="preserve">730,6</w:t>
            </w:r>
          </w:p>
        </w:tc>
        <w:tc>
          <w:tcPr>
            <w:tcW w:w="907" w:type="dxa"/>
          </w:tcPr>
          <w:p>
            <w:pPr>
              <w:pStyle w:val="0"/>
              <w:jc w:val="center"/>
            </w:pPr>
            <w:r>
              <w:rPr>
                <w:sz w:val="20"/>
              </w:rPr>
              <w:t xml:space="preserve">845,2</w:t>
            </w:r>
          </w:p>
        </w:tc>
        <w:tc>
          <w:tcPr>
            <w:tcW w:w="907" w:type="dxa"/>
          </w:tcPr>
          <w:p>
            <w:pPr>
              <w:pStyle w:val="0"/>
              <w:jc w:val="center"/>
            </w:pPr>
            <w:r>
              <w:rPr>
                <w:sz w:val="20"/>
              </w:rPr>
              <w:t xml:space="preserve">801,5</w:t>
            </w:r>
          </w:p>
        </w:tc>
        <w:tc>
          <w:tcPr>
            <w:tcW w:w="907" w:type="dxa"/>
          </w:tcPr>
          <w:p>
            <w:pPr>
              <w:pStyle w:val="0"/>
              <w:jc w:val="center"/>
            </w:pPr>
            <w:r>
              <w:rPr>
                <w:sz w:val="20"/>
              </w:rPr>
              <w:t xml:space="preserve">905,7</w:t>
            </w:r>
          </w:p>
        </w:tc>
        <w:tc>
          <w:tcPr>
            <w:tcW w:w="907" w:type="dxa"/>
          </w:tcPr>
          <w:p>
            <w:pPr>
              <w:pStyle w:val="0"/>
              <w:jc w:val="center"/>
            </w:pPr>
            <w:r>
              <w:rPr>
                <w:sz w:val="20"/>
              </w:rPr>
              <w:t xml:space="preserve">915,9</w:t>
            </w:r>
          </w:p>
        </w:tc>
        <w:tc>
          <w:tcPr>
            <w:tcW w:w="907" w:type="dxa"/>
          </w:tcPr>
          <w:p>
            <w:pPr>
              <w:pStyle w:val="0"/>
              <w:jc w:val="center"/>
            </w:pPr>
            <w:r>
              <w:rPr>
                <w:sz w:val="20"/>
              </w:rPr>
              <w:t xml:space="preserve">1013,4</w:t>
            </w:r>
          </w:p>
        </w:tc>
        <w:tc>
          <w:tcPr>
            <w:tcW w:w="907" w:type="dxa"/>
          </w:tcPr>
          <w:p>
            <w:pPr>
              <w:pStyle w:val="0"/>
              <w:jc w:val="center"/>
            </w:pPr>
            <w:r>
              <w:rPr>
                <w:sz w:val="20"/>
              </w:rPr>
              <w:t xml:space="preserve">1124,3</w:t>
            </w:r>
          </w:p>
          <w:p>
            <w:pPr>
              <w:pStyle w:val="0"/>
              <w:jc w:val="center"/>
            </w:pPr>
            <w:r>
              <w:rPr>
                <w:sz w:val="20"/>
              </w:rPr>
              <w:t xml:space="preserve">оценка</w:t>
            </w:r>
          </w:p>
        </w:tc>
        <w:tc>
          <w:tcPr>
            <w:tcW w:w="1417" w:type="dxa"/>
          </w:tcPr>
          <w:p>
            <w:pPr>
              <w:pStyle w:val="0"/>
              <w:jc w:val="center"/>
            </w:pPr>
            <w:r>
              <w:rPr>
                <w:sz w:val="20"/>
              </w:rPr>
              <w:t xml:space="preserve">2,6</w:t>
            </w:r>
          </w:p>
          <w:p>
            <w:pPr>
              <w:pStyle w:val="0"/>
              <w:jc w:val="center"/>
            </w:pPr>
            <w:r>
              <w:rPr>
                <w:sz w:val="20"/>
              </w:rPr>
              <w:t xml:space="preserve">оценка</w:t>
            </w:r>
          </w:p>
        </w:tc>
        <w:tc>
          <w:tcPr>
            <w:tcW w:w="1417" w:type="dxa"/>
          </w:tcPr>
          <w:p>
            <w:pPr>
              <w:pStyle w:val="0"/>
              <w:jc w:val="center"/>
            </w:pPr>
            <w:r>
              <w:rPr>
                <w:sz w:val="20"/>
              </w:rPr>
              <w:t xml:space="preserve">74926,8</w:t>
            </w:r>
          </w:p>
          <w:p>
            <w:pPr>
              <w:pStyle w:val="0"/>
              <w:jc w:val="center"/>
            </w:pPr>
            <w:r>
              <w:rPr>
                <w:sz w:val="20"/>
              </w:rPr>
              <w:t xml:space="preserve">(сумма ВРП по РФ за 2017 год)</w:t>
            </w:r>
          </w:p>
        </w:tc>
        <w:tc>
          <w:tcPr>
            <w:tcW w:w="1417" w:type="dxa"/>
          </w:tcPr>
          <w:p>
            <w:pPr>
              <w:pStyle w:val="0"/>
              <w:jc w:val="center"/>
            </w:pPr>
            <w:r>
              <w:rPr>
                <w:sz w:val="20"/>
              </w:rPr>
              <w:t xml:space="preserve">10677,9</w:t>
            </w:r>
          </w:p>
          <w:p>
            <w:pPr>
              <w:pStyle w:val="0"/>
              <w:jc w:val="center"/>
            </w:pPr>
            <w:r>
              <w:rPr>
                <w:sz w:val="20"/>
              </w:rPr>
              <w:t xml:space="preserve">(сумма ВРП по УФО за 2017 год)</w:t>
            </w:r>
          </w:p>
        </w:tc>
        <w:tc>
          <w:tcPr>
            <w:tcW w:w="1417" w:type="dxa"/>
          </w:tcPr>
          <w:p>
            <w:pPr>
              <w:pStyle w:val="0"/>
              <w:jc w:val="center"/>
            </w:pPr>
            <w:r>
              <w:rPr>
                <w:sz w:val="20"/>
              </w:rPr>
              <w:t xml:space="preserve">1,35 от ВРП по РФ</w:t>
            </w:r>
          </w:p>
          <w:p>
            <w:pPr>
              <w:pStyle w:val="0"/>
              <w:jc w:val="center"/>
            </w:pPr>
            <w:r>
              <w:rPr>
                <w:sz w:val="20"/>
              </w:rPr>
              <w:t xml:space="preserve">за 2017 год</w:t>
            </w:r>
          </w:p>
        </w:tc>
        <w:tc>
          <w:tcPr>
            <w:tcW w:w="1417" w:type="dxa"/>
          </w:tcPr>
          <w:p>
            <w:pPr>
              <w:pStyle w:val="0"/>
              <w:jc w:val="center"/>
            </w:pPr>
            <w:r>
              <w:rPr>
                <w:sz w:val="20"/>
              </w:rPr>
              <w:t xml:space="preserve">9,5</w:t>
            </w:r>
          </w:p>
          <w:p>
            <w:pPr>
              <w:pStyle w:val="0"/>
              <w:jc w:val="center"/>
            </w:pPr>
            <w:r>
              <w:rPr>
                <w:sz w:val="20"/>
              </w:rPr>
              <w:t xml:space="preserve">от ВРП по УФО</w:t>
            </w:r>
          </w:p>
          <w:p>
            <w:pPr>
              <w:pStyle w:val="0"/>
              <w:jc w:val="center"/>
            </w:pPr>
            <w:r>
              <w:rPr>
                <w:sz w:val="20"/>
              </w:rPr>
              <w:t xml:space="preserve">за 2017 год</w:t>
            </w:r>
          </w:p>
        </w:tc>
      </w:tr>
      <w:tr>
        <w:tc>
          <w:tcPr>
            <w:tcW w:w="2607" w:type="dxa"/>
          </w:tcPr>
          <w:p>
            <w:pPr>
              <w:pStyle w:val="0"/>
            </w:pPr>
            <w:r>
              <w:rPr>
                <w:sz w:val="20"/>
              </w:rPr>
              <w:t xml:space="preserve">Валовой региональный продукт на душу населения</w:t>
            </w:r>
          </w:p>
        </w:tc>
        <w:tc>
          <w:tcPr>
            <w:tcW w:w="1700" w:type="dxa"/>
          </w:tcPr>
          <w:p>
            <w:pPr>
              <w:pStyle w:val="0"/>
              <w:jc w:val="center"/>
            </w:pPr>
            <w:r>
              <w:rPr>
                <w:sz w:val="20"/>
              </w:rPr>
              <w:t xml:space="preserve">тыс. руб. в действующих ценах</w:t>
            </w:r>
          </w:p>
        </w:tc>
        <w:tc>
          <w:tcPr>
            <w:tcW w:w="907" w:type="dxa"/>
          </w:tcPr>
          <w:p>
            <w:pPr>
              <w:pStyle w:val="0"/>
              <w:jc w:val="center"/>
            </w:pPr>
            <w:r>
              <w:rPr>
                <w:sz w:val="20"/>
              </w:rPr>
              <w:t xml:space="preserve">332,0</w:t>
            </w:r>
          </w:p>
        </w:tc>
        <w:tc>
          <w:tcPr>
            <w:tcW w:w="907" w:type="dxa"/>
          </w:tcPr>
          <w:p>
            <w:pPr>
              <w:pStyle w:val="0"/>
              <w:jc w:val="center"/>
            </w:pPr>
            <w:r>
              <w:rPr>
                <w:sz w:val="20"/>
              </w:rPr>
              <w:t xml:space="preserve">352,2</w:t>
            </w:r>
          </w:p>
        </w:tc>
        <w:tc>
          <w:tcPr>
            <w:tcW w:w="907" w:type="dxa"/>
          </w:tcPr>
          <w:p>
            <w:pPr>
              <w:pStyle w:val="0"/>
              <w:jc w:val="center"/>
            </w:pPr>
            <w:r>
              <w:rPr>
                <w:sz w:val="20"/>
              </w:rPr>
              <w:t xml:space="preserve">332,6</w:t>
            </w:r>
          </w:p>
        </w:tc>
        <w:tc>
          <w:tcPr>
            <w:tcW w:w="907" w:type="dxa"/>
          </w:tcPr>
          <w:p>
            <w:pPr>
              <w:pStyle w:val="0"/>
              <w:jc w:val="center"/>
            </w:pPr>
            <w:r>
              <w:rPr>
                <w:sz w:val="20"/>
              </w:rPr>
              <w:t xml:space="preserve">409,1</w:t>
            </w:r>
          </w:p>
        </w:tc>
        <w:tc>
          <w:tcPr>
            <w:tcW w:w="907" w:type="dxa"/>
          </w:tcPr>
          <w:p>
            <w:pPr>
              <w:pStyle w:val="0"/>
              <w:jc w:val="center"/>
            </w:pPr>
            <w:r>
              <w:rPr>
                <w:sz w:val="20"/>
              </w:rPr>
              <w:t xml:space="preserve">522,1</w:t>
            </w:r>
          </w:p>
        </w:tc>
        <w:tc>
          <w:tcPr>
            <w:tcW w:w="907" w:type="dxa"/>
          </w:tcPr>
          <w:p>
            <w:pPr>
              <w:pStyle w:val="0"/>
              <w:jc w:val="center"/>
            </w:pPr>
            <w:r>
              <w:rPr>
                <w:sz w:val="20"/>
              </w:rPr>
              <w:t xml:space="preserve">532,0</w:t>
            </w:r>
          </w:p>
        </w:tc>
        <w:tc>
          <w:tcPr>
            <w:tcW w:w="907" w:type="dxa"/>
          </w:tcPr>
          <w:p>
            <w:pPr>
              <w:pStyle w:val="0"/>
              <w:jc w:val="center"/>
            </w:pPr>
            <w:r>
              <w:rPr>
                <w:sz w:val="20"/>
              </w:rPr>
              <w:t xml:space="preserve">604,9</w:t>
            </w:r>
          </w:p>
        </w:tc>
        <w:tc>
          <w:tcPr>
            <w:tcW w:w="907" w:type="dxa"/>
          </w:tcPr>
          <w:p>
            <w:pPr>
              <w:pStyle w:val="0"/>
              <w:jc w:val="center"/>
            </w:pPr>
            <w:r>
              <w:rPr>
                <w:sz w:val="20"/>
              </w:rPr>
              <w:t xml:space="preserve">564,7</w:t>
            </w:r>
          </w:p>
        </w:tc>
        <w:tc>
          <w:tcPr>
            <w:tcW w:w="907" w:type="dxa"/>
          </w:tcPr>
          <w:p>
            <w:pPr>
              <w:pStyle w:val="0"/>
              <w:jc w:val="center"/>
            </w:pPr>
            <w:r>
              <w:rPr>
                <w:sz w:val="20"/>
              </w:rPr>
              <w:t xml:space="preserve">628,1</w:t>
            </w:r>
          </w:p>
        </w:tc>
        <w:tc>
          <w:tcPr>
            <w:tcW w:w="907" w:type="dxa"/>
          </w:tcPr>
          <w:p>
            <w:pPr>
              <w:pStyle w:val="0"/>
              <w:jc w:val="center"/>
            </w:pPr>
            <w:r>
              <w:rPr>
                <w:sz w:val="20"/>
              </w:rPr>
              <w:t xml:space="preserve">624,7</w:t>
            </w:r>
          </w:p>
        </w:tc>
        <w:tc>
          <w:tcPr>
            <w:tcW w:w="907" w:type="dxa"/>
          </w:tcPr>
          <w:p>
            <w:pPr>
              <w:pStyle w:val="0"/>
              <w:jc w:val="center"/>
            </w:pPr>
            <w:r>
              <w:rPr>
                <w:sz w:val="20"/>
              </w:rPr>
              <w:t xml:space="preserve">680,9</w:t>
            </w:r>
          </w:p>
        </w:tc>
        <w:tc>
          <w:tcPr>
            <w:tcW w:w="907" w:type="dxa"/>
          </w:tcPr>
          <w:p>
            <w:pPr>
              <w:pStyle w:val="0"/>
              <w:jc w:val="center"/>
            </w:pPr>
            <w:r>
              <w:rPr>
                <w:sz w:val="20"/>
              </w:rPr>
              <w:t xml:space="preserve">745,2</w:t>
            </w:r>
          </w:p>
          <w:p>
            <w:pPr>
              <w:pStyle w:val="0"/>
              <w:jc w:val="center"/>
            </w:pPr>
            <w:r>
              <w:rPr>
                <w:sz w:val="20"/>
              </w:rPr>
              <w:t xml:space="preserve">оценка</w:t>
            </w:r>
          </w:p>
        </w:tc>
        <w:tc>
          <w:tcPr>
            <w:tcW w:w="1417" w:type="dxa"/>
          </w:tcPr>
          <w:p>
            <w:pPr>
              <w:pStyle w:val="0"/>
              <w:jc w:val="center"/>
            </w:pPr>
            <w:r>
              <w:rPr>
                <w:sz w:val="20"/>
              </w:rPr>
              <w:t xml:space="preserve">2,2</w:t>
            </w:r>
          </w:p>
          <w:p>
            <w:pPr>
              <w:pStyle w:val="0"/>
              <w:jc w:val="center"/>
            </w:pPr>
            <w:r>
              <w:rPr>
                <w:sz w:val="20"/>
              </w:rPr>
              <w:t xml:space="preserve">оценка</w:t>
            </w:r>
          </w:p>
        </w:tc>
        <w:tc>
          <w:tcPr>
            <w:tcW w:w="1417" w:type="dxa"/>
          </w:tcPr>
          <w:p>
            <w:pPr>
              <w:pStyle w:val="0"/>
              <w:jc w:val="center"/>
            </w:pPr>
            <w:r>
              <w:rPr>
                <w:sz w:val="20"/>
              </w:rPr>
              <w:t xml:space="preserve">472,0</w:t>
            </w:r>
          </w:p>
        </w:tc>
        <w:tc>
          <w:tcPr>
            <w:tcW w:w="1417" w:type="dxa"/>
          </w:tcPr>
          <w:p>
            <w:pPr>
              <w:pStyle w:val="0"/>
              <w:jc w:val="center"/>
            </w:pPr>
            <w:r>
              <w:rPr>
                <w:sz w:val="20"/>
              </w:rPr>
              <w:t xml:space="preserve">767,5</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Индекс промышленного производства</w:t>
            </w:r>
          </w:p>
        </w:tc>
        <w:tc>
          <w:tcPr>
            <w:tcW w:w="1700" w:type="dxa"/>
          </w:tcPr>
          <w:p>
            <w:pPr>
              <w:pStyle w:val="0"/>
              <w:jc w:val="center"/>
            </w:pPr>
            <w:r>
              <w:rPr>
                <w:sz w:val="20"/>
              </w:rPr>
              <w:t xml:space="preserve">% к предыдущему году в сопоставимых ценах</w:t>
            </w:r>
          </w:p>
        </w:tc>
        <w:tc>
          <w:tcPr>
            <w:tcW w:w="907" w:type="dxa"/>
          </w:tcPr>
          <w:p>
            <w:pPr>
              <w:pStyle w:val="0"/>
              <w:jc w:val="center"/>
            </w:pPr>
            <w:r>
              <w:rPr>
                <w:sz w:val="20"/>
              </w:rPr>
              <w:t xml:space="preserve">109,2</w:t>
            </w:r>
          </w:p>
        </w:tc>
        <w:tc>
          <w:tcPr>
            <w:tcW w:w="907" w:type="dxa"/>
          </w:tcPr>
          <w:p>
            <w:pPr>
              <w:pStyle w:val="0"/>
              <w:jc w:val="center"/>
            </w:pPr>
            <w:r>
              <w:rPr>
                <w:sz w:val="20"/>
              </w:rPr>
              <w:t xml:space="preserve">105,6</w:t>
            </w:r>
          </w:p>
        </w:tc>
        <w:tc>
          <w:tcPr>
            <w:tcW w:w="907" w:type="dxa"/>
          </w:tcPr>
          <w:p>
            <w:pPr>
              <w:pStyle w:val="0"/>
              <w:jc w:val="center"/>
            </w:pPr>
            <w:r>
              <w:rPr>
                <w:sz w:val="20"/>
              </w:rPr>
              <w:t xml:space="preserve">108,4</w:t>
            </w:r>
          </w:p>
        </w:tc>
        <w:tc>
          <w:tcPr>
            <w:tcW w:w="907" w:type="dxa"/>
          </w:tcPr>
          <w:p>
            <w:pPr>
              <w:pStyle w:val="0"/>
              <w:jc w:val="center"/>
            </w:pPr>
            <w:r>
              <w:rPr>
                <w:sz w:val="20"/>
              </w:rPr>
              <w:t xml:space="preserve">122,3</w:t>
            </w:r>
          </w:p>
        </w:tc>
        <w:tc>
          <w:tcPr>
            <w:tcW w:w="907" w:type="dxa"/>
          </w:tcPr>
          <w:p>
            <w:pPr>
              <w:pStyle w:val="0"/>
              <w:jc w:val="center"/>
            </w:pPr>
            <w:r>
              <w:rPr>
                <w:sz w:val="20"/>
              </w:rPr>
              <w:t xml:space="preserve">116,5</w:t>
            </w:r>
          </w:p>
        </w:tc>
        <w:tc>
          <w:tcPr>
            <w:tcW w:w="907" w:type="dxa"/>
          </w:tcPr>
          <w:p>
            <w:pPr>
              <w:pStyle w:val="0"/>
              <w:jc w:val="center"/>
            </w:pPr>
            <w:r>
              <w:rPr>
                <w:sz w:val="20"/>
              </w:rPr>
              <w:t xml:space="preserve">113,2</w:t>
            </w:r>
          </w:p>
        </w:tc>
        <w:tc>
          <w:tcPr>
            <w:tcW w:w="907" w:type="dxa"/>
          </w:tcPr>
          <w:p>
            <w:pPr>
              <w:pStyle w:val="0"/>
              <w:jc w:val="center"/>
            </w:pPr>
            <w:r>
              <w:rPr>
                <w:sz w:val="20"/>
              </w:rPr>
              <w:t xml:space="preserve">115,1</w:t>
            </w:r>
          </w:p>
        </w:tc>
        <w:tc>
          <w:tcPr>
            <w:tcW w:w="907" w:type="dxa"/>
          </w:tcPr>
          <w:p>
            <w:pPr>
              <w:pStyle w:val="0"/>
              <w:jc w:val="center"/>
            </w:pPr>
            <w:r>
              <w:rPr>
                <w:sz w:val="20"/>
              </w:rPr>
              <w:t xml:space="preserve">112,9</w:t>
            </w:r>
          </w:p>
        </w:tc>
        <w:tc>
          <w:tcPr>
            <w:tcW w:w="907" w:type="dxa"/>
          </w:tcPr>
          <w:p>
            <w:pPr>
              <w:pStyle w:val="0"/>
              <w:jc w:val="center"/>
            </w:pPr>
            <w:r>
              <w:rPr>
                <w:sz w:val="20"/>
              </w:rPr>
              <w:t xml:space="preserve">109,7</w:t>
            </w:r>
          </w:p>
        </w:tc>
        <w:tc>
          <w:tcPr>
            <w:tcW w:w="907" w:type="dxa"/>
          </w:tcPr>
          <w:p>
            <w:pPr>
              <w:pStyle w:val="0"/>
              <w:jc w:val="center"/>
            </w:pPr>
            <w:r>
              <w:rPr>
                <w:sz w:val="20"/>
              </w:rPr>
              <w:t xml:space="preserve">104,5 </w:t>
            </w:r>
            <w:hyperlink w:history="0" w:anchor="P3263" w:tooltip="&lt;*&gt; В соответствии с Общероссийским классификатором видов экономической деятельности ОКВЭД2.&quot;.">
              <w:r>
                <w:rPr>
                  <w:sz w:val="20"/>
                  <w:color w:val="0000ff"/>
                </w:rPr>
                <w:t xml:space="preserve">&lt;*&gt;</w:t>
              </w:r>
            </w:hyperlink>
          </w:p>
        </w:tc>
        <w:tc>
          <w:tcPr>
            <w:tcW w:w="907" w:type="dxa"/>
          </w:tcPr>
          <w:p>
            <w:pPr>
              <w:pStyle w:val="0"/>
              <w:jc w:val="center"/>
            </w:pPr>
            <w:r>
              <w:rPr>
                <w:sz w:val="20"/>
              </w:rPr>
              <w:t xml:space="preserve">103,6 </w:t>
            </w:r>
            <w:hyperlink w:history="0" w:anchor="P3263" w:tooltip="&lt;*&gt; В соответствии с Общероссийским классификатором видов экономической деятельности ОКВЭД2.&quot;.">
              <w:r>
                <w:rPr>
                  <w:sz w:val="20"/>
                  <w:color w:val="0000ff"/>
                </w:rPr>
                <w:t xml:space="preserve">&lt;*&gt;</w:t>
              </w:r>
            </w:hyperlink>
          </w:p>
        </w:tc>
        <w:tc>
          <w:tcPr>
            <w:tcW w:w="907" w:type="dxa"/>
          </w:tcPr>
          <w:p>
            <w:pPr>
              <w:pStyle w:val="0"/>
              <w:jc w:val="center"/>
            </w:pPr>
            <w:r>
              <w:rPr>
                <w:sz w:val="20"/>
              </w:rPr>
              <w:t xml:space="preserve">110,1 </w:t>
            </w:r>
            <w:hyperlink w:history="0" w:anchor="P3263" w:tooltip="&lt;*&gt; В соответствии с Общероссийским классификатором видов экономической деятельности ОКВЭД2.&quot;.">
              <w:r>
                <w:rPr>
                  <w:sz w:val="20"/>
                  <w:color w:val="0000ff"/>
                </w:rPr>
                <w:t xml:space="preserve">&lt;*&gt;</w:t>
              </w:r>
            </w:hyperlink>
          </w:p>
        </w:tc>
        <w:tc>
          <w:tcPr>
            <w:tcW w:w="1417" w:type="dxa"/>
          </w:tcPr>
          <w:p>
            <w:pPr>
              <w:pStyle w:val="0"/>
              <w:jc w:val="center"/>
            </w:pPr>
            <w:r>
              <w:rPr>
                <w:sz w:val="20"/>
              </w:rPr>
              <w:t xml:space="preserve">3,1</w:t>
            </w:r>
          </w:p>
        </w:tc>
        <w:tc>
          <w:tcPr>
            <w:tcW w:w="1417" w:type="dxa"/>
          </w:tcPr>
          <w:p>
            <w:pPr>
              <w:pStyle w:val="0"/>
              <w:jc w:val="center"/>
            </w:pPr>
            <w:r>
              <w:rPr>
                <w:sz w:val="20"/>
              </w:rPr>
              <w:t xml:space="preserve">102,9</w:t>
            </w:r>
          </w:p>
        </w:tc>
        <w:tc>
          <w:tcPr>
            <w:tcW w:w="1417" w:type="dxa"/>
          </w:tcPr>
          <w:p>
            <w:pPr>
              <w:pStyle w:val="0"/>
              <w:jc w:val="center"/>
            </w:pPr>
            <w:r>
              <w:rPr>
                <w:sz w:val="20"/>
              </w:rPr>
              <w:t xml:space="preserve">106,6</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Объем производства промышленной продукции</w:t>
            </w:r>
          </w:p>
        </w:tc>
        <w:tc>
          <w:tcPr>
            <w:tcW w:w="1700" w:type="dxa"/>
          </w:tcPr>
          <w:p>
            <w:pPr>
              <w:pStyle w:val="0"/>
              <w:jc w:val="center"/>
            </w:pPr>
            <w:r>
              <w:rPr>
                <w:sz w:val="20"/>
              </w:rPr>
              <w:t xml:space="preserve">млрд руб. в действующих ценах</w:t>
            </w:r>
          </w:p>
        </w:tc>
        <w:tc>
          <w:tcPr>
            <w:tcW w:w="907" w:type="dxa"/>
          </w:tcPr>
          <w:p>
            <w:pPr>
              <w:pStyle w:val="0"/>
              <w:jc w:val="center"/>
            </w:pPr>
            <w:r>
              <w:rPr>
                <w:sz w:val="20"/>
              </w:rPr>
              <w:t xml:space="preserve">376,6</w:t>
            </w:r>
          </w:p>
        </w:tc>
        <w:tc>
          <w:tcPr>
            <w:tcW w:w="907" w:type="dxa"/>
          </w:tcPr>
          <w:p>
            <w:pPr>
              <w:pStyle w:val="0"/>
              <w:jc w:val="center"/>
            </w:pPr>
            <w:r>
              <w:rPr>
                <w:sz w:val="20"/>
              </w:rPr>
              <w:t xml:space="preserve">502,9</w:t>
            </w:r>
          </w:p>
        </w:tc>
        <w:tc>
          <w:tcPr>
            <w:tcW w:w="907" w:type="dxa"/>
          </w:tcPr>
          <w:p>
            <w:pPr>
              <w:pStyle w:val="0"/>
              <w:jc w:val="center"/>
            </w:pPr>
            <w:r>
              <w:rPr>
                <w:sz w:val="20"/>
              </w:rPr>
              <w:t xml:space="preserve">435,8</w:t>
            </w:r>
          </w:p>
        </w:tc>
        <w:tc>
          <w:tcPr>
            <w:tcW w:w="907" w:type="dxa"/>
          </w:tcPr>
          <w:p>
            <w:pPr>
              <w:pStyle w:val="0"/>
              <w:jc w:val="center"/>
            </w:pPr>
            <w:r>
              <w:rPr>
                <w:sz w:val="20"/>
              </w:rPr>
              <w:t xml:space="preserve">591,8</w:t>
            </w:r>
          </w:p>
        </w:tc>
        <w:tc>
          <w:tcPr>
            <w:tcW w:w="907" w:type="dxa"/>
          </w:tcPr>
          <w:p>
            <w:pPr>
              <w:pStyle w:val="0"/>
              <w:jc w:val="center"/>
            </w:pPr>
            <w:r>
              <w:rPr>
                <w:sz w:val="20"/>
              </w:rPr>
              <w:t xml:space="preserve">798,2</w:t>
            </w:r>
          </w:p>
        </w:tc>
        <w:tc>
          <w:tcPr>
            <w:tcW w:w="907" w:type="dxa"/>
          </w:tcPr>
          <w:p>
            <w:pPr>
              <w:pStyle w:val="0"/>
              <w:jc w:val="center"/>
            </w:pPr>
            <w:r>
              <w:rPr>
                <w:sz w:val="20"/>
              </w:rPr>
              <w:t xml:space="preserve">901,0</w:t>
            </w:r>
          </w:p>
        </w:tc>
        <w:tc>
          <w:tcPr>
            <w:tcW w:w="907" w:type="dxa"/>
          </w:tcPr>
          <w:p>
            <w:pPr>
              <w:pStyle w:val="0"/>
              <w:jc w:val="center"/>
            </w:pPr>
            <w:r>
              <w:rPr>
                <w:sz w:val="20"/>
              </w:rPr>
              <w:t xml:space="preserve">752,9</w:t>
            </w:r>
          </w:p>
        </w:tc>
        <w:tc>
          <w:tcPr>
            <w:tcW w:w="907" w:type="dxa"/>
          </w:tcPr>
          <w:p>
            <w:pPr>
              <w:pStyle w:val="0"/>
              <w:jc w:val="center"/>
            </w:pPr>
            <w:r>
              <w:rPr>
                <w:sz w:val="20"/>
              </w:rPr>
              <w:t xml:space="preserve">703,1</w:t>
            </w:r>
          </w:p>
        </w:tc>
        <w:tc>
          <w:tcPr>
            <w:tcW w:w="907" w:type="dxa"/>
          </w:tcPr>
          <w:p>
            <w:pPr>
              <w:pStyle w:val="0"/>
              <w:jc w:val="center"/>
            </w:pPr>
            <w:r>
              <w:rPr>
                <w:sz w:val="20"/>
              </w:rPr>
              <w:t xml:space="preserve">806,7</w:t>
            </w:r>
          </w:p>
        </w:tc>
        <w:tc>
          <w:tcPr>
            <w:tcW w:w="907" w:type="dxa"/>
          </w:tcPr>
          <w:p>
            <w:pPr>
              <w:pStyle w:val="0"/>
              <w:jc w:val="center"/>
            </w:pPr>
            <w:r>
              <w:rPr>
                <w:sz w:val="20"/>
              </w:rPr>
              <w:t xml:space="preserve">851,2 </w:t>
            </w:r>
            <w:hyperlink w:history="0" w:anchor="P3263" w:tooltip="&lt;*&gt; В соответствии с Общероссийским классификатором видов экономической деятельности ОКВЭД2.&quot;.">
              <w:r>
                <w:rPr>
                  <w:sz w:val="20"/>
                  <w:color w:val="0000ff"/>
                </w:rPr>
                <w:t xml:space="preserve">&lt;*&gt;</w:t>
              </w:r>
            </w:hyperlink>
          </w:p>
        </w:tc>
        <w:tc>
          <w:tcPr>
            <w:tcW w:w="907" w:type="dxa"/>
          </w:tcPr>
          <w:p>
            <w:pPr>
              <w:pStyle w:val="0"/>
              <w:jc w:val="center"/>
            </w:pPr>
            <w:r>
              <w:rPr>
                <w:sz w:val="20"/>
              </w:rPr>
              <w:t xml:space="preserve">917,5 </w:t>
            </w:r>
            <w:hyperlink w:history="0" w:anchor="P3263" w:tooltip="&lt;*&gt; В соответствии с Общероссийским классификатором видов экономической деятельности ОКВЭД2.&quot;.">
              <w:r>
                <w:rPr>
                  <w:sz w:val="20"/>
                  <w:color w:val="0000ff"/>
                </w:rPr>
                <w:t xml:space="preserve">&lt;*&gt;</w:t>
              </w:r>
            </w:hyperlink>
          </w:p>
        </w:tc>
        <w:tc>
          <w:tcPr>
            <w:tcW w:w="907" w:type="dxa"/>
          </w:tcPr>
          <w:p>
            <w:pPr>
              <w:pStyle w:val="0"/>
              <w:jc w:val="center"/>
            </w:pPr>
            <w:r>
              <w:rPr>
                <w:sz w:val="20"/>
              </w:rPr>
              <w:t xml:space="preserve">1139,6 </w:t>
            </w:r>
            <w:hyperlink w:history="0" w:anchor="P3263" w:tooltip="&lt;*&gt; В соответствии с Общероссийским классификатором видов экономической деятельности ОКВЭД2.&quot;.">
              <w:r>
                <w:rPr>
                  <w:sz w:val="20"/>
                  <w:color w:val="0000ff"/>
                </w:rPr>
                <w:t xml:space="preserve">&lt;*&gt;</w:t>
              </w:r>
            </w:hyperlink>
          </w:p>
        </w:tc>
        <w:tc>
          <w:tcPr>
            <w:tcW w:w="1417" w:type="dxa"/>
          </w:tcPr>
          <w:p>
            <w:pPr>
              <w:pStyle w:val="0"/>
              <w:jc w:val="center"/>
            </w:pPr>
            <w:r>
              <w:rPr>
                <w:sz w:val="20"/>
              </w:rPr>
              <w:t xml:space="preserve">3,0</w:t>
            </w:r>
          </w:p>
        </w:tc>
        <w:tc>
          <w:tcPr>
            <w:tcW w:w="1417" w:type="dxa"/>
          </w:tcPr>
          <w:p>
            <w:pPr>
              <w:pStyle w:val="0"/>
              <w:jc w:val="center"/>
            </w:pPr>
            <w:r>
              <w:rPr>
                <w:sz w:val="20"/>
              </w:rPr>
              <w:t xml:space="preserve">69754,6</w:t>
            </w:r>
          </w:p>
        </w:tc>
        <w:tc>
          <w:tcPr>
            <w:tcW w:w="1417" w:type="dxa"/>
          </w:tcPr>
          <w:p>
            <w:pPr>
              <w:pStyle w:val="0"/>
              <w:jc w:val="center"/>
            </w:pPr>
            <w:r>
              <w:rPr>
                <w:sz w:val="20"/>
              </w:rPr>
              <w:t xml:space="preserve">13037,7</w:t>
            </w:r>
          </w:p>
        </w:tc>
        <w:tc>
          <w:tcPr>
            <w:tcW w:w="1417" w:type="dxa"/>
          </w:tcPr>
          <w:p>
            <w:pPr>
              <w:pStyle w:val="0"/>
              <w:jc w:val="center"/>
            </w:pPr>
            <w:r>
              <w:rPr>
                <w:sz w:val="20"/>
              </w:rPr>
              <w:t xml:space="preserve">1,6</w:t>
            </w:r>
          </w:p>
        </w:tc>
        <w:tc>
          <w:tcPr>
            <w:tcW w:w="1417" w:type="dxa"/>
          </w:tcPr>
          <w:p>
            <w:pPr>
              <w:pStyle w:val="0"/>
              <w:jc w:val="center"/>
            </w:pPr>
            <w:r>
              <w:rPr>
                <w:sz w:val="20"/>
              </w:rPr>
              <w:t xml:space="preserve">8,7</w:t>
            </w:r>
          </w:p>
        </w:tc>
      </w:tr>
      <w:tr>
        <w:tc>
          <w:tcPr>
            <w:tcW w:w="2607" w:type="dxa"/>
          </w:tcPr>
          <w:p>
            <w:pPr>
              <w:pStyle w:val="0"/>
            </w:pPr>
            <w:r>
              <w:rPr>
                <w:sz w:val="20"/>
              </w:rPr>
              <w:t xml:space="preserve">Продукция сельского хозяйства</w:t>
            </w:r>
          </w:p>
        </w:tc>
        <w:tc>
          <w:tcPr>
            <w:tcW w:w="1700" w:type="dxa"/>
          </w:tcPr>
          <w:p>
            <w:pPr>
              <w:pStyle w:val="0"/>
              <w:jc w:val="center"/>
            </w:pPr>
            <w:r>
              <w:rPr>
                <w:sz w:val="20"/>
              </w:rPr>
              <w:t xml:space="preserve">млрд руб. в действующих ценах</w:t>
            </w:r>
          </w:p>
        </w:tc>
        <w:tc>
          <w:tcPr>
            <w:tcW w:w="907" w:type="dxa"/>
          </w:tcPr>
          <w:p>
            <w:pPr>
              <w:pStyle w:val="0"/>
              <w:jc w:val="center"/>
            </w:pPr>
            <w:r>
              <w:rPr>
                <w:sz w:val="20"/>
              </w:rPr>
              <w:t xml:space="preserve">29,4</w:t>
            </w:r>
          </w:p>
        </w:tc>
        <w:tc>
          <w:tcPr>
            <w:tcW w:w="907" w:type="dxa"/>
          </w:tcPr>
          <w:p>
            <w:pPr>
              <w:pStyle w:val="0"/>
              <w:jc w:val="center"/>
            </w:pPr>
            <w:r>
              <w:rPr>
                <w:sz w:val="20"/>
              </w:rPr>
              <w:t xml:space="preserve">37,6</w:t>
            </w:r>
          </w:p>
        </w:tc>
        <w:tc>
          <w:tcPr>
            <w:tcW w:w="907" w:type="dxa"/>
          </w:tcPr>
          <w:p>
            <w:pPr>
              <w:pStyle w:val="0"/>
              <w:jc w:val="center"/>
            </w:pPr>
            <w:r>
              <w:rPr>
                <w:sz w:val="20"/>
              </w:rPr>
              <w:t xml:space="preserve">38,6</w:t>
            </w:r>
          </w:p>
        </w:tc>
        <w:tc>
          <w:tcPr>
            <w:tcW w:w="907" w:type="dxa"/>
          </w:tcPr>
          <w:p>
            <w:pPr>
              <w:pStyle w:val="0"/>
              <w:jc w:val="center"/>
            </w:pPr>
            <w:r>
              <w:rPr>
                <w:sz w:val="20"/>
              </w:rPr>
              <w:t xml:space="preserve">39,4</w:t>
            </w:r>
          </w:p>
        </w:tc>
        <w:tc>
          <w:tcPr>
            <w:tcW w:w="907" w:type="dxa"/>
          </w:tcPr>
          <w:p>
            <w:pPr>
              <w:pStyle w:val="0"/>
              <w:jc w:val="center"/>
            </w:pPr>
            <w:r>
              <w:rPr>
                <w:sz w:val="20"/>
              </w:rPr>
              <w:t xml:space="preserve">48,8</w:t>
            </w:r>
          </w:p>
        </w:tc>
        <w:tc>
          <w:tcPr>
            <w:tcW w:w="907" w:type="dxa"/>
          </w:tcPr>
          <w:p>
            <w:pPr>
              <w:pStyle w:val="0"/>
              <w:jc w:val="center"/>
            </w:pPr>
            <w:r>
              <w:rPr>
                <w:sz w:val="20"/>
              </w:rPr>
              <w:t xml:space="preserve">45,8</w:t>
            </w:r>
          </w:p>
        </w:tc>
        <w:tc>
          <w:tcPr>
            <w:tcW w:w="907" w:type="dxa"/>
          </w:tcPr>
          <w:p>
            <w:pPr>
              <w:pStyle w:val="0"/>
              <w:jc w:val="center"/>
            </w:pPr>
            <w:r>
              <w:rPr>
                <w:sz w:val="20"/>
              </w:rPr>
              <w:t xml:space="preserve">48,6</w:t>
            </w:r>
          </w:p>
        </w:tc>
        <w:tc>
          <w:tcPr>
            <w:tcW w:w="907" w:type="dxa"/>
          </w:tcPr>
          <w:p>
            <w:pPr>
              <w:pStyle w:val="0"/>
              <w:jc w:val="center"/>
            </w:pPr>
            <w:r>
              <w:rPr>
                <w:sz w:val="20"/>
              </w:rPr>
              <w:t xml:space="preserve">57,3</w:t>
            </w:r>
          </w:p>
        </w:tc>
        <w:tc>
          <w:tcPr>
            <w:tcW w:w="907" w:type="dxa"/>
          </w:tcPr>
          <w:p>
            <w:pPr>
              <w:pStyle w:val="0"/>
              <w:jc w:val="center"/>
            </w:pPr>
            <w:r>
              <w:rPr>
                <w:sz w:val="20"/>
              </w:rPr>
              <w:t xml:space="preserve">60,9</w:t>
            </w:r>
          </w:p>
        </w:tc>
        <w:tc>
          <w:tcPr>
            <w:tcW w:w="907" w:type="dxa"/>
          </w:tcPr>
          <w:p>
            <w:pPr>
              <w:pStyle w:val="0"/>
              <w:jc w:val="center"/>
            </w:pPr>
            <w:r>
              <w:rPr>
                <w:sz w:val="20"/>
              </w:rPr>
              <w:t xml:space="preserve">63,5</w:t>
            </w:r>
          </w:p>
        </w:tc>
        <w:tc>
          <w:tcPr>
            <w:tcW w:w="907" w:type="dxa"/>
          </w:tcPr>
          <w:p>
            <w:pPr>
              <w:pStyle w:val="0"/>
              <w:jc w:val="center"/>
            </w:pPr>
            <w:r>
              <w:rPr>
                <w:sz w:val="20"/>
              </w:rPr>
              <w:t xml:space="preserve">64,6</w:t>
            </w:r>
          </w:p>
        </w:tc>
        <w:tc>
          <w:tcPr>
            <w:tcW w:w="907" w:type="dxa"/>
          </w:tcPr>
          <w:p>
            <w:pPr>
              <w:pStyle w:val="0"/>
              <w:jc w:val="center"/>
            </w:pPr>
            <w:r>
              <w:rPr>
                <w:sz w:val="20"/>
              </w:rPr>
              <w:t xml:space="preserve">65,0</w:t>
            </w:r>
          </w:p>
        </w:tc>
        <w:tc>
          <w:tcPr>
            <w:tcW w:w="1417" w:type="dxa"/>
          </w:tcPr>
          <w:p>
            <w:pPr>
              <w:pStyle w:val="0"/>
              <w:jc w:val="center"/>
            </w:pPr>
            <w:r>
              <w:rPr>
                <w:sz w:val="20"/>
              </w:rPr>
              <w:t xml:space="preserve">2,2</w:t>
            </w:r>
          </w:p>
        </w:tc>
        <w:tc>
          <w:tcPr>
            <w:tcW w:w="1417" w:type="dxa"/>
          </w:tcPr>
          <w:p>
            <w:pPr>
              <w:pStyle w:val="0"/>
              <w:jc w:val="center"/>
            </w:pPr>
            <w:r>
              <w:rPr>
                <w:sz w:val="20"/>
              </w:rPr>
              <w:t xml:space="preserve">5348,8</w:t>
            </w:r>
          </w:p>
        </w:tc>
        <w:tc>
          <w:tcPr>
            <w:tcW w:w="1417" w:type="dxa"/>
          </w:tcPr>
          <w:p>
            <w:pPr>
              <w:pStyle w:val="0"/>
              <w:jc w:val="center"/>
            </w:pPr>
            <w:r>
              <w:rPr>
                <w:sz w:val="20"/>
              </w:rPr>
              <w:t xml:space="preserve">321,7</w:t>
            </w:r>
          </w:p>
        </w:tc>
        <w:tc>
          <w:tcPr>
            <w:tcW w:w="1417" w:type="dxa"/>
          </w:tcPr>
          <w:p>
            <w:pPr>
              <w:pStyle w:val="0"/>
              <w:jc w:val="center"/>
            </w:pPr>
            <w:r>
              <w:rPr>
                <w:sz w:val="20"/>
              </w:rPr>
              <w:t xml:space="preserve">1,2</w:t>
            </w:r>
          </w:p>
        </w:tc>
        <w:tc>
          <w:tcPr>
            <w:tcW w:w="1417" w:type="dxa"/>
          </w:tcPr>
          <w:p>
            <w:pPr>
              <w:pStyle w:val="0"/>
              <w:jc w:val="center"/>
            </w:pPr>
            <w:r>
              <w:rPr>
                <w:sz w:val="20"/>
              </w:rPr>
              <w:t xml:space="preserve">20,2</w:t>
            </w:r>
          </w:p>
        </w:tc>
      </w:tr>
      <w:tr>
        <w:tc>
          <w:tcPr>
            <w:tcW w:w="2607" w:type="dxa"/>
          </w:tcPr>
          <w:p>
            <w:pPr>
              <w:pStyle w:val="0"/>
            </w:pPr>
            <w:r>
              <w:rPr>
                <w:sz w:val="20"/>
              </w:rPr>
              <w:t xml:space="preserve">Инвестиции в основной капитал</w:t>
            </w:r>
          </w:p>
        </w:tc>
        <w:tc>
          <w:tcPr>
            <w:tcW w:w="1700" w:type="dxa"/>
          </w:tcPr>
          <w:p>
            <w:pPr>
              <w:pStyle w:val="0"/>
              <w:jc w:val="center"/>
            </w:pPr>
            <w:r>
              <w:rPr>
                <w:sz w:val="20"/>
              </w:rPr>
              <w:t xml:space="preserve">млрд руб. в действующих ценах</w:t>
            </w:r>
          </w:p>
        </w:tc>
        <w:tc>
          <w:tcPr>
            <w:tcW w:w="907" w:type="dxa"/>
          </w:tcPr>
          <w:p>
            <w:pPr>
              <w:pStyle w:val="0"/>
              <w:jc w:val="center"/>
            </w:pPr>
            <w:r>
              <w:rPr>
                <w:sz w:val="20"/>
              </w:rPr>
              <w:t xml:space="preserve">106,6</w:t>
            </w:r>
          </w:p>
        </w:tc>
        <w:tc>
          <w:tcPr>
            <w:tcW w:w="907" w:type="dxa"/>
          </w:tcPr>
          <w:p>
            <w:pPr>
              <w:pStyle w:val="0"/>
              <w:jc w:val="center"/>
            </w:pPr>
            <w:r>
              <w:rPr>
                <w:sz w:val="20"/>
              </w:rPr>
              <w:t xml:space="preserve">143,3</w:t>
            </w:r>
          </w:p>
        </w:tc>
        <w:tc>
          <w:tcPr>
            <w:tcW w:w="907" w:type="dxa"/>
          </w:tcPr>
          <w:p>
            <w:pPr>
              <w:pStyle w:val="0"/>
              <w:jc w:val="center"/>
            </w:pPr>
            <w:r>
              <w:rPr>
                <w:sz w:val="20"/>
              </w:rPr>
              <w:t xml:space="preserve">140,5</w:t>
            </w:r>
          </w:p>
        </w:tc>
        <w:tc>
          <w:tcPr>
            <w:tcW w:w="907" w:type="dxa"/>
          </w:tcPr>
          <w:p>
            <w:pPr>
              <w:pStyle w:val="0"/>
              <w:jc w:val="center"/>
            </w:pPr>
            <w:r>
              <w:rPr>
                <w:sz w:val="20"/>
              </w:rPr>
              <w:t xml:space="preserve">154,8</w:t>
            </w:r>
          </w:p>
        </w:tc>
        <w:tc>
          <w:tcPr>
            <w:tcW w:w="907" w:type="dxa"/>
          </w:tcPr>
          <w:p>
            <w:pPr>
              <w:pStyle w:val="0"/>
              <w:jc w:val="center"/>
            </w:pPr>
            <w:r>
              <w:rPr>
                <w:sz w:val="20"/>
              </w:rPr>
              <w:t xml:space="preserve">184,2</w:t>
            </w:r>
          </w:p>
        </w:tc>
        <w:tc>
          <w:tcPr>
            <w:tcW w:w="907" w:type="dxa"/>
          </w:tcPr>
          <w:p>
            <w:pPr>
              <w:pStyle w:val="0"/>
              <w:jc w:val="center"/>
            </w:pPr>
            <w:r>
              <w:rPr>
                <w:sz w:val="20"/>
              </w:rPr>
              <w:t xml:space="preserve">204,9</w:t>
            </w:r>
          </w:p>
        </w:tc>
        <w:tc>
          <w:tcPr>
            <w:tcW w:w="907" w:type="dxa"/>
          </w:tcPr>
          <w:p>
            <w:pPr>
              <w:pStyle w:val="0"/>
              <w:jc w:val="center"/>
            </w:pPr>
            <w:r>
              <w:rPr>
                <w:sz w:val="20"/>
              </w:rPr>
              <w:t xml:space="preserve">244,7</w:t>
            </w:r>
          </w:p>
        </w:tc>
        <w:tc>
          <w:tcPr>
            <w:tcW w:w="907" w:type="dxa"/>
          </w:tcPr>
          <w:p>
            <w:pPr>
              <w:pStyle w:val="0"/>
              <w:jc w:val="center"/>
            </w:pPr>
            <w:r>
              <w:rPr>
                <w:sz w:val="20"/>
              </w:rPr>
              <w:t xml:space="preserve">248,2</w:t>
            </w:r>
          </w:p>
        </w:tc>
        <w:tc>
          <w:tcPr>
            <w:tcW w:w="907" w:type="dxa"/>
          </w:tcPr>
          <w:p>
            <w:pPr>
              <w:pStyle w:val="0"/>
              <w:jc w:val="center"/>
            </w:pPr>
            <w:r>
              <w:rPr>
                <w:sz w:val="20"/>
              </w:rPr>
              <w:t xml:space="preserve">217,4</w:t>
            </w:r>
          </w:p>
        </w:tc>
        <w:tc>
          <w:tcPr>
            <w:tcW w:w="907" w:type="dxa"/>
          </w:tcPr>
          <w:p>
            <w:pPr>
              <w:pStyle w:val="0"/>
              <w:jc w:val="center"/>
            </w:pPr>
            <w:r>
              <w:rPr>
                <w:sz w:val="20"/>
              </w:rPr>
              <w:t xml:space="preserve">239,8</w:t>
            </w:r>
          </w:p>
        </w:tc>
        <w:tc>
          <w:tcPr>
            <w:tcW w:w="907" w:type="dxa"/>
          </w:tcPr>
          <w:p>
            <w:pPr>
              <w:pStyle w:val="0"/>
              <w:jc w:val="center"/>
            </w:pPr>
            <w:r>
              <w:rPr>
                <w:sz w:val="20"/>
              </w:rPr>
              <w:t xml:space="preserve">301,3</w:t>
            </w:r>
          </w:p>
        </w:tc>
        <w:tc>
          <w:tcPr>
            <w:tcW w:w="907" w:type="dxa"/>
          </w:tcPr>
          <w:p>
            <w:pPr>
              <w:pStyle w:val="0"/>
              <w:jc w:val="center"/>
            </w:pPr>
            <w:r>
              <w:rPr>
                <w:sz w:val="20"/>
              </w:rPr>
              <w:t xml:space="preserve">353,6</w:t>
            </w:r>
          </w:p>
        </w:tc>
        <w:tc>
          <w:tcPr>
            <w:tcW w:w="1417" w:type="dxa"/>
          </w:tcPr>
          <w:p>
            <w:pPr>
              <w:pStyle w:val="0"/>
              <w:jc w:val="center"/>
            </w:pPr>
            <w:r>
              <w:rPr>
                <w:sz w:val="20"/>
              </w:rPr>
              <w:t xml:space="preserve">3,3</w:t>
            </w:r>
          </w:p>
        </w:tc>
        <w:tc>
          <w:tcPr>
            <w:tcW w:w="1417" w:type="dxa"/>
          </w:tcPr>
          <w:p>
            <w:pPr>
              <w:pStyle w:val="0"/>
              <w:jc w:val="center"/>
            </w:pPr>
            <w:r>
              <w:rPr>
                <w:sz w:val="20"/>
              </w:rPr>
              <w:t xml:space="preserve">17782</w:t>
            </w:r>
          </w:p>
        </w:tc>
        <w:tc>
          <w:tcPr>
            <w:tcW w:w="1417" w:type="dxa"/>
          </w:tcPr>
          <w:p>
            <w:pPr>
              <w:pStyle w:val="0"/>
              <w:jc w:val="center"/>
            </w:pPr>
            <w:r>
              <w:rPr>
                <w:sz w:val="20"/>
              </w:rPr>
              <w:t xml:space="preserve">2966,7</w:t>
            </w:r>
          </w:p>
        </w:tc>
        <w:tc>
          <w:tcPr>
            <w:tcW w:w="1417" w:type="dxa"/>
          </w:tcPr>
          <w:p>
            <w:pPr>
              <w:pStyle w:val="0"/>
              <w:jc w:val="center"/>
            </w:pPr>
            <w:r>
              <w:rPr>
                <w:sz w:val="20"/>
              </w:rPr>
              <w:t xml:space="preserve">2,0</w:t>
            </w:r>
          </w:p>
        </w:tc>
        <w:tc>
          <w:tcPr>
            <w:tcW w:w="1417" w:type="dxa"/>
          </w:tcPr>
          <w:p>
            <w:pPr>
              <w:pStyle w:val="0"/>
              <w:jc w:val="center"/>
            </w:pPr>
            <w:r>
              <w:rPr>
                <w:sz w:val="20"/>
              </w:rPr>
              <w:t xml:space="preserve">11,9</w:t>
            </w:r>
          </w:p>
        </w:tc>
      </w:tr>
      <w:tr>
        <w:tc>
          <w:tcPr>
            <w:tcW w:w="2607" w:type="dxa"/>
          </w:tcPr>
          <w:p>
            <w:pPr>
              <w:pStyle w:val="0"/>
            </w:pPr>
            <w:r>
              <w:rPr>
                <w:sz w:val="20"/>
              </w:rPr>
              <w:t xml:space="preserve">Индекс физического объема инвестиций в основной капитал</w:t>
            </w:r>
          </w:p>
        </w:tc>
        <w:tc>
          <w:tcPr>
            <w:tcW w:w="1700" w:type="dxa"/>
          </w:tcPr>
          <w:p>
            <w:pPr>
              <w:pStyle w:val="0"/>
              <w:jc w:val="center"/>
            </w:pPr>
            <w:r>
              <w:rPr>
                <w:sz w:val="20"/>
              </w:rPr>
              <w:t xml:space="preserve">% к предыдущему году в сопоставимых ценах</w:t>
            </w:r>
          </w:p>
        </w:tc>
        <w:tc>
          <w:tcPr>
            <w:tcW w:w="907" w:type="dxa"/>
          </w:tcPr>
          <w:p>
            <w:pPr>
              <w:pStyle w:val="0"/>
              <w:jc w:val="center"/>
            </w:pPr>
            <w:r>
              <w:rPr>
                <w:sz w:val="20"/>
              </w:rPr>
              <w:t xml:space="preserve">108,6</w:t>
            </w:r>
          </w:p>
        </w:tc>
        <w:tc>
          <w:tcPr>
            <w:tcW w:w="907" w:type="dxa"/>
          </w:tcPr>
          <w:p>
            <w:pPr>
              <w:pStyle w:val="0"/>
              <w:jc w:val="center"/>
            </w:pPr>
            <w:r>
              <w:rPr>
                <w:sz w:val="20"/>
              </w:rPr>
              <w:t xml:space="preserve">112,3</w:t>
            </w:r>
          </w:p>
        </w:tc>
        <w:tc>
          <w:tcPr>
            <w:tcW w:w="907" w:type="dxa"/>
          </w:tcPr>
          <w:p>
            <w:pPr>
              <w:pStyle w:val="0"/>
              <w:jc w:val="center"/>
            </w:pPr>
            <w:r>
              <w:rPr>
                <w:sz w:val="20"/>
              </w:rPr>
              <w:t xml:space="preserve">96,8</w:t>
            </w:r>
          </w:p>
        </w:tc>
        <w:tc>
          <w:tcPr>
            <w:tcW w:w="907" w:type="dxa"/>
          </w:tcPr>
          <w:p>
            <w:pPr>
              <w:pStyle w:val="0"/>
              <w:jc w:val="center"/>
            </w:pPr>
            <w:r>
              <w:rPr>
                <w:sz w:val="20"/>
              </w:rPr>
              <w:t xml:space="preserve">106,0</w:t>
            </w:r>
          </w:p>
        </w:tc>
        <w:tc>
          <w:tcPr>
            <w:tcW w:w="907" w:type="dxa"/>
          </w:tcPr>
          <w:p>
            <w:pPr>
              <w:pStyle w:val="0"/>
              <w:jc w:val="center"/>
            </w:pPr>
            <w:r>
              <w:rPr>
                <w:sz w:val="20"/>
              </w:rPr>
              <w:t xml:space="preserve">112,4</w:t>
            </w:r>
          </w:p>
        </w:tc>
        <w:tc>
          <w:tcPr>
            <w:tcW w:w="907" w:type="dxa"/>
          </w:tcPr>
          <w:p>
            <w:pPr>
              <w:pStyle w:val="0"/>
              <w:jc w:val="center"/>
            </w:pPr>
            <w:r>
              <w:rPr>
                <w:sz w:val="20"/>
              </w:rPr>
              <w:t xml:space="preserve">103,2</w:t>
            </w:r>
          </w:p>
        </w:tc>
        <w:tc>
          <w:tcPr>
            <w:tcW w:w="907" w:type="dxa"/>
          </w:tcPr>
          <w:p>
            <w:pPr>
              <w:pStyle w:val="0"/>
              <w:jc w:val="center"/>
            </w:pPr>
            <w:r>
              <w:rPr>
                <w:sz w:val="20"/>
              </w:rPr>
              <w:t xml:space="preserve">117,9</w:t>
            </w:r>
          </w:p>
        </w:tc>
        <w:tc>
          <w:tcPr>
            <w:tcW w:w="907" w:type="dxa"/>
          </w:tcPr>
          <w:p>
            <w:pPr>
              <w:pStyle w:val="0"/>
              <w:jc w:val="center"/>
            </w:pPr>
            <w:r>
              <w:rPr>
                <w:sz w:val="20"/>
              </w:rPr>
              <w:t xml:space="preserve">95,1</w:t>
            </w:r>
          </w:p>
        </w:tc>
        <w:tc>
          <w:tcPr>
            <w:tcW w:w="907" w:type="dxa"/>
          </w:tcPr>
          <w:p>
            <w:pPr>
              <w:pStyle w:val="0"/>
              <w:jc w:val="center"/>
            </w:pPr>
            <w:r>
              <w:rPr>
                <w:sz w:val="20"/>
              </w:rPr>
              <w:t xml:space="preserve">78,9</w:t>
            </w:r>
          </w:p>
        </w:tc>
        <w:tc>
          <w:tcPr>
            <w:tcW w:w="907" w:type="dxa"/>
          </w:tcPr>
          <w:p>
            <w:pPr>
              <w:pStyle w:val="0"/>
              <w:jc w:val="center"/>
            </w:pPr>
            <w:r>
              <w:rPr>
                <w:sz w:val="20"/>
              </w:rPr>
              <w:t xml:space="preserve">105,0</w:t>
            </w:r>
          </w:p>
        </w:tc>
        <w:tc>
          <w:tcPr>
            <w:tcW w:w="907" w:type="dxa"/>
          </w:tcPr>
          <w:p>
            <w:pPr>
              <w:pStyle w:val="0"/>
              <w:jc w:val="center"/>
            </w:pPr>
            <w:r>
              <w:rPr>
                <w:sz w:val="20"/>
              </w:rPr>
              <w:t xml:space="preserve">124,3</w:t>
            </w:r>
          </w:p>
        </w:tc>
        <w:tc>
          <w:tcPr>
            <w:tcW w:w="907" w:type="dxa"/>
          </w:tcPr>
          <w:p>
            <w:pPr>
              <w:pStyle w:val="0"/>
              <w:jc w:val="center"/>
            </w:pPr>
            <w:r>
              <w:rPr>
                <w:sz w:val="20"/>
              </w:rPr>
              <w:t xml:space="preserve">112,8</w:t>
            </w:r>
          </w:p>
        </w:tc>
        <w:tc>
          <w:tcPr>
            <w:tcW w:w="1417" w:type="dxa"/>
          </w:tcPr>
          <w:p>
            <w:pPr>
              <w:pStyle w:val="0"/>
              <w:jc w:val="center"/>
            </w:pPr>
            <w:r>
              <w:rPr>
                <w:sz w:val="20"/>
              </w:rPr>
              <w:t xml:space="preserve">1,7</w:t>
            </w:r>
          </w:p>
        </w:tc>
        <w:tc>
          <w:tcPr>
            <w:tcW w:w="1417" w:type="dxa"/>
          </w:tcPr>
          <w:p>
            <w:pPr>
              <w:pStyle w:val="0"/>
              <w:jc w:val="center"/>
            </w:pPr>
            <w:r>
              <w:rPr>
                <w:sz w:val="20"/>
              </w:rPr>
              <w:t xml:space="preserve">105,4</w:t>
            </w:r>
          </w:p>
        </w:tc>
        <w:tc>
          <w:tcPr>
            <w:tcW w:w="1417" w:type="dxa"/>
          </w:tcPr>
          <w:p>
            <w:pPr>
              <w:pStyle w:val="0"/>
              <w:jc w:val="center"/>
            </w:pPr>
            <w:r>
              <w:rPr>
                <w:sz w:val="20"/>
              </w:rPr>
              <w:t xml:space="preserve">105,8</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Инновационная активность организаций</w:t>
            </w:r>
          </w:p>
        </w:tc>
        <w:tc>
          <w:tcPr>
            <w:tcW w:w="1700" w:type="dxa"/>
          </w:tcPr>
          <w:p>
            <w:pPr>
              <w:pStyle w:val="0"/>
              <w:jc w:val="center"/>
            </w:pPr>
            <w:r>
              <w:rPr>
                <w:sz w:val="20"/>
              </w:rPr>
              <w:t xml:space="preserve">%</w:t>
            </w:r>
          </w:p>
        </w:tc>
        <w:tc>
          <w:tcPr>
            <w:tcW w:w="907" w:type="dxa"/>
          </w:tcPr>
          <w:p>
            <w:pPr>
              <w:pStyle w:val="0"/>
              <w:jc w:val="center"/>
            </w:pPr>
            <w:r>
              <w:rPr>
                <w:sz w:val="20"/>
              </w:rPr>
              <w:t xml:space="preserve">5,8</w:t>
            </w:r>
          </w:p>
        </w:tc>
        <w:tc>
          <w:tcPr>
            <w:tcW w:w="907" w:type="dxa"/>
          </w:tcPr>
          <w:p>
            <w:pPr>
              <w:pStyle w:val="0"/>
              <w:jc w:val="center"/>
            </w:pPr>
            <w:r>
              <w:rPr>
                <w:sz w:val="20"/>
              </w:rPr>
              <w:t xml:space="preserve">7,4</w:t>
            </w:r>
          </w:p>
        </w:tc>
        <w:tc>
          <w:tcPr>
            <w:tcW w:w="907" w:type="dxa"/>
          </w:tcPr>
          <w:p>
            <w:pPr>
              <w:pStyle w:val="0"/>
              <w:jc w:val="center"/>
            </w:pPr>
            <w:r>
              <w:rPr>
                <w:sz w:val="20"/>
              </w:rPr>
              <w:t xml:space="preserve">8,9</w:t>
            </w:r>
          </w:p>
        </w:tc>
        <w:tc>
          <w:tcPr>
            <w:tcW w:w="907" w:type="dxa"/>
          </w:tcPr>
          <w:p>
            <w:pPr>
              <w:pStyle w:val="0"/>
              <w:jc w:val="center"/>
            </w:pPr>
            <w:r>
              <w:rPr>
                <w:sz w:val="20"/>
              </w:rPr>
              <w:t xml:space="preserve">12,4</w:t>
            </w:r>
          </w:p>
        </w:tc>
        <w:tc>
          <w:tcPr>
            <w:tcW w:w="907" w:type="dxa"/>
          </w:tcPr>
          <w:p>
            <w:pPr>
              <w:pStyle w:val="0"/>
              <w:jc w:val="center"/>
            </w:pPr>
            <w:r>
              <w:rPr>
                <w:sz w:val="20"/>
              </w:rPr>
              <w:t xml:space="preserve">11,7</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c>
          <w:tcPr>
            <w:tcW w:w="907" w:type="dxa"/>
          </w:tcPr>
          <w:p>
            <w:pPr>
              <w:pStyle w:val="0"/>
              <w:jc w:val="center"/>
            </w:pPr>
            <w:r>
              <w:rPr>
                <w:sz w:val="20"/>
              </w:rPr>
              <w:t xml:space="preserve">12,5</w:t>
            </w:r>
          </w:p>
        </w:tc>
        <w:tc>
          <w:tcPr>
            <w:tcW w:w="907" w:type="dxa"/>
          </w:tcPr>
          <w:p>
            <w:pPr>
              <w:pStyle w:val="0"/>
              <w:jc w:val="center"/>
            </w:pPr>
            <w:r>
              <w:rPr>
                <w:sz w:val="20"/>
              </w:rPr>
              <w:t xml:space="preserve">12,3</w:t>
            </w:r>
          </w:p>
        </w:tc>
        <w:tc>
          <w:tcPr>
            <w:tcW w:w="907" w:type="dxa"/>
          </w:tcPr>
          <w:p>
            <w:pPr>
              <w:pStyle w:val="0"/>
              <w:jc w:val="center"/>
            </w:pPr>
            <w:r>
              <w:rPr>
                <w:sz w:val="20"/>
              </w:rPr>
              <w:t xml:space="preserve">12,9</w:t>
            </w:r>
          </w:p>
        </w:tc>
        <w:tc>
          <w:tcPr>
            <w:tcW w:w="907" w:type="dxa"/>
          </w:tcPr>
          <w:p>
            <w:pPr>
              <w:pStyle w:val="0"/>
              <w:jc w:val="center"/>
            </w:pPr>
            <w:r>
              <w:rPr>
                <w:sz w:val="20"/>
              </w:rPr>
              <w:t xml:space="preserve">18,5</w:t>
            </w:r>
          </w:p>
        </w:tc>
        <w:tc>
          <w:tcPr>
            <w:tcW w:w="907" w:type="dxa"/>
          </w:tcPr>
          <w:p>
            <w:pPr>
              <w:pStyle w:val="0"/>
              <w:jc w:val="center"/>
            </w:pPr>
            <w:r>
              <w:rPr>
                <w:sz w:val="20"/>
              </w:rPr>
              <w:t xml:space="preserve">20,5</w:t>
            </w:r>
          </w:p>
        </w:tc>
        <w:tc>
          <w:tcPr>
            <w:tcW w:w="1417" w:type="dxa"/>
          </w:tcPr>
          <w:p>
            <w:pPr>
              <w:pStyle w:val="0"/>
              <w:jc w:val="center"/>
            </w:pPr>
            <w:r>
              <w:rPr>
                <w:sz w:val="20"/>
              </w:rPr>
              <w:t xml:space="preserve">3,5</w:t>
            </w:r>
          </w:p>
        </w:tc>
        <w:tc>
          <w:tcPr>
            <w:tcW w:w="1417" w:type="dxa"/>
          </w:tcPr>
          <w:p>
            <w:pPr>
              <w:pStyle w:val="0"/>
              <w:jc w:val="center"/>
            </w:pPr>
            <w:r>
              <w:rPr>
                <w:sz w:val="20"/>
              </w:rPr>
              <w:t xml:space="preserve">12,8</w:t>
            </w:r>
          </w:p>
        </w:tc>
        <w:tc>
          <w:tcPr>
            <w:tcW w:w="1417" w:type="dxa"/>
          </w:tcPr>
          <w:p>
            <w:pPr>
              <w:pStyle w:val="0"/>
              <w:jc w:val="center"/>
            </w:pPr>
            <w:r>
              <w:rPr>
                <w:sz w:val="20"/>
              </w:rPr>
              <w:t xml:space="preserve">14,9</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Ввод в действие жилых домов (общая площадь)</w:t>
            </w:r>
          </w:p>
        </w:tc>
        <w:tc>
          <w:tcPr>
            <w:tcW w:w="1700" w:type="dxa"/>
          </w:tcPr>
          <w:p>
            <w:pPr>
              <w:pStyle w:val="0"/>
              <w:jc w:val="center"/>
            </w:pPr>
            <w:r>
              <w:rPr>
                <w:sz w:val="20"/>
              </w:rPr>
              <w:t xml:space="preserve">тыс. кв. м</w:t>
            </w:r>
          </w:p>
        </w:tc>
        <w:tc>
          <w:tcPr>
            <w:tcW w:w="907" w:type="dxa"/>
          </w:tcPr>
          <w:p>
            <w:pPr>
              <w:pStyle w:val="0"/>
              <w:jc w:val="center"/>
            </w:pPr>
            <w:r>
              <w:rPr>
                <w:sz w:val="20"/>
              </w:rPr>
              <w:t xml:space="preserve">940,5</w:t>
            </w:r>
          </w:p>
        </w:tc>
        <w:tc>
          <w:tcPr>
            <w:tcW w:w="907" w:type="dxa"/>
          </w:tcPr>
          <w:p>
            <w:pPr>
              <w:pStyle w:val="0"/>
              <w:jc w:val="center"/>
            </w:pPr>
            <w:r>
              <w:rPr>
                <w:sz w:val="20"/>
              </w:rPr>
              <w:t xml:space="preserve">1099,2</w:t>
            </w:r>
          </w:p>
        </w:tc>
        <w:tc>
          <w:tcPr>
            <w:tcW w:w="907" w:type="dxa"/>
          </w:tcPr>
          <w:p>
            <w:pPr>
              <w:pStyle w:val="0"/>
              <w:jc w:val="center"/>
            </w:pPr>
            <w:r>
              <w:rPr>
                <w:sz w:val="20"/>
              </w:rPr>
              <w:t xml:space="preserve">1043,5</w:t>
            </w:r>
          </w:p>
        </w:tc>
        <w:tc>
          <w:tcPr>
            <w:tcW w:w="907" w:type="dxa"/>
          </w:tcPr>
          <w:p>
            <w:pPr>
              <w:pStyle w:val="0"/>
              <w:jc w:val="center"/>
            </w:pPr>
            <w:r>
              <w:rPr>
                <w:sz w:val="20"/>
              </w:rPr>
              <w:t xml:space="preserve">1111,8</w:t>
            </w:r>
          </w:p>
        </w:tc>
        <w:tc>
          <w:tcPr>
            <w:tcW w:w="907" w:type="dxa"/>
          </w:tcPr>
          <w:p>
            <w:pPr>
              <w:pStyle w:val="0"/>
              <w:jc w:val="center"/>
            </w:pPr>
            <w:r>
              <w:rPr>
                <w:sz w:val="20"/>
              </w:rPr>
              <w:t xml:space="preserve">1222,4</w:t>
            </w:r>
          </w:p>
        </w:tc>
        <w:tc>
          <w:tcPr>
            <w:tcW w:w="907" w:type="dxa"/>
          </w:tcPr>
          <w:p>
            <w:pPr>
              <w:pStyle w:val="0"/>
              <w:jc w:val="center"/>
            </w:pPr>
            <w:r>
              <w:rPr>
                <w:sz w:val="20"/>
              </w:rPr>
              <w:t xml:space="preserve">1345,4</w:t>
            </w:r>
          </w:p>
        </w:tc>
        <w:tc>
          <w:tcPr>
            <w:tcW w:w="907" w:type="dxa"/>
          </w:tcPr>
          <w:p>
            <w:pPr>
              <w:pStyle w:val="0"/>
              <w:jc w:val="center"/>
            </w:pPr>
            <w:r>
              <w:rPr>
                <w:sz w:val="20"/>
              </w:rPr>
              <w:t xml:space="preserve">1463,2</w:t>
            </w:r>
          </w:p>
        </w:tc>
        <w:tc>
          <w:tcPr>
            <w:tcW w:w="907" w:type="dxa"/>
          </w:tcPr>
          <w:p>
            <w:pPr>
              <w:pStyle w:val="0"/>
              <w:jc w:val="center"/>
            </w:pPr>
            <w:r>
              <w:rPr>
                <w:sz w:val="20"/>
              </w:rPr>
              <w:t xml:space="preserve">1774,6</w:t>
            </w:r>
          </w:p>
        </w:tc>
        <w:tc>
          <w:tcPr>
            <w:tcW w:w="907" w:type="dxa"/>
          </w:tcPr>
          <w:p>
            <w:pPr>
              <w:pStyle w:val="0"/>
              <w:jc w:val="center"/>
            </w:pPr>
            <w:r>
              <w:rPr>
                <w:sz w:val="20"/>
              </w:rPr>
              <w:t xml:space="preserve">2131,5</w:t>
            </w:r>
          </w:p>
        </w:tc>
        <w:tc>
          <w:tcPr>
            <w:tcW w:w="907" w:type="dxa"/>
          </w:tcPr>
          <w:p>
            <w:pPr>
              <w:pStyle w:val="0"/>
              <w:jc w:val="center"/>
            </w:pPr>
            <w:r>
              <w:rPr>
                <w:sz w:val="20"/>
              </w:rPr>
              <w:t xml:space="preserve">1687,5</w:t>
            </w:r>
          </w:p>
        </w:tc>
        <w:tc>
          <w:tcPr>
            <w:tcW w:w="907" w:type="dxa"/>
          </w:tcPr>
          <w:p>
            <w:pPr>
              <w:pStyle w:val="0"/>
              <w:jc w:val="center"/>
            </w:pPr>
            <w:r>
              <w:rPr>
                <w:sz w:val="20"/>
              </w:rPr>
              <w:t xml:space="preserve">1419,9</w:t>
            </w:r>
          </w:p>
        </w:tc>
        <w:tc>
          <w:tcPr>
            <w:tcW w:w="907" w:type="dxa"/>
          </w:tcPr>
          <w:p>
            <w:pPr>
              <w:pStyle w:val="0"/>
              <w:jc w:val="center"/>
            </w:pPr>
            <w:r>
              <w:rPr>
                <w:sz w:val="20"/>
              </w:rPr>
              <w:t xml:space="preserve">1348,4</w:t>
            </w:r>
          </w:p>
        </w:tc>
        <w:tc>
          <w:tcPr>
            <w:tcW w:w="1417" w:type="dxa"/>
          </w:tcPr>
          <w:p>
            <w:pPr>
              <w:pStyle w:val="0"/>
              <w:jc w:val="center"/>
            </w:pPr>
            <w:r>
              <w:rPr>
                <w:sz w:val="20"/>
              </w:rPr>
              <w:t xml:space="preserve">1,4</w:t>
            </w:r>
          </w:p>
        </w:tc>
        <w:tc>
          <w:tcPr>
            <w:tcW w:w="1417" w:type="dxa"/>
          </w:tcPr>
          <w:p>
            <w:pPr>
              <w:pStyle w:val="0"/>
              <w:jc w:val="center"/>
            </w:pPr>
            <w:r>
              <w:rPr>
                <w:sz w:val="20"/>
              </w:rPr>
              <w:t xml:space="preserve">75657,7</w:t>
            </w:r>
          </w:p>
        </w:tc>
        <w:tc>
          <w:tcPr>
            <w:tcW w:w="1417" w:type="dxa"/>
          </w:tcPr>
          <w:p>
            <w:pPr>
              <w:pStyle w:val="0"/>
              <w:jc w:val="center"/>
            </w:pPr>
            <w:r>
              <w:rPr>
                <w:sz w:val="20"/>
              </w:rPr>
              <w:t xml:space="preserve">5964,5</w:t>
            </w:r>
          </w:p>
        </w:tc>
        <w:tc>
          <w:tcPr>
            <w:tcW w:w="1417" w:type="dxa"/>
          </w:tcPr>
          <w:p>
            <w:pPr>
              <w:pStyle w:val="0"/>
              <w:jc w:val="center"/>
            </w:pPr>
            <w:r>
              <w:rPr>
                <w:sz w:val="20"/>
              </w:rPr>
              <w:t xml:space="preserve">1,8</w:t>
            </w:r>
          </w:p>
        </w:tc>
        <w:tc>
          <w:tcPr>
            <w:tcW w:w="1417" w:type="dxa"/>
          </w:tcPr>
          <w:p>
            <w:pPr>
              <w:pStyle w:val="0"/>
              <w:jc w:val="center"/>
            </w:pPr>
            <w:r>
              <w:rPr>
                <w:sz w:val="20"/>
              </w:rPr>
              <w:t xml:space="preserve">22,6</w:t>
            </w:r>
          </w:p>
        </w:tc>
      </w:tr>
      <w:tr>
        <w:tc>
          <w:tcPr>
            <w:tcW w:w="2607" w:type="dxa"/>
          </w:tcPr>
          <w:p>
            <w:pPr>
              <w:pStyle w:val="0"/>
            </w:pPr>
            <w:r>
              <w:rPr>
                <w:sz w:val="20"/>
              </w:rPr>
              <w:t xml:space="preserve">Ввод в действие общей площади жилых домов на 1000 человек населения</w:t>
            </w:r>
          </w:p>
        </w:tc>
        <w:tc>
          <w:tcPr>
            <w:tcW w:w="1700" w:type="dxa"/>
          </w:tcPr>
          <w:p>
            <w:pPr>
              <w:pStyle w:val="0"/>
              <w:jc w:val="center"/>
            </w:pPr>
            <w:r>
              <w:rPr>
                <w:sz w:val="20"/>
              </w:rPr>
              <w:t xml:space="preserve">кв. м</w:t>
            </w:r>
          </w:p>
        </w:tc>
        <w:tc>
          <w:tcPr>
            <w:tcW w:w="907" w:type="dxa"/>
          </w:tcPr>
          <w:p>
            <w:pPr>
              <w:pStyle w:val="0"/>
              <w:jc w:val="center"/>
            </w:pPr>
            <w:r>
              <w:rPr>
                <w:sz w:val="20"/>
              </w:rPr>
              <w:t xml:space="preserve">716,5</w:t>
            </w:r>
          </w:p>
        </w:tc>
        <w:tc>
          <w:tcPr>
            <w:tcW w:w="907" w:type="dxa"/>
          </w:tcPr>
          <w:p>
            <w:pPr>
              <w:pStyle w:val="0"/>
              <w:jc w:val="center"/>
            </w:pPr>
            <w:r>
              <w:rPr>
                <w:sz w:val="20"/>
              </w:rPr>
              <w:t xml:space="preserve">832,8</w:t>
            </w:r>
          </w:p>
        </w:tc>
        <w:tc>
          <w:tcPr>
            <w:tcW w:w="907" w:type="dxa"/>
          </w:tcPr>
          <w:p>
            <w:pPr>
              <w:pStyle w:val="0"/>
              <w:jc w:val="center"/>
            </w:pPr>
            <w:r>
              <w:rPr>
                <w:sz w:val="20"/>
              </w:rPr>
              <w:t xml:space="preserve">785,2</w:t>
            </w:r>
          </w:p>
        </w:tc>
        <w:tc>
          <w:tcPr>
            <w:tcW w:w="907" w:type="dxa"/>
          </w:tcPr>
          <w:p>
            <w:pPr>
              <w:pStyle w:val="0"/>
              <w:jc w:val="center"/>
            </w:pPr>
            <w:r>
              <w:rPr>
                <w:sz w:val="20"/>
              </w:rPr>
              <w:t xml:space="preserve">830,7</w:t>
            </w:r>
          </w:p>
        </w:tc>
        <w:tc>
          <w:tcPr>
            <w:tcW w:w="907" w:type="dxa"/>
          </w:tcPr>
          <w:p>
            <w:pPr>
              <w:pStyle w:val="0"/>
              <w:jc w:val="center"/>
            </w:pPr>
            <w:r>
              <w:rPr>
                <w:sz w:val="20"/>
              </w:rPr>
              <w:t xml:space="preserve">903,9</w:t>
            </w:r>
          </w:p>
        </w:tc>
        <w:tc>
          <w:tcPr>
            <w:tcW w:w="907" w:type="dxa"/>
          </w:tcPr>
          <w:p>
            <w:pPr>
              <w:pStyle w:val="0"/>
              <w:jc w:val="center"/>
            </w:pPr>
            <w:r>
              <w:rPr>
                <w:sz w:val="20"/>
              </w:rPr>
              <w:t xml:space="preserve">979,7</w:t>
            </w:r>
          </w:p>
        </w:tc>
        <w:tc>
          <w:tcPr>
            <w:tcW w:w="907" w:type="dxa"/>
          </w:tcPr>
          <w:p>
            <w:pPr>
              <w:pStyle w:val="0"/>
              <w:jc w:val="center"/>
            </w:pPr>
            <w:r>
              <w:rPr>
                <w:sz w:val="20"/>
              </w:rPr>
              <w:t xml:space="preserve">1047,2</w:t>
            </w:r>
          </w:p>
        </w:tc>
        <w:tc>
          <w:tcPr>
            <w:tcW w:w="907" w:type="dxa"/>
          </w:tcPr>
          <w:p>
            <w:pPr>
              <w:pStyle w:val="0"/>
              <w:jc w:val="center"/>
            </w:pPr>
            <w:r>
              <w:rPr>
                <w:sz w:val="20"/>
              </w:rPr>
              <w:t xml:space="preserve">1250,3</w:t>
            </w:r>
          </w:p>
        </w:tc>
        <w:tc>
          <w:tcPr>
            <w:tcW w:w="907" w:type="dxa"/>
          </w:tcPr>
          <w:p>
            <w:pPr>
              <w:pStyle w:val="0"/>
              <w:jc w:val="center"/>
            </w:pPr>
            <w:r>
              <w:rPr>
                <w:sz w:val="20"/>
              </w:rPr>
              <w:t xml:space="preserve">1478,2</w:t>
            </w:r>
          </w:p>
        </w:tc>
        <w:tc>
          <w:tcPr>
            <w:tcW w:w="907" w:type="dxa"/>
          </w:tcPr>
          <w:p>
            <w:pPr>
              <w:pStyle w:val="0"/>
              <w:jc w:val="center"/>
            </w:pPr>
            <w:r>
              <w:rPr>
                <w:sz w:val="20"/>
              </w:rPr>
              <w:t xml:space="preserve">1150,9</w:t>
            </w:r>
          </w:p>
        </w:tc>
        <w:tc>
          <w:tcPr>
            <w:tcW w:w="907" w:type="dxa"/>
          </w:tcPr>
          <w:p>
            <w:pPr>
              <w:pStyle w:val="0"/>
              <w:jc w:val="center"/>
            </w:pPr>
            <w:r>
              <w:rPr>
                <w:sz w:val="20"/>
              </w:rPr>
              <w:t xml:space="preserve">954,0</w:t>
            </w:r>
          </w:p>
        </w:tc>
        <w:tc>
          <w:tcPr>
            <w:tcW w:w="907" w:type="dxa"/>
          </w:tcPr>
          <w:p>
            <w:pPr>
              <w:pStyle w:val="0"/>
              <w:jc w:val="center"/>
            </w:pPr>
            <w:r>
              <w:rPr>
                <w:sz w:val="20"/>
              </w:rPr>
              <w:t xml:space="preserve">893,7</w:t>
            </w:r>
          </w:p>
        </w:tc>
        <w:tc>
          <w:tcPr>
            <w:tcW w:w="1417" w:type="dxa"/>
          </w:tcPr>
          <w:p>
            <w:pPr>
              <w:pStyle w:val="0"/>
              <w:jc w:val="center"/>
            </w:pPr>
            <w:r>
              <w:rPr>
                <w:sz w:val="20"/>
              </w:rPr>
              <w:t xml:space="preserve">1,2</w:t>
            </w:r>
          </w:p>
        </w:tc>
        <w:tc>
          <w:tcPr>
            <w:tcW w:w="1417" w:type="dxa"/>
          </w:tcPr>
          <w:p>
            <w:pPr>
              <w:pStyle w:val="0"/>
              <w:jc w:val="center"/>
            </w:pPr>
            <w:r>
              <w:rPr>
                <w:sz w:val="20"/>
              </w:rPr>
              <w:t xml:space="preserve">515,3</w:t>
            </w:r>
          </w:p>
        </w:tc>
        <w:tc>
          <w:tcPr>
            <w:tcW w:w="1417" w:type="dxa"/>
          </w:tcPr>
          <w:p>
            <w:pPr>
              <w:pStyle w:val="0"/>
              <w:jc w:val="center"/>
            </w:pPr>
            <w:r>
              <w:rPr>
                <w:sz w:val="20"/>
              </w:rPr>
              <w:t xml:space="preserve">482,8</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Оборот розничной торговли, на душу населения</w:t>
            </w:r>
          </w:p>
        </w:tc>
        <w:tc>
          <w:tcPr>
            <w:tcW w:w="1700" w:type="dxa"/>
          </w:tcPr>
          <w:p>
            <w:pPr>
              <w:pStyle w:val="0"/>
              <w:jc w:val="center"/>
            </w:pPr>
            <w:r>
              <w:rPr>
                <w:sz w:val="20"/>
              </w:rPr>
              <w:t xml:space="preserve">тыс. руб.</w:t>
            </w:r>
          </w:p>
        </w:tc>
        <w:tc>
          <w:tcPr>
            <w:tcW w:w="907" w:type="dxa"/>
          </w:tcPr>
          <w:p>
            <w:pPr>
              <w:pStyle w:val="0"/>
              <w:jc w:val="center"/>
            </w:pPr>
            <w:r>
              <w:rPr>
                <w:sz w:val="20"/>
              </w:rPr>
              <w:t xml:space="preserve">90,7</w:t>
            </w:r>
          </w:p>
        </w:tc>
        <w:tc>
          <w:tcPr>
            <w:tcW w:w="907" w:type="dxa"/>
          </w:tcPr>
          <w:p>
            <w:pPr>
              <w:pStyle w:val="0"/>
              <w:jc w:val="center"/>
            </w:pPr>
            <w:r>
              <w:rPr>
                <w:sz w:val="20"/>
              </w:rPr>
              <w:t xml:space="preserve">124,7</w:t>
            </w:r>
          </w:p>
        </w:tc>
        <w:tc>
          <w:tcPr>
            <w:tcW w:w="907" w:type="dxa"/>
          </w:tcPr>
          <w:p>
            <w:pPr>
              <w:pStyle w:val="0"/>
              <w:jc w:val="center"/>
            </w:pPr>
            <w:r>
              <w:rPr>
                <w:sz w:val="20"/>
              </w:rPr>
              <w:t xml:space="preserve">122,4</w:t>
            </w:r>
          </w:p>
        </w:tc>
        <w:tc>
          <w:tcPr>
            <w:tcW w:w="907" w:type="dxa"/>
          </w:tcPr>
          <w:p>
            <w:pPr>
              <w:pStyle w:val="0"/>
              <w:jc w:val="center"/>
            </w:pPr>
            <w:r>
              <w:rPr>
                <w:sz w:val="20"/>
              </w:rPr>
              <w:t xml:space="preserve">132,9</w:t>
            </w:r>
          </w:p>
        </w:tc>
        <w:tc>
          <w:tcPr>
            <w:tcW w:w="907" w:type="dxa"/>
          </w:tcPr>
          <w:p>
            <w:pPr>
              <w:pStyle w:val="0"/>
              <w:jc w:val="center"/>
            </w:pPr>
            <w:r>
              <w:rPr>
                <w:sz w:val="20"/>
              </w:rPr>
              <w:t xml:space="preserve">150,6</w:t>
            </w:r>
          </w:p>
        </w:tc>
        <w:tc>
          <w:tcPr>
            <w:tcW w:w="907" w:type="dxa"/>
          </w:tcPr>
          <w:p>
            <w:pPr>
              <w:pStyle w:val="0"/>
              <w:jc w:val="center"/>
            </w:pPr>
            <w:r>
              <w:rPr>
                <w:sz w:val="20"/>
              </w:rPr>
              <w:t xml:space="preserve">175,8</w:t>
            </w:r>
          </w:p>
        </w:tc>
        <w:tc>
          <w:tcPr>
            <w:tcW w:w="907" w:type="dxa"/>
          </w:tcPr>
          <w:p>
            <w:pPr>
              <w:pStyle w:val="0"/>
              <w:jc w:val="center"/>
            </w:pPr>
            <w:r>
              <w:rPr>
                <w:sz w:val="20"/>
              </w:rPr>
              <w:t xml:space="preserve">204,8</w:t>
            </w:r>
          </w:p>
        </w:tc>
        <w:tc>
          <w:tcPr>
            <w:tcW w:w="907" w:type="dxa"/>
          </w:tcPr>
          <w:p>
            <w:pPr>
              <w:pStyle w:val="0"/>
              <w:jc w:val="center"/>
            </w:pPr>
            <w:r>
              <w:rPr>
                <w:sz w:val="20"/>
              </w:rPr>
              <w:t xml:space="preserve">217,7</w:t>
            </w:r>
          </w:p>
        </w:tc>
        <w:tc>
          <w:tcPr>
            <w:tcW w:w="907" w:type="dxa"/>
          </w:tcPr>
          <w:p>
            <w:pPr>
              <w:pStyle w:val="0"/>
              <w:jc w:val="center"/>
            </w:pPr>
            <w:r>
              <w:rPr>
                <w:sz w:val="20"/>
              </w:rPr>
              <w:t xml:space="preserve">226,5</w:t>
            </w:r>
          </w:p>
        </w:tc>
        <w:tc>
          <w:tcPr>
            <w:tcW w:w="907" w:type="dxa"/>
          </w:tcPr>
          <w:p>
            <w:pPr>
              <w:pStyle w:val="0"/>
              <w:jc w:val="center"/>
            </w:pPr>
            <w:r>
              <w:rPr>
                <w:sz w:val="20"/>
              </w:rPr>
              <w:t xml:space="preserve">227,7</w:t>
            </w:r>
          </w:p>
        </w:tc>
        <w:tc>
          <w:tcPr>
            <w:tcW w:w="907" w:type="dxa"/>
          </w:tcPr>
          <w:p>
            <w:pPr>
              <w:pStyle w:val="0"/>
              <w:jc w:val="center"/>
            </w:pPr>
            <w:r>
              <w:rPr>
                <w:sz w:val="20"/>
              </w:rPr>
              <w:t xml:space="preserve">237,9</w:t>
            </w:r>
          </w:p>
        </w:tc>
        <w:tc>
          <w:tcPr>
            <w:tcW w:w="907" w:type="dxa"/>
          </w:tcPr>
          <w:p>
            <w:pPr>
              <w:pStyle w:val="0"/>
              <w:jc w:val="center"/>
            </w:pPr>
            <w:r>
              <w:rPr>
                <w:sz w:val="20"/>
              </w:rPr>
              <w:t xml:space="preserve">254,4</w:t>
            </w:r>
          </w:p>
        </w:tc>
        <w:tc>
          <w:tcPr>
            <w:tcW w:w="1417" w:type="dxa"/>
          </w:tcPr>
          <w:p>
            <w:pPr>
              <w:pStyle w:val="0"/>
              <w:jc w:val="center"/>
            </w:pPr>
            <w:r>
              <w:rPr>
                <w:sz w:val="20"/>
              </w:rPr>
              <w:t xml:space="preserve">2,8</w:t>
            </w:r>
          </w:p>
        </w:tc>
        <w:tc>
          <w:tcPr>
            <w:tcW w:w="1417" w:type="dxa"/>
          </w:tcPr>
          <w:p>
            <w:pPr>
              <w:pStyle w:val="0"/>
              <w:jc w:val="center"/>
            </w:pPr>
            <w:r>
              <w:rPr>
                <w:sz w:val="20"/>
              </w:rPr>
              <w:t xml:space="preserve">215,1</w:t>
            </w:r>
          </w:p>
        </w:tc>
        <w:tc>
          <w:tcPr>
            <w:tcW w:w="1417" w:type="dxa"/>
          </w:tcPr>
          <w:p>
            <w:pPr>
              <w:pStyle w:val="0"/>
              <w:jc w:val="center"/>
            </w:pPr>
            <w:r>
              <w:rPr>
                <w:sz w:val="20"/>
              </w:rPr>
              <w:t xml:space="preserve">219,1</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Объем платных услуг населению, на душу населения</w:t>
            </w:r>
          </w:p>
        </w:tc>
        <w:tc>
          <w:tcPr>
            <w:tcW w:w="1700" w:type="dxa"/>
          </w:tcPr>
          <w:p>
            <w:pPr>
              <w:pStyle w:val="0"/>
              <w:jc w:val="center"/>
            </w:pPr>
            <w:r>
              <w:rPr>
                <w:sz w:val="20"/>
              </w:rPr>
              <w:t xml:space="preserve">тыс. руб. в действующих ценах</w:t>
            </w:r>
          </w:p>
        </w:tc>
        <w:tc>
          <w:tcPr>
            <w:tcW w:w="907" w:type="dxa"/>
          </w:tcPr>
          <w:p>
            <w:pPr>
              <w:pStyle w:val="0"/>
              <w:jc w:val="center"/>
            </w:pPr>
            <w:r>
              <w:rPr>
                <w:sz w:val="20"/>
              </w:rPr>
              <w:t xml:space="preserve">24,1</w:t>
            </w:r>
          </w:p>
        </w:tc>
        <w:tc>
          <w:tcPr>
            <w:tcW w:w="907" w:type="dxa"/>
          </w:tcPr>
          <w:p>
            <w:pPr>
              <w:pStyle w:val="0"/>
              <w:jc w:val="center"/>
            </w:pPr>
            <w:r>
              <w:rPr>
                <w:sz w:val="20"/>
              </w:rPr>
              <w:t xml:space="preserve">29,7</w:t>
            </w:r>
          </w:p>
        </w:tc>
        <w:tc>
          <w:tcPr>
            <w:tcW w:w="907" w:type="dxa"/>
          </w:tcPr>
          <w:p>
            <w:pPr>
              <w:pStyle w:val="0"/>
              <w:jc w:val="center"/>
            </w:pPr>
            <w:r>
              <w:rPr>
                <w:sz w:val="20"/>
              </w:rPr>
              <w:t xml:space="preserve">33,5</w:t>
            </w:r>
          </w:p>
        </w:tc>
        <w:tc>
          <w:tcPr>
            <w:tcW w:w="907" w:type="dxa"/>
          </w:tcPr>
          <w:p>
            <w:pPr>
              <w:pStyle w:val="0"/>
              <w:jc w:val="center"/>
            </w:pPr>
            <w:r>
              <w:rPr>
                <w:sz w:val="20"/>
              </w:rPr>
              <w:t xml:space="preserve">32,9</w:t>
            </w:r>
          </w:p>
        </w:tc>
        <w:tc>
          <w:tcPr>
            <w:tcW w:w="907" w:type="dxa"/>
          </w:tcPr>
          <w:p>
            <w:pPr>
              <w:pStyle w:val="0"/>
              <w:jc w:val="center"/>
            </w:pPr>
            <w:r>
              <w:rPr>
                <w:sz w:val="20"/>
              </w:rPr>
              <w:t xml:space="preserve">36,9</w:t>
            </w:r>
          </w:p>
        </w:tc>
        <w:tc>
          <w:tcPr>
            <w:tcW w:w="907" w:type="dxa"/>
          </w:tcPr>
          <w:p>
            <w:pPr>
              <w:pStyle w:val="0"/>
              <w:jc w:val="center"/>
            </w:pPr>
            <w:r>
              <w:rPr>
                <w:sz w:val="20"/>
              </w:rPr>
              <w:t xml:space="preserve">41,9</w:t>
            </w:r>
          </w:p>
        </w:tc>
        <w:tc>
          <w:tcPr>
            <w:tcW w:w="907" w:type="dxa"/>
          </w:tcPr>
          <w:p>
            <w:pPr>
              <w:pStyle w:val="0"/>
              <w:jc w:val="center"/>
            </w:pPr>
            <w:r>
              <w:rPr>
                <w:sz w:val="20"/>
              </w:rPr>
              <w:t xml:space="preserve">43,0</w:t>
            </w:r>
          </w:p>
        </w:tc>
        <w:tc>
          <w:tcPr>
            <w:tcW w:w="907" w:type="dxa"/>
          </w:tcPr>
          <w:p>
            <w:pPr>
              <w:pStyle w:val="0"/>
              <w:jc w:val="center"/>
            </w:pPr>
            <w:r>
              <w:rPr>
                <w:sz w:val="20"/>
              </w:rPr>
              <w:t xml:space="preserve">46,9</w:t>
            </w:r>
          </w:p>
        </w:tc>
        <w:tc>
          <w:tcPr>
            <w:tcW w:w="907" w:type="dxa"/>
          </w:tcPr>
          <w:p>
            <w:pPr>
              <w:pStyle w:val="0"/>
              <w:jc w:val="center"/>
            </w:pPr>
            <w:r>
              <w:rPr>
                <w:sz w:val="20"/>
              </w:rPr>
              <w:t xml:space="preserve">52,5</w:t>
            </w:r>
          </w:p>
        </w:tc>
        <w:tc>
          <w:tcPr>
            <w:tcW w:w="907" w:type="dxa"/>
          </w:tcPr>
          <w:p>
            <w:pPr>
              <w:pStyle w:val="0"/>
              <w:jc w:val="center"/>
            </w:pPr>
            <w:r>
              <w:rPr>
                <w:sz w:val="20"/>
              </w:rPr>
              <w:t xml:space="preserve">54,7</w:t>
            </w:r>
          </w:p>
        </w:tc>
        <w:tc>
          <w:tcPr>
            <w:tcW w:w="907" w:type="dxa"/>
          </w:tcPr>
          <w:p>
            <w:pPr>
              <w:pStyle w:val="0"/>
              <w:jc w:val="center"/>
            </w:pPr>
            <w:r>
              <w:rPr>
                <w:sz w:val="20"/>
              </w:rPr>
              <w:t xml:space="preserve">56,9</w:t>
            </w:r>
          </w:p>
        </w:tc>
        <w:tc>
          <w:tcPr>
            <w:tcW w:w="907" w:type="dxa"/>
          </w:tcPr>
          <w:p>
            <w:pPr>
              <w:pStyle w:val="0"/>
              <w:jc w:val="center"/>
            </w:pPr>
            <w:r>
              <w:rPr>
                <w:sz w:val="20"/>
              </w:rPr>
              <w:t xml:space="preserve">59,2</w:t>
            </w:r>
          </w:p>
        </w:tc>
        <w:tc>
          <w:tcPr>
            <w:tcW w:w="1417" w:type="dxa"/>
          </w:tcPr>
          <w:p>
            <w:pPr>
              <w:pStyle w:val="0"/>
              <w:jc w:val="center"/>
            </w:pPr>
            <w:r>
              <w:rPr>
                <w:sz w:val="20"/>
              </w:rPr>
              <w:t xml:space="preserve">2,5</w:t>
            </w:r>
          </w:p>
        </w:tc>
        <w:tc>
          <w:tcPr>
            <w:tcW w:w="1417" w:type="dxa"/>
          </w:tcPr>
          <w:p>
            <w:pPr>
              <w:pStyle w:val="0"/>
              <w:jc w:val="center"/>
            </w:pPr>
            <w:r>
              <w:rPr>
                <w:sz w:val="20"/>
              </w:rPr>
              <w:t xml:space="preserve">66,1</w:t>
            </w:r>
          </w:p>
        </w:tc>
        <w:tc>
          <w:tcPr>
            <w:tcW w:w="1417" w:type="dxa"/>
          </w:tcPr>
          <w:p>
            <w:pPr>
              <w:pStyle w:val="0"/>
              <w:jc w:val="center"/>
            </w:pPr>
            <w:r>
              <w:rPr>
                <w:sz w:val="20"/>
              </w:rPr>
              <w:t xml:space="preserve">67,8</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Уровень безработицы (по методологии МОТ)</w:t>
            </w:r>
          </w:p>
        </w:tc>
        <w:tc>
          <w:tcPr>
            <w:tcW w:w="1700" w:type="dxa"/>
          </w:tcPr>
          <w:p>
            <w:pPr>
              <w:pStyle w:val="0"/>
              <w:jc w:val="center"/>
            </w:pPr>
            <w:r>
              <w:rPr>
                <w:sz w:val="20"/>
              </w:rPr>
              <w:t xml:space="preserve">%</w:t>
            </w:r>
          </w:p>
        </w:tc>
        <w:tc>
          <w:tcPr>
            <w:tcW w:w="907" w:type="dxa"/>
          </w:tcPr>
          <w:p>
            <w:pPr>
              <w:pStyle w:val="0"/>
              <w:jc w:val="center"/>
            </w:pPr>
            <w:r>
              <w:rPr>
                <w:sz w:val="20"/>
              </w:rPr>
              <w:t xml:space="preserve">5,1</w:t>
            </w:r>
          </w:p>
        </w:tc>
        <w:tc>
          <w:tcPr>
            <w:tcW w:w="907" w:type="dxa"/>
          </w:tcPr>
          <w:p>
            <w:pPr>
              <w:pStyle w:val="0"/>
              <w:jc w:val="center"/>
            </w:pPr>
            <w:r>
              <w:rPr>
                <w:sz w:val="20"/>
              </w:rPr>
              <w:t xml:space="preserve">5,6</w:t>
            </w:r>
          </w:p>
        </w:tc>
        <w:tc>
          <w:tcPr>
            <w:tcW w:w="907" w:type="dxa"/>
          </w:tcPr>
          <w:p>
            <w:pPr>
              <w:pStyle w:val="0"/>
              <w:jc w:val="center"/>
            </w:pPr>
            <w:r>
              <w:rPr>
                <w:sz w:val="20"/>
              </w:rPr>
              <w:t xml:space="preserve">7,7</w:t>
            </w:r>
          </w:p>
        </w:tc>
        <w:tc>
          <w:tcPr>
            <w:tcW w:w="907" w:type="dxa"/>
          </w:tcPr>
          <w:p>
            <w:pPr>
              <w:pStyle w:val="0"/>
              <w:jc w:val="center"/>
            </w:pPr>
            <w:r>
              <w:rPr>
                <w:sz w:val="20"/>
              </w:rPr>
              <w:t xml:space="preserve">7,2</w:t>
            </w:r>
          </w:p>
        </w:tc>
        <w:tc>
          <w:tcPr>
            <w:tcW w:w="907" w:type="dxa"/>
          </w:tcPr>
          <w:p>
            <w:pPr>
              <w:pStyle w:val="0"/>
              <w:jc w:val="center"/>
            </w:pPr>
            <w:r>
              <w:rPr>
                <w:sz w:val="20"/>
              </w:rPr>
              <w:t xml:space="preserve">6,2</w:t>
            </w:r>
          </w:p>
        </w:tc>
        <w:tc>
          <w:tcPr>
            <w:tcW w:w="907" w:type="dxa"/>
          </w:tcPr>
          <w:p>
            <w:pPr>
              <w:pStyle w:val="0"/>
              <w:jc w:val="center"/>
            </w:pPr>
            <w:r>
              <w:rPr>
                <w:sz w:val="20"/>
              </w:rPr>
              <w:t xml:space="preserve">5,7</w:t>
            </w:r>
          </w:p>
        </w:tc>
        <w:tc>
          <w:tcPr>
            <w:tcW w:w="907" w:type="dxa"/>
          </w:tcPr>
          <w:p>
            <w:pPr>
              <w:pStyle w:val="0"/>
              <w:jc w:val="center"/>
            </w:pPr>
            <w:r>
              <w:rPr>
                <w:sz w:val="20"/>
              </w:rPr>
              <w:t xml:space="preserve">5,2</w:t>
            </w:r>
          </w:p>
        </w:tc>
        <w:tc>
          <w:tcPr>
            <w:tcW w:w="907" w:type="dxa"/>
          </w:tcPr>
          <w:p>
            <w:pPr>
              <w:pStyle w:val="0"/>
              <w:jc w:val="center"/>
            </w:pPr>
            <w:r>
              <w:rPr>
                <w:sz w:val="20"/>
              </w:rPr>
              <w:t xml:space="preserve">5,5</w:t>
            </w:r>
          </w:p>
        </w:tc>
        <w:tc>
          <w:tcPr>
            <w:tcW w:w="907" w:type="dxa"/>
          </w:tcPr>
          <w:p>
            <w:pPr>
              <w:pStyle w:val="0"/>
              <w:jc w:val="center"/>
            </w:pPr>
            <w:r>
              <w:rPr>
                <w:sz w:val="20"/>
              </w:rPr>
              <w:t xml:space="preserve">6,2</w:t>
            </w:r>
          </w:p>
        </w:tc>
        <w:tc>
          <w:tcPr>
            <w:tcW w:w="907" w:type="dxa"/>
          </w:tcPr>
          <w:p>
            <w:pPr>
              <w:pStyle w:val="0"/>
              <w:jc w:val="center"/>
            </w:pPr>
            <w:r>
              <w:rPr>
                <w:sz w:val="20"/>
              </w:rPr>
              <w:t xml:space="preserve">5,6</w:t>
            </w:r>
          </w:p>
        </w:tc>
        <w:tc>
          <w:tcPr>
            <w:tcW w:w="907" w:type="dxa"/>
          </w:tcPr>
          <w:p>
            <w:pPr>
              <w:pStyle w:val="0"/>
              <w:jc w:val="center"/>
            </w:pPr>
            <w:r>
              <w:rPr>
                <w:sz w:val="20"/>
              </w:rPr>
              <w:t xml:space="preserve">5,0</w:t>
            </w:r>
          </w:p>
        </w:tc>
        <w:tc>
          <w:tcPr>
            <w:tcW w:w="907" w:type="dxa"/>
          </w:tcPr>
          <w:p>
            <w:pPr>
              <w:pStyle w:val="0"/>
              <w:jc w:val="center"/>
            </w:pPr>
            <w:r>
              <w:rPr>
                <w:sz w:val="20"/>
              </w:rPr>
              <w:t xml:space="preserve">4,5</w:t>
            </w:r>
          </w:p>
        </w:tc>
        <w:tc>
          <w:tcPr>
            <w:tcW w:w="1417" w:type="dxa"/>
          </w:tcPr>
          <w:p>
            <w:pPr>
              <w:pStyle w:val="0"/>
              <w:jc w:val="center"/>
            </w:pPr>
            <w:r>
              <w:rPr>
                <w:sz w:val="20"/>
              </w:rPr>
              <w:t xml:space="preserve">-0,6 п.п.</w:t>
            </w:r>
          </w:p>
        </w:tc>
        <w:tc>
          <w:tcPr>
            <w:tcW w:w="1417" w:type="dxa"/>
          </w:tcPr>
          <w:p>
            <w:pPr>
              <w:pStyle w:val="0"/>
              <w:jc w:val="center"/>
            </w:pPr>
            <w:r>
              <w:rPr>
                <w:sz w:val="20"/>
              </w:rPr>
              <w:t xml:space="preserve">4,8</w:t>
            </w:r>
          </w:p>
        </w:tc>
        <w:tc>
          <w:tcPr>
            <w:tcW w:w="1417" w:type="dxa"/>
          </w:tcPr>
          <w:p>
            <w:pPr>
              <w:pStyle w:val="0"/>
              <w:jc w:val="center"/>
            </w:pPr>
            <w:r>
              <w:rPr>
                <w:sz w:val="20"/>
              </w:rPr>
              <w:t xml:space="preserve">4,7</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Численность населения с денежными доходами ниже величины </w:t>
            </w:r>
            <w:hyperlink w:history="0" r:id="rId56" w:tooltip="Справочная информация: &quot;Величина прожиточного минимума в Тюменской области (без автономных округов)&quot; (Материал подготовлен специалистами КонсультантПлюс) {КонсультантПлюс}">
              <w:r>
                <w:rPr>
                  <w:sz w:val="20"/>
                  <w:color w:val="0000ff"/>
                </w:rPr>
                <w:t xml:space="preserve">прожиточного минимума</w:t>
              </w:r>
            </w:hyperlink>
          </w:p>
        </w:tc>
        <w:tc>
          <w:tcPr>
            <w:tcW w:w="1700" w:type="dxa"/>
          </w:tcPr>
          <w:p>
            <w:pPr>
              <w:pStyle w:val="0"/>
              <w:jc w:val="center"/>
            </w:pPr>
            <w:r>
              <w:rPr>
                <w:sz w:val="20"/>
              </w:rPr>
              <w:t xml:space="preserve">%</w:t>
            </w:r>
          </w:p>
          <w:p>
            <w:pPr>
              <w:pStyle w:val="0"/>
              <w:jc w:val="center"/>
            </w:pPr>
            <w:r>
              <w:rPr>
                <w:sz w:val="20"/>
              </w:rPr>
              <w:t xml:space="preserve">от общей численности населения</w:t>
            </w:r>
          </w:p>
        </w:tc>
        <w:tc>
          <w:tcPr>
            <w:tcW w:w="907" w:type="dxa"/>
          </w:tcPr>
          <w:p>
            <w:pPr>
              <w:pStyle w:val="0"/>
              <w:jc w:val="center"/>
            </w:pPr>
            <w:r>
              <w:rPr>
                <w:sz w:val="20"/>
              </w:rPr>
              <w:t xml:space="preserve">10,7</w:t>
            </w:r>
          </w:p>
        </w:tc>
        <w:tc>
          <w:tcPr>
            <w:tcW w:w="907" w:type="dxa"/>
          </w:tcPr>
          <w:p>
            <w:pPr>
              <w:pStyle w:val="0"/>
              <w:jc w:val="center"/>
            </w:pPr>
            <w:r>
              <w:rPr>
                <w:sz w:val="20"/>
              </w:rPr>
              <w:t xml:space="preserve">9,4</w:t>
            </w:r>
          </w:p>
        </w:tc>
        <w:tc>
          <w:tcPr>
            <w:tcW w:w="907" w:type="dxa"/>
          </w:tcPr>
          <w:p>
            <w:pPr>
              <w:pStyle w:val="0"/>
              <w:jc w:val="center"/>
            </w:pPr>
            <w:r>
              <w:rPr>
                <w:sz w:val="20"/>
              </w:rPr>
              <w:t xml:space="preserve">12,1</w:t>
            </w:r>
          </w:p>
        </w:tc>
        <w:tc>
          <w:tcPr>
            <w:tcW w:w="907" w:type="dxa"/>
          </w:tcPr>
          <w:p>
            <w:pPr>
              <w:pStyle w:val="0"/>
              <w:jc w:val="center"/>
            </w:pPr>
            <w:r>
              <w:rPr>
                <w:sz w:val="20"/>
              </w:rPr>
              <w:t xml:space="preserve">10,9</w:t>
            </w:r>
          </w:p>
        </w:tc>
        <w:tc>
          <w:tcPr>
            <w:tcW w:w="907" w:type="dxa"/>
          </w:tcPr>
          <w:p>
            <w:pPr>
              <w:pStyle w:val="0"/>
              <w:jc w:val="center"/>
            </w:pPr>
            <w:r>
              <w:rPr>
                <w:sz w:val="20"/>
              </w:rPr>
              <w:t xml:space="preserve">11,6</w:t>
            </w:r>
          </w:p>
        </w:tc>
        <w:tc>
          <w:tcPr>
            <w:tcW w:w="907" w:type="dxa"/>
          </w:tcPr>
          <w:p>
            <w:pPr>
              <w:pStyle w:val="0"/>
              <w:jc w:val="center"/>
            </w:pPr>
            <w:r>
              <w:rPr>
                <w:sz w:val="20"/>
              </w:rPr>
              <w:t xml:space="preserve">10,4</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14,7</w:t>
            </w:r>
          </w:p>
        </w:tc>
        <w:tc>
          <w:tcPr>
            <w:tcW w:w="907" w:type="dxa"/>
          </w:tcPr>
          <w:p>
            <w:pPr>
              <w:pStyle w:val="0"/>
              <w:jc w:val="center"/>
            </w:pPr>
            <w:r>
              <w:rPr>
                <w:sz w:val="20"/>
              </w:rPr>
              <w:t xml:space="preserve">15,5</w:t>
            </w:r>
          </w:p>
        </w:tc>
        <w:tc>
          <w:tcPr>
            <w:tcW w:w="907" w:type="dxa"/>
          </w:tcPr>
          <w:p>
            <w:pPr>
              <w:pStyle w:val="0"/>
              <w:jc w:val="center"/>
            </w:pPr>
            <w:r>
              <w:rPr>
                <w:sz w:val="20"/>
              </w:rPr>
              <w:t xml:space="preserve">15,4</w:t>
            </w:r>
          </w:p>
        </w:tc>
        <w:tc>
          <w:tcPr>
            <w:tcW w:w="907" w:type="dxa"/>
          </w:tcPr>
          <w:p>
            <w:pPr>
              <w:pStyle w:val="0"/>
              <w:jc w:val="center"/>
            </w:pPr>
            <w:r>
              <w:rPr>
                <w:sz w:val="20"/>
              </w:rPr>
              <w:t xml:space="preserve">14,9</w:t>
            </w:r>
          </w:p>
        </w:tc>
        <w:tc>
          <w:tcPr>
            <w:tcW w:w="1417" w:type="dxa"/>
          </w:tcPr>
          <w:p>
            <w:pPr>
              <w:pStyle w:val="0"/>
              <w:jc w:val="center"/>
            </w:pPr>
            <w:r>
              <w:rPr>
                <w:sz w:val="20"/>
              </w:rPr>
              <w:t xml:space="preserve">+4,2 п.п.</w:t>
            </w:r>
          </w:p>
        </w:tc>
        <w:tc>
          <w:tcPr>
            <w:tcW w:w="1417" w:type="dxa"/>
          </w:tcPr>
          <w:p>
            <w:pPr>
              <w:pStyle w:val="0"/>
              <w:jc w:val="center"/>
            </w:pPr>
            <w:r>
              <w:rPr>
                <w:sz w:val="20"/>
              </w:rPr>
              <w:t xml:space="preserve">12,6</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Среднедушевые денежные доходы населения в месяц</w:t>
            </w:r>
          </w:p>
        </w:tc>
        <w:tc>
          <w:tcPr>
            <w:tcW w:w="1700" w:type="dxa"/>
          </w:tcPr>
          <w:p>
            <w:pPr>
              <w:pStyle w:val="0"/>
              <w:jc w:val="center"/>
            </w:pPr>
            <w:r>
              <w:rPr>
                <w:sz w:val="20"/>
              </w:rPr>
              <w:t xml:space="preserve">руб.</w:t>
            </w:r>
          </w:p>
        </w:tc>
        <w:tc>
          <w:tcPr>
            <w:tcW w:w="907" w:type="dxa"/>
          </w:tcPr>
          <w:p>
            <w:pPr>
              <w:pStyle w:val="0"/>
              <w:jc w:val="center"/>
            </w:pPr>
            <w:r>
              <w:rPr>
                <w:sz w:val="20"/>
              </w:rPr>
              <w:t xml:space="preserve">13737</w:t>
            </w:r>
          </w:p>
        </w:tc>
        <w:tc>
          <w:tcPr>
            <w:tcW w:w="907" w:type="dxa"/>
          </w:tcPr>
          <w:p>
            <w:pPr>
              <w:pStyle w:val="0"/>
              <w:jc w:val="center"/>
            </w:pPr>
            <w:r>
              <w:rPr>
                <w:sz w:val="20"/>
              </w:rPr>
              <w:t xml:space="preserve">17474</w:t>
            </w:r>
          </w:p>
        </w:tc>
        <w:tc>
          <w:tcPr>
            <w:tcW w:w="907" w:type="dxa"/>
          </w:tcPr>
          <w:p>
            <w:pPr>
              <w:pStyle w:val="0"/>
              <w:jc w:val="center"/>
            </w:pPr>
            <w:r>
              <w:rPr>
                <w:sz w:val="20"/>
              </w:rPr>
              <w:t xml:space="preserve">17706</w:t>
            </w:r>
          </w:p>
        </w:tc>
        <w:tc>
          <w:tcPr>
            <w:tcW w:w="907" w:type="dxa"/>
          </w:tcPr>
          <w:p>
            <w:pPr>
              <w:pStyle w:val="0"/>
              <w:jc w:val="center"/>
            </w:pPr>
            <w:r>
              <w:rPr>
                <w:sz w:val="20"/>
              </w:rPr>
              <w:t xml:space="preserve">18885</w:t>
            </w:r>
          </w:p>
        </w:tc>
        <w:tc>
          <w:tcPr>
            <w:tcW w:w="907" w:type="dxa"/>
          </w:tcPr>
          <w:p>
            <w:pPr>
              <w:pStyle w:val="0"/>
              <w:jc w:val="center"/>
            </w:pPr>
            <w:r>
              <w:rPr>
                <w:sz w:val="20"/>
              </w:rPr>
              <w:t xml:space="preserve">20707</w:t>
            </w:r>
          </w:p>
        </w:tc>
        <w:tc>
          <w:tcPr>
            <w:tcW w:w="907" w:type="dxa"/>
          </w:tcPr>
          <w:p>
            <w:pPr>
              <w:pStyle w:val="0"/>
              <w:jc w:val="center"/>
            </w:pPr>
            <w:r>
              <w:rPr>
                <w:sz w:val="20"/>
              </w:rPr>
              <w:t xml:space="preserve">22682</w:t>
            </w:r>
          </w:p>
        </w:tc>
        <w:tc>
          <w:tcPr>
            <w:tcW w:w="907" w:type="dxa"/>
          </w:tcPr>
          <w:p>
            <w:pPr>
              <w:pStyle w:val="0"/>
              <w:jc w:val="center"/>
            </w:pPr>
            <w:r>
              <w:rPr>
                <w:sz w:val="20"/>
              </w:rPr>
              <w:t xml:space="preserve">23169</w:t>
            </w:r>
          </w:p>
        </w:tc>
        <w:tc>
          <w:tcPr>
            <w:tcW w:w="907" w:type="dxa"/>
          </w:tcPr>
          <w:p>
            <w:pPr>
              <w:pStyle w:val="0"/>
              <w:jc w:val="center"/>
            </w:pPr>
            <w:r>
              <w:rPr>
                <w:sz w:val="20"/>
              </w:rPr>
              <w:t xml:space="preserve">25142</w:t>
            </w:r>
          </w:p>
        </w:tc>
        <w:tc>
          <w:tcPr>
            <w:tcW w:w="907" w:type="dxa"/>
          </w:tcPr>
          <w:p>
            <w:pPr>
              <w:pStyle w:val="0"/>
              <w:jc w:val="center"/>
            </w:pPr>
            <w:r>
              <w:rPr>
                <w:sz w:val="20"/>
              </w:rPr>
              <w:t xml:space="preserve">27448</w:t>
            </w:r>
          </w:p>
        </w:tc>
        <w:tc>
          <w:tcPr>
            <w:tcW w:w="907" w:type="dxa"/>
          </w:tcPr>
          <w:p>
            <w:pPr>
              <w:pStyle w:val="0"/>
              <w:jc w:val="center"/>
            </w:pPr>
            <w:r>
              <w:rPr>
                <w:sz w:val="20"/>
              </w:rPr>
              <w:t xml:space="preserve">27044</w:t>
            </w:r>
          </w:p>
        </w:tc>
        <w:tc>
          <w:tcPr>
            <w:tcW w:w="907" w:type="dxa"/>
          </w:tcPr>
          <w:p>
            <w:pPr>
              <w:pStyle w:val="0"/>
              <w:jc w:val="center"/>
            </w:pPr>
            <w:r>
              <w:rPr>
                <w:sz w:val="20"/>
              </w:rPr>
              <w:t xml:space="preserve">27672</w:t>
            </w:r>
          </w:p>
        </w:tc>
        <w:tc>
          <w:tcPr>
            <w:tcW w:w="907" w:type="dxa"/>
          </w:tcPr>
          <w:p>
            <w:pPr>
              <w:pStyle w:val="0"/>
              <w:jc w:val="center"/>
            </w:pPr>
            <w:r>
              <w:rPr>
                <w:sz w:val="20"/>
              </w:rPr>
              <w:t xml:space="preserve">29162</w:t>
            </w:r>
          </w:p>
        </w:tc>
        <w:tc>
          <w:tcPr>
            <w:tcW w:w="1417" w:type="dxa"/>
          </w:tcPr>
          <w:p>
            <w:pPr>
              <w:pStyle w:val="0"/>
              <w:jc w:val="center"/>
            </w:pPr>
            <w:r>
              <w:rPr>
                <w:sz w:val="20"/>
              </w:rPr>
              <w:t xml:space="preserve">2,1</w:t>
            </w:r>
          </w:p>
        </w:tc>
        <w:tc>
          <w:tcPr>
            <w:tcW w:w="1417" w:type="dxa"/>
          </w:tcPr>
          <w:p>
            <w:pPr>
              <w:pStyle w:val="0"/>
              <w:jc w:val="center"/>
            </w:pPr>
            <w:r>
              <w:rPr>
                <w:sz w:val="20"/>
              </w:rPr>
              <w:t xml:space="preserve">33178</w:t>
            </w:r>
          </w:p>
        </w:tc>
        <w:tc>
          <w:tcPr>
            <w:tcW w:w="1417" w:type="dxa"/>
          </w:tcPr>
          <w:p>
            <w:pPr>
              <w:pStyle w:val="0"/>
              <w:jc w:val="center"/>
            </w:pPr>
            <w:r>
              <w:rPr>
                <w:sz w:val="20"/>
              </w:rPr>
              <w:t xml:space="preserve">34955</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Естественный прирост</w:t>
            </w:r>
          </w:p>
        </w:tc>
        <w:tc>
          <w:tcPr>
            <w:tcW w:w="1700" w:type="dxa"/>
          </w:tcPr>
          <w:p>
            <w:pPr>
              <w:pStyle w:val="0"/>
              <w:jc w:val="center"/>
            </w:pPr>
            <w:r>
              <w:rPr>
                <w:sz w:val="20"/>
              </w:rPr>
              <w:t xml:space="preserve">тыс. человек</w:t>
            </w:r>
          </w:p>
        </w:tc>
        <w:tc>
          <w:tcPr>
            <w:tcW w:w="907" w:type="dxa"/>
          </w:tcPr>
          <w:p>
            <w:pPr>
              <w:pStyle w:val="0"/>
              <w:jc w:val="center"/>
            </w:pPr>
            <w:r>
              <w:rPr>
                <w:sz w:val="20"/>
              </w:rPr>
              <w:t xml:space="preserve">1,139</w:t>
            </w:r>
          </w:p>
        </w:tc>
        <w:tc>
          <w:tcPr>
            <w:tcW w:w="907" w:type="dxa"/>
          </w:tcPr>
          <w:p>
            <w:pPr>
              <w:pStyle w:val="0"/>
              <w:jc w:val="center"/>
            </w:pPr>
            <w:r>
              <w:rPr>
                <w:sz w:val="20"/>
              </w:rPr>
              <w:t xml:space="preserve">2,456</w:t>
            </w:r>
          </w:p>
        </w:tc>
        <w:tc>
          <w:tcPr>
            <w:tcW w:w="907" w:type="dxa"/>
          </w:tcPr>
          <w:p>
            <w:pPr>
              <w:pStyle w:val="0"/>
              <w:jc w:val="center"/>
            </w:pPr>
            <w:r>
              <w:rPr>
                <w:sz w:val="20"/>
              </w:rPr>
              <w:t xml:space="preserve">3,828</w:t>
            </w:r>
          </w:p>
        </w:tc>
        <w:tc>
          <w:tcPr>
            <w:tcW w:w="907" w:type="dxa"/>
          </w:tcPr>
          <w:p>
            <w:pPr>
              <w:pStyle w:val="0"/>
              <w:jc w:val="center"/>
            </w:pPr>
            <w:r>
              <w:rPr>
                <w:sz w:val="20"/>
              </w:rPr>
              <w:t xml:space="preserve">3,987</w:t>
            </w:r>
          </w:p>
        </w:tc>
        <w:tc>
          <w:tcPr>
            <w:tcW w:w="907" w:type="dxa"/>
          </w:tcPr>
          <w:p>
            <w:pPr>
              <w:pStyle w:val="0"/>
              <w:jc w:val="center"/>
            </w:pPr>
            <w:r>
              <w:rPr>
                <w:sz w:val="20"/>
              </w:rPr>
              <w:t xml:space="preserve">5,200</w:t>
            </w:r>
          </w:p>
        </w:tc>
        <w:tc>
          <w:tcPr>
            <w:tcW w:w="907" w:type="dxa"/>
          </w:tcPr>
          <w:p>
            <w:pPr>
              <w:pStyle w:val="0"/>
              <w:jc w:val="center"/>
            </w:pPr>
            <w:r>
              <w:rPr>
                <w:sz w:val="20"/>
              </w:rPr>
              <w:t xml:space="preserve">6,574</w:t>
            </w:r>
          </w:p>
        </w:tc>
        <w:tc>
          <w:tcPr>
            <w:tcW w:w="907" w:type="dxa"/>
          </w:tcPr>
          <w:p>
            <w:pPr>
              <w:pStyle w:val="0"/>
              <w:jc w:val="center"/>
            </w:pPr>
            <w:r>
              <w:rPr>
                <w:sz w:val="20"/>
              </w:rPr>
              <w:t xml:space="preserve">7,034</w:t>
            </w:r>
          </w:p>
        </w:tc>
        <w:tc>
          <w:tcPr>
            <w:tcW w:w="907" w:type="dxa"/>
          </w:tcPr>
          <w:p>
            <w:pPr>
              <w:pStyle w:val="0"/>
              <w:jc w:val="center"/>
            </w:pPr>
            <w:r>
              <w:rPr>
                <w:sz w:val="20"/>
              </w:rPr>
              <w:t xml:space="preserve">7,689</w:t>
            </w:r>
          </w:p>
        </w:tc>
        <w:tc>
          <w:tcPr>
            <w:tcW w:w="907" w:type="dxa"/>
          </w:tcPr>
          <w:p>
            <w:pPr>
              <w:pStyle w:val="0"/>
              <w:jc w:val="center"/>
            </w:pPr>
            <w:r>
              <w:rPr>
                <w:sz w:val="20"/>
              </w:rPr>
              <w:t xml:space="preserve">7,461</w:t>
            </w:r>
          </w:p>
        </w:tc>
        <w:tc>
          <w:tcPr>
            <w:tcW w:w="907" w:type="dxa"/>
          </w:tcPr>
          <w:p>
            <w:pPr>
              <w:pStyle w:val="0"/>
              <w:jc w:val="center"/>
            </w:pPr>
            <w:r>
              <w:rPr>
                <w:sz w:val="20"/>
              </w:rPr>
              <w:t xml:space="preserve">6,534</w:t>
            </w:r>
          </w:p>
        </w:tc>
        <w:tc>
          <w:tcPr>
            <w:tcW w:w="907" w:type="dxa"/>
          </w:tcPr>
          <w:p>
            <w:pPr>
              <w:pStyle w:val="0"/>
              <w:jc w:val="center"/>
            </w:pPr>
            <w:r>
              <w:rPr>
                <w:sz w:val="20"/>
              </w:rPr>
              <w:t xml:space="preserve">5,289</w:t>
            </w:r>
          </w:p>
        </w:tc>
        <w:tc>
          <w:tcPr>
            <w:tcW w:w="907" w:type="dxa"/>
          </w:tcPr>
          <w:p>
            <w:pPr>
              <w:pStyle w:val="0"/>
              <w:jc w:val="center"/>
            </w:pPr>
            <w:r>
              <w:rPr>
                <w:sz w:val="20"/>
              </w:rPr>
              <w:t xml:space="preserve">4,233</w:t>
            </w:r>
          </w:p>
        </w:tc>
        <w:tc>
          <w:tcPr>
            <w:tcW w:w="1417" w:type="dxa"/>
          </w:tcPr>
          <w:p>
            <w:pPr>
              <w:pStyle w:val="0"/>
              <w:jc w:val="center"/>
            </w:pPr>
            <w:r>
              <w:rPr>
                <w:sz w:val="20"/>
              </w:rPr>
              <w:t xml:space="preserve">3,7</w:t>
            </w:r>
          </w:p>
        </w:tc>
        <w:tc>
          <w:tcPr>
            <w:tcW w:w="1417" w:type="dxa"/>
          </w:tcPr>
          <w:p>
            <w:pPr>
              <w:pStyle w:val="0"/>
              <w:jc w:val="center"/>
            </w:pPr>
            <w:r>
              <w:rPr>
                <w:sz w:val="20"/>
              </w:rPr>
              <w:t xml:space="preserve">-224,566</w:t>
            </w:r>
          </w:p>
        </w:tc>
        <w:tc>
          <w:tcPr>
            <w:tcW w:w="1417" w:type="dxa"/>
          </w:tcPr>
          <w:p>
            <w:pPr>
              <w:pStyle w:val="0"/>
              <w:jc w:val="center"/>
            </w:pPr>
            <w:r>
              <w:rPr>
                <w:sz w:val="20"/>
              </w:rPr>
              <w:t xml:space="preserve">0,110</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Естественный прирост населения на 1000 населения</w:t>
            </w:r>
          </w:p>
        </w:tc>
        <w:tc>
          <w:tcPr>
            <w:tcW w:w="1700" w:type="dxa"/>
          </w:tcPr>
          <w:p>
            <w:pPr>
              <w:pStyle w:val="0"/>
              <w:jc w:val="center"/>
            </w:pPr>
            <w:r>
              <w:rPr>
                <w:sz w:val="20"/>
              </w:rPr>
              <w:t xml:space="preserve">промилле</w:t>
            </w:r>
          </w:p>
        </w:tc>
        <w:tc>
          <w:tcPr>
            <w:tcW w:w="907" w:type="dxa"/>
          </w:tcPr>
          <w:p>
            <w:pPr>
              <w:pStyle w:val="0"/>
              <w:jc w:val="center"/>
            </w:pPr>
            <w:r>
              <w:rPr>
                <w:sz w:val="20"/>
              </w:rPr>
              <w:t xml:space="preserve">0,8</w:t>
            </w:r>
          </w:p>
        </w:tc>
        <w:tc>
          <w:tcPr>
            <w:tcW w:w="907" w:type="dxa"/>
          </w:tcPr>
          <w:p>
            <w:pPr>
              <w:pStyle w:val="0"/>
              <w:jc w:val="center"/>
            </w:pPr>
            <w:r>
              <w:rPr>
                <w:sz w:val="20"/>
              </w:rPr>
              <w:t xml:space="preserve">1,8</w:t>
            </w:r>
          </w:p>
        </w:tc>
        <w:tc>
          <w:tcPr>
            <w:tcW w:w="907" w:type="dxa"/>
          </w:tcPr>
          <w:p>
            <w:pPr>
              <w:pStyle w:val="0"/>
              <w:jc w:val="center"/>
            </w:pPr>
            <w:r>
              <w:rPr>
                <w:sz w:val="20"/>
              </w:rPr>
              <w:t xml:space="preserve">2,9</w:t>
            </w:r>
          </w:p>
        </w:tc>
        <w:tc>
          <w:tcPr>
            <w:tcW w:w="907" w:type="dxa"/>
          </w:tcPr>
          <w:p>
            <w:pPr>
              <w:pStyle w:val="0"/>
              <w:jc w:val="center"/>
            </w:pPr>
            <w:r>
              <w:rPr>
                <w:sz w:val="20"/>
              </w:rPr>
              <w:t xml:space="preserve">2,9</w:t>
            </w:r>
          </w:p>
        </w:tc>
        <w:tc>
          <w:tcPr>
            <w:tcW w:w="907" w:type="dxa"/>
          </w:tcPr>
          <w:p>
            <w:pPr>
              <w:pStyle w:val="0"/>
              <w:jc w:val="center"/>
            </w:pPr>
            <w:r>
              <w:rPr>
                <w:sz w:val="20"/>
              </w:rPr>
              <w:t xml:space="preserve">3,8</w:t>
            </w:r>
          </w:p>
        </w:tc>
        <w:tc>
          <w:tcPr>
            <w:tcW w:w="907" w:type="dxa"/>
          </w:tcPr>
          <w:p>
            <w:pPr>
              <w:pStyle w:val="0"/>
              <w:jc w:val="center"/>
            </w:pPr>
            <w:r>
              <w:rPr>
                <w:sz w:val="20"/>
              </w:rPr>
              <w:t xml:space="preserve">4,8</w:t>
            </w:r>
          </w:p>
        </w:tc>
        <w:tc>
          <w:tcPr>
            <w:tcW w:w="907" w:type="dxa"/>
          </w:tcPr>
          <w:p>
            <w:pPr>
              <w:pStyle w:val="0"/>
              <w:jc w:val="center"/>
            </w:pPr>
            <w:r>
              <w:rPr>
                <w:sz w:val="20"/>
              </w:rPr>
              <w:t xml:space="preserve">5,1</w:t>
            </w:r>
          </w:p>
        </w:tc>
        <w:tc>
          <w:tcPr>
            <w:tcW w:w="907" w:type="dxa"/>
          </w:tcPr>
          <w:p>
            <w:pPr>
              <w:pStyle w:val="0"/>
              <w:jc w:val="center"/>
            </w:pPr>
            <w:r>
              <w:rPr>
                <w:sz w:val="20"/>
              </w:rPr>
              <w:t xml:space="preserve">5,4</w:t>
            </w:r>
          </w:p>
        </w:tc>
        <w:tc>
          <w:tcPr>
            <w:tcW w:w="907" w:type="dxa"/>
          </w:tcPr>
          <w:p>
            <w:pPr>
              <w:pStyle w:val="0"/>
              <w:jc w:val="center"/>
            </w:pPr>
            <w:r>
              <w:rPr>
                <w:sz w:val="20"/>
              </w:rPr>
              <w:t xml:space="preserve">5,2</w:t>
            </w:r>
          </w:p>
        </w:tc>
        <w:tc>
          <w:tcPr>
            <w:tcW w:w="907" w:type="dxa"/>
          </w:tcPr>
          <w:p>
            <w:pPr>
              <w:pStyle w:val="0"/>
              <w:jc w:val="center"/>
            </w:pPr>
            <w:r>
              <w:rPr>
                <w:sz w:val="20"/>
              </w:rPr>
              <w:t xml:space="preserve">4,5</w:t>
            </w:r>
          </w:p>
        </w:tc>
        <w:tc>
          <w:tcPr>
            <w:tcW w:w="907" w:type="dxa"/>
          </w:tcPr>
          <w:p>
            <w:pPr>
              <w:pStyle w:val="0"/>
              <w:jc w:val="center"/>
            </w:pPr>
            <w:r>
              <w:rPr>
                <w:sz w:val="20"/>
              </w:rPr>
              <w:t xml:space="preserve">3,5</w:t>
            </w:r>
          </w:p>
        </w:tc>
        <w:tc>
          <w:tcPr>
            <w:tcW w:w="907" w:type="dxa"/>
          </w:tcPr>
          <w:p>
            <w:pPr>
              <w:pStyle w:val="0"/>
              <w:jc w:val="center"/>
            </w:pPr>
            <w:r>
              <w:rPr>
                <w:sz w:val="20"/>
              </w:rPr>
              <w:t xml:space="preserve">2,8</w:t>
            </w:r>
          </w:p>
        </w:tc>
        <w:tc>
          <w:tcPr>
            <w:tcW w:w="1417" w:type="dxa"/>
          </w:tcPr>
          <w:p>
            <w:pPr>
              <w:pStyle w:val="0"/>
              <w:jc w:val="center"/>
            </w:pPr>
            <w:r>
              <w:rPr>
                <w:sz w:val="20"/>
              </w:rPr>
              <w:t xml:space="preserve">рост на 2 промилле</w:t>
            </w:r>
          </w:p>
        </w:tc>
        <w:tc>
          <w:tcPr>
            <w:tcW w:w="1417" w:type="dxa"/>
          </w:tcPr>
          <w:p>
            <w:pPr>
              <w:pStyle w:val="0"/>
              <w:jc w:val="center"/>
            </w:pPr>
            <w:r>
              <w:rPr>
                <w:sz w:val="20"/>
              </w:rPr>
              <w:t xml:space="preserve">-1,6</w:t>
            </w:r>
          </w:p>
        </w:tc>
        <w:tc>
          <w:tcPr>
            <w:tcW w:w="1417" w:type="dxa"/>
          </w:tcPr>
          <w:p>
            <w:pPr>
              <w:pStyle w:val="0"/>
              <w:jc w:val="center"/>
            </w:pPr>
            <w:r>
              <w:rPr>
                <w:sz w:val="20"/>
              </w:rPr>
              <w:t xml:space="preserve">0,01</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Смертность населения трудоспособного возраста</w:t>
            </w:r>
          </w:p>
        </w:tc>
        <w:tc>
          <w:tcPr>
            <w:tcW w:w="1700" w:type="dxa"/>
          </w:tcPr>
          <w:p>
            <w:pPr>
              <w:pStyle w:val="0"/>
              <w:jc w:val="center"/>
            </w:pPr>
            <w:r>
              <w:rPr>
                <w:sz w:val="20"/>
              </w:rPr>
              <w:t xml:space="preserve">число умерших на 100 тыс. населения соответствующего возраста</w:t>
            </w:r>
          </w:p>
        </w:tc>
        <w:tc>
          <w:tcPr>
            <w:tcW w:w="907" w:type="dxa"/>
          </w:tcPr>
          <w:p>
            <w:pPr>
              <w:pStyle w:val="0"/>
              <w:jc w:val="center"/>
            </w:pPr>
            <w:r>
              <w:rPr>
                <w:sz w:val="20"/>
              </w:rPr>
              <w:t xml:space="preserve">689,9</w:t>
            </w:r>
          </w:p>
        </w:tc>
        <w:tc>
          <w:tcPr>
            <w:tcW w:w="907" w:type="dxa"/>
          </w:tcPr>
          <w:p>
            <w:pPr>
              <w:pStyle w:val="0"/>
              <w:jc w:val="center"/>
            </w:pPr>
            <w:r>
              <w:rPr>
                <w:sz w:val="20"/>
              </w:rPr>
              <w:t xml:space="preserve">688,4</w:t>
            </w:r>
          </w:p>
        </w:tc>
        <w:tc>
          <w:tcPr>
            <w:tcW w:w="907" w:type="dxa"/>
          </w:tcPr>
          <w:p>
            <w:pPr>
              <w:pStyle w:val="0"/>
              <w:jc w:val="center"/>
            </w:pPr>
            <w:r>
              <w:rPr>
                <w:sz w:val="20"/>
              </w:rPr>
              <w:t xml:space="preserve">655,6</w:t>
            </w:r>
          </w:p>
        </w:tc>
        <w:tc>
          <w:tcPr>
            <w:tcW w:w="907" w:type="dxa"/>
          </w:tcPr>
          <w:p>
            <w:pPr>
              <w:pStyle w:val="0"/>
              <w:jc w:val="center"/>
            </w:pPr>
            <w:r>
              <w:rPr>
                <w:sz w:val="20"/>
              </w:rPr>
              <w:t xml:space="preserve">654</w:t>
            </w:r>
          </w:p>
        </w:tc>
        <w:tc>
          <w:tcPr>
            <w:tcW w:w="907" w:type="dxa"/>
          </w:tcPr>
          <w:p>
            <w:pPr>
              <w:pStyle w:val="0"/>
              <w:jc w:val="center"/>
            </w:pPr>
            <w:r>
              <w:rPr>
                <w:sz w:val="20"/>
              </w:rPr>
              <w:t xml:space="preserve">603,4</w:t>
            </w:r>
          </w:p>
        </w:tc>
        <w:tc>
          <w:tcPr>
            <w:tcW w:w="907" w:type="dxa"/>
          </w:tcPr>
          <w:p>
            <w:pPr>
              <w:pStyle w:val="0"/>
              <w:jc w:val="center"/>
            </w:pPr>
            <w:r>
              <w:rPr>
                <w:sz w:val="20"/>
              </w:rPr>
              <w:t xml:space="preserve">592</w:t>
            </w:r>
          </w:p>
        </w:tc>
        <w:tc>
          <w:tcPr>
            <w:tcW w:w="907" w:type="dxa"/>
          </w:tcPr>
          <w:p>
            <w:pPr>
              <w:pStyle w:val="0"/>
              <w:jc w:val="center"/>
            </w:pPr>
            <w:r>
              <w:rPr>
                <w:sz w:val="20"/>
              </w:rPr>
              <w:t xml:space="preserve">573,4</w:t>
            </w:r>
          </w:p>
        </w:tc>
        <w:tc>
          <w:tcPr>
            <w:tcW w:w="907" w:type="dxa"/>
          </w:tcPr>
          <w:p>
            <w:pPr>
              <w:pStyle w:val="0"/>
              <w:jc w:val="center"/>
            </w:pPr>
            <w:r>
              <w:rPr>
                <w:sz w:val="20"/>
              </w:rPr>
              <w:t xml:space="preserve">575,5</w:t>
            </w:r>
          </w:p>
        </w:tc>
        <w:tc>
          <w:tcPr>
            <w:tcW w:w="907" w:type="dxa"/>
          </w:tcPr>
          <w:p>
            <w:pPr>
              <w:pStyle w:val="0"/>
              <w:jc w:val="center"/>
            </w:pPr>
            <w:r>
              <w:rPr>
                <w:sz w:val="20"/>
              </w:rPr>
              <w:t xml:space="preserve">559,4</w:t>
            </w:r>
          </w:p>
        </w:tc>
        <w:tc>
          <w:tcPr>
            <w:tcW w:w="907" w:type="dxa"/>
          </w:tcPr>
          <w:p>
            <w:pPr>
              <w:pStyle w:val="0"/>
              <w:jc w:val="center"/>
            </w:pPr>
            <w:r>
              <w:rPr>
                <w:sz w:val="20"/>
              </w:rPr>
              <w:t xml:space="preserve">536,9</w:t>
            </w:r>
          </w:p>
        </w:tc>
        <w:tc>
          <w:tcPr>
            <w:tcW w:w="907" w:type="dxa"/>
          </w:tcPr>
          <w:p>
            <w:pPr>
              <w:pStyle w:val="0"/>
              <w:jc w:val="center"/>
            </w:pPr>
            <w:r>
              <w:rPr>
                <w:sz w:val="20"/>
              </w:rPr>
              <w:t xml:space="preserve">495,6</w:t>
            </w:r>
          </w:p>
        </w:tc>
        <w:tc>
          <w:tcPr>
            <w:tcW w:w="907" w:type="dxa"/>
          </w:tcPr>
          <w:p>
            <w:pPr>
              <w:pStyle w:val="0"/>
              <w:jc w:val="center"/>
            </w:pPr>
            <w:r>
              <w:rPr>
                <w:sz w:val="20"/>
              </w:rPr>
              <w:t xml:space="preserve">495,0</w:t>
            </w:r>
          </w:p>
        </w:tc>
        <w:tc>
          <w:tcPr>
            <w:tcW w:w="1417" w:type="dxa"/>
          </w:tcPr>
          <w:p>
            <w:pPr>
              <w:pStyle w:val="0"/>
              <w:jc w:val="center"/>
            </w:pPr>
            <w:r>
              <w:rPr>
                <w:sz w:val="20"/>
              </w:rPr>
              <w:t xml:space="preserve">0,72</w:t>
            </w:r>
          </w:p>
        </w:tc>
        <w:tc>
          <w:tcPr>
            <w:tcW w:w="1417" w:type="dxa"/>
          </w:tcPr>
          <w:p>
            <w:pPr>
              <w:pStyle w:val="0"/>
              <w:jc w:val="center"/>
            </w:pPr>
            <w:r>
              <w:rPr>
                <w:sz w:val="20"/>
              </w:rPr>
              <w:t xml:space="preserve">482,2</w:t>
            </w:r>
          </w:p>
        </w:tc>
        <w:tc>
          <w:tcPr>
            <w:tcW w:w="1417" w:type="dxa"/>
          </w:tcPr>
          <w:p>
            <w:pPr>
              <w:pStyle w:val="0"/>
              <w:jc w:val="center"/>
            </w:pPr>
            <w:r>
              <w:rPr>
                <w:sz w:val="20"/>
              </w:rPr>
              <w:t xml:space="preserve">519,8</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Смертность от болезней системы кровообращения</w:t>
            </w:r>
          </w:p>
        </w:tc>
        <w:tc>
          <w:tcPr>
            <w:tcW w:w="1700" w:type="dxa"/>
          </w:tcPr>
          <w:p>
            <w:pPr>
              <w:pStyle w:val="0"/>
              <w:jc w:val="center"/>
            </w:pPr>
            <w:r>
              <w:rPr>
                <w:sz w:val="20"/>
              </w:rPr>
              <w:t xml:space="preserve">число умерших на 100 тыс. населения</w:t>
            </w:r>
          </w:p>
        </w:tc>
        <w:tc>
          <w:tcPr>
            <w:tcW w:w="907" w:type="dxa"/>
          </w:tcPr>
          <w:p>
            <w:pPr>
              <w:pStyle w:val="0"/>
              <w:jc w:val="center"/>
            </w:pPr>
            <w:r>
              <w:rPr>
                <w:sz w:val="20"/>
              </w:rPr>
              <w:t xml:space="preserve">687,1</w:t>
            </w:r>
          </w:p>
        </w:tc>
        <w:tc>
          <w:tcPr>
            <w:tcW w:w="907" w:type="dxa"/>
          </w:tcPr>
          <w:p>
            <w:pPr>
              <w:pStyle w:val="0"/>
              <w:jc w:val="center"/>
            </w:pPr>
            <w:r>
              <w:rPr>
                <w:sz w:val="20"/>
              </w:rPr>
              <w:t xml:space="preserve">686,2</w:t>
            </w:r>
          </w:p>
        </w:tc>
        <w:tc>
          <w:tcPr>
            <w:tcW w:w="907" w:type="dxa"/>
          </w:tcPr>
          <w:p>
            <w:pPr>
              <w:pStyle w:val="0"/>
              <w:jc w:val="center"/>
            </w:pPr>
            <w:r>
              <w:rPr>
                <w:sz w:val="20"/>
              </w:rPr>
              <w:t xml:space="preserve">646,8</w:t>
            </w:r>
          </w:p>
        </w:tc>
        <w:tc>
          <w:tcPr>
            <w:tcW w:w="907" w:type="dxa"/>
          </w:tcPr>
          <w:p>
            <w:pPr>
              <w:pStyle w:val="0"/>
              <w:jc w:val="center"/>
            </w:pPr>
            <w:r>
              <w:rPr>
                <w:sz w:val="20"/>
              </w:rPr>
              <w:t xml:space="preserve">673,1</w:t>
            </w:r>
          </w:p>
        </w:tc>
        <w:tc>
          <w:tcPr>
            <w:tcW w:w="907" w:type="dxa"/>
          </w:tcPr>
          <w:p>
            <w:pPr>
              <w:pStyle w:val="0"/>
              <w:jc w:val="center"/>
            </w:pPr>
            <w:r>
              <w:rPr>
                <w:sz w:val="20"/>
              </w:rPr>
              <w:t xml:space="preserve">658,1</w:t>
            </w:r>
          </w:p>
        </w:tc>
        <w:tc>
          <w:tcPr>
            <w:tcW w:w="907" w:type="dxa"/>
          </w:tcPr>
          <w:p>
            <w:pPr>
              <w:pStyle w:val="0"/>
              <w:jc w:val="center"/>
            </w:pPr>
            <w:r>
              <w:rPr>
                <w:sz w:val="20"/>
              </w:rPr>
              <w:t xml:space="preserve">636,4</w:t>
            </w:r>
          </w:p>
        </w:tc>
        <w:tc>
          <w:tcPr>
            <w:tcW w:w="907" w:type="dxa"/>
          </w:tcPr>
          <w:p>
            <w:pPr>
              <w:pStyle w:val="0"/>
              <w:jc w:val="center"/>
            </w:pPr>
            <w:r>
              <w:rPr>
                <w:sz w:val="20"/>
              </w:rPr>
              <w:t xml:space="preserve">599,6</w:t>
            </w:r>
          </w:p>
        </w:tc>
        <w:tc>
          <w:tcPr>
            <w:tcW w:w="907" w:type="dxa"/>
          </w:tcPr>
          <w:p>
            <w:pPr>
              <w:pStyle w:val="0"/>
              <w:jc w:val="center"/>
            </w:pPr>
            <w:r>
              <w:rPr>
                <w:sz w:val="20"/>
              </w:rPr>
              <w:t xml:space="preserve">599,1</w:t>
            </w:r>
          </w:p>
        </w:tc>
        <w:tc>
          <w:tcPr>
            <w:tcW w:w="907" w:type="dxa"/>
          </w:tcPr>
          <w:p>
            <w:pPr>
              <w:pStyle w:val="0"/>
              <w:jc w:val="center"/>
            </w:pPr>
            <w:r>
              <w:rPr>
                <w:sz w:val="20"/>
              </w:rPr>
              <w:t xml:space="preserve">573,3</w:t>
            </w:r>
          </w:p>
        </w:tc>
        <w:tc>
          <w:tcPr>
            <w:tcW w:w="907" w:type="dxa"/>
          </w:tcPr>
          <w:p>
            <w:pPr>
              <w:pStyle w:val="0"/>
              <w:jc w:val="center"/>
            </w:pPr>
            <w:r>
              <w:rPr>
                <w:sz w:val="20"/>
              </w:rPr>
              <w:t xml:space="preserve">558,6</w:t>
            </w:r>
          </w:p>
        </w:tc>
        <w:tc>
          <w:tcPr>
            <w:tcW w:w="907" w:type="dxa"/>
          </w:tcPr>
          <w:p>
            <w:pPr>
              <w:pStyle w:val="0"/>
              <w:jc w:val="center"/>
            </w:pPr>
            <w:r>
              <w:rPr>
                <w:sz w:val="20"/>
              </w:rPr>
              <w:t xml:space="preserve">503,7</w:t>
            </w:r>
          </w:p>
        </w:tc>
        <w:tc>
          <w:tcPr>
            <w:tcW w:w="907" w:type="dxa"/>
          </w:tcPr>
          <w:p>
            <w:pPr>
              <w:pStyle w:val="0"/>
              <w:jc w:val="center"/>
            </w:pPr>
            <w:r>
              <w:rPr>
                <w:sz w:val="20"/>
              </w:rPr>
              <w:t xml:space="preserve">516,4</w:t>
            </w:r>
          </w:p>
        </w:tc>
        <w:tc>
          <w:tcPr>
            <w:tcW w:w="1417" w:type="dxa"/>
          </w:tcPr>
          <w:p>
            <w:pPr>
              <w:pStyle w:val="0"/>
              <w:jc w:val="center"/>
            </w:pPr>
            <w:r>
              <w:rPr>
                <w:sz w:val="20"/>
              </w:rPr>
              <w:t xml:space="preserve">0,75</w:t>
            </w:r>
          </w:p>
        </w:tc>
        <w:tc>
          <w:tcPr>
            <w:tcW w:w="1417" w:type="dxa"/>
          </w:tcPr>
          <w:p>
            <w:pPr>
              <w:pStyle w:val="0"/>
              <w:jc w:val="center"/>
            </w:pPr>
            <w:r>
              <w:rPr>
                <w:sz w:val="20"/>
              </w:rPr>
              <w:t xml:space="preserve">583,1</w:t>
            </w:r>
          </w:p>
        </w:tc>
        <w:tc>
          <w:tcPr>
            <w:tcW w:w="1417" w:type="dxa"/>
          </w:tcPr>
          <w:p>
            <w:pPr>
              <w:pStyle w:val="0"/>
              <w:jc w:val="center"/>
            </w:pPr>
            <w:r>
              <w:rPr>
                <w:sz w:val="20"/>
              </w:rPr>
              <w:t xml:space="preserve">539,5</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Смертность от новообразований, в том числе от злокачественных</w:t>
            </w:r>
          </w:p>
        </w:tc>
        <w:tc>
          <w:tcPr>
            <w:tcW w:w="1700" w:type="dxa"/>
          </w:tcPr>
          <w:p>
            <w:pPr>
              <w:pStyle w:val="0"/>
              <w:jc w:val="center"/>
            </w:pPr>
            <w:r>
              <w:rPr>
                <w:sz w:val="20"/>
              </w:rPr>
              <w:t xml:space="preserve">число умерших на 100 тыс. населения</w:t>
            </w:r>
          </w:p>
        </w:tc>
        <w:tc>
          <w:tcPr>
            <w:tcW w:w="907" w:type="dxa"/>
          </w:tcPr>
          <w:p>
            <w:pPr>
              <w:pStyle w:val="0"/>
              <w:jc w:val="center"/>
            </w:pPr>
            <w:r>
              <w:rPr>
                <w:sz w:val="20"/>
              </w:rPr>
              <w:t xml:space="preserve">188,2</w:t>
            </w:r>
          </w:p>
        </w:tc>
        <w:tc>
          <w:tcPr>
            <w:tcW w:w="907" w:type="dxa"/>
          </w:tcPr>
          <w:p>
            <w:pPr>
              <w:pStyle w:val="0"/>
              <w:jc w:val="center"/>
            </w:pPr>
            <w:r>
              <w:rPr>
                <w:sz w:val="20"/>
              </w:rPr>
              <w:t xml:space="preserve">186,2</w:t>
            </w:r>
          </w:p>
        </w:tc>
        <w:tc>
          <w:tcPr>
            <w:tcW w:w="907" w:type="dxa"/>
          </w:tcPr>
          <w:p>
            <w:pPr>
              <w:pStyle w:val="0"/>
              <w:jc w:val="center"/>
            </w:pPr>
            <w:r>
              <w:rPr>
                <w:sz w:val="20"/>
              </w:rPr>
              <w:t xml:space="preserve">183,1</w:t>
            </w:r>
          </w:p>
        </w:tc>
        <w:tc>
          <w:tcPr>
            <w:tcW w:w="907" w:type="dxa"/>
          </w:tcPr>
          <w:p>
            <w:pPr>
              <w:pStyle w:val="0"/>
              <w:jc w:val="center"/>
            </w:pPr>
            <w:r>
              <w:rPr>
                <w:sz w:val="20"/>
              </w:rPr>
              <w:t xml:space="preserve">171,2</w:t>
            </w:r>
          </w:p>
        </w:tc>
        <w:tc>
          <w:tcPr>
            <w:tcW w:w="907" w:type="dxa"/>
          </w:tcPr>
          <w:p>
            <w:pPr>
              <w:pStyle w:val="0"/>
              <w:jc w:val="center"/>
            </w:pPr>
            <w:r>
              <w:rPr>
                <w:sz w:val="20"/>
              </w:rPr>
              <w:t xml:space="preserve">146,3</w:t>
            </w:r>
          </w:p>
        </w:tc>
        <w:tc>
          <w:tcPr>
            <w:tcW w:w="907" w:type="dxa"/>
          </w:tcPr>
          <w:p>
            <w:pPr>
              <w:pStyle w:val="0"/>
              <w:jc w:val="center"/>
            </w:pPr>
            <w:r>
              <w:rPr>
                <w:sz w:val="20"/>
              </w:rPr>
              <w:t xml:space="preserve">146,2</w:t>
            </w:r>
          </w:p>
        </w:tc>
        <w:tc>
          <w:tcPr>
            <w:tcW w:w="907" w:type="dxa"/>
          </w:tcPr>
          <w:p>
            <w:pPr>
              <w:pStyle w:val="0"/>
              <w:jc w:val="center"/>
            </w:pPr>
            <w:r>
              <w:rPr>
                <w:sz w:val="20"/>
              </w:rPr>
              <w:t xml:space="preserve">135,7</w:t>
            </w:r>
          </w:p>
        </w:tc>
        <w:tc>
          <w:tcPr>
            <w:tcW w:w="907" w:type="dxa"/>
          </w:tcPr>
          <w:p>
            <w:pPr>
              <w:pStyle w:val="0"/>
              <w:jc w:val="center"/>
            </w:pPr>
            <w:r>
              <w:rPr>
                <w:sz w:val="20"/>
              </w:rPr>
              <w:t xml:space="preserve">136,2</w:t>
            </w:r>
          </w:p>
        </w:tc>
        <w:tc>
          <w:tcPr>
            <w:tcW w:w="907" w:type="dxa"/>
          </w:tcPr>
          <w:p>
            <w:pPr>
              <w:pStyle w:val="0"/>
              <w:jc w:val="center"/>
            </w:pPr>
            <w:r>
              <w:rPr>
                <w:sz w:val="20"/>
              </w:rPr>
              <w:t xml:space="preserve">143,1</w:t>
            </w:r>
          </w:p>
        </w:tc>
        <w:tc>
          <w:tcPr>
            <w:tcW w:w="907" w:type="dxa"/>
          </w:tcPr>
          <w:p>
            <w:pPr>
              <w:pStyle w:val="0"/>
              <w:jc w:val="center"/>
            </w:pPr>
            <w:r>
              <w:rPr>
                <w:sz w:val="20"/>
              </w:rPr>
              <w:t xml:space="preserve">136,8</w:t>
            </w:r>
          </w:p>
        </w:tc>
        <w:tc>
          <w:tcPr>
            <w:tcW w:w="907" w:type="dxa"/>
          </w:tcPr>
          <w:p>
            <w:pPr>
              <w:pStyle w:val="0"/>
              <w:jc w:val="center"/>
            </w:pPr>
            <w:r>
              <w:rPr>
                <w:sz w:val="20"/>
              </w:rPr>
              <w:t xml:space="preserve">139,6</w:t>
            </w:r>
          </w:p>
        </w:tc>
        <w:tc>
          <w:tcPr>
            <w:tcW w:w="907" w:type="dxa"/>
          </w:tcPr>
          <w:p>
            <w:pPr>
              <w:pStyle w:val="0"/>
              <w:jc w:val="center"/>
            </w:pPr>
            <w:r>
              <w:rPr>
                <w:sz w:val="20"/>
              </w:rPr>
              <w:t xml:space="preserve">145,6</w:t>
            </w:r>
          </w:p>
        </w:tc>
        <w:tc>
          <w:tcPr>
            <w:tcW w:w="1417" w:type="dxa"/>
          </w:tcPr>
          <w:p>
            <w:pPr>
              <w:pStyle w:val="0"/>
              <w:jc w:val="center"/>
            </w:pPr>
            <w:r>
              <w:rPr>
                <w:sz w:val="20"/>
              </w:rPr>
              <w:t xml:space="preserve">0,77</w:t>
            </w:r>
          </w:p>
        </w:tc>
        <w:tc>
          <w:tcPr>
            <w:tcW w:w="1417" w:type="dxa"/>
          </w:tcPr>
          <w:p>
            <w:pPr>
              <w:pStyle w:val="0"/>
              <w:jc w:val="center"/>
            </w:pPr>
            <w:r>
              <w:rPr>
                <w:sz w:val="20"/>
              </w:rPr>
              <w:t xml:space="preserve">203,0</w:t>
            </w:r>
          </w:p>
        </w:tc>
        <w:tc>
          <w:tcPr>
            <w:tcW w:w="1417" w:type="dxa"/>
          </w:tcPr>
          <w:p>
            <w:pPr>
              <w:pStyle w:val="0"/>
              <w:jc w:val="center"/>
            </w:pPr>
            <w:r>
              <w:rPr>
                <w:sz w:val="20"/>
              </w:rPr>
              <w:t xml:space="preserve">205,0</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r>
        <w:tc>
          <w:tcPr>
            <w:tcW w:w="2607" w:type="dxa"/>
          </w:tcPr>
          <w:p>
            <w:pPr>
              <w:pStyle w:val="0"/>
            </w:pPr>
            <w:r>
              <w:rPr>
                <w:sz w:val="20"/>
              </w:rPr>
              <w:t xml:space="preserve">Младенческая смертность</w:t>
            </w:r>
          </w:p>
        </w:tc>
        <w:tc>
          <w:tcPr>
            <w:tcW w:w="1700" w:type="dxa"/>
          </w:tcPr>
          <w:p>
            <w:pPr>
              <w:pStyle w:val="0"/>
              <w:jc w:val="center"/>
            </w:pPr>
            <w:r>
              <w:rPr>
                <w:sz w:val="20"/>
              </w:rPr>
              <w:t xml:space="preserve">число умерших на 1000 человек родившихся живыми</w:t>
            </w:r>
          </w:p>
        </w:tc>
        <w:tc>
          <w:tcPr>
            <w:tcW w:w="907" w:type="dxa"/>
          </w:tcPr>
          <w:p>
            <w:pPr>
              <w:pStyle w:val="0"/>
              <w:jc w:val="center"/>
            </w:pPr>
            <w:r>
              <w:rPr>
                <w:sz w:val="20"/>
              </w:rPr>
              <w:t xml:space="preserve">7,0</w:t>
            </w:r>
          </w:p>
        </w:tc>
        <w:tc>
          <w:tcPr>
            <w:tcW w:w="907" w:type="dxa"/>
          </w:tcPr>
          <w:p>
            <w:pPr>
              <w:pStyle w:val="0"/>
              <w:jc w:val="center"/>
            </w:pPr>
            <w:r>
              <w:rPr>
                <w:sz w:val="20"/>
              </w:rPr>
              <w:t xml:space="preserve">7,7</w:t>
            </w:r>
          </w:p>
        </w:tc>
        <w:tc>
          <w:tcPr>
            <w:tcW w:w="907" w:type="dxa"/>
          </w:tcPr>
          <w:p>
            <w:pPr>
              <w:pStyle w:val="0"/>
              <w:jc w:val="center"/>
            </w:pPr>
            <w:r>
              <w:rPr>
                <w:sz w:val="20"/>
              </w:rPr>
              <w:t xml:space="preserve">6,8</w:t>
            </w:r>
          </w:p>
        </w:tc>
        <w:tc>
          <w:tcPr>
            <w:tcW w:w="907" w:type="dxa"/>
          </w:tcPr>
          <w:p>
            <w:pPr>
              <w:pStyle w:val="0"/>
              <w:jc w:val="center"/>
            </w:pPr>
            <w:r>
              <w:rPr>
                <w:sz w:val="20"/>
              </w:rPr>
              <w:t xml:space="preserve">6,1</w:t>
            </w:r>
          </w:p>
        </w:tc>
        <w:tc>
          <w:tcPr>
            <w:tcW w:w="907" w:type="dxa"/>
          </w:tcPr>
          <w:p>
            <w:pPr>
              <w:pStyle w:val="0"/>
              <w:jc w:val="center"/>
            </w:pPr>
            <w:r>
              <w:rPr>
                <w:sz w:val="20"/>
              </w:rPr>
              <w:t xml:space="preserve">5,5</w:t>
            </w:r>
          </w:p>
        </w:tc>
        <w:tc>
          <w:tcPr>
            <w:tcW w:w="907" w:type="dxa"/>
          </w:tcPr>
          <w:p>
            <w:pPr>
              <w:pStyle w:val="0"/>
              <w:jc w:val="center"/>
            </w:pPr>
            <w:r>
              <w:rPr>
                <w:sz w:val="20"/>
              </w:rPr>
              <w:t xml:space="preserve">7,1</w:t>
            </w:r>
          </w:p>
        </w:tc>
        <w:tc>
          <w:tcPr>
            <w:tcW w:w="907" w:type="dxa"/>
          </w:tcPr>
          <w:p>
            <w:pPr>
              <w:pStyle w:val="0"/>
              <w:jc w:val="center"/>
            </w:pPr>
            <w:r>
              <w:rPr>
                <w:sz w:val="20"/>
              </w:rPr>
              <w:t xml:space="preserve">7</w:t>
            </w:r>
          </w:p>
        </w:tc>
        <w:tc>
          <w:tcPr>
            <w:tcW w:w="907" w:type="dxa"/>
          </w:tcPr>
          <w:p>
            <w:pPr>
              <w:pStyle w:val="0"/>
              <w:jc w:val="center"/>
            </w:pPr>
            <w:r>
              <w:rPr>
                <w:sz w:val="20"/>
              </w:rPr>
              <w:t xml:space="preserve">5,8</w:t>
            </w:r>
          </w:p>
        </w:tc>
        <w:tc>
          <w:tcPr>
            <w:tcW w:w="907" w:type="dxa"/>
          </w:tcPr>
          <w:p>
            <w:pPr>
              <w:pStyle w:val="0"/>
              <w:jc w:val="center"/>
            </w:pPr>
            <w:r>
              <w:rPr>
                <w:sz w:val="20"/>
              </w:rPr>
              <w:t xml:space="preserve">6,0</w:t>
            </w:r>
          </w:p>
        </w:tc>
        <w:tc>
          <w:tcPr>
            <w:tcW w:w="907" w:type="dxa"/>
          </w:tcPr>
          <w:p>
            <w:pPr>
              <w:pStyle w:val="0"/>
              <w:jc w:val="center"/>
            </w:pPr>
            <w:r>
              <w:rPr>
                <w:sz w:val="20"/>
              </w:rPr>
              <w:t xml:space="preserve">4,8</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1417" w:type="dxa"/>
          </w:tcPr>
          <w:p>
            <w:pPr>
              <w:pStyle w:val="0"/>
              <w:jc w:val="center"/>
            </w:pPr>
            <w:r>
              <w:rPr>
                <w:sz w:val="20"/>
              </w:rPr>
              <w:t xml:space="preserve">0,6</w:t>
            </w:r>
          </w:p>
        </w:tc>
        <w:tc>
          <w:tcPr>
            <w:tcW w:w="1417" w:type="dxa"/>
          </w:tcPr>
          <w:p>
            <w:pPr>
              <w:pStyle w:val="0"/>
              <w:jc w:val="center"/>
            </w:pPr>
            <w:r>
              <w:rPr>
                <w:sz w:val="20"/>
              </w:rPr>
              <w:t xml:space="preserve">5,1</w:t>
            </w:r>
          </w:p>
        </w:tc>
        <w:tc>
          <w:tcPr>
            <w:tcW w:w="1417" w:type="dxa"/>
          </w:tcPr>
          <w:p>
            <w:pPr>
              <w:pStyle w:val="0"/>
              <w:jc w:val="center"/>
            </w:pPr>
            <w:r>
              <w:rPr>
                <w:sz w:val="20"/>
              </w:rPr>
              <w:t xml:space="preserve">4,8</w:t>
            </w:r>
          </w:p>
        </w:tc>
        <w:tc>
          <w:tcPr>
            <w:tcW w:w="1417" w:type="dxa"/>
          </w:tcPr>
          <w:p>
            <w:pPr>
              <w:pStyle w:val="0"/>
              <w:jc w:val="center"/>
            </w:pPr>
            <w:r>
              <w:rPr>
                <w:sz w:val="20"/>
              </w:rPr>
              <w:t xml:space="preserve">-</w:t>
            </w:r>
          </w:p>
        </w:tc>
        <w:tc>
          <w:tcPr>
            <w:tcW w:w="1417" w:type="dxa"/>
          </w:tcPr>
          <w:p>
            <w:pPr>
              <w:pStyle w:val="0"/>
              <w:jc w:val="center"/>
            </w:pPr>
            <w:r>
              <w:rPr>
                <w:sz w:val="20"/>
              </w:rPr>
              <w:t xml:space="preserve">-</w:t>
            </w:r>
          </w:p>
        </w:tc>
      </w:tr>
    </w:tbl>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3263" w:name="P3263"/>
    <w:bookmarkEnd w:id="3263"/>
    <w:p>
      <w:pPr>
        <w:pStyle w:val="0"/>
        <w:spacing w:before="200" w:line-rule="auto"/>
        <w:ind w:firstLine="540"/>
        <w:jc w:val="both"/>
      </w:pPr>
      <w:r>
        <w:rPr>
          <w:sz w:val="20"/>
        </w:rPr>
        <w:t xml:space="preserve">&lt;*&gt; В соответствии с Общероссийским </w:t>
      </w:r>
      <w:hyperlink w:history="0" r:id="rId57" w:tooltip="&quot;ОК 029-2014 (КДЕС Ред. 2). Общероссийский классификатор видов экономической деятельности&quot; (утв. Приказом Росстандарта от 31.01.2014 N 14-ст) (ред. от 31.01.2024) {КонсультантПлюс}">
        <w:r>
          <w:rPr>
            <w:sz w:val="20"/>
            <w:color w:val="0000ff"/>
          </w:rPr>
          <w:t xml:space="preserve">классификатором</w:t>
        </w:r>
      </w:hyperlink>
      <w:r>
        <w:rPr>
          <w:sz w:val="20"/>
        </w:rPr>
        <w:t xml:space="preserve"> видов экономической деятельности ОКВЭД2.".</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3271" w:name="P3271"/>
    <w:bookmarkEnd w:id="3271"/>
    <w:p>
      <w:pPr>
        <w:pStyle w:val="2"/>
        <w:outlineLvl w:val="2"/>
        <w:jc w:val="center"/>
      </w:pPr>
      <w:r>
        <w:rPr>
          <w:sz w:val="20"/>
        </w:rPr>
        <w:t xml:space="preserve">Таблица - Типологизация и определение интересов субъектов</w:t>
      </w:r>
    </w:p>
    <w:p>
      <w:pPr>
        <w:pStyle w:val="2"/>
        <w:jc w:val="center"/>
      </w:pPr>
      <w:r>
        <w:rPr>
          <w:sz w:val="20"/>
        </w:rPr>
        <w:t xml:space="preserve">стратегического развития Тюменской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45"/>
        <w:gridCol w:w="3061"/>
        <w:gridCol w:w="2865"/>
      </w:tblGrid>
      <w:tr>
        <w:tc>
          <w:tcPr>
            <w:tcW w:w="3145" w:type="dxa"/>
          </w:tcPr>
          <w:p>
            <w:pPr>
              <w:pStyle w:val="0"/>
              <w:jc w:val="center"/>
            </w:pPr>
            <w:r>
              <w:rPr>
                <w:sz w:val="20"/>
              </w:rPr>
              <w:t xml:space="preserve">Население</w:t>
            </w:r>
          </w:p>
        </w:tc>
        <w:tc>
          <w:tcPr>
            <w:tcW w:w="3061" w:type="dxa"/>
          </w:tcPr>
          <w:p>
            <w:pPr>
              <w:pStyle w:val="0"/>
              <w:jc w:val="center"/>
            </w:pPr>
            <w:r>
              <w:rPr>
                <w:sz w:val="20"/>
              </w:rPr>
              <w:t xml:space="preserve">Хозяйствующие субъекты</w:t>
            </w:r>
          </w:p>
        </w:tc>
        <w:tc>
          <w:tcPr>
            <w:tcW w:w="2865" w:type="dxa"/>
          </w:tcPr>
          <w:p>
            <w:pPr>
              <w:pStyle w:val="0"/>
              <w:jc w:val="center"/>
            </w:pPr>
            <w:r>
              <w:rPr>
                <w:sz w:val="20"/>
              </w:rPr>
              <w:t xml:space="preserve">Органы управления</w:t>
            </w:r>
          </w:p>
        </w:tc>
      </w:tr>
      <w:tr>
        <w:tc>
          <w:tcPr>
            <w:tcW w:w="3145" w:type="dxa"/>
          </w:tcPr>
          <w:p>
            <w:pPr>
              <w:pStyle w:val="0"/>
            </w:pPr>
            <w:r>
              <w:rPr>
                <w:sz w:val="20"/>
              </w:rPr>
              <w:t xml:space="preserve">Высокооплачиваемые и высокопроизводительные рабочие места, эффективная занятость</w:t>
            </w:r>
          </w:p>
        </w:tc>
        <w:tc>
          <w:tcPr>
            <w:tcW w:w="3061" w:type="dxa"/>
          </w:tcPr>
          <w:p>
            <w:pPr>
              <w:pStyle w:val="0"/>
            </w:pPr>
            <w:r>
              <w:rPr>
                <w:sz w:val="20"/>
              </w:rPr>
              <w:t xml:space="preserve">Максимизация коммерческих результатов</w:t>
            </w:r>
          </w:p>
        </w:tc>
        <w:tc>
          <w:tcPr>
            <w:tcW w:w="2865" w:type="dxa"/>
          </w:tcPr>
          <w:p>
            <w:pPr>
              <w:pStyle w:val="0"/>
            </w:pPr>
            <w:r>
              <w:rPr>
                <w:sz w:val="20"/>
              </w:rPr>
              <w:t xml:space="preserve">Рост качества жизни населения и развитие человеческого капитала</w:t>
            </w:r>
          </w:p>
        </w:tc>
      </w:tr>
      <w:tr>
        <w:tc>
          <w:tcPr>
            <w:tcW w:w="3145" w:type="dxa"/>
          </w:tcPr>
          <w:p>
            <w:pPr>
              <w:pStyle w:val="0"/>
            </w:pPr>
            <w:r>
              <w:rPr>
                <w:sz w:val="20"/>
              </w:rPr>
              <w:t xml:space="preserve">Качественные и доступные услуги социальной сферы (образование, здравоохранение, спорт, культура, труд и занятость, социальная защита, социальное обслуживание)</w:t>
            </w:r>
          </w:p>
        </w:tc>
        <w:tc>
          <w:tcPr>
            <w:tcW w:w="3061" w:type="dxa"/>
          </w:tcPr>
          <w:p>
            <w:pPr>
              <w:pStyle w:val="0"/>
            </w:pPr>
            <w:r>
              <w:rPr>
                <w:sz w:val="20"/>
              </w:rPr>
              <w:t xml:space="preserve">Доступ к земельным, энергетическим ресурсам, сырью</w:t>
            </w:r>
          </w:p>
        </w:tc>
        <w:tc>
          <w:tcPr>
            <w:tcW w:w="2865" w:type="dxa"/>
          </w:tcPr>
          <w:p>
            <w:pPr>
              <w:pStyle w:val="0"/>
            </w:pPr>
            <w:r>
              <w:rPr>
                <w:sz w:val="20"/>
              </w:rPr>
              <w:t xml:space="preserve">Устойчивый экономический рост</w:t>
            </w:r>
          </w:p>
        </w:tc>
      </w:tr>
      <w:tr>
        <w:tc>
          <w:tcPr>
            <w:tcW w:w="3145" w:type="dxa"/>
          </w:tcPr>
          <w:p>
            <w:pPr>
              <w:pStyle w:val="0"/>
            </w:pPr>
            <w:r>
              <w:rPr>
                <w:sz w:val="20"/>
              </w:rPr>
              <w:t xml:space="preserve">Комфортная среда для жизни, развития и самореализации личности (жилье, развитая инфраструктура, рекреация, культура, спорт и другое)</w:t>
            </w:r>
          </w:p>
        </w:tc>
        <w:tc>
          <w:tcPr>
            <w:tcW w:w="3061" w:type="dxa"/>
          </w:tcPr>
          <w:p>
            <w:pPr>
              <w:pStyle w:val="0"/>
            </w:pPr>
            <w:r>
              <w:rPr>
                <w:sz w:val="20"/>
              </w:rPr>
              <w:t xml:space="preserve">Благоприятный инвестиционный климат, государственная поддержка</w:t>
            </w:r>
          </w:p>
        </w:tc>
        <w:tc>
          <w:tcPr>
            <w:tcW w:w="2865" w:type="dxa"/>
          </w:tcPr>
          <w:p>
            <w:pPr>
              <w:pStyle w:val="0"/>
            </w:pPr>
            <w:r>
              <w:rPr>
                <w:sz w:val="20"/>
              </w:rPr>
              <w:t xml:space="preserve">Сбалансированное пространственное и территориальное развитие</w:t>
            </w:r>
          </w:p>
        </w:tc>
      </w:tr>
      <w:tr>
        <w:tc>
          <w:tcPr>
            <w:tcW w:w="3145" w:type="dxa"/>
          </w:tcPr>
          <w:p>
            <w:pPr>
              <w:pStyle w:val="0"/>
            </w:pPr>
            <w:r>
              <w:rPr>
                <w:sz w:val="20"/>
              </w:rPr>
              <w:t xml:space="preserve">Благополучная экологическая обстановка</w:t>
            </w:r>
          </w:p>
        </w:tc>
        <w:tc>
          <w:tcPr>
            <w:tcW w:w="3061" w:type="dxa"/>
          </w:tcPr>
          <w:p>
            <w:pPr>
              <w:pStyle w:val="0"/>
            </w:pPr>
            <w:r>
              <w:rPr>
                <w:sz w:val="20"/>
              </w:rPr>
              <w:t xml:space="preserve">Наличие квалифицированных кадров</w:t>
            </w:r>
          </w:p>
        </w:tc>
        <w:tc>
          <w:tcPr>
            <w:tcW w:w="2865" w:type="dxa"/>
          </w:tcPr>
          <w:p>
            <w:pPr>
              <w:pStyle w:val="0"/>
            </w:pPr>
            <w:r>
              <w:rPr>
                <w:sz w:val="20"/>
              </w:rPr>
              <w:t xml:space="preserve">Эффективное государственное управление</w:t>
            </w:r>
          </w:p>
        </w:tc>
      </w:tr>
      <w:tr>
        <w:tc>
          <w:tcPr>
            <w:tcW w:w="3145" w:type="dxa"/>
          </w:tcPr>
          <w:p>
            <w:pPr>
              <w:pStyle w:val="0"/>
            </w:pPr>
            <w:r>
              <w:rPr>
                <w:sz w:val="20"/>
              </w:rPr>
              <w:t xml:space="preserve">Личная и общественная безопасность</w:t>
            </w:r>
          </w:p>
        </w:tc>
        <w:tc>
          <w:tcPr>
            <w:tcW w:w="3061" w:type="dxa"/>
          </w:tcPr>
          <w:p>
            <w:pPr>
              <w:pStyle w:val="0"/>
            </w:pPr>
            <w:r>
              <w:rPr>
                <w:sz w:val="20"/>
              </w:rPr>
              <w:t xml:space="preserve">Развитая транспортная инфраструктура</w:t>
            </w:r>
          </w:p>
        </w:tc>
        <w:tc>
          <w:tcPr>
            <w:tcW w:w="2865" w:type="dxa"/>
          </w:tcPr>
          <w:p>
            <w:pPr>
              <w:pStyle w:val="0"/>
            </w:pPr>
            <w:r>
              <w:rPr>
                <w:sz w:val="20"/>
              </w:rPr>
              <w:t xml:space="preserve">Общественная, политическая и межконфессиональная стабильность</w:t>
            </w:r>
          </w:p>
        </w:tc>
      </w:tr>
      <w:tr>
        <w:tc>
          <w:tcPr>
            <w:tcW w:w="3145" w:type="dxa"/>
          </w:tcPr>
          <w:p>
            <w:pPr>
              <w:pStyle w:val="0"/>
            </w:pPr>
            <w:r>
              <w:rPr>
                <w:sz w:val="20"/>
              </w:rPr>
              <w:t xml:space="preserve">Защищенность гражданских прав и свобод</w:t>
            </w:r>
          </w:p>
        </w:tc>
        <w:tc>
          <w:tcPr>
            <w:tcW w:w="3061" w:type="dxa"/>
          </w:tcPr>
          <w:p>
            <w:pPr>
              <w:pStyle w:val="0"/>
            </w:pPr>
            <w:r>
              <w:rPr>
                <w:sz w:val="20"/>
              </w:rPr>
              <w:t xml:space="preserve">Наличие рынка сбыта продукции, платежеспособный спрос</w:t>
            </w:r>
          </w:p>
        </w:tc>
        <w:tc>
          <w:tcPr>
            <w:tcW w:w="2865" w:type="dxa"/>
          </w:tcPr>
          <w:p>
            <w:pPr>
              <w:pStyle w:val="0"/>
            </w:pPr>
            <w:r>
              <w:rPr>
                <w:sz w:val="20"/>
              </w:rPr>
              <w:t xml:space="preserve">Повышение конкурентоспособности, инвестиционной привлекательности Тюменской области на российском и международном уровне</w:t>
            </w:r>
          </w:p>
        </w:tc>
      </w:tr>
      <w:tr>
        <w:tc>
          <w:tcPr>
            <w:tcW w:w="3145" w:type="dxa"/>
            <w:vMerge w:val="restart"/>
          </w:tcPr>
          <w:p>
            <w:pPr>
              <w:pStyle w:val="0"/>
            </w:pPr>
            <w:r>
              <w:rPr>
                <w:sz w:val="20"/>
              </w:rPr>
              <w:t xml:space="preserve">Доступ к достоверной информации</w:t>
            </w:r>
          </w:p>
        </w:tc>
        <w:tc>
          <w:tcPr>
            <w:tcW w:w="3061" w:type="dxa"/>
          </w:tcPr>
          <w:p>
            <w:pPr>
              <w:pStyle w:val="0"/>
            </w:pPr>
            <w:r>
              <w:rPr>
                <w:sz w:val="20"/>
              </w:rPr>
              <w:t xml:space="preserve">Стабильность налоговой политики, оптимальная контрольно-надзорная нагрузка</w:t>
            </w:r>
          </w:p>
        </w:tc>
        <w:tc>
          <w:tcPr>
            <w:tcW w:w="2865" w:type="dxa"/>
          </w:tcPr>
          <w:p>
            <w:pPr>
              <w:pStyle w:val="0"/>
            </w:pPr>
            <w:r>
              <w:rPr>
                <w:sz w:val="20"/>
              </w:rPr>
              <w:t xml:space="preserve">Конкурентная среда в сферах производства и услуг, в том числе социальных</w:t>
            </w:r>
          </w:p>
        </w:tc>
      </w:tr>
      <w:tr>
        <w:tc>
          <w:tcPr>
            <w:vMerge w:val="continue"/>
          </w:tcPr>
          <w:p/>
        </w:tc>
        <w:tc>
          <w:tcPr>
            <w:tcW w:w="3061" w:type="dxa"/>
          </w:tcPr>
          <w:p>
            <w:pPr>
              <w:pStyle w:val="0"/>
            </w:pPr>
            <w:r>
              <w:rPr>
                <w:sz w:val="20"/>
              </w:rPr>
              <w:t xml:space="preserve">Защищенность прав и собственности</w:t>
            </w:r>
          </w:p>
        </w:tc>
        <w:tc>
          <w:tcPr>
            <w:tcW w:w="2865" w:type="dxa"/>
          </w:tcPr>
          <w:p>
            <w:pPr>
              <w:pStyle w:val="0"/>
            </w:pPr>
            <w:r>
              <w:rPr>
                <w:sz w:val="20"/>
              </w:rPr>
              <w:t xml:space="preserve">Высокая социальная ответственность бизнеса</w:t>
            </w:r>
          </w:p>
        </w:tc>
      </w:tr>
      <w:tr>
        <w:tc>
          <w:tcPr>
            <w:vMerge w:val="continue"/>
          </w:tcPr>
          <w:p/>
        </w:tc>
        <w:tc>
          <w:tcPr>
            <w:tcW w:w="3061" w:type="dxa"/>
          </w:tcPr>
          <w:p>
            <w:pPr>
              <w:pStyle w:val="0"/>
            </w:pPr>
            <w:r>
              <w:rPr>
                <w:sz w:val="20"/>
              </w:rPr>
              <w:t xml:space="preserve">Наличие четких планов развития территорий с долгосрочным горизонтом планирования</w:t>
            </w:r>
          </w:p>
        </w:tc>
        <w:tc>
          <w:tcPr>
            <w:tcW w:w="2865" w:type="dxa"/>
            <w:vMerge w:val="restart"/>
          </w:tcPr>
          <w:p>
            <w:pPr>
              <w:pStyle w:val="0"/>
            </w:pPr>
            <w:r>
              <w:rPr>
                <w:sz w:val="20"/>
              </w:rPr>
              <w:t xml:space="preserve">Высокая гражданская активность населения</w:t>
            </w:r>
          </w:p>
        </w:tc>
      </w:tr>
      <w:tr>
        <w:tc>
          <w:tcPr>
            <w:vMerge w:val="continue"/>
          </w:tcPr>
          <w:p/>
        </w:tc>
        <w:tc>
          <w:tcPr>
            <w:tcW w:w="3061" w:type="dxa"/>
          </w:tcPr>
          <w:p>
            <w:pPr>
              <w:pStyle w:val="0"/>
            </w:pPr>
            <w:r>
              <w:rPr>
                <w:sz w:val="20"/>
              </w:rPr>
              <w:t xml:space="preserve">Комфортное социальное окружение бизнеса</w:t>
            </w:r>
          </w:p>
        </w:tc>
        <w:tc>
          <w:tcPr>
            <w:vMerge w:val="continue"/>
          </w:tcP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3310" w:name="P3310"/>
    <w:bookmarkEnd w:id="3310"/>
    <w:p>
      <w:pPr>
        <w:pStyle w:val="2"/>
        <w:outlineLvl w:val="2"/>
        <w:jc w:val="center"/>
      </w:pPr>
      <w:r>
        <w:rPr>
          <w:sz w:val="20"/>
        </w:rPr>
        <w:t xml:space="preserve">Таблица - Перечень государственных программ</w:t>
      </w:r>
    </w:p>
    <w:p>
      <w:pPr>
        <w:pStyle w:val="2"/>
        <w:jc w:val="center"/>
      </w:pPr>
      <w:r>
        <w:rPr>
          <w:sz w:val="20"/>
        </w:rPr>
        <w:t xml:space="preserve">Тюменской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8504"/>
      </w:tblGrid>
      <w:tr>
        <w:tc>
          <w:tcPr>
            <w:tcW w:w="567" w:type="dxa"/>
          </w:tcPr>
          <w:p>
            <w:pPr>
              <w:pStyle w:val="0"/>
              <w:jc w:val="center"/>
            </w:pPr>
            <w:r>
              <w:rPr>
                <w:sz w:val="20"/>
              </w:rPr>
              <w:t xml:space="preserve">N п/п</w:t>
            </w:r>
          </w:p>
        </w:tc>
        <w:tc>
          <w:tcPr>
            <w:tcW w:w="8504" w:type="dxa"/>
          </w:tcPr>
          <w:p>
            <w:pPr>
              <w:pStyle w:val="0"/>
              <w:jc w:val="center"/>
            </w:pPr>
            <w:r>
              <w:rPr>
                <w:sz w:val="20"/>
              </w:rPr>
              <w:t xml:space="preserve">Государственные программы Тюменской области </w:t>
            </w:r>
            <w:hyperlink w:history="0" w:anchor="P3375" w:tooltip="&lt;*&gt; Государственные программы, реализуемые в 2020 году.">
              <w:r>
                <w:rPr>
                  <w:sz w:val="20"/>
                  <w:color w:val="0000ff"/>
                </w:rPr>
                <w:t xml:space="preserve">&lt;*&gt;</w:t>
              </w:r>
            </w:hyperlink>
          </w:p>
        </w:tc>
      </w:tr>
      <w:tr>
        <w:tc>
          <w:tcPr>
            <w:tcW w:w="567" w:type="dxa"/>
          </w:tcPr>
          <w:p>
            <w:pPr>
              <w:pStyle w:val="0"/>
              <w:jc w:val="center"/>
            </w:pPr>
            <w:r>
              <w:rPr>
                <w:sz w:val="20"/>
              </w:rPr>
              <w:t xml:space="preserve">1</w:t>
            </w:r>
          </w:p>
        </w:tc>
        <w:tc>
          <w:tcPr>
            <w:tcW w:w="8504" w:type="dxa"/>
          </w:tcPr>
          <w:p>
            <w:pPr>
              <w:pStyle w:val="0"/>
            </w:pPr>
            <w:r>
              <w:rPr>
                <w:sz w:val="20"/>
              </w:rPr>
              <w:t xml:space="preserve">Развитие жилищно-коммунального хозяйства</w:t>
            </w:r>
          </w:p>
        </w:tc>
      </w:tr>
      <w:tr>
        <w:tc>
          <w:tcPr>
            <w:tcW w:w="567" w:type="dxa"/>
          </w:tcPr>
          <w:p>
            <w:pPr>
              <w:pStyle w:val="0"/>
              <w:jc w:val="center"/>
            </w:pPr>
            <w:r>
              <w:rPr>
                <w:sz w:val="20"/>
              </w:rPr>
              <w:t xml:space="preserve">2</w:t>
            </w:r>
          </w:p>
        </w:tc>
        <w:tc>
          <w:tcPr>
            <w:tcW w:w="8504" w:type="dxa"/>
          </w:tcPr>
          <w:p>
            <w:pPr>
              <w:pStyle w:val="0"/>
            </w:pPr>
            <w:r>
              <w:rPr>
                <w:sz w:val="20"/>
              </w:rPr>
              <w:t xml:space="preserve">Развитие гражданского общества, общественные связи и молодежная политика</w:t>
            </w:r>
          </w:p>
        </w:tc>
      </w:tr>
      <w:tr>
        <w:tc>
          <w:tcPr>
            <w:tcW w:w="567" w:type="dxa"/>
          </w:tcPr>
          <w:p>
            <w:pPr>
              <w:pStyle w:val="0"/>
              <w:jc w:val="center"/>
            </w:pPr>
            <w:r>
              <w:rPr>
                <w:sz w:val="20"/>
              </w:rPr>
              <w:t xml:space="preserve">3</w:t>
            </w:r>
          </w:p>
        </w:tc>
        <w:tc>
          <w:tcPr>
            <w:tcW w:w="8504" w:type="dxa"/>
          </w:tcPr>
          <w:p>
            <w:pPr>
              <w:pStyle w:val="0"/>
            </w:pPr>
            <w:r>
              <w:rPr>
                <w:sz w:val="20"/>
              </w:rPr>
              <w:t xml:space="preserve">Развитие малого и среднего предпринимательства и научно-инновационной сферы</w:t>
            </w:r>
          </w:p>
        </w:tc>
      </w:tr>
      <w:tr>
        <w:tc>
          <w:tcPr>
            <w:tcW w:w="567" w:type="dxa"/>
          </w:tcPr>
          <w:p>
            <w:pPr>
              <w:pStyle w:val="0"/>
              <w:jc w:val="center"/>
            </w:pPr>
            <w:r>
              <w:rPr>
                <w:sz w:val="20"/>
              </w:rPr>
              <w:t xml:space="preserve">4</w:t>
            </w:r>
          </w:p>
        </w:tc>
        <w:tc>
          <w:tcPr>
            <w:tcW w:w="8504" w:type="dxa"/>
          </w:tcPr>
          <w:p>
            <w:pPr>
              <w:pStyle w:val="0"/>
            </w:pPr>
            <w:r>
              <w:rPr>
                <w:sz w:val="20"/>
              </w:rPr>
              <w:t xml:space="preserve">Развитие лесного комплекса</w:t>
            </w:r>
          </w:p>
        </w:tc>
      </w:tr>
      <w:tr>
        <w:tc>
          <w:tcPr>
            <w:tcW w:w="567" w:type="dxa"/>
          </w:tcPr>
          <w:p>
            <w:pPr>
              <w:pStyle w:val="0"/>
              <w:jc w:val="center"/>
            </w:pPr>
            <w:r>
              <w:rPr>
                <w:sz w:val="20"/>
              </w:rPr>
              <w:t xml:space="preserve">5</w:t>
            </w:r>
          </w:p>
        </w:tc>
        <w:tc>
          <w:tcPr>
            <w:tcW w:w="8504" w:type="dxa"/>
          </w:tcPr>
          <w:p>
            <w:pPr>
              <w:pStyle w:val="0"/>
            </w:pPr>
            <w:r>
              <w:rPr>
                <w:sz w:val="20"/>
              </w:rPr>
              <w:t xml:space="preserve">Развитие имущественного комплекса</w:t>
            </w:r>
          </w:p>
        </w:tc>
      </w:tr>
      <w:tr>
        <w:tc>
          <w:tcPr>
            <w:tcW w:w="567" w:type="dxa"/>
          </w:tcPr>
          <w:p>
            <w:pPr>
              <w:pStyle w:val="0"/>
              <w:jc w:val="center"/>
            </w:pPr>
            <w:r>
              <w:rPr>
                <w:sz w:val="20"/>
              </w:rPr>
              <w:t xml:space="preserve">6</w:t>
            </w:r>
          </w:p>
        </w:tc>
        <w:tc>
          <w:tcPr>
            <w:tcW w:w="8504" w:type="dxa"/>
          </w:tcPr>
          <w:p>
            <w:pPr>
              <w:pStyle w:val="0"/>
            </w:pPr>
            <w:r>
              <w:rPr>
                <w:sz w:val="20"/>
              </w:rPr>
              <w:t xml:space="preserve">Развитие ветеринарной службы</w:t>
            </w:r>
          </w:p>
        </w:tc>
      </w:tr>
      <w:tr>
        <w:tc>
          <w:tcPr>
            <w:tcW w:w="567" w:type="dxa"/>
          </w:tcPr>
          <w:p>
            <w:pPr>
              <w:pStyle w:val="0"/>
              <w:jc w:val="center"/>
            </w:pPr>
            <w:r>
              <w:rPr>
                <w:sz w:val="20"/>
              </w:rPr>
              <w:t xml:space="preserve">7</w:t>
            </w:r>
          </w:p>
        </w:tc>
        <w:tc>
          <w:tcPr>
            <w:tcW w:w="8504" w:type="dxa"/>
          </w:tcPr>
          <w:p>
            <w:pPr>
              <w:pStyle w:val="0"/>
            </w:pPr>
            <w:r>
              <w:rPr>
                <w:sz w:val="20"/>
              </w:rPr>
              <w:t xml:space="preserve">Развитие агропромышленного комплекса</w:t>
            </w:r>
          </w:p>
        </w:tc>
      </w:tr>
      <w:tr>
        <w:tc>
          <w:tcPr>
            <w:tcW w:w="567" w:type="dxa"/>
          </w:tcPr>
          <w:p>
            <w:pPr>
              <w:pStyle w:val="0"/>
              <w:jc w:val="center"/>
            </w:pPr>
            <w:r>
              <w:rPr>
                <w:sz w:val="20"/>
              </w:rPr>
              <w:t xml:space="preserve">8</w:t>
            </w:r>
          </w:p>
        </w:tc>
        <w:tc>
          <w:tcPr>
            <w:tcW w:w="8504" w:type="dxa"/>
          </w:tcPr>
          <w:p>
            <w:pPr>
              <w:pStyle w:val="0"/>
            </w:pPr>
            <w:r>
              <w:rPr>
                <w:sz w:val="20"/>
              </w:rPr>
              <w:t xml:space="preserve">Защита населения и территорий от чрезвычайных ситуаций, обеспечение пожарной безопасности и безопасности людей на водных объектах</w:t>
            </w:r>
          </w:p>
        </w:tc>
      </w:tr>
      <w:tr>
        <w:tc>
          <w:tcPr>
            <w:tcW w:w="567" w:type="dxa"/>
          </w:tcPr>
          <w:p>
            <w:pPr>
              <w:pStyle w:val="0"/>
              <w:jc w:val="center"/>
            </w:pPr>
            <w:r>
              <w:rPr>
                <w:sz w:val="20"/>
              </w:rPr>
              <w:t xml:space="preserve">9</w:t>
            </w:r>
          </w:p>
        </w:tc>
        <w:tc>
          <w:tcPr>
            <w:tcW w:w="8504" w:type="dxa"/>
          </w:tcPr>
          <w:p>
            <w:pPr>
              <w:pStyle w:val="0"/>
            </w:pPr>
            <w:r>
              <w:rPr>
                <w:sz w:val="20"/>
              </w:rPr>
              <w:t xml:space="preserve">Повышение конкурентоспособности экономики</w:t>
            </w:r>
          </w:p>
        </w:tc>
      </w:tr>
      <w:tr>
        <w:tc>
          <w:tcPr>
            <w:tcW w:w="567" w:type="dxa"/>
          </w:tcPr>
          <w:p>
            <w:pPr>
              <w:pStyle w:val="0"/>
              <w:jc w:val="center"/>
            </w:pPr>
            <w:r>
              <w:rPr>
                <w:sz w:val="20"/>
              </w:rPr>
              <w:t xml:space="preserve">10</w:t>
            </w:r>
          </w:p>
        </w:tc>
        <w:tc>
          <w:tcPr>
            <w:tcW w:w="8504" w:type="dxa"/>
          </w:tcPr>
          <w:p>
            <w:pPr>
              <w:pStyle w:val="0"/>
            </w:pPr>
            <w:r>
              <w:rPr>
                <w:sz w:val="20"/>
              </w:rPr>
              <w:t xml:space="preserve">Недропользование и охрана окружающей среды</w:t>
            </w:r>
          </w:p>
        </w:tc>
      </w:tr>
      <w:tr>
        <w:tc>
          <w:tcPr>
            <w:tcW w:w="567" w:type="dxa"/>
          </w:tcPr>
          <w:p>
            <w:pPr>
              <w:pStyle w:val="0"/>
              <w:jc w:val="center"/>
            </w:pPr>
            <w:r>
              <w:rPr>
                <w:sz w:val="20"/>
              </w:rPr>
              <w:t xml:space="preserve">11</w:t>
            </w:r>
          </w:p>
        </w:tc>
        <w:tc>
          <w:tcPr>
            <w:tcW w:w="8504" w:type="dxa"/>
          </w:tcPr>
          <w:p>
            <w:pPr>
              <w:pStyle w:val="0"/>
            </w:pPr>
            <w:r>
              <w:rPr>
                <w:sz w:val="20"/>
              </w:rPr>
              <w:t xml:space="preserve">Развитие жилищного строительства</w:t>
            </w:r>
          </w:p>
        </w:tc>
      </w:tr>
      <w:tr>
        <w:tc>
          <w:tcPr>
            <w:tcW w:w="567" w:type="dxa"/>
          </w:tcPr>
          <w:p>
            <w:pPr>
              <w:pStyle w:val="0"/>
              <w:jc w:val="center"/>
            </w:pPr>
            <w:r>
              <w:rPr>
                <w:sz w:val="20"/>
              </w:rPr>
              <w:t xml:space="preserve">12</w:t>
            </w:r>
          </w:p>
        </w:tc>
        <w:tc>
          <w:tcPr>
            <w:tcW w:w="8504" w:type="dxa"/>
          </w:tcPr>
          <w:p>
            <w:pPr>
              <w:pStyle w:val="0"/>
            </w:pPr>
            <w:r>
              <w:rPr>
                <w:sz w:val="20"/>
              </w:rPr>
              <w:t xml:space="preserve">Развитие транспортной инфраструктуры</w:t>
            </w:r>
          </w:p>
        </w:tc>
      </w:tr>
      <w:tr>
        <w:tc>
          <w:tcPr>
            <w:tcW w:w="567" w:type="dxa"/>
          </w:tcPr>
          <w:p>
            <w:pPr>
              <w:pStyle w:val="0"/>
              <w:jc w:val="center"/>
            </w:pPr>
            <w:r>
              <w:rPr>
                <w:sz w:val="20"/>
              </w:rPr>
              <w:t xml:space="preserve">13</w:t>
            </w:r>
          </w:p>
        </w:tc>
        <w:tc>
          <w:tcPr>
            <w:tcW w:w="8504" w:type="dxa"/>
          </w:tcPr>
          <w:p>
            <w:pPr>
              <w:pStyle w:val="0"/>
            </w:pPr>
            <w:r>
              <w:rPr>
                <w:sz w:val="20"/>
              </w:rPr>
              <w:t xml:space="preserve">Реализация государственной национальной политики</w:t>
            </w:r>
          </w:p>
        </w:tc>
      </w:tr>
      <w:tr>
        <w:tc>
          <w:tcPr>
            <w:tcW w:w="567" w:type="dxa"/>
          </w:tcPr>
          <w:p>
            <w:pPr>
              <w:pStyle w:val="0"/>
              <w:jc w:val="center"/>
            </w:pPr>
            <w:r>
              <w:rPr>
                <w:sz w:val="20"/>
              </w:rPr>
              <w:t xml:space="preserve">14</w:t>
            </w:r>
          </w:p>
        </w:tc>
        <w:tc>
          <w:tcPr>
            <w:tcW w:w="8504" w:type="dxa"/>
          </w:tcPr>
          <w:p>
            <w:pPr>
              <w:pStyle w:val="0"/>
            </w:pPr>
            <w:r>
              <w:rPr>
                <w:sz w:val="20"/>
              </w:rPr>
              <w:t xml:space="preserve">Развитие внутреннего и въездного туризма</w:t>
            </w:r>
          </w:p>
        </w:tc>
      </w:tr>
      <w:tr>
        <w:tc>
          <w:tcPr>
            <w:tcW w:w="567" w:type="dxa"/>
          </w:tcPr>
          <w:p>
            <w:pPr>
              <w:pStyle w:val="0"/>
              <w:jc w:val="center"/>
            </w:pPr>
            <w:r>
              <w:rPr>
                <w:sz w:val="20"/>
              </w:rPr>
              <w:t xml:space="preserve">15</w:t>
            </w:r>
          </w:p>
        </w:tc>
        <w:tc>
          <w:tcPr>
            <w:tcW w:w="8504" w:type="dxa"/>
          </w:tcPr>
          <w:p>
            <w:pPr>
              <w:pStyle w:val="0"/>
            </w:pPr>
            <w:r>
              <w:rPr>
                <w:sz w:val="20"/>
              </w:rPr>
              <w:t xml:space="preserve">Развитие информатизации</w:t>
            </w:r>
          </w:p>
        </w:tc>
      </w:tr>
      <w:tr>
        <w:tc>
          <w:tcPr>
            <w:tcW w:w="567" w:type="dxa"/>
          </w:tcPr>
          <w:p>
            <w:pPr>
              <w:pStyle w:val="0"/>
              <w:jc w:val="center"/>
            </w:pPr>
            <w:r>
              <w:rPr>
                <w:sz w:val="20"/>
              </w:rPr>
              <w:t xml:space="preserve">16</w:t>
            </w:r>
          </w:p>
        </w:tc>
        <w:tc>
          <w:tcPr>
            <w:tcW w:w="8504" w:type="dxa"/>
          </w:tcPr>
          <w:p>
            <w:pPr>
              <w:pStyle w:val="0"/>
            </w:pPr>
            <w:r>
              <w:rPr>
                <w:sz w:val="20"/>
              </w:rPr>
              <w:t xml:space="preserve">Оказание содействия добровольному переселению в Тюменскую область соотечественников, проживающих за рубежом</w:t>
            </w:r>
          </w:p>
        </w:tc>
      </w:tr>
      <w:tr>
        <w:tc>
          <w:tcPr>
            <w:tcW w:w="567" w:type="dxa"/>
          </w:tcPr>
          <w:p>
            <w:pPr>
              <w:pStyle w:val="0"/>
              <w:jc w:val="center"/>
            </w:pPr>
            <w:r>
              <w:rPr>
                <w:sz w:val="20"/>
              </w:rPr>
              <w:t xml:space="preserve">17</w:t>
            </w:r>
          </w:p>
        </w:tc>
        <w:tc>
          <w:tcPr>
            <w:tcW w:w="8504" w:type="dxa"/>
          </w:tcPr>
          <w:p>
            <w:pPr>
              <w:pStyle w:val="0"/>
            </w:pPr>
            <w:r>
              <w:rPr>
                <w:sz w:val="20"/>
              </w:rPr>
              <w:t xml:space="preserve">Антинаркотическая программа</w:t>
            </w:r>
          </w:p>
        </w:tc>
      </w:tr>
      <w:tr>
        <w:tc>
          <w:tcPr>
            <w:tcW w:w="567" w:type="dxa"/>
          </w:tcPr>
          <w:p>
            <w:pPr>
              <w:pStyle w:val="0"/>
              <w:jc w:val="center"/>
            </w:pPr>
            <w:r>
              <w:rPr>
                <w:sz w:val="20"/>
              </w:rPr>
              <w:t xml:space="preserve">18</w:t>
            </w:r>
          </w:p>
        </w:tc>
        <w:tc>
          <w:tcPr>
            <w:tcW w:w="8504" w:type="dxa"/>
          </w:tcPr>
          <w:p>
            <w:pPr>
              <w:pStyle w:val="0"/>
            </w:pPr>
            <w:r>
              <w:rPr>
                <w:sz w:val="20"/>
              </w:rPr>
              <w:t xml:space="preserve">Развитие отрасли "Социальная политика"</w:t>
            </w:r>
          </w:p>
        </w:tc>
      </w:tr>
      <w:tr>
        <w:tc>
          <w:tcPr>
            <w:tcW w:w="567" w:type="dxa"/>
          </w:tcPr>
          <w:p>
            <w:pPr>
              <w:pStyle w:val="0"/>
              <w:jc w:val="center"/>
            </w:pPr>
            <w:r>
              <w:rPr>
                <w:sz w:val="20"/>
              </w:rPr>
              <w:t xml:space="preserve">19</w:t>
            </w:r>
          </w:p>
        </w:tc>
        <w:tc>
          <w:tcPr>
            <w:tcW w:w="8504" w:type="dxa"/>
          </w:tcPr>
          <w:p>
            <w:pPr>
              <w:pStyle w:val="0"/>
            </w:pPr>
            <w:r>
              <w:rPr>
                <w:sz w:val="20"/>
              </w:rPr>
              <w:t xml:space="preserve">Развитие здравоохранения</w:t>
            </w:r>
          </w:p>
        </w:tc>
      </w:tr>
      <w:tr>
        <w:tc>
          <w:tcPr>
            <w:tcW w:w="567" w:type="dxa"/>
          </w:tcPr>
          <w:p>
            <w:pPr>
              <w:pStyle w:val="0"/>
              <w:jc w:val="center"/>
            </w:pPr>
            <w:r>
              <w:rPr>
                <w:sz w:val="20"/>
              </w:rPr>
              <w:t xml:space="preserve">20</w:t>
            </w:r>
          </w:p>
        </w:tc>
        <w:tc>
          <w:tcPr>
            <w:tcW w:w="8504" w:type="dxa"/>
          </w:tcPr>
          <w:p>
            <w:pPr>
              <w:pStyle w:val="0"/>
            </w:pPr>
            <w:r>
              <w:rPr>
                <w:sz w:val="20"/>
              </w:rPr>
              <w:t xml:space="preserve">Развитие образования и науки</w:t>
            </w:r>
          </w:p>
        </w:tc>
      </w:tr>
      <w:tr>
        <w:tc>
          <w:tcPr>
            <w:tcW w:w="567" w:type="dxa"/>
          </w:tcPr>
          <w:p>
            <w:pPr>
              <w:pStyle w:val="0"/>
              <w:jc w:val="center"/>
            </w:pPr>
            <w:r>
              <w:rPr>
                <w:sz w:val="20"/>
              </w:rPr>
              <w:t xml:space="preserve">21</w:t>
            </w:r>
          </w:p>
        </w:tc>
        <w:tc>
          <w:tcPr>
            <w:tcW w:w="8504" w:type="dxa"/>
          </w:tcPr>
          <w:p>
            <w:pPr>
              <w:pStyle w:val="0"/>
            </w:pPr>
            <w:r>
              <w:rPr>
                <w:sz w:val="20"/>
              </w:rPr>
              <w:t xml:space="preserve">Развитие физической культуры, спорта и дополнительного образования</w:t>
            </w:r>
          </w:p>
        </w:tc>
      </w:tr>
      <w:tr>
        <w:tc>
          <w:tcPr>
            <w:tcW w:w="567" w:type="dxa"/>
          </w:tcPr>
          <w:p>
            <w:pPr>
              <w:pStyle w:val="0"/>
              <w:jc w:val="center"/>
            </w:pPr>
            <w:r>
              <w:rPr>
                <w:sz w:val="20"/>
              </w:rPr>
              <w:t xml:space="preserve">22</w:t>
            </w:r>
          </w:p>
        </w:tc>
        <w:tc>
          <w:tcPr>
            <w:tcW w:w="8504" w:type="dxa"/>
          </w:tcPr>
          <w:p>
            <w:pPr>
              <w:pStyle w:val="0"/>
            </w:pPr>
            <w:r>
              <w:rPr>
                <w:sz w:val="20"/>
              </w:rPr>
              <w:t xml:space="preserve">Развитие культуры</w:t>
            </w:r>
          </w:p>
        </w:tc>
      </w:tr>
      <w:tr>
        <w:tc>
          <w:tcPr>
            <w:tcW w:w="567" w:type="dxa"/>
          </w:tcPr>
          <w:p>
            <w:pPr>
              <w:pStyle w:val="0"/>
              <w:jc w:val="center"/>
            </w:pPr>
            <w:r>
              <w:rPr>
                <w:sz w:val="20"/>
              </w:rPr>
              <w:t xml:space="preserve">23</w:t>
            </w:r>
          </w:p>
        </w:tc>
        <w:tc>
          <w:tcPr>
            <w:tcW w:w="8504" w:type="dxa"/>
          </w:tcPr>
          <w:p>
            <w:pPr>
              <w:pStyle w:val="0"/>
            </w:pPr>
            <w:r>
              <w:rPr>
                <w:sz w:val="20"/>
              </w:rPr>
              <w:t xml:space="preserve">Сохранение и использование объектов культурного наследия</w:t>
            </w:r>
          </w:p>
        </w:tc>
      </w:tr>
      <w:tr>
        <w:tc>
          <w:tcPr>
            <w:tcW w:w="567" w:type="dxa"/>
          </w:tcPr>
          <w:p>
            <w:pPr>
              <w:pStyle w:val="0"/>
              <w:jc w:val="center"/>
            </w:pPr>
            <w:r>
              <w:rPr>
                <w:sz w:val="20"/>
              </w:rPr>
              <w:t xml:space="preserve">24</w:t>
            </w:r>
          </w:p>
        </w:tc>
        <w:tc>
          <w:tcPr>
            <w:tcW w:w="8504" w:type="dxa"/>
          </w:tcPr>
          <w:p>
            <w:pPr>
              <w:pStyle w:val="0"/>
            </w:pPr>
            <w:r>
              <w:rPr>
                <w:sz w:val="20"/>
              </w:rPr>
              <w:t xml:space="preserve">Развитие промышленности и инвестиционной деятельности</w:t>
            </w:r>
          </w:p>
        </w:tc>
      </w:tr>
      <w:tr>
        <w:tc>
          <w:tcPr>
            <w:tcW w:w="567" w:type="dxa"/>
          </w:tcPr>
          <w:p>
            <w:pPr>
              <w:pStyle w:val="0"/>
              <w:jc w:val="center"/>
            </w:pPr>
            <w:r>
              <w:rPr>
                <w:sz w:val="20"/>
              </w:rPr>
              <w:t xml:space="preserve">25</w:t>
            </w:r>
          </w:p>
        </w:tc>
        <w:tc>
          <w:tcPr>
            <w:tcW w:w="8504" w:type="dxa"/>
          </w:tcPr>
          <w:p>
            <w:pPr>
              <w:pStyle w:val="0"/>
            </w:pPr>
            <w:r>
              <w:rPr>
                <w:sz w:val="20"/>
              </w:rPr>
              <w:t xml:space="preserve">Содействие занятости населения и регулирование трудовых и иных непосредственно связанных с ними отношений</w:t>
            </w:r>
          </w:p>
        </w:tc>
      </w:tr>
      <w:tr>
        <w:tc>
          <w:tcPr>
            <w:tcW w:w="567" w:type="dxa"/>
          </w:tcPr>
          <w:p>
            <w:pPr>
              <w:pStyle w:val="0"/>
              <w:jc w:val="center"/>
            </w:pPr>
            <w:r>
              <w:rPr>
                <w:sz w:val="20"/>
              </w:rPr>
              <w:t xml:space="preserve">26</w:t>
            </w:r>
          </w:p>
        </w:tc>
        <w:tc>
          <w:tcPr>
            <w:tcW w:w="8504" w:type="dxa"/>
          </w:tcPr>
          <w:p>
            <w:pPr>
              <w:pStyle w:val="0"/>
            </w:pPr>
            <w:r>
              <w:rPr>
                <w:sz w:val="20"/>
              </w:rPr>
              <w:t xml:space="preserve">Сотрудничество</w:t>
            </w:r>
          </w:p>
        </w:tc>
      </w:tr>
      <w:tr>
        <w:tc>
          <w:tcPr>
            <w:tcW w:w="567" w:type="dxa"/>
          </w:tcPr>
          <w:p>
            <w:pPr>
              <w:pStyle w:val="0"/>
              <w:jc w:val="center"/>
            </w:pPr>
            <w:r>
              <w:rPr>
                <w:sz w:val="20"/>
              </w:rPr>
              <w:t xml:space="preserve">27</w:t>
            </w:r>
          </w:p>
        </w:tc>
        <w:tc>
          <w:tcPr>
            <w:tcW w:w="8504" w:type="dxa"/>
          </w:tcPr>
          <w:p>
            <w:pPr>
              <w:pStyle w:val="0"/>
            </w:pPr>
            <w:r>
              <w:rPr>
                <w:sz w:val="20"/>
              </w:rPr>
              <w:t xml:space="preserve">Повышение безопасности дорожного движения</w:t>
            </w:r>
          </w:p>
        </w:tc>
      </w:tr>
      <w:tr>
        <w:tc>
          <w:tcPr>
            <w:tcW w:w="567" w:type="dxa"/>
          </w:tcPr>
          <w:p>
            <w:pPr>
              <w:pStyle w:val="0"/>
              <w:jc w:val="center"/>
            </w:pPr>
            <w:r>
              <w:rPr>
                <w:sz w:val="20"/>
              </w:rPr>
              <w:t xml:space="preserve">28</w:t>
            </w:r>
          </w:p>
        </w:tc>
        <w:tc>
          <w:tcPr>
            <w:tcW w:w="8504" w:type="dxa"/>
          </w:tcPr>
          <w:p>
            <w:pPr>
              <w:pStyle w:val="0"/>
            </w:pPr>
            <w:r>
              <w:rPr>
                <w:sz w:val="20"/>
              </w:rPr>
              <w:t xml:space="preserve">Развитие потребительского рынка и защита прав потребителей</w:t>
            </w:r>
          </w:p>
        </w:tc>
      </w:tr>
      <w:tr>
        <w:tc>
          <w:tcPr>
            <w:tcW w:w="567" w:type="dxa"/>
          </w:tcPr>
          <w:p>
            <w:pPr>
              <w:pStyle w:val="0"/>
              <w:jc w:val="center"/>
            </w:pPr>
            <w:r>
              <w:rPr>
                <w:sz w:val="20"/>
              </w:rPr>
              <w:t xml:space="preserve">29</w:t>
            </w:r>
          </w:p>
        </w:tc>
        <w:tc>
          <w:tcPr>
            <w:tcW w:w="8504" w:type="dxa"/>
          </w:tcPr>
          <w:p>
            <w:pPr>
              <w:pStyle w:val="0"/>
            </w:pPr>
            <w:r>
              <w:rPr>
                <w:sz w:val="20"/>
              </w:rPr>
              <w:t xml:space="preserve">Профилактика правонарушений</w:t>
            </w:r>
          </w:p>
        </w:tc>
      </w:tr>
    </w:tbl>
    <w:p>
      <w:pPr>
        <w:pStyle w:val="0"/>
        <w:jc w:val="both"/>
      </w:pPr>
      <w:r>
        <w:rPr>
          <w:sz w:val="20"/>
        </w:rPr>
      </w:r>
    </w:p>
    <w:p>
      <w:pPr>
        <w:pStyle w:val="0"/>
        <w:ind w:firstLine="540"/>
        <w:jc w:val="both"/>
      </w:pPr>
      <w:r>
        <w:rPr>
          <w:sz w:val="20"/>
        </w:rPr>
        <w:t xml:space="preserve">--------------------------------</w:t>
      </w:r>
    </w:p>
    <w:bookmarkStart w:id="3375" w:name="P3375"/>
    <w:bookmarkEnd w:id="3375"/>
    <w:p>
      <w:pPr>
        <w:pStyle w:val="0"/>
        <w:spacing w:before="200" w:line-rule="auto"/>
        <w:ind w:firstLine="540"/>
        <w:jc w:val="both"/>
      </w:pPr>
      <w:r>
        <w:rPr>
          <w:sz w:val="20"/>
        </w:rPr>
        <w:t xml:space="preserve">&lt;*&gt; Государственные программы, реализуемые в 2020 году.</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3383" w:name="P3383"/>
    <w:bookmarkEnd w:id="3383"/>
    <w:p>
      <w:pPr>
        <w:pStyle w:val="2"/>
        <w:jc w:val="center"/>
      </w:pPr>
      <w:r>
        <w:rPr>
          <w:sz w:val="20"/>
        </w:rPr>
        <w:t xml:space="preserve">ИНВЕСТИЦИОННАЯ СТРАТЕГИЯ</w:t>
      </w:r>
    </w:p>
    <w:p>
      <w:pPr>
        <w:pStyle w:val="2"/>
        <w:jc w:val="center"/>
      </w:pPr>
      <w:r>
        <w:rPr>
          <w:sz w:val="20"/>
        </w:rPr>
        <w:t xml:space="preserve">ТЮМЕНСКОЙ ОБЛАСТИ</w:t>
      </w:r>
    </w:p>
    <w:p>
      <w:pPr>
        <w:pStyle w:val="0"/>
        <w:jc w:val="both"/>
      </w:pPr>
      <w:r>
        <w:rPr>
          <w:sz w:val="20"/>
        </w:rPr>
      </w:r>
    </w:p>
    <w:p>
      <w:pPr>
        <w:pStyle w:val="0"/>
        <w:ind w:firstLine="540"/>
        <w:jc w:val="both"/>
      </w:pPr>
      <w:r>
        <w:rPr>
          <w:sz w:val="20"/>
        </w:rPr>
        <w:t xml:space="preserve">Инвестиционная стратегия подготовлена в соответствии с требованиями </w:t>
      </w:r>
      <w:hyperlink w:history="0" r:id="rId58" w:tooltip="Закон Тюменской области от 25.02.2015 N 13 (ред. от 23.03.2018) &quot;О стратегическом планировании социально-экономического развития Тюменской области&quot; (принят Тюменской областной Думой 12.02.2015) {КонсультантПлюс}">
        <w:r>
          <w:rPr>
            <w:sz w:val="20"/>
            <w:color w:val="0000ff"/>
          </w:rPr>
          <w:t xml:space="preserve">Закона</w:t>
        </w:r>
      </w:hyperlink>
      <w:r>
        <w:rPr>
          <w:sz w:val="20"/>
        </w:rPr>
        <w:t xml:space="preserve"> Тюменской области от 25.02.2015 N 13 "О стратегическом планировании социально-экономического развития Тюменской области".</w:t>
      </w:r>
    </w:p>
    <w:p>
      <w:pPr>
        <w:pStyle w:val="0"/>
        <w:spacing w:before="200" w:line-rule="auto"/>
        <w:ind w:firstLine="540"/>
        <w:jc w:val="both"/>
      </w:pPr>
      <w:r>
        <w:rPr>
          <w:sz w:val="20"/>
        </w:rPr>
        <w:t xml:space="preserve">Инвестиционная стратегия разработана в соответствии с требованиями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03.05.2012, а также целевых моделей упрощения процедур ведения бизнеса и повышения инвестиционной привлекательности субъектов Российской Федерации (</w:t>
      </w:r>
      <w:hyperlink w:history="0" r:id="rId59" w:tooltip="Распоряжение Правительства РФ от 31.01.2017 N 147-р (ред. от 14.12.2023) &lt;О целевых моделях упрощения процедур ведения бизнеса и повышения инвестиционной привлекательности субъектов Российской Федерации&gt; (вместе с &quot;Методическими рекомендациями по внедрению в субъектах Российской Федерации целевых моделей упрощения процедур ведения бизнеса и повышения инвестиционной привлекательности субъектов Российской Федерации&quot;) {КонсультантПлюс}">
        <w:r>
          <w:rPr>
            <w:sz w:val="20"/>
            <w:color w:val="0000ff"/>
          </w:rPr>
          <w:t xml:space="preserve">распоряжение</w:t>
        </w:r>
      </w:hyperlink>
      <w:r>
        <w:rPr>
          <w:sz w:val="20"/>
        </w:rPr>
        <w:t xml:space="preserve"> Правительства Российской Федерации от 31.01.2017 N 147-р).</w:t>
      </w:r>
    </w:p>
    <w:p>
      <w:pPr>
        <w:pStyle w:val="0"/>
        <w:jc w:val="both"/>
      </w:pPr>
      <w:r>
        <w:rPr>
          <w:sz w:val="20"/>
        </w:rPr>
      </w:r>
    </w:p>
    <w:p>
      <w:pPr>
        <w:pStyle w:val="2"/>
        <w:outlineLvl w:val="2"/>
        <w:jc w:val="center"/>
      </w:pPr>
      <w:r>
        <w:rPr>
          <w:sz w:val="20"/>
        </w:rPr>
        <w:t xml:space="preserve">Цели, задачи и результаты реализации</w:t>
      </w:r>
    </w:p>
    <w:p>
      <w:pPr>
        <w:pStyle w:val="2"/>
        <w:jc w:val="center"/>
      </w:pPr>
      <w:r>
        <w:rPr>
          <w:sz w:val="20"/>
        </w:rPr>
        <w:t xml:space="preserve">Инвестиционной стратегии</w:t>
      </w:r>
    </w:p>
    <w:p>
      <w:pPr>
        <w:pStyle w:val="0"/>
        <w:jc w:val="both"/>
      </w:pPr>
      <w:r>
        <w:rPr>
          <w:sz w:val="20"/>
        </w:rPr>
      </w:r>
    </w:p>
    <w:p>
      <w:pPr>
        <w:pStyle w:val="0"/>
        <w:ind w:firstLine="540"/>
        <w:jc w:val="both"/>
      </w:pPr>
      <w:r>
        <w:rPr>
          <w:sz w:val="20"/>
        </w:rPr>
        <w:t xml:space="preserve">Инвестиционная стратегия является документом, определяющим долгосрочные цели и конкретные результаты деятельности Правительства Тюменской области по созданию благоприятного инвестиционного климата и реализации инвестиционной политики в регионе.</w:t>
      </w:r>
    </w:p>
    <w:p>
      <w:pPr>
        <w:pStyle w:val="0"/>
        <w:spacing w:before="200" w:line-rule="auto"/>
        <w:ind w:firstLine="540"/>
        <w:jc w:val="both"/>
      </w:pPr>
      <w:r>
        <w:rPr>
          <w:sz w:val="20"/>
        </w:rPr>
        <w:t xml:space="preserve">Инвестиционная стратегия направлена на укрепление сильных и ликвидацию слабых сторон в экономике региона, достижение целевых показателей, установленных в Стратегии.</w:t>
      </w:r>
    </w:p>
    <w:p>
      <w:pPr>
        <w:pStyle w:val="0"/>
        <w:spacing w:before="200" w:line-rule="auto"/>
        <w:ind w:firstLine="540"/>
        <w:jc w:val="both"/>
      </w:pPr>
      <w:r>
        <w:rPr>
          <w:sz w:val="20"/>
        </w:rPr>
        <w:t xml:space="preserve">Стратегическая цель инвестиционной политики Тюменской области - создание максимально комфортных условий для старта и ведения бизнеса на территории региона, а также формирование эффективной системы привлечения инвестиций и сопровождения инвестиционных проектов.</w:t>
      </w:r>
    </w:p>
    <w:p>
      <w:pPr>
        <w:pStyle w:val="0"/>
        <w:spacing w:before="200" w:line-rule="auto"/>
        <w:ind w:firstLine="540"/>
        <w:jc w:val="both"/>
      </w:pPr>
      <w:r>
        <w:rPr>
          <w:sz w:val="20"/>
        </w:rPr>
        <w:t xml:space="preserve">Достижение цели будет осуществляться путем реализации исполнительными органами государственной власти Тюменской области в сотрудничестве с территориальными представительствами федеральных органов власти, органами местного самоуправления и ресурсоснабжающими организациями комплекса мер по следующим ключевым направлениям:</w:t>
      </w:r>
    </w:p>
    <w:p>
      <w:pPr>
        <w:pStyle w:val="0"/>
        <w:spacing w:before="200" w:line-rule="auto"/>
        <w:ind w:firstLine="540"/>
        <w:jc w:val="both"/>
      </w:pPr>
      <w:r>
        <w:rPr>
          <w:sz w:val="20"/>
        </w:rPr>
        <w:t xml:space="preserve">совершенствование административных процедур в сфере инвестиционной и предпринимательской деятельности, в том числе путем обеспечения механизма сопровождения всех инвестиционных проектов, реализуемых в любом муниципальном образовании, независимо от объема инвестиций;</w:t>
      </w:r>
    </w:p>
    <w:p>
      <w:pPr>
        <w:pStyle w:val="0"/>
        <w:spacing w:before="200" w:line-rule="auto"/>
        <w:ind w:firstLine="540"/>
        <w:jc w:val="both"/>
      </w:pPr>
      <w:r>
        <w:rPr>
          <w:sz w:val="20"/>
        </w:rPr>
        <w:t xml:space="preserve">устранение инфраструктурных ограничений для развития инвестиционной и предпринимательской деятельности;</w:t>
      </w:r>
    </w:p>
    <w:p>
      <w:pPr>
        <w:pStyle w:val="0"/>
        <w:spacing w:before="200" w:line-rule="auto"/>
        <w:ind w:firstLine="540"/>
        <w:jc w:val="both"/>
      </w:pPr>
      <w:r>
        <w:rPr>
          <w:sz w:val="20"/>
        </w:rPr>
        <w:t xml:space="preserve">совершенствование финансовых механизмов государственной поддержки инвестиционной деятельности, направленных на обеспечение приоритетов Стратегии;</w:t>
      </w:r>
    </w:p>
    <w:p>
      <w:pPr>
        <w:pStyle w:val="0"/>
        <w:spacing w:before="200" w:line-rule="auto"/>
        <w:ind w:firstLine="540"/>
        <w:jc w:val="both"/>
      </w:pPr>
      <w:r>
        <w:rPr>
          <w:sz w:val="20"/>
        </w:rPr>
        <w:t xml:space="preserve">развитие практики применения механизмов государственно-частного партнерства и муниципально-частного партнерства.</w:t>
      </w:r>
    </w:p>
    <w:p>
      <w:pPr>
        <w:pStyle w:val="0"/>
        <w:spacing w:before="200" w:line-rule="auto"/>
        <w:ind w:firstLine="540"/>
        <w:jc w:val="both"/>
      </w:pPr>
      <w:r>
        <w:rPr>
          <w:sz w:val="20"/>
        </w:rPr>
        <w:t xml:space="preserve">Реализация Инвестиционной стратегии должна привести к следующим основным результатам:</w:t>
      </w:r>
    </w:p>
    <w:p>
      <w:pPr>
        <w:pStyle w:val="0"/>
        <w:spacing w:before="200" w:line-rule="auto"/>
        <w:ind w:firstLine="540"/>
        <w:jc w:val="both"/>
      </w:pPr>
      <w:r>
        <w:rPr>
          <w:sz w:val="20"/>
        </w:rPr>
        <w:t xml:space="preserve">устойчивому росту инвестиций в экономику Тюменской области;</w:t>
      </w:r>
    </w:p>
    <w:p>
      <w:pPr>
        <w:pStyle w:val="0"/>
        <w:spacing w:before="200" w:line-rule="auto"/>
        <w:ind w:firstLine="540"/>
        <w:jc w:val="both"/>
      </w:pPr>
      <w:r>
        <w:rPr>
          <w:sz w:val="20"/>
        </w:rPr>
        <w:t xml:space="preserve">изменению структуры инвестиций: увеличению доли конкурентных инвестиций; изменению структуры экономики Тюменской области, увеличению доли в ВРП обрабатывающих и высокотехнологичных производств;</w:t>
      </w:r>
    </w:p>
    <w:p>
      <w:pPr>
        <w:pStyle w:val="0"/>
        <w:spacing w:before="200" w:line-rule="auto"/>
        <w:ind w:firstLine="540"/>
        <w:jc w:val="both"/>
      </w:pPr>
      <w:r>
        <w:rPr>
          <w:sz w:val="20"/>
        </w:rPr>
        <w:t xml:space="preserve">росту производительности труда, опережающему рост доходов населения;</w:t>
      </w:r>
    </w:p>
    <w:p>
      <w:pPr>
        <w:pStyle w:val="0"/>
        <w:spacing w:before="200" w:line-rule="auto"/>
        <w:ind w:firstLine="540"/>
        <w:jc w:val="both"/>
      </w:pPr>
      <w:r>
        <w:rPr>
          <w:sz w:val="20"/>
        </w:rPr>
        <w:t xml:space="preserve">улучшению качества инфраструктуры;</w:t>
      </w:r>
    </w:p>
    <w:p>
      <w:pPr>
        <w:pStyle w:val="0"/>
        <w:spacing w:before="200" w:line-rule="auto"/>
        <w:ind w:firstLine="540"/>
        <w:jc w:val="both"/>
      </w:pPr>
      <w:r>
        <w:rPr>
          <w:sz w:val="20"/>
        </w:rPr>
        <w:t xml:space="preserve">повышению конкурентоспособности Тюменской области на внутрироссийском и международном рынках.</w:t>
      </w:r>
    </w:p>
    <w:p>
      <w:pPr>
        <w:pStyle w:val="0"/>
        <w:jc w:val="both"/>
      </w:pPr>
      <w:r>
        <w:rPr>
          <w:sz w:val="20"/>
        </w:rPr>
      </w:r>
    </w:p>
    <w:p>
      <w:pPr>
        <w:pStyle w:val="2"/>
        <w:outlineLvl w:val="2"/>
        <w:jc w:val="center"/>
      </w:pPr>
      <w:r>
        <w:rPr>
          <w:sz w:val="20"/>
        </w:rPr>
        <w:t xml:space="preserve">Сценарии развития Инвестиционной стратегии</w:t>
      </w:r>
    </w:p>
    <w:p>
      <w:pPr>
        <w:pStyle w:val="0"/>
        <w:jc w:val="both"/>
      </w:pPr>
      <w:r>
        <w:rPr>
          <w:sz w:val="20"/>
        </w:rPr>
      </w:r>
    </w:p>
    <w:p>
      <w:pPr>
        <w:pStyle w:val="0"/>
        <w:ind w:firstLine="540"/>
        <w:jc w:val="both"/>
      </w:pPr>
      <w:r>
        <w:rPr>
          <w:sz w:val="20"/>
        </w:rPr>
        <w:t xml:space="preserve">На основе анализа внутренних и внешних условий социально-экономической политики Тюменской области разработаны два сценария развития Инвестиционной стратегии, увязанные со сценариями развития Тюменской области.</w:t>
      </w:r>
    </w:p>
    <w:p>
      <w:pPr>
        <w:pStyle w:val="2"/>
        <w:spacing w:before="200" w:line-rule="auto"/>
        <w:outlineLvl w:val="3"/>
        <w:ind w:firstLine="540"/>
        <w:jc w:val="both"/>
      </w:pPr>
      <w:r>
        <w:rPr>
          <w:sz w:val="20"/>
        </w:rPr>
        <w:t xml:space="preserve">Консервативный (сценарий жестких ресурсных ограничений)</w:t>
      </w:r>
    </w:p>
    <w:p>
      <w:pPr>
        <w:pStyle w:val="0"/>
        <w:spacing w:before="200" w:line-rule="auto"/>
        <w:ind w:firstLine="540"/>
        <w:jc w:val="both"/>
      </w:pPr>
      <w:r>
        <w:rPr>
          <w:sz w:val="20"/>
        </w:rPr>
        <w:t xml:space="preserve">Крупные инвестиционные проекты в промышленности, реализация которых начнется в прогнозном периоде, будут единичны и будут иметь значительно меньшие масштабы; количество создаваемых новых производств среднего размера существенно ниже уровня, достигнутого в период 2010 - 2014 годов, когда наблюдалось наибольшее количество строящихся новых заводов в регионе; темпы модернизации существующих основных фондов будут близки темпам, сложившимся в кризисный период 2014 - 2015 годов; уровень инвестиций в основной капитал к 2030 году в сопоставимой оценке будет значительно ниже уровня, достигнутого в 2018 году.</w:t>
      </w:r>
    </w:p>
    <w:p>
      <w:pPr>
        <w:pStyle w:val="0"/>
        <w:spacing w:before="200" w:line-rule="auto"/>
        <w:ind w:firstLine="540"/>
        <w:jc w:val="both"/>
      </w:pPr>
      <w:r>
        <w:rPr>
          <w:sz w:val="20"/>
        </w:rPr>
        <w:t xml:space="preserve">Значительный рост инвестиций к 2030 году по сравнению с 2018 годом предполагается лишь в отраслях транспорта и связи, а также ряде отраслей обрабатывающего сектора: производстве резиновых и пластмассовых изделий, пищевых продуктов, обработке древесины и производстве изделий из дерева. Незначительный рост инвестиций по данному сценарию будет отмечен также в сельском хозяйстве, операциях с недвижимым имуществом, аренде и предоставлении услуг, производстве машин и оборудования, электрооборудования, электронного и оптического оборудования, а также отдельных отраслях социальной сферы.</w:t>
      </w:r>
    </w:p>
    <w:p>
      <w:pPr>
        <w:pStyle w:val="2"/>
        <w:spacing w:before="200" w:line-rule="auto"/>
        <w:outlineLvl w:val="3"/>
        <w:ind w:firstLine="540"/>
        <w:jc w:val="both"/>
      </w:pPr>
      <w:r>
        <w:rPr>
          <w:sz w:val="20"/>
        </w:rPr>
        <w:t xml:space="preserve">Базовый (сценарий умеренных ресурсных ограничений)</w:t>
      </w:r>
    </w:p>
    <w:p>
      <w:pPr>
        <w:pStyle w:val="0"/>
        <w:spacing w:before="200" w:line-rule="auto"/>
        <w:ind w:firstLine="540"/>
        <w:jc w:val="both"/>
      </w:pPr>
      <w:r>
        <w:rPr>
          <w:sz w:val="20"/>
        </w:rPr>
        <w:t xml:space="preserve">По базовому сценарию прогнозируется реализация крупных инвестиционных проектов в промышленности (большего масштаба и количества, чем в консервативном сценарии. Предполагается ускорение темпов модернизации действующих основных фондов до уровня, обеспечивающего своевременную замену изношенного оборудования и снижение накопленного износа, активизация строительства автомобильных и железных дорог, электроэнергетической инфраструктуры и систем ЖКХ, новых систем связи и телекоммуникаций, благоустройства населенных пунктов, объектов социальной сферы, инфраструктуры развлечений, отдыха и рекреации. Таким образом, по базовому варианту предполагается замещение более значительной части выпадающих в связи с завершением крупнейших инвестиционных проектов объемов инвестиций.</w:t>
      </w:r>
    </w:p>
    <w:p>
      <w:pPr>
        <w:pStyle w:val="0"/>
        <w:spacing w:before="200" w:line-rule="auto"/>
        <w:ind w:firstLine="540"/>
        <w:jc w:val="both"/>
      </w:pPr>
      <w:r>
        <w:rPr>
          <w:sz w:val="20"/>
        </w:rPr>
        <w:t xml:space="preserve">Реализация Инвестиционной стратегии будет осуществляться по 10 приоритетным направлениям улучшения инвестиционного климата с учетом разработанных 12 моделей регулирования и правоприменения.</w:t>
      </w:r>
    </w:p>
    <w:p>
      <w:pPr>
        <w:pStyle w:val="0"/>
        <w:jc w:val="both"/>
      </w:pPr>
      <w:r>
        <w:rPr>
          <w:sz w:val="20"/>
        </w:rPr>
      </w:r>
    </w:p>
    <w:p>
      <w:pPr>
        <w:pStyle w:val="2"/>
        <w:outlineLvl w:val="2"/>
        <w:jc w:val="center"/>
      </w:pPr>
      <w:r>
        <w:rPr>
          <w:sz w:val="20"/>
        </w:rPr>
        <w:t xml:space="preserve">Приоритетные направления улучшения инвестиционного климата</w:t>
      </w:r>
    </w:p>
    <w:p>
      <w:pPr>
        <w:pStyle w:val="0"/>
        <w:jc w:val="both"/>
      </w:pPr>
      <w:r>
        <w:rPr>
          <w:sz w:val="20"/>
        </w:rPr>
      </w:r>
    </w:p>
    <w:p>
      <w:pPr>
        <w:pStyle w:val="2"/>
        <w:outlineLvl w:val="3"/>
        <w:ind w:firstLine="540"/>
        <w:jc w:val="both"/>
      </w:pPr>
      <w:r>
        <w:rPr>
          <w:sz w:val="20"/>
        </w:rPr>
        <w:t xml:space="preserve">1. Институты и инструменты для развития благоприятного инвестиционного климата</w:t>
      </w:r>
    </w:p>
    <w:p>
      <w:pPr>
        <w:pStyle w:val="0"/>
        <w:spacing w:before="200" w:line-rule="auto"/>
        <w:ind w:firstLine="540"/>
        <w:jc w:val="both"/>
      </w:pPr>
      <w:r>
        <w:rPr>
          <w:sz w:val="20"/>
        </w:rPr>
        <w:t xml:space="preserve">Стандарт деятельности исполнительных органов власти Тюменской области по обеспечению благоприятного инвестиционного климата в регионе является одним из ключевых проектов, направленных на создание институтов и инструментов улучшения инвестиционного климата.</w:t>
      </w:r>
    </w:p>
    <w:p>
      <w:pPr>
        <w:pStyle w:val="0"/>
        <w:spacing w:before="200" w:line-rule="auto"/>
        <w:ind w:firstLine="540"/>
        <w:jc w:val="both"/>
      </w:pPr>
      <w:r>
        <w:rPr>
          <w:sz w:val="20"/>
        </w:rPr>
        <w:t xml:space="preserve">В настоящее время в Тюменской области выполнены все 15 положений Стандарта деятельности исполнительных органов власти Тюменской области по обеспечению благоприятного инвестиционного климата. В рамках мониторинга исполнения требований Стандарта деятельности исполнительных органов власти Тюменской области по обеспечению благоприятного инвестиционного климата сделан вывод о реальных улучшениях в регионе по созданию благоприятного инвестиционного климата. Вместе с тем выявлены и факты, указывающие на необходимость доработки созданных институтов и инструментов до эффективно действующих и нацеленных на потенциального инвестора.</w:t>
      </w:r>
    </w:p>
    <w:p>
      <w:pPr>
        <w:pStyle w:val="0"/>
        <w:spacing w:before="200" w:line-rule="auto"/>
        <w:ind w:firstLine="540"/>
        <w:jc w:val="both"/>
      </w:pPr>
      <w:r>
        <w:rPr>
          <w:sz w:val="20"/>
        </w:rPr>
        <w:t xml:space="preserve">Работа по совершенствованию деятельности институтов и применения инструментов для развития благоприятного инвестиционного климата будет проводиться в рамках реализации следующих целевых моделей регулирования и правоприменения:</w:t>
      </w:r>
    </w:p>
    <w:p>
      <w:pPr>
        <w:pStyle w:val="0"/>
        <w:spacing w:before="200" w:line-rule="auto"/>
        <w:ind w:firstLine="540"/>
        <w:jc w:val="both"/>
      </w:pPr>
      <w:r>
        <w:rPr>
          <w:sz w:val="20"/>
        </w:rPr>
        <w:t xml:space="preserve">Целевая модель "Наличие и качество регионального законодательства о механизмах защиты инвесторов и поддержки инвестиционной деятельности".</w:t>
      </w:r>
    </w:p>
    <w:p>
      <w:pPr>
        <w:pStyle w:val="0"/>
        <w:spacing w:before="200" w:line-rule="auto"/>
        <w:ind w:firstLine="540"/>
        <w:jc w:val="both"/>
      </w:pPr>
      <w:r>
        <w:rPr>
          <w:sz w:val="20"/>
        </w:rPr>
        <w:t xml:space="preserve">Неотъемлемыми условиями эффективности регионального законодательства о механизмах защиты инвесторов и поддержки инвестиционной деятельности являются:</w:t>
      </w:r>
    </w:p>
    <w:p>
      <w:pPr>
        <w:pStyle w:val="0"/>
        <w:spacing w:before="200" w:line-rule="auto"/>
        <w:ind w:firstLine="540"/>
        <w:jc w:val="both"/>
      </w:pPr>
      <w:r>
        <w:rPr>
          <w:sz w:val="20"/>
        </w:rPr>
        <w:t xml:space="preserve">- размещение актуальных редакций правовых актов на специализированном интернет-портале Тюменской области об инвестиционной деятельности и официальных сайтах региональных органов государственной власти;</w:t>
      </w:r>
    </w:p>
    <w:p>
      <w:pPr>
        <w:pStyle w:val="0"/>
        <w:spacing w:before="200" w:line-rule="auto"/>
        <w:ind w:firstLine="540"/>
        <w:jc w:val="both"/>
      </w:pPr>
      <w:r>
        <w:rPr>
          <w:sz w:val="20"/>
        </w:rPr>
        <w:t xml:space="preserve">- изложение содержания правовых актов на специализированном интернет-портале об инвестиционной деятельности в доступной форме с применением схем, таблиц, инфографики;</w:t>
      </w:r>
    </w:p>
    <w:p>
      <w:pPr>
        <w:pStyle w:val="0"/>
        <w:spacing w:before="200" w:line-rule="auto"/>
        <w:ind w:firstLine="540"/>
        <w:jc w:val="both"/>
      </w:pPr>
      <w:r>
        <w:rPr>
          <w:sz w:val="20"/>
        </w:rPr>
        <w:t xml:space="preserve">- обеспечение мер поддержки, предусмотренных законодательством Тюменской области, необходимыми кадровыми, организационными и финансовыми ресурсами;</w:t>
      </w:r>
    </w:p>
    <w:p>
      <w:pPr>
        <w:pStyle w:val="0"/>
        <w:spacing w:before="200" w:line-rule="auto"/>
        <w:ind w:firstLine="540"/>
        <w:jc w:val="both"/>
      </w:pPr>
      <w:r>
        <w:rPr>
          <w:sz w:val="20"/>
        </w:rPr>
        <w:t xml:space="preserve">- оценка правоприменения законодательства о механизмах защиты инвесторов и поддержки инвестиционной деятельности на заседаниях Совета по улучшению инвестиционного климата;</w:t>
      </w:r>
    </w:p>
    <w:p>
      <w:pPr>
        <w:pStyle w:val="0"/>
        <w:spacing w:before="200" w:line-rule="auto"/>
        <w:ind w:firstLine="540"/>
        <w:jc w:val="both"/>
      </w:pPr>
      <w:r>
        <w:rPr>
          <w:sz w:val="20"/>
        </w:rPr>
        <w:t xml:space="preserve">- создание системы оперативного устранения нарушений законодательства, выявленных по результатам работы каналов прямой связи инвесторов и руководства Тюменской области.</w:t>
      </w:r>
    </w:p>
    <w:p>
      <w:pPr>
        <w:pStyle w:val="0"/>
        <w:spacing w:before="200" w:line-rule="auto"/>
        <w:ind w:firstLine="540"/>
        <w:jc w:val="both"/>
      </w:pPr>
      <w:r>
        <w:rPr>
          <w:sz w:val="20"/>
        </w:rPr>
        <w:t xml:space="preserve">Целевая модель "Эффективность деятельности специализированной организации по привлечению инвестиций и работе с инвесторами".</w:t>
      </w:r>
    </w:p>
    <w:p>
      <w:pPr>
        <w:pStyle w:val="0"/>
        <w:spacing w:before="200" w:line-rule="auto"/>
        <w:ind w:firstLine="540"/>
        <w:jc w:val="both"/>
      </w:pPr>
      <w:r>
        <w:rPr>
          <w:sz w:val="20"/>
        </w:rPr>
        <w:t xml:space="preserve">Обеспечивающими факторами повышения эффективности работы специализированной организации по привлечению инвестиций и работе с инвесторами являются:</w:t>
      </w:r>
    </w:p>
    <w:p>
      <w:pPr>
        <w:pStyle w:val="0"/>
        <w:spacing w:before="200" w:line-rule="auto"/>
        <w:ind w:firstLine="540"/>
        <w:jc w:val="both"/>
      </w:pPr>
      <w:r>
        <w:rPr>
          <w:sz w:val="20"/>
        </w:rPr>
        <w:t xml:space="preserve">- утверждение "операционных драйверов" эффективности деятельности специализированной организации (количество звонков, контактов, мероприятий и других);</w:t>
      </w:r>
    </w:p>
    <w:p>
      <w:pPr>
        <w:pStyle w:val="0"/>
        <w:spacing w:before="200" w:line-rule="auto"/>
        <w:ind w:firstLine="540"/>
        <w:jc w:val="both"/>
      </w:pPr>
      <w:r>
        <w:rPr>
          <w:sz w:val="20"/>
        </w:rPr>
        <w:t xml:space="preserve">- внедрение элементов системы управления взаимоотношениями с клиентами;</w:t>
      </w:r>
    </w:p>
    <w:p>
      <w:pPr>
        <w:pStyle w:val="0"/>
        <w:spacing w:before="200" w:line-rule="auto"/>
        <w:ind w:firstLine="540"/>
        <w:jc w:val="both"/>
      </w:pPr>
      <w:r>
        <w:rPr>
          <w:sz w:val="20"/>
        </w:rPr>
        <w:t xml:space="preserve">- обеспечение возможности размещения на инвестиционном портале информации о работе специализированной организации, инвестиционных проектах и площадках;</w:t>
      </w:r>
    </w:p>
    <w:p>
      <w:pPr>
        <w:pStyle w:val="0"/>
        <w:spacing w:before="200" w:line-rule="auto"/>
        <w:ind w:firstLine="540"/>
        <w:jc w:val="both"/>
      </w:pPr>
      <w:r>
        <w:rPr>
          <w:sz w:val="20"/>
        </w:rPr>
        <w:t xml:space="preserve">- организация системы обучения сотрудников (проектный менеджмент, профессиональная коммуникация, языковая подготовка и другое);</w:t>
      </w:r>
    </w:p>
    <w:p>
      <w:pPr>
        <w:pStyle w:val="0"/>
        <w:spacing w:before="200" w:line-rule="auto"/>
        <w:ind w:firstLine="540"/>
        <w:jc w:val="both"/>
      </w:pPr>
      <w:r>
        <w:rPr>
          <w:sz w:val="20"/>
        </w:rPr>
        <w:t xml:space="preserve">- участие в общероссийских и международных мероприятиях с целью продвижения инвестиционных возможностей Тюменской области (с учетом финансовых возможностей);</w:t>
      </w:r>
    </w:p>
    <w:p>
      <w:pPr>
        <w:pStyle w:val="0"/>
        <w:spacing w:before="200" w:line-rule="auto"/>
        <w:ind w:firstLine="540"/>
        <w:jc w:val="both"/>
      </w:pPr>
      <w:r>
        <w:rPr>
          <w:sz w:val="20"/>
        </w:rPr>
        <w:t xml:space="preserve">- проведение региональных и муниципальных мероприятий с привлечением потенциальных инвесторов (не менее одного раза в год).</w:t>
      </w:r>
    </w:p>
    <w:p>
      <w:pPr>
        <w:pStyle w:val="0"/>
        <w:spacing w:before="200" w:line-rule="auto"/>
        <w:ind w:firstLine="540"/>
        <w:jc w:val="both"/>
      </w:pPr>
      <w:r>
        <w:rPr>
          <w:sz w:val="20"/>
        </w:rPr>
        <w:t xml:space="preserve">Целевая модель "Качество инвестиционного портала".</w:t>
      </w:r>
    </w:p>
    <w:p>
      <w:pPr>
        <w:pStyle w:val="0"/>
        <w:spacing w:before="200" w:line-rule="auto"/>
        <w:ind w:firstLine="540"/>
        <w:jc w:val="both"/>
      </w:pPr>
      <w:r>
        <w:rPr>
          <w:sz w:val="20"/>
        </w:rPr>
        <w:t xml:space="preserve">Для обеспечения необходимого качества специализированного интернет-портала об инвестиционной деятельности в Тюменской области необходимо выполнение требований к техническому развитию портала, к содержательному наполнению, а также к продвижению инвестиционного портала.</w:t>
      </w:r>
    </w:p>
    <w:p>
      <w:pPr>
        <w:pStyle w:val="0"/>
        <w:spacing w:before="200" w:line-rule="auto"/>
        <w:ind w:firstLine="540"/>
        <w:jc w:val="both"/>
      </w:pPr>
      <w:r>
        <w:rPr>
          <w:sz w:val="20"/>
        </w:rPr>
        <w:t xml:space="preserve">Для облегчения восприятия текстовой информации и документов, размещенных на инвестиционном портале, их содержание должно быть представлено также в адаптированном виде, в том числе схематично, с использованием инфографики.</w:t>
      </w:r>
    </w:p>
    <w:p>
      <w:pPr>
        <w:pStyle w:val="0"/>
        <w:spacing w:before="200" w:line-rule="auto"/>
        <w:ind w:firstLine="540"/>
        <w:jc w:val="both"/>
      </w:pPr>
      <w:r>
        <w:rPr>
          <w:sz w:val="20"/>
        </w:rPr>
        <w:t xml:space="preserve">Целевая модель "Эффективность обратной связи и работы каналов прямой связи инвесторов и руководства Тюменской области" подразумевает:</w:t>
      </w:r>
    </w:p>
    <w:p>
      <w:pPr>
        <w:pStyle w:val="0"/>
        <w:spacing w:before="200" w:line-rule="auto"/>
        <w:ind w:firstLine="540"/>
        <w:jc w:val="both"/>
      </w:pPr>
      <w:r>
        <w:rPr>
          <w:sz w:val="20"/>
        </w:rPr>
        <w:t xml:space="preserve">- наличие Совета по улучшению инвестиционного климата в Тюменской области (далее - Совет) (обеспечение регулярного проведения заседаний Совета);</w:t>
      </w:r>
    </w:p>
    <w:p>
      <w:pPr>
        <w:pStyle w:val="0"/>
        <w:spacing w:before="200" w:line-rule="auto"/>
        <w:ind w:firstLine="540"/>
        <w:jc w:val="both"/>
      </w:pPr>
      <w:r>
        <w:rPr>
          <w:sz w:val="20"/>
        </w:rPr>
        <w:t xml:space="preserve">- проведение мониторинга выполнения регламента сопровождения инвестиционных проектов по принципу "одного окна";</w:t>
      </w:r>
    </w:p>
    <w:p>
      <w:pPr>
        <w:pStyle w:val="0"/>
        <w:spacing w:before="200" w:line-rule="auto"/>
        <w:ind w:firstLine="540"/>
        <w:jc w:val="both"/>
      </w:pPr>
      <w:r>
        <w:rPr>
          <w:sz w:val="20"/>
        </w:rPr>
        <w:t xml:space="preserve">- рассмотрение проектов и нормативных правовых актов, влияющих на предпринимательскую и инвестиционную деятельность, на заседаниях Совета;</w:t>
      </w:r>
    </w:p>
    <w:p>
      <w:pPr>
        <w:pStyle w:val="0"/>
        <w:spacing w:before="200" w:line-rule="auto"/>
        <w:ind w:firstLine="540"/>
        <w:jc w:val="both"/>
      </w:pPr>
      <w:r>
        <w:rPr>
          <w:sz w:val="20"/>
        </w:rPr>
        <w:t xml:space="preserve">- открытость проведения заседаний Совета (размещение протоколов заседаний и информации об их исполнении на инвестиционном портале);</w:t>
      </w:r>
    </w:p>
    <w:p>
      <w:pPr>
        <w:pStyle w:val="0"/>
        <w:spacing w:before="200" w:line-rule="auto"/>
        <w:ind w:firstLine="540"/>
        <w:jc w:val="both"/>
      </w:pPr>
      <w:r>
        <w:rPr>
          <w:sz w:val="20"/>
        </w:rPr>
        <w:t xml:space="preserve">- дополнительные очные формы взаимодействия власти и участников инвестиционной деятельности (проведение ежегодной сессии стратегического развития по ключевым направлениям развития Тюменской области, подготовка ежегодного инвестиционного послания, участие в мероприятиях, проводимых деловыми объединениями);</w:t>
      </w:r>
    </w:p>
    <w:p>
      <w:pPr>
        <w:pStyle w:val="0"/>
        <w:spacing w:before="200" w:line-rule="auto"/>
        <w:ind w:firstLine="540"/>
        <w:jc w:val="both"/>
      </w:pPr>
      <w:r>
        <w:rPr>
          <w:sz w:val="20"/>
        </w:rPr>
        <w:t xml:space="preserve">- дистанционное взаимодействие представителей власти и участников инвестиционной деятельности.</w:t>
      </w:r>
    </w:p>
    <w:p>
      <w:pPr>
        <w:pStyle w:val="0"/>
        <w:spacing w:before="200" w:line-rule="auto"/>
        <w:ind w:firstLine="540"/>
        <w:jc w:val="both"/>
      </w:pPr>
      <w:r>
        <w:rPr>
          <w:sz w:val="20"/>
        </w:rPr>
        <w:t xml:space="preserve">В целях обеспечения условий осуществления значимых для инвестиционной деятельности процедур в сфере регулирования земельных отношений и территориального планирования будет проведена работа в рамках следующих целевых моделей:</w:t>
      </w:r>
    </w:p>
    <w:p>
      <w:pPr>
        <w:pStyle w:val="0"/>
        <w:spacing w:before="200" w:line-rule="auto"/>
        <w:ind w:firstLine="540"/>
        <w:jc w:val="both"/>
      </w:pPr>
      <w:r>
        <w:rPr>
          <w:sz w:val="20"/>
        </w:rPr>
        <w:t xml:space="preserve">Целевая модель "Постановка на кадастровый учет земельных участков и объектов недвижимого имущества" включает в себя следующие этапы:</w:t>
      </w:r>
    </w:p>
    <w:p>
      <w:pPr>
        <w:pStyle w:val="0"/>
        <w:spacing w:before="200" w:line-rule="auto"/>
        <w:ind w:firstLine="540"/>
        <w:jc w:val="both"/>
      </w:pPr>
      <w:r>
        <w:rPr>
          <w:sz w:val="20"/>
        </w:rPr>
        <w:t xml:space="preserve">- анализ территории;</w:t>
      </w:r>
    </w:p>
    <w:p>
      <w:pPr>
        <w:pStyle w:val="0"/>
        <w:spacing w:before="200" w:line-rule="auto"/>
        <w:ind w:firstLine="540"/>
        <w:jc w:val="both"/>
      </w:pPr>
      <w:r>
        <w:rPr>
          <w:sz w:val="20"/>
        </w:rPr>
        <w:t xml:space="preserve">- подготовка межевого и технического планов, акта обследования;</w:t>
      </w:r>
    </w:p>
    <w:p>
      <w:pPr>
        <w:pStyle w:val="0"/>
        <w:spacing w:before="200" w:line-rule="auto"/>
        <w:ind w:firstLine="540"/>
        <w:jc w:val="both"/>
      </w:pPr>
      <w:r>
        <w:rPr>
          <w:sz w:val="20"/>
        </w:rPr>
        <w:t xml:space="preserve">- постановка земельных участков и объектов недвижимости на кадастровый учет.</w:t>
      </w:r>
    </w:p>
    <w:p>
      <w:pPr>
        <w:pStyle w:val="0"/>
        <w:spacing w:before="200" w:line-rule="auto"/>
        <w:ind w:firstLine="540"/>
        <w:jc w:val="both"/>
      </w:pPr>
      <w:r>
        <w:rPr>
          <w:sz w:val="20"/>
        </w:rPr>
        <w:t xml:space="preserve">Целевая модель "Регистрация права собственности на земельные участки и объекты недвижимого имущества" предполагает выполнение мероприятий по обеспечению целевых сроков осуществления государственной регистрации прав:</w:t>
      </w:r>
    </w:p>
    <w:p>
      <w:pPr>
        <w:pStyle w:val="0"/>
        <w:spacing w:before="200" w:line-rule="auto"/>
        <w:ind w:firstLine="540"/>
        <w:jc w:val="both"/>
      </w:pPr>
      <w:r>
        <w:rPr>
          <w:sz w:val="20"/>
        </w:rPr>
        <w:t xml:space="preserve">на этапе подачи заявления и необходимого пакета документов: повышение уровня предоставления услуги через МФЦ (увеличение доли заявлений о регистрации права от юридических лиц, поданных через МФЦ); обеспечение доступности подачи заявлений (обеспечение приемлемого уровня нагрузки на специалистов, осуществляющих прием документов);</w:t>
      </w:r>
    </w:p>
    <w:p>
      <w:pPr>
        <w:pStyle w:val="0"/>
        <w:spacing w:before="200" w:line-rule="auto"/>
        <w:ind w:firstLine="540"/>
        <w:jc w:val="both"/>
      </w:pPr>
      <w:r>
        <w:rPr>
          <w:sz w:val="20"/>
        </w:rPr>
        <w:t xml:space="preserve">на этапе регистрации права собственности: обеспечение межведомственного взаимодействия органов государственной власти, органов местного самоуправления, нотариусов, судов; сокращение средних фактических сроков регистрации права собственности; улучшение качества регистрационного процесса (сокращение доли заявлений о государственной регистрации прав, рассмотрение которых приостановлено, доли отказов в общем количестве заявлений, поданных юридическими лицами).</w:t>
      </w:r>
    </w:p>
    <w:p>
      <w:pPr>
        <w:pStyle w:val="0"/>
        <w:spacing w:before="200" w:line-rule="auto"/>
        <w:ind w:firstLine="540"/>
        <w:jc w:val="both"/>
      </w:pPr>
      <w:r>
        <w:rPr>
          <w:sz w:val="20"/>
        </w:rPr>
        <w:t xml:space="preserve">В целях обеспечения условий осуществления значимых для инвестиционной деятельности процедур в сфере регулирования градостроительной деятельности и улучшения предпринимательского климата в сфере строительства будет продолжена работа в рамках целевой модели "Получение разрешения на строительство и территориальное планирование" по следующим основным этапам:</w:t>
      </w:r>
    </w:p>
    <w:p>
      <w:pPr>
        <w:pStyle w:val="0"/>
        <w:spacing w:before="200" w:line-rule="auto"/>
        <w:ind w:firstLine="540"/>
        <w:jc w:val="both"/>
      </w:pPr>
      <w:r>
        <w:rPr>
          <w:sz w:val="20"/>
        </w:rPr>
        <w:t xml:space="preserve">территориальное планирование;</w:t>
      </w:r>
    </w:p>
    <w:p>
      <w:pPr>
        <w:pStyle w:val="0"/>
        <w:spacing w:before="200" w:line-rule="auto"/>
        <w:ind w:firstLine="540"/>
        <w:jc w:val="both"/>
      </w:pPr>
      <w:r>
        <w:rPr>
          <w:sz w:val="20"/>
        </w:rPr>
        <w:t xml:space="preserve">получение градостроительного плана земельного участка (ГПЗУ);</w:t>
      </w:r>
    </w:p>
    <w:p>
      <w:pPr>
        <w:pStyle w:val="0"/>
        <w:spacing w:before="200" w:line-rule="auto"/>
        <w:ind w:firstLine="540"/>
        <w:jc w:val="both"/>
      </w:pPr>
      <w:r>
        <w:rPr>
          <w:sz w:val="20"/>
        </w:rPr>
        <w:t xml:space="preserve">подключение (технологическое присоединение) многоквартирного жилого дома к сетям инженерно-технического обеспечения, электрическим сетям;</w:t>
      </w:r>
    </w:p>
    <w:p>
      <w:pPr>
        <w:pStyle w:val="0"/>
        <w:spacing w:before="200" w:line-rule="auto"/>
        <w:ind w:firstLine="540"/>
        <w:jc w:val="both"/>
      </w:pPr>
      <w:r>
        <w:rPr>
          <w:sz w:val="20"/>
        </w:rPr>
        <w:t xml:space="preserve">прохождение экспертизы проектной документации и результатов инженерных изысканий;</w:t>
      </w:r>
    </w:p>
    <w:p>
      <w:pPr>
        <w:pStyle w:val="0"/>
        <w:spacing w:before="200" w:line-rule="auto"/>
        <w:ind w:firstLine="540"/>
        <w:jc w:val="both"/>
      </w:pPr>
      <w:r>
        <w:rPr>
          <w:sz w:val="20"/>
        </w:rPr>
        <w:t xml:space="preserve">получение разрешения на строительство;</w:t>
      </w:r>
    </w:p>
    <w:p>
      <w:pPr>
        <w:pStyle w:val="0"/>
        <w:spacing w:before="200" w:line-rule="auto"/>
        <w:ind w:firstLine="540"/>
        <w:jc w:val="both"/>
      </w:pPr>
      <w:r>
        <w:rPr>
          <w:sz w:val="20"/>
        </w:rPr>
        <w:t xml:space="preserve">проведение дополнительных процедур, связанных с особенностью градостроительной деятельности.</w:t>
      </w:r>
    </w:p>
    <w:p>
      <w:pPr>
        <w:pStyle w:val="0"/>
        <w:spacing w:before="200" w:line-rule="auto"/>
        <w:ind w:firstLine="540"/>
        <w:jc w:val="both"/>
      </w:pPr>
      <w:r>
        <w:rPr>
          <w:sz w:val="20"/>
        </w:rPr>
        <w:t xml:space="preserve">Обеспечивающими факторами модели являются:</w:t>
      </w:r>
    </w:p>
    <w:p>
      <w:pPr>
        <w:pStyle w:val="0"/>
        <w:spacing w:before="200" w:line-rule="auto"/>
        <w:ind w:firstLine="540"/>
        <w:jc w:val="both"/>
      </w:pPr>
      <w:r>
        <w:rPr>
          <w:sz w:val="20"/>
        </w:rPr>
        <w:t xml:space="preserve">уровень развития онлайн-сервисов (количество);</w:t>
      </w:r>
    </w:p>
    <w:p>
      <w:pPr>
        <w:pStyle w:val="0"/>
        <w:spacing w:before="200" w:line-rule="auto"/>
        <w:ind w:firstLine="540"/>
        <w:jc w:val="both"/>
      </w:pPr>
      <w:r>
        <w:rPr>
          <w:sz w:val="20"/>
        </w:rPr>
        <w:t xml:space="preserve">эффективность работы регионального "проектного офиса";</w:t>
      </w:r>
    </w:p>
    <w:p>
      <w:pPr>
        <w:pStyle w:val="0"/>
        <w:spacing w:before="200" w:line-rule="auto"/>
        <w:ind w:firstLine="540"/>
        <w:jc w:val="both"/>
      </w:pPr>
      <w:r>
        <w:rPr>
          <w:sz w:val="20"/>
        </w:rPr>
        <w:t xml:space="preserve">уровень информированности участников градостроительных отношений.</w:t>
      </w:r>
    </w:p>
    <w:p>
      <w:pPr>
        <w:pStyle w:val="0"/>
        <w:spacing w:before="200" w:line-rule="auto"/>
        <w:ind w:firstLine="540"/>
        <w:jc w:val="both"/>
      </w:pPr>
      <w:r>
        <w:rPr>
          <w:sz w:val="20"/>
        </w:rPr>
        <w:t xml:space="preserve">В целях обеспечения условий осуществления значимых для инвестиционной деятельности процедур по созданию технических возможностей потребления электрической энергии, газа, воды, тепла будет проведена работа в рамках следующих целевых моделей:</w:t>
      </w:r>
    </w:p>
    <w:p>
      <w:pPr>
        <w:pStyle w:val="0"/>
        <w:spacing w:before="200" w:line-rule="auto"/>
        <w:ind w:firstLine="540"/>
        <w:jc w:val="both"/>
      </w:pPr>
      <w:r>
        <w:rPr>
          <w:sz w:val="20"/>
        </w:rPr>
        <w:t xml:space="preserve">Целевая модель "Технологическое присоединение к электрическим сетям".</w:t>
      </w:r>
    </w:p>
    <w:p>
      <w:pPr>
        <w:pStyle w:val="0"/>
        <w:spacing w:before="200" w:line-rule="auto"/>
        <w:ind w:firstLine="540"/>
        <w:jc w:val="both"/>
      </w:pPr>
      <w:r>
        <w:rPr>
          <w:sz w:val="20"/>
        </w:rPr>
        <w:t xml:space="preserve">В целях сокращения сроков технологического присоединения к электрическим сетям определены ключевые факторы оптимизации процесса подключения:</w:t>
      </w:r>
    </w:p>
    <w:p>
      <w:pPr>
        <w:pStyle w:val="0"/>
        <w:spacing w:before="200" w:line-rule="auto"/>
        <w:ind w:firstLine="540"/>
        <w:jc w:val="both"/>
      </w:pPr>
      <w:r>
        <w:rPr>
          <w:sz w:val="20"/>
        </w:rPr>
        <w:t xml:space="preserve">- наличие личного кабинета заявителя на официальных сайтах сетевых организаций; прозрачность расчета платы за технологическое присоединение для заявителя;</w:t>
      </w:r>
    </w:p>
    <w:p>
      <w:pPr>
        <w:pStyle w:val="0"/>
        <w:spacing w:before="200" w:line-rule="auto"/>
        <w:ind w:firstLine="540"/>
        <w:jc w:val="both"/>
      </w:pPr>
      <w:r>
        <w:rPr>
          <w:sz w:val="20"/>
        </w:rPr>
        <w:t xml:space="preserve">- наличие упрощенной системы осуществления закупок по строительству объектов электросетевого хозяйства;</w:t>
      </w:r>
    </w:p>
    <w:p>
      <w:pPr>
        <w:pStyle w:val="0"/>
        <w:spacing w:before="200" w:line-rule="auto"/>
        <w:ind w:firstLine="540"/>
        <w:jc w:val="both"/>
      </w:pPr>
      <w:r>
        <w:rPr>
          <w:sz w:val="20"/>
        </w:rPr>
        <w:t xml:space="preserve">- наличие упрощенной процедуры проведения работ по строительству (реконструкции) объектов электросетевого хозяйства;</w:t>
      </w:r>
    </w:p>
    <w:p>
      <w:pPr>
        <w:pStyle w:val="0"/>
        <w:spacing w:before="200" w:line-rule="auto"/>
        <w:ind w:firstLine="540"/>
        <w:jc w:val="both"/>
      </w:pPr>
      <w:r>
        <w:rPr>
          <w:sz w:val="20"/>
        </w:rPr>
        <w:t xml:space="preserve">- наличие упрощенной процедуры строительства (реконструкции) объектов электросетевого хозяйства; оптимизация процедуры получения разрешения на проведение работ по строительству (реконструкции) объектов электросетевого хозяйства;</w:t>
      </w:r>
    </w:p>
    <w:p>
      <w:pPr>
        <w:pStyle w:val="0"/>
        <w:spacing w:before="200" w:line-rule="auto"/>
        <w:ind w:firstLine="540"/>
        <w:jc w:val="both"/>
      </w:pPr>
      <w:r>
        <w:rPr>
          <w:sz w:val="20"/>
        </w:rPr>
        <w:t xml:space="preserve">- быстрая процедура формирования и выдачи документов (актов) для подписания, в том числе посредством электронного документооборота;</w:t>
      </w:r>
    </w:p>
    <w:p>
      <w:pPr>
        <w:pStyle w:val="0"/>
        <w:spacing w:before="200" w:line-rule="auto"/>
        <w:ind w:firstLine="540"/>
        <w:jc w:val="both"/>
      </w:pPr>
      <w:r>
        <w:rPr>
          <w:sz w:val="20"/>
        </w:rPr>
        <w:t xml:space="preserve">- заключение договора энергоснабжения через сетевую организацию до завершения процедуры технологического присоединения без взаимодействия заявителя с энергосбытовой организацией;</w:t>
      </w:r>
    </w:p>
    <w:p>
      <w:pPr>
        <w:pStyle w:val="0"/>
        <w:spacing w:before="200" w:line-rule="auto"/>
        <w:ind w:firstLine="540"/>
        <w:jc w:val="both"/>
      </w:pPr>
      <w:r>
        <w:rPr>
          <w:sz w:val="20"/>
        </w:rPr>
        <w:t xml:space="preserve">- осуществление мероприятий по технологическому подключению к электросетям не более чем за 90 дней.</w:t>
      </w:r>
    </w:p>
    <w:p>
      <w:pPr>
        <w:pStyle w:val="0"/>
        <w:spacing w:before="200" w:line-rule="auto"/>
        <w:ind w:firstLine="540"/>
        <w:jc w:val="both"/>
      </w:pPr>
      <w:r>
        <w:rPr>
          <w:sz w:val="20"/>
        </w:rPr>
        <w:t xml:space="preserve">Целевая модель "Подключение (технологическое присоединение) к сетям газораспределения".</w:t>
      </w:r>
    </w:p>
    <w:p>
      <w:pPr>
        <w:pStyle w:val="0"/>
        <w:spacing w:before="200" w:line-rule="auto"/>
        <w:ind w:firstLine="540"/>
        <w:jc w:val="both"/>
      </w:pPr>
      <w:r>
        <w:rPr>
          <w:sz w:val="20"/>
        </w:rPr>
        <w:t xml:space="preserve">С целью оптимизации процесса технологического присоединения к сетям газораспределения в Тюменской области необходимо обеспечить достижение ключевых факторов модели:</w:t>
      </w:r>
    </w:p>
    <w:p>
      <w:pPr>
        <w:pStyle w:val="0"/>
        <w:spacing w:before="200" w:line-rule="auto"/>
        <w:ind w:firstLine="540"/>
        <w:jc w:val="both"/>
      </w:pPr>
      <w:r>
        <w:rPr>
          <w:sz w:val="20"/>
        </w:rPr>
        <w:t xml:space="preserve">- удобство подачи заявок на заключение договора о подключении;</w:t>
      </w:r>
    </w:p>
    <w:p>
      <w:pPr>
        <w:pStyle w:val="0"/>
        <w:spacing w:before="200" w:line-rule="auto"/>
        <w:ind w:firstLine="540"/>
        <w:jc w:val="both"/>
      </w:pPr>
      <w:r>
        <w:rPr>
          <w:sz w:val="20"/>
        </w:rPr>
        <w:t xml:space="preserve">- достаточность финансирования перспективного развития и оптимизация стоимости строительства газораспределительных сетей;</w:t>
      </w:r>
    </w:p>
    <w:p>
      <w:pPr>
        <w:pStyle w:val="0"/>
        <w:spacing w:before="200" w:line-rule="auto"/>
        <w:ind w:firstLine="540"/>
        <w:jc w:val="both"/>
      </w:pPr>
      <w:r>
        <w:rPr>
          <w:sz w:val="20"/>
        </w:rPr>
        <w:t xml:space="preserve">- упрощение механизмов получения прав на земельные участки, необходимые для технологического присоединения;</w:t>
      </w:r>
    </w:p>
    <w:p>
      <w:pPr>
        <w:pStyle w:val="0"/>
        <w:spacing w:before="200" w:line-rule="auto"/>
        <w:ind w:firstLine="540"/>
        <w:jc w:val="both"/>
      </w:pPr>
      <w:r>
        <w:rPr>
          <w:sz w:val="20"/>
        </w:rPr>
        <w:t xml:space="preserve">- оптимизация договорных процедур;</w:t>
      </w:r>
    </w:p>
    <w:p>
      <w:pPr>
        <w:pStyle w:val="0"/>
        <w:spacing w:before="200" w:line-rule="auto"/>
        <w:ind w:firstLine="540"/>
        <w:jc w:val="both"/>
      </w:pPr>
      <w:r>
        <w:rPr>
          <w:sz w:val="20"/>
        </w:rPr>
        <w:t xml:space="preserve">- ускоренная процедура выдачи акта о подключении (технологическом присоединении);</w:t>
      </w:r>
    </w:p>
    <w:p>
      <w:pPr>
        <w:pStyle w:val="0"/>
        <w:spacing w:before="200" w:line-rule="auto"/>
        <w:ind w:firstLine="540"/>
        <w:jc w:val="both"/>
      </w:pPr>
      <w:r>
        <w:rPr>
          <w:sz w:val="20"/>
        </w:rPr>
        <w:t xml:space="preserve">- улучшение качества обслуживания заявителей.</w:t>
      </w:r>
    </w:p>
    <w:p>
      <w:pPr>
        <w:pStyle w:val="0"/>
        <w:spacing w:before="200" w:line-rule="auto"/>
        <w:ind w:firstLine="540"/>
        <w:jc w:val="both"/>
      </w:pPr>
      <w:r>
        <w:rPr>
          <w:sz w:val="20"/>
        </w:rPr>
        <w:t xml:space="preserve">Целевая модель "Подключение к системам теплоснабжения, подключение (технологическое присоединение) к централизованным системам водоснабжения и водоотведения".</w:t>
      </w:r>
    </w:p>
    <w:p>
      <w:pPr>
        <w:pStyle w:val="0"/>
        <w:spacing w:before="200" w:line-rule="auto"/>
        <w:ind w:firstLine="540"/>
        <w:jc w:val="both"/>
      </w:pPr>
      <w:r>
        <w:rPr>
          <w:sz w:val="20"/>
        </w:rPr>
        <w:t xml:space="preserve">Основные направления совершенствования процедуры подключения к инфраструктуре теплоснабжения, водоснабжения и водоотведения:</w:t>
      </w:r>
    </w:p>
    <w:p>
      <w:pPr>
        <w:pStyle w:val="0"/>
        <w:spacing w:before="200" w:line-rule="auto"/>
        <w:ind w:firstLine="540"/>
        <w:jc w:val="both"/>
      </w:pPr>
      <w:r>
        <w:rPr>
          <w:sz w:val="20"/>
        </w:rPr>
        <w:t xml:space="preserve">- информационное обеспечение как на этапе до заключения договора, так и на этапе заключения договора о подключении;</w:t>
      </w:r>
    </w:p>
    <w:p>
      <w:pPr>
        <w:pStyle w:val="0"/>
        <w:spacing w:before="200" w:line-rule="auto"/>
        <w:ind w:firstLine="540"/>
        <w:jc w:val="both"/>
      </w:pPr>
      <w:r>
        <w:rPr>
          <w:sz w:val="20"/>
        </w:rPr>
        <w:t xml:space="preserve">- автоматизация процесса подключения;</w:t>
      </w:r>
    </w:p>
    <w:p>
      <w:pPr>
        <w:pStyle w:val="0"/>
        <w:spacing w:before="200" w:line-rule="auto"/>
        <w:ind w:firstLine="540"/>
        <w:jc w:val="both"/>
      </w:pPr>
      <w:r>
        <w:rPr>
          <w:sz w:val="20"/>
        </w:rPr>
        <w:t xml:space="preserve">- удобство подачи заявки на заключение договора о подключении;</w:t>
      </w:r>
    </w:p>
    <w:p>
      <w:pPr>
        <w:pStyle w:val="0"/>
        <w:spacing w:before="200" w:line-rule="auto"/>
        <w:ind w:firstLine="540"/>
        <w:jc w:val="both"/>
      </w:pPr>
      <w:r>
        <w:rPr>
          <w:sz w:val="20"/>
        </w:rPr>
        <w:t xml:space="preserve">- упрощенное получение разрешения на строительство;</w:t>
      </w:r>
    </w:p>
    <w:p>
      <w:pPr>
        <w:pStyle w:val="0"/>
        <w:spacing w:before="200" w:line-rule="auto"/>
        <w:ind w:firstLine="540"/>
        <w:jc w:val="both"/>
      </w:pPr>
      <w:r>
        <w:rPr>
          <w:sz w:val="20"/>
        </w:rPr>
        <w:t xml:space="preserve">- оптимизация процедур и сроков;</w:t>
      </w:r>
    </w:p>
    <w:p>
      <w:pPr>
        <w:pStyle w:val="0"/>
        <w:spacing w:before="200" w:line-rule="auto"/>
        <w:ind w:firstLine="540"/>
        <w:jc w:val="both"/>
      </w:pPr>
      <w:r>
        <w:rPr>
          <w:sz w:val="20"/>
        </w:rPr>
        <w:t xml:space="preserve">- ускоренная процедура выдачи актов о технических условиях, технологическом присоединении;</w:t>
      </w:r>
    </w:p>
    <w:p>
      <w:pPr>
        <w:pStyle w:val="0"/>
        <w:spacing w:before="200" w:line-rule="auto"/>
        <w:ind w:firstLine="540"/>
        <w:jc w:val="both"/>
      </w:pPr>
      <w:r>
        <w:rPr>
          <w:sz w:val="20"/>
        </w:rPr>
        <w:t xml:space="preserve">- утверждение схем тепло-, водоснабжения и инвестиционных программ регулируемых организаций;</w:t>
      </w:r>
    </w:p>
    <w:p>
      <w:pPr>
        <w:pStyle w:val="0"/>
        <w:spacing w:before="200" w:line-rule="auto"/>
        <w:ind w:firstLine="540"/>
        <w:jc w:val="both"/>
      </w:pPr>
      <w:r>
        <w:rPr>
          <w:sz w:val="20"/>
        </w:rPr>
        <w:t xml:space="preserve">- совершенствование механизмов по предоставлению услуг в электронном виде.</w:t>
      </w:r>
    </w:p>
    <w:p>
      <w:pPr>
        <w:pStyle w:val="2"/>
        <w:spacing w:before="200" w:line-rule="auto"/>
        <w:outlineLvl w:val="3"/>
        <w:ind w:firstLine="540"/>
        <w:jc w:val="both"/>
      </w:pPr>
      <w:r>
        <w:rPr>
          <w:sz w:val="20"/>
        </w:rPr>
        <w:t xml:space="preserve">2. Оптимизация контрольно-надзорной деятельности с целью повышения эффективности ее осуществления</w:t>
      </w:r>
    </w:p>
    <w:p>
      <w:pPr>
        <w:pStyle w:val="0"/>
        <w:spacing w:before="200" w:line-rule="auto"/>
        <w:ind w:firstLine="540"/>
        <w:jc w:val="both"/>
      </w:pPr>
      <w:r>
        <w:rPr>
          <w:sz w:val="20"/>
        </w:rPr>
        <w:t xml:space="preserve">Совершенствование контрольно-надзорной деятельности в Тюменской области является логическим продолжением и дополнением реализации федеральных инициатив в данной сфере.</w:t>
      </w:r>
    </w:p>
    <w:p>
      <w:pPr>
        <w:pStyle w:val="0"/>
        <w:spacing w:before="200" w:line-rule="auto"/>
        <w:ind w:firstLine="540"/>
        <w:jc w:val="both"/>
      </w:pPr>
      <w:r>
        <w:rPr>
          <w:sz w:val="20"/>
        </w:rPr>
        <w:t xml:space="preserve">Совершенствование контрольно-надзорной деятельности в Тюменской области будет реализовано в рамках целевой модели "Осуществление контрольно-надзорной деятельности в Тюменской области", предусматривающей следующие основные направления:</w:t>
      </w:r>
    </w:p>
    <w:p>
      <w:pPr>
        <w:pStyle w:val="0"/>
        <w:spacing w:before="200" w:line-rule="auto"/>
        <w:ind w:firstLine="540"/>
        <w:jc w:val="both"/>
      </w:pPr>
      <w:r>
        <w:rPr>
          <w:sz w:val="20"/>
        </w:rPr>
        <w:t xml:space="preserve">- нормативно-правовое регулирование организации и проведения регионального государственного контроля (надзора);</w:t>
      </w:r>
    </w:p>
    <w:p>
      <w:pPr>
        <w:pStyle w:val="0"/>
        <w:spacing w:before="200" w:line-rule="auto"/>
        <w:ind w:firstLine="540"/>
        <w:jc w:val="both"/>
      </w:pPr>
      <w:r>
        <w:rPr>
          <w:sz w:val="20"/>
        </w:rPr>
        <w:t xml:space="preserve">- раскрытие обязательных требований, являющихся предметом регионального государственного контроля (надзора);</w:t>
      </w:r>
    </w:p>
    <w:p>
      <w:pPr>
        <w:pStyle w:val="0"/>
        <w:spacing w:before="200" w:line-rule="auto"/>
        <w:ind w:firstLine="540"/>
        <w:jc w:val="both"/>
      </w:pPr>
      <w:r>
        <w:rPr>
          <w:sz w:val="20"/>
        </w:rPr>
        <w:t xml:space="preserve">- применение риск-ориентированного подхода при организации регионального государственного контроля (надзора);</w:t>
      </w:r>
    </w:p>
    <w:p>
      <w:pPr>
        <w:pStyle w:val="0"/>
        <w:spacing w:before="200" w:line-rule="auto"/>
        <w:ind w:firstLine="540"/>
        <w:jc w:val="both"/>
      </w:pPr>
      <w:r>
        <w:rPr>
          <w:sz w:val="20"/>
        </w:rPr>
        <w:t xml:space="preserve">- оценка эффективности деятельности органов регионального государственного контроля (надзора);</w:t>
      </w:r>
    </w:p>
    <w:p>
      <w:pPr>
        <w:pStyle w:val="0"/>
        <w:spacing w:before="200" w:line-rule="auto"/>
        <w:ind w:firstLine="540"/>
        <w:jc w:val="both"/>
      </w:pPr>
      <w:r>
        <w:rPr>
          <w:sz w:val="20"/>
        </w:rPr>
        <w:t xml:space="preserve">- учет подконтрольных субъектов (объектов) и истории их проверок;</w:t>
      </w:r>
    </w:p>
    <w:p>
      <w:pPr>
        <w:pStyle w:val="0"/>
        <w:spacing w:before="200" w:line-rule="auto"/>
        <w:ind w:firstLine="540"/>
        <w:jc w:val="both"/>
      </w:pPr>
      <w:r>
        <w:rPr>
          <w:sz w:val="20"/>
        </w:rPr>
        <w:t xml:space="preserve">- информационное обеспечение контрольно-надзорной деятельности.</w:t>
      </w:r>
    </w:p>
    <w:p>
      <w:pPr>
        <w:pStyle w:val="2"/>
        <w:spacing w:before="200" w:line-rule="auto"/>
        <w:outlineLvl w:val="3"/>
        <w:ind w:firstLine="540"/>
        <w:jc w:val="both"/>
      </w:pPr>
      <w:r>
        <w:rPr>
          <w:sz w:val="20"/>
        </w:rPr>
        <w:t xml:space="preserve">3. Система мер по стимулированию развития малого и среднего предпринимательства</w:t>
      </w:r>
    </w:p>
    <w:p>
      <w:pPr>
        <w:pStyle w:val="0"/>
        <w:spacing w:before="200" w:line-rule="auto"/>
        <w:ind w:firstLine="540"/>
        <w:jc w:val="both"/>
      </w:pPr>
      <w:r>
        <w:rPr>
          <w:sz w:val="20"/>
        </w:rPr>
        <w:t xml:space="preserve">Стимулирование развития малого предпринимательства будет осуществляться по следующим ключевым направлениям:</w:t>
      </w:r>
    </w:p>
    <w:p>
      <w:pPr>
        <w:pStyle w:val="0"/>
        <w:spacing w:before="200" w:line-rule="auto"/>
        <w:ind w:firstLine="540"/>
        <w:jc w:val="both"/>
      </w:pPr>
      <w:r>
        <w:rPr>
          <w:sz w:val="20"/>
        </w:rPr>
        <w:t xml:space="preserve">- формирование системы государственного управления в сфере развития и поддержки субъектов малого и среднего предпринимательства;</w:t>
      </w:r>
    </w:p>
    <w:p>
      <w:pPr>
        <w:pStyle w:val="0"/>
        <w:spacing w:before="200" w:line-rule="auto"/>
        <w:ind w:firstLine="540"/>
        <w:jc w:val="both"/>
      </w:pPr>
      <w:r>
        <w:rPr>
          <w:sz w:val="20"/>
        </w:rPr>
        <w:t xml:space="preserve">- организация оказания финансовой поддержки субъектам малого и среднего предпринимательства;</w:t>
      </w:r>
    </w:p>
    <w:p>
      <w:pPr>
        <w:pStyle w:val="0"/>
        <w:spacing w:before="200" w:line-rule="auto"/>
        <w:ind w:firstLine="540"/>
        <w:jc w:val="both"/>
      </w:pPr>
      <w:r>
        <w:rPr>
          <w:sz w:val="20"/>
        </w:rPr>
        <w:t xml:space="preserve">- организация оказания инфраструктурной поддержки субъектам малого и среднего предпринимательства;</w:t>
      </w:r>
    </w:p>
    <w:p>
      <w:pPr>
        <w:pStyle w:val="0"/>
        <w:spacing w:before="200" w:line-rule="auto"/>
        <w:ind w:firstLine="540"/>
        <w:jc w:val="both"/>
      </w:pPr>
      <w:r>
        <w:rPr>
          <w:sz w:val="20"/>
        </w:rPr>
        <w:t xml:space="preserve">- организация оказания имущественной поддержки субъектам малого и среднего предпринимательства;</w:t>
      </w:r>
    </w:p>
    <w:p>
      <w:pPr>
        <w:pStyle w:val="0"/>
        <w:spacing w:before="200" w:line-rule="auto"/>
        <w:ind w:firstLine="540"/>
        <w:jc w:val="both"/>
      </w:pPr>
      <w:r>
        <w:rPr>
          <w:sz w:val="20"/>
        </w:rPr>
        <w:t xml:space="preserve">- реализация мер, направленных на обучение субъектов малого и среднего предпринимательства;</w:t>
      </w:r>
    </w:p>
    <w:p>
      <w:pPr>
        <w:pStyle w:val="0"/>
        <w:spacing w:before="200" w:line-rule="auto"/>
        <w:ind w:firstLine="540"/>
        <w:jc w:val="both"/>
      </w:pPr>
      <w:r>
        <w:rPr>
          <w:sz w:val="20"/>
        </w:rPr>
        <w:t xml:space="preserve">- стимулирование спроса на продукцию субъектов малого и среднего предпринимательства;</w:t>
      </w:r>
    </w:p>
    <w:p>
      <w:pPr>
        <w:pStyle w:val="0"/>
        <w:spacing w:before="200" w:line-rule="auto"/>
        <w:ind w:firstLine="540"/>
        <w:jc w:val="both"/>
      </w:pPr>
      <w:r>
        <w:rPr>
          <w:sz w:val="20"/>
        </w:rPr>
        <w:t xml:space="preserve">- предоставление услуг по принципу "одного окна" для оказания поддержки субъектам малого и среднего предпринимательства, а также гражданам, планирующим начать ведение предпринимательской деятельности;</w:t>
      </w:r>
    </w:p>
    <w:p>
      <w:pPr>
        <w:pStyle w:val="0"/>
        <w:spacing w:before="200" w:line-rule="auto"/>
        <w:ind w:firstLine="540"/>
        <w:jc w:val="both"/>
      </w:pPr>
      <w:r>
        <w:rPr>
          <w:sz w:val="20"/>
        </w:rPr>
        <w:t xml:space="preserve">- развитие сельскохозяйственной кооперации;</w:t>
      </w:r>
    </w:p>
    <w:p>
      <w:pPr>
        <w:pStyle w:val="0"/>
        <w:spacing w:before="200" w:line-rule="auto"/>
        <w:ind w:firstLine="540"/>
        <w:jc w:val="both"/>
      </w:pPr>
      <w:r>
        <w:rPr>
          <w:sz w:val="20"/>
        </w:rPr>
        <w:t xml:space="preserve">- развитие системы информационных сервисов, предоставляемых субъектам малого и среднего предпринимательства и гражданам, планирующим начать ведение предпринимательской деятельности.</w:t>
      </w:r>
    </w:p>
    <w:p>
      <w:pPr>
        <w:pStyle w:val="2"/>
        <w:spacing w:before="200" w:line-rule="auto"/>
        <w:outlineLvl w:val="3"/>
        <w:ind w:firstLine="540"/>
        <w:jc w:val="both"/>
      </w:pPr>
      <w:r>
        <w:rPr>
          <w:sz w:val="20"/>
        </w:rPr>
        <w:t xml:space="preserve">4. Активное содействие развитию конкуренции</w:t>
      </w:r>
    </w:p>
    <w:p>
      <w:pPr>
        <w:pStyle w:val="0"/>
        <w:spacing w:before="200" w:line-rule="auto"/>
        <w:ind w:firstLine="540"/>
        <w:jc w:val="both"/>
      </w:pPr>
      <w:r>
        <w:rPr>
          <w:sz w:val="20"/>
        </w:rPr>
        <w:t xml:space="preserve">Развитие конкуренции является важным элементом развития экономики в Тюменской области.</w:t>
      </w:r>
    </w:p>
    <w:p>
      <w:pPr>
        <w:pStyle w:val="0"/>
        <w:spacing w:before="200" w:line-rule="auto"/>
        <w:ind w:firstLine="540"/>
        <w:jc w:val="both"/>
      </w:pPr>
      <w:r>
        <w:rPr>
          <w:sz w:val="20"/>
        </w:rPr>
        <w:t xml:space="preserve">Обеспечение развития конкуренции в Тюменской области будет осуществляться с учетом </w:t>
      </w:r>
      <w:hyperlink w:history="0" r:id="rId60" w:tooltip="Указ Президента РФ от 21.12.2017 N 618 &quot;Об основных направлениях государственной политики по развитию конкуренции&quot; (вместе с &quot;Национальным планом развития конкуренции в Российской Федерации на 2018 - 2020 годы&quot;) {КонсультантПлюс}">
        <w:r>
          <w:rPr>
            <w:sz w:val="20"/>
            <w:color w:val="0000ff"/>
          </w:rPr>
          <w:t xml:space="preserve">Указа</w:t>
        </w:r>
      </w:hyperlink>
      <w:r>
        <w:rPr>
          <w:sz w:val="20"/>
        </w:rPr>
        <w:t xml:space="preserve"> Президента Российской Федерации от 21.12.2017 N 618 "Об основных направлениях государственной политики по развитию конкуренции" (вместе с "Национальным планом развития конкуренции в Российской Федерации на 2018 - 2020 годы"), </w:t>
      </w:r>
      <w:hyperlink w:history="0" r:id="rId61" w:tooltip="Распоряжение Правительства РФ от 17.04.2019 N 768-р &lt;Об утверждении стандарта развития конкуренции в субъектах Российской Федерации&gt; {КонсультантПлюс}">
        <w:r>
          <w:rPr>
            <w:sz w:val="20"/>
            <w:color w:val="0000ff"/>
          </w:rPr>
          <w:t xml:space="preserve">Стандарта</w:t>
        </w:r>
      </w:hyperlink>
      <w:r>
        <w:rPr>
          <w:sz w:val="20"/>
        </w:rPr>
        <w:t xml:space="preserve"> развития конкуренции в субъектах Российской Федерации, утвержденного распоряжением Правительства Российской Федерации от 17.04.2019 N 768-р.</w:t>
      </w:r>
    </w:p>
    <w:p>
      <w:pPr>
        <w:pStyle w:val="0"/>
        <w:spacing w:before="200" w:line-rule="auto"/>
        <w:ind w:firstLine="540"/>
        <w:jc w:val="both"/>
      </w:pPr>
      <w:r>
        <w:rPr>
          <w:sz w:val="20"/>
        </w:rPr>
        <w:t xml:space="preserve">Деятельность по развитию конкуренции осуществляется в целях:</w:t>
      </w:r>
    </w:p>
    <w:p>
      <w:pPr>
        <w:pStyle w:val="0"/>
        <w:spacing w:before="200" w:line-rule="auto"/>
        <w:ind w:firstLine="540"/>
        <w:jc w:val="both"/>
      </w:pPr>
      <w:r>
        <w:rPr>
          <w:sz w:val="20"/>
        </w:rPr>
        <w:t xml:space="preserve">повышения удовлетворенности потребителей за счет расширения ассортимента товаров, работ, услуг, улучшения их качества и снижения цен;</w:t>
      </w:r>
    </w:p>
    <w:p>
      <w:pPr>
        <w:pStyle w:val="0"/>
        <w:spacing w:before="200" w:line-rule="auto"/>
        <w:ind w:firstLine="540"/>
        <w:jc w:val="both"/>
      </w:pPr>
      <w:r>
        <w:rPr>
          <w:sz w:val="20"/>
        </w:rPr>
        <w:t xml:space="preserve">повышения экономической эффективности и конкурентоспособности хозяйствующих субъектов, повышения производительности труда;</w:t>
      </w:r>
    </w:p>
    <w:p>
      <w:pPr>
        <w:pStyle w:val="0"/>
        <w:spacing w:before="200" w:line-rule="auto"/>
        <w:ind w:firstLine="540"/>
        <w:jc w:val="both"/>
      </w:pPr>
      <w:r>
        <w:rPr>
          <w:sz w:val="20"/>
        </w:rPr>
        <w:t xml:space="preserve">стабильного роста и развития экономики Тюменской области.</w:t>
      </w:r>
    </w:p>
    <w:p>
      <w:pPr>
        <w:pStyle w:val="0"/>
        <w:spacing w:before="200" w:line-rule="auto"/>
        <w:ind w:firstLine="540"/>
        <w:jc w:val="both"/>
      </w:pPr>
      <w:r>
        <w:rPr>
          <w:sz w:val="20"/>
        </w:rPr>
        <w:t xml:space="preserve">Основными направлениями развития конкуренции будут являться:</w:t>
      </w:r>
    </w:p>
    <w:p>
      <w:pPr>
        <w:pStyle w:val="0"/>
        <w:spacing w:before="200" w:line-rule="auto"/>
        <w:ind w:firstLine="540"/>
        <w:jc w:val="both"/>
      </w:pPr>
      <w:r>
        <w:rPr>
          <w:sz w:val="20"/>
        </w:rPr>
        <w:t xml:space="preserve">создание условий для развития конкуренции в отраслях экономической деятельности хозяйствующих субъектов;</w:t>
      </w:r>
    </w:p>
    <w:p>
      <w:pPr>
        <w:pStyle w:val="0"/>
        <w:spacing w:before="200" w:line-rule="auto"/>
        <w:ind w:firstLine="540"/>
        <w:jc w:val="both"/>
      </w:pPr>
      <w:r>
        <w:rPr>
          <w:sz w:val="20"/>
        </w:rPr>
        <w:t xml:space="preserve">обеспечение реализации системного и единообразного подхода к деятельности по развитию конкуренции с учетом специфики функционирования региональной экономики и рынков;</w:t>
      </w:r>
    </w:p>
    <w:p>
      <w:pPr>
        <w:pStyle w:val="0"/>
        <w:spacing w:before="200" w:line-rule="auto"/>
        <w:ind w:firstLine="540"/>
        <w:jc w:val="both"/>
      </w:pPr>
      <w:r>
        <w:rPr>
          <w:sz w:val="20"/>
        </w:rPr>
        <w:t xml:space="preserve">формирование прозрачной системы работы государственных органов в части реализации эффективных мер по развитию конкуренции в интересах конечного потребителя товаров и услуг;</w:t>
      </w:r>
    </w:p>
    <w:p>
      <w:pPr>
        <w:pStyle w:val="0"/>
        <w:spacing w:before="200" w:line-rule="auto"/>
        <w:ind w:firstLine="540"/>
        <w:jc w:val="both"/>
      </w:pPr>
      <w:r>
        <w:rPr>
          <w:sz w:val="20"/>
        </w:rPr>
        <w:t xml:space="preserve">выявление потенциала развития экономики, включая научно-технологический и человеческий потенциал;</w:t>
      </w:r>
    </w:p>
    <w:p>
      <w:pPr>
        <w:pStyle w:val="0"/>
        <w:spacing w:before="200" w:line-rule="auto"/>
        <w:ind w:firstLine="540"/>
        <w:jc w:val="both"/>
      </w:pPr>
      <w:r>
        <w:rPr>
          <w:sz w:val="20"/>
        </w:rPr>
        <w:t xml:space="preserve">создание стимулов и условий для развития и защиты субъектов малого и среднего предпринимательства, устранения административных барьеров;</w:t>
      </w:r>
    </w:p>
    <w:p>
      <w:pPr>
        <w:pStyle w:val="0"/>
        <w:spacing w:before="200" w:line-rule="auto"/>
        <w:ind w:firstLine="540"/>
        <w:jc w:val="both"/>
      </w:pPr>
      <w:r>
        <w:rPr>
          <w:sz w:val="20"/>
        </w:rPr>
        <w:t xml:space="preserve">сокращение доли хозяйствующих субъектов, учреждаемых или контролируемых Тюменской областью или муниципальными образованиями Тюменской области, в общем количестве хозяйствующих субъектов, осуществляющих деятельность на товарных рынках;</w:t>
      </w:r>
    </w:p>
    <w:p>
      <w:pPr>
        <w:pStyle w:val="0"/>
        <w:spacing w:before="200" w:line-rule="auto"/>
        <w:ind w:firstLine="540"/>
        <w:jc w:val="both"/>
      </w:pPr>
      <w:r>
        <w:rPr>
          <w:sz w:val="20"/>
        </w:rPr>
        <w:t xml:space="preserve">создание и организация системы внутреннего обеспечения соответствия требованиям антимонопольного законодательства деятельности органов исполнительной власти.</w:t>
      </w:r>
    </w:p>
    <w:p>
      <w:pPr>
        <w:pStyle w:val="0"/>
        <w:spacing w:before="200" w:line-rule="auto"/>
        <w:ind w:firstLine="540"/>
        <w:jc w:val="both"/>
      </w:pPr>
      <w:r>
        <w:rPr>
          <w:sz w:val="20"/>
        </w:rPr>
        <w:t xml:space="preserve">Системные мероприятия по развитию конкурентной среды, мероприятия по содействию развитию конкуренции на социально значимых и приоритетных рынках региона реализуются в соответствии с планом мероприятий ("дорожной картой") по содействию развитию конкуренции в Тюменской области.</w:t>
      </w:r>
    </w:p>
    <w:p>
      <w:pPr>
        <w:pStyle w:val="2"/>
        <w:spacing w:before="200" w:line-rule="auto"/>
        <w:outlineLvl w:val="3"/>
        <w:ind w:firstLine="540"/>
        <w:jc w:val="both"/>
      </w:pPr>
      <w:r>
        <w:rPr>
          <w:sz w:val="20"/>
        </w:rPr>
        <w:t xml:space="preserve">5. Развитие государственно-частного партнерства как инструмента повышения инвестиционной активности в регионе</w:t>
      </w:r>
    </w:p>
    <w:p>
      <w:pPr>
        <w:pStyle w:val="0"/>
        <w:spacing w:before="200" w:line-rule="auto"/>
        <w:ind w:firstLine="540"/>
        <w:jc w:val="both"/>
      </w:pPr>
      <w:r>
        <w:rPr>
          <w:sz w:val="20"/>
        </w:rPr>
        <w:t xml:space="preserve">Тюменская область развивает сферу государственно-частного партнерства (ГЧП) с целью привлечения в экономику региона частных инвестиций, обеспечения доступности товаров, работ, услуг и улучшение их качества. Сформировано соответствующее нормативное правовое обеспечение, принят </w:t>
      </w:r>
      <w:hyperlink w:history="0" r:id="rId62" w:tooltip="Закон Тюменской области от 05.11.2015 N 119 (ред. от 26.09.2023) &quot;О государственно-частном партнерстве в Тюменской области&quot; (принят Тюменской областной Думой 22.10.2015) (с изм. и доп., вступающими в силу с 01.10.2023) {КонсультантПлюс}">
        <w:r>
          <w:rPr>
            <w:sz w:val="20"/>
            <w:color w:val="0000ff"/>
          </w:rPr>
          <w:t xml:space="preserve">Закон</w:t>
        </w:r>
      </w:hyperlink>
      <w:r>
        <w:rPr>
          <w:sz w:val="20"/>
        </w:rPr>
        <w:t xml:space="preserve"> Тюменской области от 05.11.2015 N 119 "О государственно-частном партнерстве в Тюменской области" и необходимые региональные нормативные правовые акты в сфере ГЧП.</w:t>
      </w:r>
    </w:p>
    <w:p>
      <w:pPr>
        <w:pStyle w:val="0"/>
        <w:spacing w:before="200" w:line-rule="auto"/>
        <w:ind w:firstLine="540"/>
        <w:jc w:val="both"/>
      </w:pPr>
      <w:r>
        <w:rPr>
          <w:sz w:val="20"/>
        </w:rPr>
        <w:t xml:space="preserve">Развивается институциональная среда, необходимая для интеграции механизмов ГЧП в систему управления в регионе, повышающая инвестиционную привлекательность для потенциальных инвесторов, устанавливающая четкие и понятные правила и порядок участия партнеров в реализации совместных проектов, придающая легитимность заключаемым соглашениям, улучшающая качество и увеличивающая количество реализуемых проектов.</w:t>
      </w:r>
    </w:p>
    <w:p>
      <w:pPr>
        <w:pStyle w:val="0"/>
        <w:spacing w:before="200" w:line-rule="auto"/>
        <w:ind w:firstLine="540"/>
        <w:jc w:val="both"/>
      </w:pPr>
      <w:r>
        <w:rPr>
          <w:sz w:val="20"/>
        </w:rPr>
        <w:t xml:space="preserve">По уровню развития государственно-частного партнерства, важной составляющей оценки состояния инвестиционного климата в субъектах Российской Федерации Тюменская область по итогам 2018 года заняла 23 место.</w:t>
      </w:r>
    </w:p>
    <w:p>
      <w:pPr>
        <w:pStyle w:val="0"/>
        <w:spacing w:before="200" w:line-rule="auto"/>
        <w:ind w:firstLine="540"/>
        <w:jc w:val="both"/>
      </w:pPr>
      <w:r>
        <w:rPr>
          <w:sz w:val="20"/>
        </w:rPr>
        <w:t xml:space="preserve">В Тюменской области реализуется 44 проекта ГЧП с общим объемом частных инвестиций свыше 48 млрд рублей, из них 11 проектов - на основе концессионных соглашений. Кроме того, реализуются проекты в форме специальных инвестиционных контрактов, долгосрочных государственных контрактов с инвестиционной составляющей, договоров аренды с инвестиционной составляющей.</w:t>
      </w:r>
    </w:p>
    <w:p>
      <w:pPr>
        <w:pStyle w:val="0"/>
        <w:spacing w:before="200" w:line-rule="auto"/>
        <w:ind w:firstLine="540"/>
        <w:jc w:val="both"/>
      </w:pPr>
      <w:r>
        <w:rPr>
          <w:sz w:val="20"/>
        </w:rPr>
        <w:t xml:space="preserve">Сферы реализации проектов: социальная, коммунально-энергетическая, транспортная сферы, информационные системы, сельское хозяйство и другие.</w:t>
      </w:r>
    </w:p>
    <w:p>
      <w:pPr>
        <w:pStyle w:val="0"/>
        <w:spacing w:before="200" w:line-rule="auto"/>
        <w:ind w:firstLine="540"/>
        <w:jc w:val="both"/>
      </w:pPr>
      <w:r>
        <w:rPr>
          <w:sz w:val="20"/>
        </w:rPr>
        <w:t xml:space="preserve">В целях модернизации систем коммунальной инфраструктуры в муниципальных районах Тюменской области планируется проведение конкурсных процедур на право заключения концессионных соглашений.</w:t>
      </w:r>
    </w:p>
    <w:p>
      <w:pPr>
        <w:pStyle w:val="0"/>
        <w:spacing w:before="200" w:line-rule="auto"/>
        <w:ind w:firstLine="540"/>
        <w:jc w:val="both"/>
      </w:pPr>
      <w:r>
        <w:rPr>
          <w:sz w:val="20"/>
        </w:rPr>
        <w:t xml:space="preserve">Дальнейшее повышение уровня развития сферы ГЧП в Тюменской области будет осуществляться с учетом лучших региональных практик по следующим основным направлениям:</w:t>
      </w:r>
    </w:p>
    <w:p>
      <w:pPr>
        <w:pStyle w:val="0"/>
        <w:spacing w:before="200" w:line-rule="auto"/>
        <w:ind w:firstLine="540"/>
        <w:jc w:val="both"/>
      </w:pPr>
      <w:r>
        <w:rPr>
          <w:sz w:val="20"/>
        </w:rPr>
        <w:t xml:space="preserve">развитие институциональной среды - обеспечение условий для успешного запуска и реализации проектов ГЧП в регионе;</w:t>
      </w:r>
    </w:p>
    <w:p>
      <w:pPr>
        <w:pStyle w:val="0"/>
        <w:spacing w:before="200" w:line-rule="auto"/>
        <w:ind w:firstLine="540"/>
        <w:jc w:val="both"/>
      </w:pPr>
      <w:r>
        <w:rPr>
          <w:sz w:val="20"/>
        </w:rPr>
        <w:t xml:space="preserve">совершенствование нормативной правовой базы - принятые нормативные правовые акты, регламентирующие взаимодействие органов власти при запуске и реализации проектов ГЧП позволят участникам проектов взаимодействовать в рамках единого правового поля;</w:t>
      </w:r>
    </w:p>
    <w:p>
      <w:pPr>
        <w:pStyle w:val="0"/>
        <w:spacing w:before="200" w:line-rule="auto"/>
        <w:ind w:firstLine="540"/>
        <w:jc w:val="both"/>
      </w:pPr>
      <w:r>
        <w:rPr>
          <w:sz w:val="20"/>
        </w:rPr>
        <w:t xml:space="preserve">создание благоприятных условий для частных инвестиций в создание и реконструкцию объектов общественной инфраструктуры путем предоставления налоговых льгот и иных мер поддержки участникам ГЧП проектов.</w:t>
      </w:r>
    </w:p>
    <w:p>
      <w:pPr>
        <w:pStyle w:val="2"/>
        <w:spacing w:before="200" w:line-rule="auto"/>
        <w:outlineLvl w:val="3"/>
        <w:ind w:firstLine="540"/>
        <w:jc w:val="both"/>
      </w:pPr>
      <w:r>
        <w:rPr>
          <w:sz w:val="20"/>
        </w:rPr>
        <w:t xml:space="preserve">6. Реализация кластерной политики</w:t>
      </w:r>
    </w:p>
    <w:p>
      <w:pPr>
        <w:pStyle w:val="0"/>
        <w:spacing w:before="200" w:line-rule="auto"/>
        <w:ind w:firstLine="540"/>
        <w:jc w:val="both"/>
      </w:pPr>
      <w:r>
        <w:rPr>
          <w:sz w:val="20"/>
        </w:rPr>
        <w:t xml:space="preserve">Решению широкого спектра задач регионального социально-экономического развития, в том числе росту экономической активности, созданию новых высокопроизводительных рабочих мест, повышению уровня и улучшению качества жизни населения, сбалансированному пространственному развитию будет способствовать реализация региональной кластерной политики - стимулирование процессов кластеризации в ключевых отраслях экономики и социальной сферы региона.</w:t>
      </w:r>
    </w:p>
    <w:p>
      <w:pPr>
        <w:pStyle w:val="0"/>
        <w:spacing w:before="200" w:line-rule="auto"/>
        <w:ind w:firstLine="540"/>
        <w:jc w:val="both"/>
      </w:pPr>
      <w:r>
        <w:rPr>
          <w:sz w:val="20"/>
        </w:rPr>
        <w:t xml:space="preserve">В территориальной и отраслевой структуре хозяйства региона выделяется 10 кластеров.</w:t>
      </w:r>
    </w:p>
    <w:p>
      <w:pPr>
        <w:pStyle w:val="0"/>
        <w:jc w:val="both"/>
      </w:pPr>
      <w:r>
        <w:rPr>
          <w:sz w:val="20"/>
        </w:rPr>
      </w:r>
    </w:p>
    <w:p>
      <w:pPr>
        <w:pStyle w:val="2"/>
        <w:outlineLvl w:val="4"/>
        <w:ind w:firstLine="540"/>
        <w:jc w:val="both"/>
      </w:pPr>
      <w:r>
        <w:rPr>
          <w:sz w:val="20"/>
        </w:rPr>
        <w:t xml:space="preserve">Таблица 1 - Группировка кластеров в Тюменской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09"/>
        <w:gridCol w:w="4706"/>
      </w:tblGrid>
      <w:tr>
        <w:tc>
          <w:tcPr>
            <w:tcW w:w="4309" w:type="dxa"/>
          </w:tcPr>
          <w:p>
            <w:pPr>
              <w:pStyle w:val="0"/>
              <w:jc w:val="center"/>
            </w:pPr>
            <w:r>
              <w:rPr>
                <w:sz w:val="20"/>
              </w:rPr>
              <w:t xml:space="preserve">Группировка кластеров</w:t>
            </w:r>
          </w:p>
        </w:tc>
        <w:tc>
          <w:tcPr>
            <w:tcW w:w="4706" w:type="dxa"/>
          </w:tcPr>
          <w:p>
            <w:pPr>
              <w:pStyle w:val="0"/>
              <w:jc w:val="center"/>
            </w:pPr>
            <w:r>
              <w:rPr>
                <w:sz w:val="20"/>
              </w:rPr>
              <w:t xml:space="preserve">Кластеры</w:t>
            </w:r>
          </w:p>
        </w:tc>
      </w:tr>
      <w:tr>
        <w:tc>
          <w:tcPr>
            <w:tcW w:w="4309" w:type="dxa"/>
          </w:tcPr>
          <w:p>
            <w:pPr>
              <w:pStyle w:val="0"/>
            </w:pPr>
            <w:r>
              <w:rPr>
                <w:sz w:val="20"/>
              </w:rPr>
              <w:t xml:space="preserve">Базовые</w:t>
            </w:r>
          </w:p>
          <w:p>
            <w:pPr>
              <w:pStyle w:val="0"/>
            </w:pPr>
            <w:r>
              <w:rPr>
                <w:sz w:val="20"/>
              </w:rPr>
              <w:t xml:space="preserve">(сформированные) кластеры</w:t>
            </w:r>
          </w:p>
          <w:p>
            <w:pPr>
              <w:pStyle w:val="0"/>
            </w:pPr>
            <w:r>
              <w:rPr>
                <w:sz w:val="20"/>
              </w:rPr>
              <w:t xml:space="preserve">Высокий уровень развития кластерных связей</w:t>
            </w:r>
          </w:p>
        </w:tc>
        <w:tc>
          <w:tcPr>
            <w:tcW w:w="4706" w:type="dxa"/>
          </w:tcPr>
          <w:p>
            <w:pPr>
              <w:pStyle w:val="0"/>
            </w:pPr>
            <w:r>
              <w:rPr>
                <w:sz w:val="20"/>
              </w:rPr>
              <w:t xml:space="preserve">Кластер нефтедобычи, нефтепереработки и нефтесервиса</w:t>
            </w:r>
          </w:p>
          <w:p>
            <w:pPr>
              <w:pStyle w:val="0"/>
            </w:pPr>
            <w:r>
              <w:rPr>
                <w:sz w:val="20"/>
              </w:rPr>
              <w:t xml:space="preserve">Нефтегазохимический кластер</w:t>
            </w:r>
          </w:p>
        </w:tc>
      </w:tr>
      <w:tr>
        <w:tc>
          <w:tcPr>
            <w:tcW w:w="4309" w:type="dxa"/>
          </w:tcPr>
          <w:p>
            <w:pPr>
              <w:pStyle w:val="0"/>
            </w:pPr>
            <w:r>
              <w:rPr>
                <w:sz w:val="20"/>
              </w:rPr>
              <w:t xml:space="preserve">Формирующиеся кластеры</w:t>
            </w:r>
          </w:p>
          <w:p>
            <w:pPr>
              <w:pStyle w:val="0"/>
            </w:pPr>
            <w:r>
              <w:rPr>
                <w:sz w:val="20"/>
              </w:rPr>
              <w:t xml:space="preserve">Наличие элементов кластеров и формирующихся кластерных связей</w:t>
            </w:r>
          </w:p>
        </w:tc>
        <w:tc>
          <w:tcPr>
            <w:tcW w:w="4706" w:type="dxa"/>
          </w:tcPr>
          <w:p>
            <w:pPr>
              <w:pStyle w:val="0"/>
            </w:pPr>
            <w:r>
              <w:rPr>
                <w:sz w:val="20"/>
              </w:rPr>
              <w:t xml:space="preserve">Агропромышленный и биотехнологический кластер</w:t>
            </w:r>
          </w:p>
          <w:p>
            <w:pPr>
              <w:pStyle w:val="0"/>
            </w:pPr>
            <w:r>
              <w:rPr>
                <w:sz w:val="20"/>
              </w:rPr>
              <w:t xml:space="preserve">Лесопромышленный кластер</w:t>
            </w:r>
          </w:p>
        </w:tc>
      </w:tr>
      <w:tr>
        <w:tc>
          <w:tcPr>
            <w:tcW w:w="4309" w:type="dxa"/>
          </w:tcPr>
          <w:p>
            <w:pPr>
              <w:pStyle w:val="0"/>
            </w:pPr>
            <w:r>
              <w:rPr>
                <w:sz w:val="20"/>
              </w:rPr>
              <w:t xml:space="preserve">Потенциальные кластеры</w:t>
            </w:r>
          </w:p>
          <w:p>
            <w:pPr>
              <w:pStyle w:val="0"/>
            </w:pPr>
            <w:r>
              <w:rPr>
                <w:sz w:val="20"/>
              </w:rPr>
              <w:t xml:space="preserve">Наличие достаточного потенциала для развития кластера в перспективе</w:t>
            </w:r>
          </w:p>
        </w:tc>
        <w:tc>
          <w:tcPr>
            <w:tcW w:w="4706" w:type="dxa"/>
          </w:tcPr>
          <w:p>
            <w:pPr>
              <w:pStyle w:val="0"/>
            </w:pPr>
            <w:r>
              <w:rPr>
                <w:sz w:val="20"/>
              </w:rPr>
              <w:t xml:space="preserve">Кластер добычи и переработки прочих полезных ископаемых</w:t>
            </w:r>
          </w:p>
          <w:p>
            <w:pPr>
              <w:pStyle w:val="0"/>
            </w:pPr>
            <w:r>
              <w:rPr>
                <w:sz w:val="20"/>
              </w:rPr>
              <w:t xml:space="preserve">Медико-фармацевтический кластер</w:t>
            </w:r>
          </w:p>
          <w:p>
            <w:pPr>
              <w:pStyle w:val="0"/>
            </w:pPr>
            <w:r>
              <w:rPr>
                <w:sz w:val="20"/>
              </w:rPr>
              <w:t xml:space="preserve">Кластер социальных инноваций</w:t>
            </w:r>
          </w:p>
          <w:p>
            <w:pPr>
              <w:pStyle w:val="0"/>
            </w:pPr>
            <w:r>
              <w:rPr>
                <w:sz w:val="20"/>
              </w:rPr>
              <w:t xml:space="preserve">Туристско-рекреационный кластер</w:t>
            </w:r>
          </w:p>
          <w:p>
            <w:pPr>
              <w:pStyle w:val="0"/>
            </w:pPr>
            <w:r>
              <w:rPr>
                <w:sz w:val="20"/>
              </w:rPr>
              <w:t xml:space="preserve">Кластер творческих (креативных) индустрий</w:t>
            </w:r>
          </w:p>
          <w:p>
            <w:pPr>
              <w:pStyle w:val="0"/>
            </w:pPr>
            <w:r>
              <w:rPr>
                <w:sz w:val="20"/>
              </w:rPr>
              <w:t xml:space="preserve">Кластер инновационных и информационных технологий</w:t>
            </w:r>
          </w:p>
        </w:tc>
      </w:tr>
    </w:tbl>
    <w:p>
      <w:pPr>
        <w:pStyle w:val="0"/>
        <w:jc w:val="both"/>
      </w:pPr>
      <w:r>
        <w:rPr>
          <w:sz w:val="20"/>
        </w:rPr>
      </w:r>
    </w:p>
    <w:p>
      <w:pPr>
        <w:pStyle w:val="0"/>
        <w:ind w:firstLine="540"/>
        <w:jc w:val="both"/>
      </w:pPr>
      <w:r>
        <w:rPr>
          <w:sz w:val="20"/>
        </w:rPr>
        <w:t xml:space="preserve">Реализация кластерной политики будет способствовать росту конкурентоспособности бизнеса за счет реализации потенциала эффективного взаимодействия участников кластера, связанного с их географически близким расположением, включая расширение доступа к инновациям, технологиям, специализированным услугам и высококвалифицированным кадрам, а также снижением транзакционных издержек, обеспечивающим формирование предпосылок для реализации совместных кооперационных проектов и продуктивной конкуренции.</w:t>
      </w:r>
    </w:p>
    <w:p>
      <w:pPr>
        <w:pStyle w:val="0"/>
        <w:spacing w:before="200" w:line-rule="auto"/>
        <w:ind w:firstLine="540"/>
        <w:jc w:val="both"/>
      </w:pPr>
      <w:r>
        <w:rPr>
          <w:sz w:val="20"/>
        </w:rPr>
        <w:t xml:space="preserve">Для обеспечения общей координации кластерной организации экономики Тюменской области, выявления и оформления кластеров, координации проектов, обеспечивающих развитие территориальных кластеров, и обеспечения кооперации участников территориальных кластеров между собой, возможно создание центра кластерного развития Тюменской области.</w:t>
      </w:r>
    </w:p>
    <w:p>
      <w:pPr>
        <w:pStyle w:val="0"/>
        <w:spacing w:before="200" w:line-rule="auto"/>
        <w:ind w:firstLine="540"/>
        <w:jc w:val="both"/>
      </w:pPr>
      <w:r>
        <w:rPr>
          <w:sz w:val="20"/>
        </w:rPr>
        <w:t xml:space="preserve">Стимулирование развития кластеров будет достигаться также за счет поддержки со стороны органов местного самоуправления; с помощью инструментов и механизмов ГЧП с использованием финансовых ресурсов институтов развития, вхождения в федеральные программы поддержки развития инновационных (Минэкономразвития России) и промышленных (Минпромторг России) кластеров.</w:t>
      </w:r>
    </w:p>
    <w:p>
      <w:pPr>
        <w:pStyle w:val="2"/>
        <w:spacing w:before="200" w:line-rule="auto"/>
        <w:outlineLvl w:val="3"/>
        <w:ind w:firstLine="540"/>
        <w:jc w:val="both"/>
      </w:pPr>
      <w:r>
        <w:rPr>
          <w:sz w:val="20"/>
        </w:rPr>
        <w:t xml:space="preserve">7. Наличие доступной инфраструктуры для размещения производственных и иных объектов инвесторов</w:t>
      </w:r>
    </w:p>
    <w:p>
      <w:pPr>
        <w:pStyle w:val="0"/>
        <w:spacing w:before="200" w:line-rule="auto"/>
        <w:ind w:firstLine="540"/>
        <w:jc w:val="both"/>
      </w:pPr>
      <w:r>
        <w:rPr>
          <w:sz w:val="20"/>
        </w:rPr>
        <w:t xml:space="preserve">Ключевым инструментом стимулирования привлечения инвестиций в экономику Тюменской области станет формирование в регионе подготовленных площадок для реализации производств - индустриальных парков.</w:t>
      </w:r>
    </w:p>
    <w:p>
      <w:pPr>
        <w:pStyle w:val="0"/>
        <w:spacing w:before="200" w:line-rule="auto"/>
        <w:ind w:firstLine="540"/>
        <w:jc w:val="both"/>
      </w:pPr>
      <w:r>
        <w:rPr>
          <w:sz w:val="20"/>
        </w:rPr>
        <w:t xml:space="preserve">Приоритетным направлением государственной политики является реализация </w:t>
      </w:r>
      <w:hyperlink w:history="0" r:id="rId63" w:tooltip="Постановление Правительства Тюменской области от 07.05.2007 N 105-п (ред. от 21.03.2024) &quot;Об утверждении порядков предоставления субсидий субъектам деятельности в сфере промышленности, управляющим компаниям индустриальных (промышленных) парков&quot; (вместе с &quot;Порядком отбора субъектов деятельности в сфере промышленности на получение поддержки в форме субсидии на выполнение научно-исследовательских работ, опытно-конструкторских и технологических работ для реализации комплексных проектов по созданию высокотехноло {КонсультантПлюс}">
        <w:r>
          <w:rPr>
            <w:sz w:val="20"/>
            <w:color w:val="0000ff"/>
          </w:rPr>
          <w:t xml:space="preserve">постановления</w:t>
        </w:r>
      </w:hyperlink>
      <w:r>
        <w:rPr>
          <w:sz w:val="20"/>
        </w:rPr>
        <w:t xml:space="preserve"> Правительства Тюменской области от 07.05.2007 N 105-п "О порядках отбора субъектов деятельности в сфере промышленности, управляющих компаний индустриальных (промышленных) парков на получение поддержки", которое предусматривает предоставление субсидий на инфраструктурно-инженерное обустройство индустриальных (промышленных) парков. Задачей управляющей компании является подготовка участков для создания индустриальных парков, отбор резидентов, заключение договоров субаренды. Сами площадки получают статус зон экономического развития, резиденты которых освобождаются от налога на имущество и части региональной ставки налога на прибыль.</w:t>
      </w:r>
    </w:p>
    <w:p>
      <w:pPr>
        <w:pStyle w:val="0"/>
        <w:spacing w:before="200" w:line-rule="auto"/>
        <w:ind w:firstLine="540"/>
        <w:jc w:val="both"/>
      </w:pPr>
      <w:r>
        <w:rPr>
          <w:sz w:val="20"/>
        </w:rPr>
        <w:t xml:space="preserve">В 2016 году открыто три индустриальных парка: в городе Тюмени, поселках Боровский и Богандинский Тюменского района.</w:t>
      </w:r>
    </w:p>
    <w:p>
      <w:pPr>
        <w:pStyle w:val="0"/>
        <w:spacing w:before="200" w:line-rule="auto"/>
        <w:ind w:firstLine="540"/>
        <w:jc w:val="both"/>
      </w:pPr>
      <w:r>
        <w:rPr>
          <w:sz w:val="20"/>
        </w:rPr>
        <w:t xml:space="preserve">В парке "Боровский" предполагается размещение предприятий малого и среднего бизнеса обрабатывающего сектора.</w:t>
      </w:r>
    </w:p>
    <w:p>
      <w:pPr>
        <w:pStyle w:val="0"/>
        <w:spacing w:before="200" w:line-rule="auto"/>
        <w:ind w:firstLine="540"/>
        <w:jc w:val="both"/>
      </w:pPr>
      <w:r>
        <w:rPr>
          <w:sz w:val="20"/>
        </w:rPr>
        <w:t xml:space="preserve">В индустриальном парке "Богандинский" предполагается реализация проектов крупных компаний в сфере биотехнологий, фармацевтики, строительной индустрии. Эта территория в перспективе станет опорной площадкой для поддержки и развития инновационных технологий.</w:t>
      </w:r>
    </w:p>
    <w:p>
      <w:pPr>
        <w:pStyle w:val="0"/>
        <w:spacing w:before="200" w:line-rule="auto"/>
        <w:ind w:firstLine="540"/>
        <w:jc w:val="both"/>
      </w:pPr>
      <w:r>
        <w:rPr>
          <w:sz w:val="20"/>
        </w:rPr>
        <w:t xml:space="preserve">На базе индустриального логистического парка "ДСК-500" в городе Тюмени планируется реализовать несколько проектов прежде всего в сфере логистики. Здесь также расположится хостел, бизнес-инкубатор.</w:t>
      </w:r>
    </w:p>
    <w:p>
      <w:pPr>
        <w:pStyle w:val="0"/>
        <w:spacing w:before="200" w:line-rule="auto"/>
        <w:ind w:firstLine="540"/>
        <w:jc w:val="both"/>
      </w:pPr>
      <w:r>
        <w:rPr>
          <w:sz w:val="20"/>
        </w:rPr>
        <w:t xml:space="preserve">Создается новый агроиндустриальный парк "Ишимский".</w:t>
      </w:r>
    </w:p>
    <w:p>
      <w:pPr>
        <w:pStyle w:val="0"/>
        <w:spacing w:before="200" w:line-rule="auto"/>
        <w:ind w:firstLine="540"/>
        <w:jc w:val="both"/>
      </w:pPr>
      <w:r>
        <w:rPr>
          <w:sz w:val="20"/>
        </w:rPr>
        <w:t xml:space="preserve">Главная цель индустриальных парков - ускорение процесса создания новых конкурентоспособных производств и высокопроизводительных рабочих мест, обеспечивающих устойчивое развитие экономики территорий (в том числе за счет мультипликативного эффекта), занятость и рост доходов населения, увеличение поступлений в бюджеты. Формируемая система индустриальных парков станет одним из драйверов роста региональной экономики.</w:t>
      </w:r>
    </w:p>
    <w:p>
      <w:pPr>
        <w:pStyle w:val="2"/>
        <w:spacing w:before="200" w:line-rule="auto"/>
        <w:outlineLvl w:val="3"/>
        <w:ind w:firstLine="540"/>
        <w:jc w:val="both"/>
      </w:pPr>
      <w:r>
        <w:rPr>
          <w:sz w:val="20"/>
        </w:rPr>
        <w:t xml:space="preserve">8. Снижение административных барьеров при реализации инвестиционных проектов в Тюменской области по принципу "одного окна"</w:t>
      </w:r>
    </w:p>
    <w:p>
      <w:pPr>
        <w:pStyle w:val="0"/>
        <w:spacing w:before="200" w:line-rule="auto"/>
        <w:ind w:firstLine="540"/>
        <w:jc w:val="both"/>
      </w:pPr>
      <w:r>
        <w:rPr>
          <w:sz w:val="20"/>
        </w:rPr>
        <w:t xml:space="preserve">Выполнение утвержденного постановлением Правительства Тюменской области от 17.04.2018 N 150-п </w:t>
      </w:r>
      <w:hyperlink w:history="0" r:id="rId64" w:tooltip="Постановление Правительства Тюменской области от 17.04.2018 N 150-п (ред. от 09.10.2023) &quot;Об утверждении Регламента комплексного сопровождения инвестиционных проектов в Тюменской области&quot; {КонсультантПлюс}">
        <w:r>
          <w:rPr>
            <w:sz w:val="20"/>
            <w:color w:val="0000ff"/>
          </w:rPr>
          <w:t xml:space="preserve">Регламента</w:t>
        </w:r>
      </w:hyperlink>
      <w:r>
        <w:rPr>
          <w:sz w:val="20"/>
        </w:rPr>
        <w:t xml:space="preserve"> комплексного сопровождения инвестиционных проектов в Тюменской области, в частности, предоставление полного спектра инструментов поддержки на всех стадиях развития бизнеса по принципу "одного окна".</w:t>
      </w:r>
    </w:p>
    <w:p>
      <w:pPr>
        <w:pStyle w:val="0"/>
        <w:spacing w:before="200" w:line-rule="auto"/>
        <w:ind w:firstLine="540"/>
        <w:jc w:val="both"/>
      </w:pPr>
      <w:r>
        <w:rPr>
          <w:sz w:val="20"/>
        </w:rPr>
        <w:t xml:space="preserve">Деятельность по сопровождению инвестиционных проектов, реализующихся и планируемых к реализации в Тюменской области, должна осуществляться в форме оказания консультационной, информационной и организационной помощи инвестору, способствующей:</w:t>
      </w:r>
    </w:p>
    <w:p>
      <w:pPr>
        <w:pStyle w:val="0"/>
        <w:spacing w:before="200" w:line-rule="auto"/>
        <w:ind w:firstLine="540"/>
        <w:jc w:val="both"/>
      </w:pPr>
      <w:r>
        <w:rPr>
          <w:sz w:val="20"/>
        </w:rPr>
        <w:t xml:space="preserve">- сокращению сроков рассмотрения вопросов, возникающих в ходе реализации инвестиционного проекта;</w:t>
      </w:r>
    </w:p>
    <w:p>
      <w:pPr>
        <w:pStyle w:val="0"/>
        <w:spacing w:before="200" w:line-rule="auto"/>
        <w:ind w:firstLine="540"/>
        <w:jc w:val="both"/>
      </w:pPr>
      <w:r>
        <w:rPr>
          <w:sz w:val="20"/>
        </w:rPr>
        <w:t xml:space="preserve">- своевременному получению инвестором необходимых согласований и разрешений, требуемых для реализации инвестиционного проекта;</w:t>
      </w:r>
    </w:p>
    <w:p>
      <w:pPr>
        <w:pStyle w:val="0"/>
        <w:spacing w:before="200" w:line-rule="auto"/>
        <w:ind w:firstLine="540"/>
        <w:jc w:val="both"/>
      </w:pPr>
      <w:r>
        <w:rPr>
          <w:sz w:val="20"/>
        </w:rPr>
        <w:t xml:space="preserve">- сопровождению инвестиционных проектов в вопросах взаимодействия с федеральными органами государственной власти, органами исполнительной власти Тюменской области, органами местного самоуправления и иными организациями;</w:t>
      </w:r>
    </w:p>
    <w:p>
      <w:pPr>
        <w:pStyle w:val="0"/>
        <w:spacing w:before="200" w:line-rule="auto"/>
        <w:ind w:firstLine="540"/>
        <w:jc w:val="both"/>
      </w:pPr>
      <w:r>
        <w:rPr>
          <w:sz w:val="20"/>
        </w:rPr>
        <w:t xml:space="preserve">- оперативной организации переговоров, встреч, совещаний, консультаций, направленных на решение вопросов, возникающих в процессе реализации инвестиционного проекта;</w:t>
      </w:r>
    </w:p>
    <w:p>
      <w:pPr>
        <w:pStyle w:val="0"/>
        <w:spacing w:before="200" w:line-rule="auto"/>
        <w:ind w:firstLine="540"/>
        <w:jc w:val="both"/>
      </w:pPr>
      <w:r>
        <w:rPr>
          <w:sz w:val="20"/>
        </w:rPr>
        <w:t xml:space="preserve">- подготовке соглашений о сотрудничестве между Правительством Тюменской области и инвесторами, реализующими инвестиционные проекты в Тюменской области;</w:t>
      </w:r>
    </w:p>
    <w:p>
      <w:pPr>
        <w:pStyle w:val="0"/>
        <w:spacing w:before="200" w:line-rule="auto"/>
        <w:ind w:firstLine="540"/>
        <w:jc w:val="both"/>
      </w:pPr>
      <w:r>
        <w:rPr>
          <w:sz w:val="20"/>
        </w:rPr>
        <w:t xml:space="preserve">- своевременному рассмотрению инвестиционных проектов, планируемых к реализации и (или) реализуемых в Тюменской области, на заседании Экспертного совета Фонда "Инвестиционное агентство Тюменской области";</w:t>
      </w:r>
    </w:p>
    <w:p>
      <w:pPr>
        <w:pStyle w:val="0"/>
        <w:spacing w:before="200" w:line-rule="auto"/>
        <w:ind w:firstLine="540"/>
        <w:jc w:val="both"/>
      </w:pPr>
      <w:r>
        <w:rPr>
          <w:sz w:val="20"/>
        </w:rPr>
        <w:t xml:space="preserve">- поиску инвесторов для реализации инвестиционных проектов, поступивших от инициаторов инвестиционных проектов;</w:t>
      </w:r>
    </w:p>
    <w:p>
      <w:pPr>
        <w:pStyle w:val="0"/>
        <w:spacing w:before="200" w:line-rule="auto"/>
        <w:ind w:firstLine="540"/>
        <w:jc w:val="both"/>
      </w:pPr>
      <w:r>
        <w:rPr>
          <w:sz w:val="20"/>
        </w:rPr>
        <w:t xml:space="preserve">- размещению информации об инвестиционных проектах, реализуемых и (или) планируемых к реализации в Тюменской области, и о предлагаемых площадках в сети Интернет (www.tyumen-region.ru);</w:t>
      </w:r>
    </w:p>
    <w:p>
      <w:pPr>
        <w:pStyle w:val="0"/>
        <w:spacing w:before="200" w:line-rule="auto"/>
        <w:ind w:firstLine="540"/>
        <w:jc w:val="both"/>
      </w:pPr>
      <w:r>
        <w:rPr>
          <w:sz w:val="20"/>
        </w:rPr>
        <w:t xml:space="preserve">- государственной поддержке инвесторов в соответствии с действующим законодательством;</w:t>
      </w:r>
    </w:p>
    <w:p>
      <w:pPr>
        <w:pStyle w:val="0"/>
        <w:spacing w:before="200" w:line-rule="auto"/>
        <w:ind w:firstLine="540"/>
        <w:jc w:val="both"/>
      </w:pPr>
      <w:r>
        <w:rPr>
          <w:sz w:val="20"/>
        </w:rPr>
        <w:t xml:space="preserve">- иным формам сопровождения инвестиционных проектов в соответствии с действующим законодательством.</w:t>
      </w:r>
    </w:p>
    <w:p>
      <w:pPr>
        <w:pStyle w:val="2"/>
        <w:spacing w:before="200" w:line-rule="auto"/>
        <w:outlineLvl w:val="3"/>
        <w:ind w:firstLine="540"/>
        <w:jc w:val="both"/>
      </w:pPr>
      <w:r>
        <w:rPr>
          <w:sz w:val="20"/>
        </w:rPr>
        <w:t xml:space="preserve">9. Наличие механизмов профессиональной подготовки и переподготовки по специальностям, соответствующим Инвестиционной стратегии и потребностям инвесторов</w:t>
      </w:r>
    </w:p>
    <w:p>
      <w:pPr>
        <w:pStyle w:val="0"/>
        <w:spacing w:before="200" w:line-rule="auto"/>
        <w:ind w:firstLine="540"/>
        <w:jc w:val="both"/>
      </w:pPr>
      <w:r>
        <w:rPr>
          <w:sz w:val="20"/>
        </w:rPr>
        <w:t xml:space="preserve">Формирование государственной политики кадрового обеспечения аграрного, промышленного и инновационного характера социально-экономического развития Тюменской области, предусматривающее внедрение механизмов оценки качества профессионального образования, новых технологий переподготовки и повышения квалификации кадров, совершенствование профориентационной работы в образовательных учреждениях.</w:t>
      </w:r>
    </w:p>
    <w:p>
      <w:pPr>
        <w:pStyle w:val="0"/>
        <w:spacing w:before="200" w:line-rule="auto"/>
        <w:ind w:firstLine="540"/>
        <w:jc w:val="both"/>
      </w:pPr>
      <w:r>
        <w:rPr>
          <w:sz w:val="20"/>
        </w:rPr>
        <w:t xml:space="preserve">Прогноз потребности в кадровом обеспечении экономики Тюменской области в отраслевом разрезе, а также в разрезе профессий, специальностей формируется в рамках мониторинга состояния и разработки прогнозных оценок рынка труда Тюменской области &lt;19&gt; на среднесрочный период. Потребность прогнозируется на основе данных, полученных в результате опроса работодателей, с учетом демографических показателей, показателей движения населения, данных в области образования и социальной сферы.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В соответствии с </w:t>
      </w:r>
      <w:hyperlink w:history="0" r:id="rId65" w:tooltip="Постановление Правительства Тюменской области от 06.03.2006 N 46-п (ред. от 12.05.2023) &quot;Об организации мониторинга рынка труда Тюменской области&quot; (вместе с &quot;Положением об организации мониторинга состояния и разработки прогнозных оценок рынка труда Тюменской области&quot;, &quot;Порядком разработки прогноза баланса трудовых ресурсов Тюменской области&quot;) {КонсультантПлюс}">
        <w:r>
          <w:rPr>
            <w:sz w:val="20"/>
            <w:color w:val="0000ff"/>
          </w:rPr>
          <w:t xml:space="preserve">постановлением</w:t>
        </w:r>
      </w:hyperlink>
      <w:r>
        <w:rPr>
          <w:sz w:val="20"/>
        </w:rPr>
        <w:t xml:space="preserve"> Правительства Тюменской области от 06.03.2006 N 46-п "Об организации мониторинга рынка труда Тюменской области".</w:t>
      </w:r>
    </w:p>
    <w:p>
      <w:pPr>
        <w:pStyle w:val="0"/>
        <w:jc w:val="both"/>
      </w:pPr>
      <w:r>
        <w:rPr>
          <w:sz w:val="20"/>
        </w:rPr>
      </w:r>
    </w:p>
    <w:p>
      <w:pPr>
        <w:pStyle w:val="0"/>
        <w:ind w:firstLine="540"/>
        <w:jc w:val="both"/>
      </w:pPr>
      <w:r>
        <w:rPr>
          <w:sz w:val="20"/>
        </w:rPr>
        <w:t xml:space="preserve">В 2018 году проведено обследование 4 тысяч организаций, расположенных на территории Тюменской области, охват среднесписочной численности работников которых составил около 46,8% от среднесписочной численности работников по полному кругу организаций. В результате сформирована потребность организаций региона в кадрах на 5-летний период с учетом среднесписочной численности работников по полному кругу организаций.</w:t>
      </w:r>
    </w:p>
    <w:p>
      <w:pPr>
        <w:pStyle w:val="0"/>
        <w:spacing w:before="200" w:line-rule="auto"/>
        <w:ind w:firstLine="540"/>
        <w:jc w:val="both"/>
      </w:pPr>
      <w:r>
        <w:rPr>
          <w:sz w:val="20"/>
        </w:rPr>
        <w:t xml:space="preserve">На основе полученных данных, а также на основе сведений, предоставленных органами исполнительной власти Тюменской области, органами местного самоуправления, общеобразовательными учреждениями и учреждениями среднего и высшего профессионального образования (сведения о выпуске специалистов) с учетом планируемого высвобождения работников, а также сведений об инвестиционных проектах, реализуемых на территории Тюменской области, сформирован отчет по мониторингу и прогнозированию кадровых потребностей региона.</w:t>
      </w:r>
    </w:p>
    <w:p>
      <w:pPr>
        <w:pStyle w:val="0"/>
        <w:jc w:val="both"/>
      </w:pPr>
      <w:r>
        <w:rPr>
          <w:sz w:val="20"/>
        </w:rPr>
      </w:r>
    </w:p>
    <w:p>
      <w:pPr>
        <w:pStyle w:val="2"/>
        <w:outlineLvl w:val="4"/>
        <w:ind w:firstLine="540"/>
        <w:jc w:val="both"/>
      </w:pPr>
      <w:r>
        <w:rPr>
          <w:sz w:val="20"/>
        </w:rPr>
        <w:t xml:space="preserve">Таблица 2 - Прогноз потребности в работниках в разрезе основных видов экономической деятельности на 2019 - 2023 годы.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3118"/>
        <w:gridCol w:w="907"/>
        <w:gridCol w:w="907"/>
        <w:gridCol w:w="907"/>
        <w:gridCol w:w="907"/>
        <w:gridCol w:w="907"/>
        <w:gridCol w:w="907"/>
      </w:tblGrid>
      <w:tr>
        <w:tc>
          <w:tcPr>
            <w:tcW w:w="510" w:type="dxa"/>
            <w:vAlign w:val="center"/>
            <w:vMerge w:val="restart"/>
          </w:tcPr>
          <w:p>
            <w:pPr>
              <w:pStyle w:val="0"/>
              <w:jc w:val="center"/>
            </w:pPr>
            <w:r>
              <w:rPr>
                <w:sz w:val="20"/>
              </w:rPr>
              <w:t xml:space="preserve">N</w:t>
            </w:r>
          </w:p>
          <w:p>
            <w:pPr>
              <w:pStyle w:val="0"/>
              <w:jc w:val="center"/>
            </w:pPr>
            <w:r>
              <w:rPr>
                <w:sz w:val="20"/>
              </w:rPr>
              <w:t xml:space="preserve">п/п</w:t>
            </w:r>
          </w:p>
        </w:tc>
        <w:tc>
          <w:tcPr>
            <w:tcW w:w="3118" w:type="dxa"/>
            <w:vAlign w:val="center"/>
            <w:vMerge w:val="restart"/>
          </w:tcPr>
          <w:p>
            <w:pPr>
              <w:pStyle w:val="0"/>
              <w:jc w:val="center"/>
            </w:pPr>
            <w:r>
              <w:rPr>
                <w:sz w:val="20"/>
              </w:rPr>
              <w:t xml:space="preserve">Наименование основных видов экономической деятельности</w:t>
            </w:r>
          </w:p>
        </w:tc>
        <w:tc>
          <w:tcPr>
            <w:gridSpan w:val="6"/>
            <w:tcW w:w="5442" w:type="dxa"/>
            <w:vAlign w:val="center"/>
          </w:tcPr>
          <w:p>
            <w:pPr>
              <w:pStyle w:val="0"/>
              <w:jc w:val="center"/>
            </w:pPr>
            <w:r>
              <w:rPr>
                <w:sz w:val="20"/>
              </w:rPr>
              <w:t xml:space="preserve">Прогнозируемая потребность, человек</w:t>
            </w:r>
          </w:p>
        </w:tc>
      </w:tr>
      <w:tr>
        <w:tc>
          <w:tcPr>
            <w:vMerge w:val="continue"/>
          </w:tcPr>
          <w:p/>
        </w:tc>
        <w:tc>
          <w:tcPr>
            <w:vMerge w:val="continue"/>
          </w:tcPr>
          <w:p/>
        </w:tc>
        <w:tc>
          <w:tcPr>
            <w:tcW w:w="907" w:type="dxa"/>
            <w:vAlign w:val="center"/>
          </w:tcPr>
          <w:p>
            <w:pPr>
              <w:pStyle w:val="0"/>
              <w:jc w:val="center"/>
            </w:pPr>
            <w:r>
              <w:rPr>
                <w:sz w:val="20"/>
              </w:rPr>
              <w:t xml:space="preserve">2018 г.</w:t>
            </w:r>
          </w:p>
        </w:tc>
        <w:tc>
          <w:tcPr>
            <w:tcW w:w="907" w:type="dxa"/>
            <w:vAlign w:val="center"/>
          </w:tcPr>
          <w:p>
            <w:pPr>
              <w:pStyle w:val="0"/>
              <w:jc w:val="center"/>
            </w:pPr>
            <w:r>
              <w:rPr>
                <w:sz w:val="20"/>
              </w:rPr>
              <w:t xml:space="preserve">2019 г.</w:t>
            </w:r>
          </w:p>
        </w:tc>
        <w:tc>
          <w:tcPr>
            <w:tcW w:w="907" w:type="dxa"/>
            <w:vAlign w:val="center"/>
          </w:tcPr>
          <w:p>
            <w:pPr>
              <w:pStyle w:val="0"/>
              <w:jc w:val="center"/>
            </w:pPr>
            <w:r>
              <w:rPr>
                <w:sz w:val="20"/>
              </w:rPr>
              <w:t xml:space="preserve">2020 г.</w:t>
            </w:r>
          </w:p>
        </w:tc>
        <w:tc>
          <w:tcPr>
            <w:tcW w:w="907" w:type="dxa"/>
            <w:vAlign w:val="center"/>
          </w:tcPr>
          <w:p>
            <w:pPr>
              <w:pStyle w:val="0"/>
              <w:jc w:val="center"/>
            </w:pPr>
            <w:r>
              <w:rPr>
                <w:sz w:val="20"/>
              </w:rPr>
              <w:t xml:space="preserve">2021 г.</w:t>
            </w:r>
          </w:p>
        </w:tc>
        <w:tc>
          <w:tcPr>
            <w:tcW w:w="907" w:type="dxa"/>
            <w:vAlign w:val="center"/>
          </w:tcPr>
          <w:p>
            <w:pPr>
              <w:pStyle w:val="0"/>
              <w:jc w:val="center"/>
            </w:pPr>
            <w:r>
              <w:rPr>
                <w:sz w:val="20"/>
              </w:rPr>
              <w:t xml:space="preserve">2022 г.</w:t>
            </w:r>
          </w:p>
        </w:tc>
        <w:tc>
          <w:tcPr>
            <w:tcW w:w="907" w:type="dxa"/>
            <w:vAlign w:val="center"/>
          </w:tcPr>
          <w:p>
            <w:pPr>
              <w:pStyle w:val="0"/>
              <w:jc w:val="center"/>
            </w:pPr>
            <w:r>
              <w:rPr>
                <w:sz w:val="20"/>
              </w:rPr>
              <w:t xml:space="preserve">2023 г.</w:t>
            </w:r>
          </w:p>
        </w:tc>
      </w:tr>
      <w:tr>
        <w:tc>
          <w:tcPr>
            <w:tcW w:w="510" w:type="dxa"/>
            <w:vAlign w:val="center"/>
          </w:tcPr>
          <w:p>
            <w:pPr>
              <w:pStyle w:val="0"/>
            </w:pPr>
            <w:r>
              <w:rPr>
                <w:sz w:val="20"/>
              </w:rPr>
            </w:r>
          </w:p>
        </w:tc>
        <w:tc>
          <w:tcPr>
            <w:tcW w:w="3118" w:type="dxa"/>
            <w:vAlign w:val="center"/>
          </w:tcPr>
          <w:p>
            <w:pPr>
              <w:pStyle w:val="0"/>
            </w:pPr>
            <w:r>
              <w:rPr>
                <w:sz w:val="20"/>
              </w:rPr>
              <w:t xml:space="preserve">В целом по Тюменской области</w:t>
            </w:r>
          </w:p>
        </w:tc>
        <w:tc>
          <w:tcPr>
            <w:tcW w:w="907" w:type="dxa"/>
            <w:vAlign w:val="center"/>
          </w:tcPr>
          <w:p>
            <w:pPr>
              <w:pStyle w:val="0"/>
              <w:jc w:val="center"/>
            </w:pPr>
            <w:r>
              <w:rPr>
                <w:sz w:val="20"/>
              </w:rPr>
              <w:t xml:space="preserve">26934</w:t>
            </w:r>
          </w:p>
        </w:tc>
        <w:tc>
          <w:tcPr>
            <w:tcW w:w="907" w:type="dxa"/>
            <w:vAlign w:val="center"/>
          </w:tcPr>
          <w:p>
            <w:pPr>
              <w:pStyle w:val="0"/>
              <w:jc w:val="center"/>
            </w:pPr>
            <w:r>
              <w:rPr>
                <w:sz w:val="20"/>
              </w:rPr>
              <w:t xml:space="preserve">25268</w:t>
            </w:r>
          </w:p>
        </w:tc>
        <w:tc>
          <w:tcPr>
            <w:tcW w:w="907" w:type="dxa"/>
            <w:vAlign w:val="center"/>
          </w:tcPr>
          <w:p>
            <w:pPr>
              <w:pStyle w:val="0"/>
              <w:jc w:val="center"/>
            </w:pPr>
            <w:r>
              <w:rPr>
                <w:sz w:val="20"/>
              </w:rPr>
              <w:t xml:space="preserve">23401</w:t>
            </w:r>
          </w:p>
        </w:tc>
        <w:tc>
          <w:tcPr>
            <w:tcW w:w="907" w:type="dxa"/>
            <w:vAlign w:val="center"/>
          </w:tcPr>
          <w:p>
            <w:pPr>
              <w:pStyle w:val="0"/>
              <w:jc w:val="center"/>
            </w:pPr>
            <w:r>
              <w:rPr>
                <w:sz w:val="20"/>
              </w:rPr>
              <w:t xml:space="preserve">21574</w:t>
            </w:r>
          </w:p>
        </w:tc>
        <w:tc>
          <w:tcPr>
            <w:tcW w:w="907" w:type="dxa"/>
            <w:vAlign w:val="center"/>
          </w:tcPr>
          <w:p>
            <w:pPr>
              <w:pStyle w:val="0"/>
              <w:jc w:val="center"/>
            </w:pPr>
            <w:r>
              <w:rPr>
                <w:sz w:val="20"/>
              </w:rPr>
              <w:t xml:space="preserve">20089</w:t>
            </w:r>
          </w:p>
        </w:tc>
        <w:tc>
          <w:tcPr>
            <w:tcW w:w="907" w:type="dxa"/>
            <w:vAlign w:val="center"/>
          </w:tcPr>
          <w:p>
            <w:pPr>
              <w:pStyle w:val="0"/>
              <w:jc w:val="center"/>
            </w:pPr>
            <w:r>
              <w:rPr>
                <w:sz w:val="20"/>
              </w:rPr>
              <w:t xml:space="preserve">18712</w:t>
            </w:r>
          </w:p>
        </w:tc>
      </w:tr>
      <w:tr>
        <w:tc>
          <w:tcPr>
            <w:tcW w:w="510" w:type="dxa"/>
            <w:vAlign w:val="center"/>
          </w:tcPr>
          <w:p>
            <w:pPr>
              <w:pStyle w:val="0"/>
              <w:jc w:val="center"/>
            </w:pPr>
            <w:r>
              <w:rPr>
                <w:sz w:val="20"/>
              </w:rPr>
              <w:t xml:space="preserve">1</w:t>
            </w:r>
          </w:p>
        </w:tc>
        <w:tc>
          <w:tcPr>
            <w:tcW w:w="3118" w:type="dxa"/>
            <w:vAlign w:val="center"/>
          </w:tcPr>
          <w:p>
            <w:pPr>
              <w:pStyle w:val="0"/>
            </w:pPr>
            <w:r>
              <w:rPr>
                <w:sz w:val="20"/>
              </w:rPr>
              <w:t xml:space="preserve">Строительство</w:t>
            </w:r>
          </w:p>
        </w:tc>
        <w:tc>
          <w:tcPr>
            <w:tcW w:w="907" w:type="dxa"/>
            <w:vAlign w:val="center"/>
          </w:tcPr>
          <w:p>
            <w:pPr>
              <w:pStyle w:val="0"/>
              <w:jc w:val="center"/>
            </w:pPr>
            <w:r>
              <w:rPr>
                <w:sz w:val="20"/>
              </w:rPr>
              <w:t xml:space="preserve">16 669</w:t>
            </w:r>
          </w:p>
        </w:tc>
        <w:tc>
          <w:tcPr>
            <w:tcW w:w="907" w:type="dxa"/>
            <w:vAlign w:val="center"/>
          </w:tcPr>
          <w:p>
            <w:pPr>
              <w:pStyle w:val="0"/>
              <w:jc w:val="center"/>
            </w:pPr>
            <w:r>
              <w:rPr>
                <w:sz w:val="20"/>
              </w:rPr>
              <w:t xml:space="preserve">15 930</w:t>
            </w:r>
          </w:p>
        </w:tc>
        <w:tc>
          <w:tcPr>
            <w:tcW w:w="907" w:type="dxa"/>
            <w:vAlign w:val="center"/>
          </w:tcPr>
          <w:p>
            <w:pPr>
              <w:pStyle w:val="0"/>
              <w:jc w:val="center"/>
            </w:pPr>
            <w:r>
              <w:rPr>
                <w:sz w:val="20"/>
              </w:rPr>
              <w:t xml:space="preserve">15 213</w:t>
            </w:r>
          </w:p>
        </w:tc>
        <w:tc>
          <w:tcPr>
            <w:tcW w:w="907" w:type="dxa"/>
            <w:vAlign w:val="center"/>
          </w:tcPr>
          <w:p>
            <w:pPr>
              <w:pStyle w:val="0"/>
              <w:jc w:val="center"/>
            </w:pPr>
            <w:r>
              <w:rPr>
                <w:sz w:val="20"/>
              </w:rPr>
              <w:t xml:space="preserve">14 401</w:t>
            </w:r>
          </w:p>
        </w:tc>
        <w:tc>
          <w:tcPr>
            <w:tcW w:w="907" w:type="dxa"/>
            <w:vAlign w:val="center"/>
          </w:tcPr>
          <w:p>
            <w:pPr>
              <w:pStyle w:val="0"/>
              <w:jc w:val="center"/>
            </w:pPr>
            <w:r>
              <w:rPr>
                <w:sz w:val="20"/>
              </w:rPr>
              <w:t xml:space="preserve">13694</w:t>
            </w:r>
          </w:p>
        </w:tc>
        <w:tc>
          <w:tcPr>
            <w:tcW w:w="907" w:type="dxa"/>
            <w:vAlign w:val="center"/>
          </w:tcPr>
          <w:p>
            <w:pPr>
              <w:pStyle w:val="0"/>
              <w:jc w:val="center"/>
            </w:pPr>
            <w:r>
              <w:rPr>
                <w:sz w:val="20"/>
              </w:rPr>
              <w:t xml:space="preserve">12796</w:t>
            </w:r>
          </w:p>
        </w:tc>
      </w:tr>
      <w:tr>
        <w:tc>
          <w:tcPr>
            <w:tcW w:w="510" w:type="dxa"/>
            <w:vAlign w:val="center"/>
          </w:tcPr>
          <w:p>
            <w:pPr>
              <w:pStyle w:val="0"/>
              <w:jc w:val="center"/>
            </w:pPr>
            <w:r>
              <w:rPr>
                <w:sz w:val="20"/>
              </w:rPr>
              <w:t xml:space="preserve">2</w:t>
            </w:r>
          </w:p>
        </w:tc>
        <w:tc>
          <w:tcPr>
            <w:tcW w:w="3118" w:type="dxa"/>
            <w:vAlign w:val="center"/>
          </w:tcPr>
          <w:p>
            <w:pPr>
              <w:pStyle w:val="0"/>
            </w:pPr>
            <w:r>
              <w:rPr>
                <w:sz w:val="20"/>
              </w:rPr>
              <w:t xml:space="preserve">Обрабатывающие производства</w:t>
            </w:r>
          </w:p>
        </w:tc>
        <w:tc>
          <w:tcPr>
            <w:tcW w:w="907" w:type="dxa"/>
            <w:vAlign w:val="center"/>
          </w:tcPr>
          <w:p>
            <w:pPr>
              <w:pStyle w:val="0"/>
              <w:jc w:val="center"/>
            </w:pPr>
            <w:r>
              <w:rPr>
                <w:sz w:val="20"/>
              </w:rPr>
              <w:t xml:space="preserve">1 372</w:t>
            </w:r>
          </w:p>
        </w:tc>
        <w:tc>
          <w:tcPr>
            <w:tcW w:w="907" w:type="dxa"/>
            <w:vAlign w:val="center"/>
          </w:tcPr>
          <w:p>
            <w:pPr>
              <w:pStyle w:val="0"/>
              <w:jc w:val="center"/>
            </w:pPr>
            <w:r>
              <w:rPr>
                <w:sz w:val="20"/>
              </w:rPr>
              <w:t xml:space="preserve">1 249</w:t>
            </w:r>
          </w:p>
        </w:tc>
        <w:tc>
          <w:tcPr>
            <w:tcW w:w="907" w:type="dxa"/>
            <w:vAlign w:val="center"/>
          </w:tcPr>
          <w:p>
            <w:pPr>
              <w:pStyle w:val="0"/>
              <w:jc w:val="center"/>
            </w:pPr>
            <w:r>
              <w:rPr>
                <w:sz w:val="20"/>
              </w:rPr>
              <w:t xml:space="preserve">1 051</w:t>
            </w:r>
          </w:p>
        </w:tc>
        <w:tc>
          <w:tcPr>
            <w:tcW w:w="907" w:type="dxa"/>
            <w:vAlign w:val="center"/>
          </w:tcPr>
          <w:p>
            <w:pPr>
              <w:pStyle w:val="0"/>
              <w:jc w:val="center"/>
            </w:pPr>
            <w:r>
              <w:rPr>
                <w:sz w:val="20"/>
              </w:rPr>
              <w:t xml:space="preserve">820</w:t>
            </w:r>
          </w:p>
        </w:tc>
        <w:tc>
          <w:tcPr>
            <w:tcW w:w="907" w:type="dxa"/>
            <w:vAlign w:val="center"/>
          </w:tcPr>
          <w:p>
            <w:pPr>
              <w:pStyle w:val="0"/>
              <w:jc w:val="center"/>
            </w:pPr>
            <w:r>
              <w:rPr>
                <w:sz w:val="20"/>
              </w:rPr>
              <w:t xml:space="preserve">869</w:t>
            </w:r>
          </w:p>
        </w:tc>
        <w:tc>
          <w:tcPr>
            <w:tcW w:w="907" w:type="dxa"/>
            <w:vAlign w:val="center"/>
          </w:tcPr>
          <w:p>
            <w:pPr>
              <w:pStyle w:val="0"/>
              <w:jc w:val="center"/>
            </w:pPr>
            <w:r>
              <w:rPr>
                <w:sz w:val="20"/>
              </w:rPr>
              <w:t xml:space="preserve">803</w:t>
            </w:r>
          </w:p>
        </w:tc>
      </w:tr>
      <w:tr>
        <w:tc>
          <w:tcPr>
            <w:tcW w:w="510" w:type="dxa"/>
            <w:vAlign w:val="center"/>
          </w:tcPr>
          <w:p>
            <w:pPr>
              <w:pStyle w:val="0"/>
              <w:jc w:val="center"/>
            </w:pPr>
            <w:r>
              <w:rPr>
                <w:sz w:val="20"/>
              </w:rPr>
              <w:t xml:space="preserve">3</w:t>
            </w:r>
          </w:p>
        </w:tc>
        <w:tc>
          <w:tcPr>
            <w:tcW w:w="3118" w:type="dxa"/>
            <w:vAlign w:val="center"/>
          </w:tcPr>
          <w:p>
            <w:pPr>
              <w:pStyle w:val="0"/>
            </w:pPr>
            <w:r>
              <w:rPr>
                <w:sz w:val="20"/>
              </w:rPr>
              <w:t xml:space="preserve">Торговля оптовая и розничная; ремонт автотранспортных средств и мотоциклов</w:t>
            </w:r>
          </w:p>
        </w:tc>
        <w:tc>
          <w:tcPr>
            <w:tcW w:w="907" w:type="dxa"/>
            <w:vAlign w:val="center"/>
          </w:tcPr>
          <w:p>
            <w:pPr>
              <w:pStyle w:val="0"/>
              <w:jc w:val="center"/>
            </w:pPr>
            <w:r>
              <w:rPr>
                <w:sz w:val="20"/>
              </w:rPr>
              <w:t xml:space="preserve">1 301</w:t>
            </w:r>
          </w:p>
        </w:tc>
        <w:tc>
          <w:tcPr>
            <w:tcW w:w="907" w:type="dxa"/>
            <w:vAlign w:val="center"/>
          </w:tcPr>
          <w:p>
            <w:pPr>
              <w:pStyle w:val="0"/>
              <w:jc w:val="center"/>
            </w:pPr>
            <w:r>
              <w:rPr>
                <w:sz w:val="20"/>
              </w:rPr>
              <w:t xml:space="preserve">1 161</w:t>
            </w:r>
          </w:p>
        </w:tc>
        <w:tc>
          <w:tcPr>
            <w:tcW w:w="907" w:type="dxa"/>
            <w:vAlign w:val="center"/>
          </w:tcPr>
          <w:p>
            <w:pPr>
              <w:pStyle w:val="0"/>
              <w:jc w:val="center"/>
            </w:pPr>
            <w:r>
              <w:rPr>
                <w:sz w:val="20"/>
              </w:rPr>
              <w:t xml:space="preserve">1 004</w:t>
            </w:r>
          </w:p>
        </w:tc>
        <w:tc>
          <w:tcPr>
            <w:tcW w:w="907" w:type="dxa"/>
            <w:vAlign w:val="center"/>
          </w:tcPr>
          <w:p>
            <w:pPr>
              <w:pStyle w:val="0"/>
              <w:jc w:val="center"/>
            </w:pPr>
            <w:r>
              <w:rPr>
                <w:sz w:val="20"/>
              </w:rPr>
              <w:t xml:space="preserve">982</w:t>
            </w:r>
          </w:p>
        </w:tc>
        <w:tc>
          <w:tcPr>
            <w:tcW w:w="907" w:type="dxa"/>
            <w:vAlign w:val="center"/>
          </w:tcPr>
          <w:p>
            <w:pPr>
              <w:pStyle w:val="0"/>
              <w:jc w:val="center"/>
            </w:pPr>
            <w:r>
              <w:rPr>
                <w:sz w:val="20"/>
              </w:rPr>
              <w:t xml:space="preserve">905</w:t>
            </w:r>
          </w:p>
        </w:tc>
        <w:tc>
          <w:tcPr>
            <w:tcW w:w="907" w:type="dxa"/>
            <w:vAlign w:val="center"/>
          </w:tcPr>
          <w:p>
            <w:pPr>
              <w:pStyle w:val="0"/>
              <w:jc w:val="center"/>
            </w:pPr>
            <w:r>
              <w:rPr>
                <w:sz w:val="20"/>
              </w:rPr>
              <w:t xml:space="preserve">851</w:t>
            </w:r>
          </w:p>
        </w:tc>
      </w:tr>
      <w:tr>
        <w:tc>
          <w:tcPr>
            <w:tcW w:w="510" w:type="dxa"/>
            <w:vAlign w:val="center"/>
          </w:tcPr>
          <w:p>
            <w:pPr>
              <w:pStyle w:val="0"/>
              <w:jc w:val="center"/>
            </w:pPr>
            <w:r>
              <w:rPr>
                <w:sz w:val="20"/>
              </w:rPr>
              <w:t xml:space="preserve">4</w:t>
            </w:r>
          </w:p>
        </w:tc>
        <w:tc>
          <w:tcPr>
            <w:tcW w:w="3118" w:type="dxa"/>
            <w:vAlign w:val="center"/>
          </w:tcPr>
          <w:p>
            <w:pPr>
              <w:pStyle w:val="0"/>
            </w:pPr>
            <w:r>
              <w:rPr>
                <w:sz w:val="20"/>
              </w:rPr>
              <w:t xml:space="preserve">Государственное управление и обеспечение военной безопасности; социальное обеспечение</w:t>
            </w:r>
          </w:p>
        </w:tc>
        <w:tc>
          <w:tcPr>
            <w:tcW w:w="907" w:type="dxa"/>
            <w:vAlign w:val="center"/>
          </w:tcPr>
          <w:p>
            <w:pPr>
              <w:pStyle w:val="0"/>
              <w:jc w:val="center"/>
            </w:pPr>
            <w:r>
              <w:rPr>
                <w:sz w:val="20"/>
              </w:rPr>
              <w:t xml:space="preserve">1 263</w:t>
            </w:r>
          </w:p>
        </w:tc>
        <w:tc>
          <w:tcPr>
            <w:tcW w:w="907" w:type="dxa"/>
            <w:vAlign w:val="center"/>
          </w:tcPr>
          <w:p>
            <w:pPr>
              <w:pStyle w:val="0"/>
              <w:jc w:val="center"/>
            </w:pPr>
            <w:r>
              <w:rPr>
                <w:sz w:val="20"/>
              </w:rPr>
              <w:t xml:space="preserve">1 107</w:t>
            </w:r>
          </w:p>
        </w:tc>
        <w:tc>
          <w:tcPr>
            <w:tcW w:w="907" w:type="dxa"/>
            <w:vAlign w:val="center"/>
          </w:tcPr>
          <w:p>
            <w:pPr>
              <w:pStyle w:val="0"/>
              <w:jc w:val="center"/>
            </w:pPr>
            <w:r>
              <w:rPr>
                <w:sz w:val="20"/>
              </w:rPr>
              <w:t xml:space="preserve">995</w:t>
            </w:r>
          </w:p>
        </w:tc>
        <w:tc>
          <w:tcPr>
            <w:tcW w:w="907" w:type="dxa"/>
            <w:vAlign w:val="center"/>
          </w:tcPr>
          <w:p>
            <w:pPr>
              <w:pStyle w:val="0"/>
              <w:jc w:val="center"/>
            </w:pPr>
            <w:r>
              <w:rPr>
                <w:sz w:val="20"/>
              </w:rPr>
              <w:t xml:space="preserve">865</w:t>
            </w:r>
          </w:p>
        </w:tc>
        <w:tc>
          <w:tcPr>
            <w:tcW w:w="907" w:type="dxa"/>
            <w:vAlign w:val="center"/>
          </w:tcPr>
          <w:p>
            <w:pPr>
              <w:pStyle w:val="0"/>
              <w:jc w:val="center"/>
            </w:pPr>
            <w:r>
              <w:rPr>
                <w:sz w:val="20"/>
              </w:rPr>
              <w:t xml:space="preserve">780</w:t>
            </w:r>
          </w:p>
        </w:tc>
        <w:tc>
          <w:tcPr>
            <w:tcW w:w="907" w:type="dxa"/>
            <w:vAlign w:val="center"/>
          </w:tcPr>
          <w:p>
            <w:pPr>
              <w:pStyle w:val="0"/>
              <w:jc w:val="center"/>
            </w:pPr>
            <w:r>
              <w:rPr>
                <w:sz w:val="20"/>
              </w:rPr>
              <w:t xml:space="preserve">774</w:t>
            </w:r>
          </w:p>
        </w:tc>
      </w:tr>
      <w:tr>
        <w:tc>
          <w:tcPr>
            <w:tcW w:w="510" w:type="dxa"/>
            <w:vAlign w:val="center"/>
          </w:tcPr>
          <w:p>
            <w:pPr>
              <w:pStyle w:val="0"/>
              <w:jc w:val="center"/>
            </w:pPr>
            <w:r>
              <w:rPr>
                <w:sz w:val="20"/>
              </w:rPr>
              <w:t xml:space="preserve">5</w:t>
            </w:r>
          </w:p>
        </w:tc>
        <w:tc>
          <w:tcPr>
            <w:tcW w:w="3118" w:type="dxa"/>
            <w:vAlign w:val="center"/>
          </w:tcPr>
          <w:p>
            <w:pPr>
              <w:pStyle w:val="0"/>
            </w:pPr>
            <w:r>
              <w:rPr>
                <w:sz w:val="20"/>
              </w:rPr>
              <w:t xml:space="preserve">Образование</w:t>
            </w:r>
          </w:p>
        </w:tc>
        <w:tc>
          <w:tcPr>
            <w:tcW w:w="907" w:type="dxa"/>
            <w:vAlign w:val="center"/>
          </w:tcPr>
          <w:p>
            <w:pPr>
              <w:pStyle w:val="0"/>
              <w:jc w:val="center"/>
            </w:pPr>
            <w:r>
              <w:rPr>
                <w:sz w:val="20"/>
              </w:rPr>
              <w:t xml:space="preserve">909</w:t>
            </w:r>
          </w:p>
        </w:tc>
        <w:tc>
          <w:tcPr>
            <w:tcW w:w="907" w:type="dxa"/>
            <w:vAlign w:val="center"/>
          </w:tcPr>
          <w:p>
            <w:pPr>
              <w:pStyle w:val="0"/>
              <w:jc w:val="center"/>
            </w:pPr>
            <w:r>
              <w:rPr>
                <w:sz w:val="20"/>
              </w:rPr>
              <w:t xml:space="preserve">854</w:t>
            </w:r>
          </w:p>
        </w:tc>
        <w:tc>
          <w:tcPr>
            <w:tcW w:w="907" w:type="dxa"/>
            <w:vAlign w:val="center"/>
          </w:tcPr>
          <w:p>
            <w:pPr>
              <w:pStyle w:val="0"/>
              <w:jc w:val="center"/>
            </w:pPr>
            <w:r>
              <w:rPr>
                <w:sz w:val="20"/>
              </w:rPr>
              <w:t xml:space="preserve">778</w:t>
            </w:r>
          </w:p>
        </w:tc>
        <w:tc>
          <w:tcPr>
            <w:tcW w:w="907" w:type="dxa"/>
            <w:vAlign w:val="center"/>
          </w:tcPr>
          <w:p>
            <w:pPr>
              <w:pStyle w:val="0"/>
              <w:jc w:val="center"/>
            </w:pPr>
            <w:r>
              <w:rPr>
                <w:sz w:val="20"/>
              </w:rPr>
              <w:t xml:space="preserve">679</w:t>
            </w:r>
          </w:p>
        </w:tc>
        <w:tc>
          <w:tcPr>
            <w:tcW w:w="907" w:type="dxa"/>
            <w:vAlign w:val="center"/>
          </w:tcPr>
          <w:p>
            <w:pPr>
              <w:pStyle w:val="0"/>
              <w:jc w:val="center"/>
            </w:pPr>
            <w:r>
              <w:rPr>
                <w:sz w:val="20"/>
              </w:rPr>
              <w:t xml:space="preserve">559</w:t>
            </w:r>
          </w:p>
        </w:tc>
        <w:tc>
          <w:tcPr>
            <w:tcW w:w="907" w:type="dxa"/>
            <w:vAlign w:val="center"/>
          </w:tcPr>
          <w:p>
            <w:pPr>
              <w:pStyle w:val="0"/>
              <w:jc w:val="center"/>
            </w:pPr>
            <w:r>
              <w:rPr>
                <w:sz w:val="20"/>
              </w:rPr>
              <w:t xml:space="preserve">512</w:t>
            </w:r>
          </w:p>
        </w:tc>
      </w:tr>
      <w:tr>
        <w:tc>
          <w:tcPr>
            <w:tcW w:w="510" w:type="dxa"/>
            <w:vAlign w:val="center"/>
          </w:tcPr>
          <w:p>
            <w:pPr>
              <w:pStyle w:val="0"/>
              <w:jc w:val="center"/>
            </w:pPr>
            <w:r>
              <w:rPr>
                <w:sz w:val="20"/>
              </w:rPr>
              <w:t xml:space="preserve">6</w:t>
            </w:r>
          </w:p>
        </w:tc>
        <w:tc>
          <w:tcPr>
            <w:tcW w:w="3118" w:type="dxa"/>
            <w:vAlign w:val="center"/>
          </w:tcPr>
          <w:p>
            <w:pPr>
              <w:pStyle w:val="0"/>
            </w:pPr>
            <w:r>
              <w:rPr>
                <w:sz w:val="20"/>
              </w:rPr>
              <w:t xml:space="preserve">Сельское, лесное хозяйство, охота, рыболовство и рыбоводство</w:t>
            </w:r>
          </w:p>
        </w:tc>
        <w:tc>
          <w:tcPr>
            <w:tcW w:w="907" w:type="dxa"/>
            <w:vAlign w:val="center"/>
          </w:tcPr>
          <w:p>
            <w:pPr>
              <w:pStyle w:val="0"/>
              <w:jc w:val="center"/>
            </w:pPr>
            <w:r>
              <w:rPr>
                <w:sz w:val="20"/>
              </w:rPr>
              <w:t xml:space="preserve">851</w:t>
            </w:r>
          </w:p>
        </w:tc>
        <w:tc>
          <w:tcPr>
            <w:tcW w:w="907" w:type="dxa"/>
            <w:vAlign w:val="center"/>
          </w:tcPr>
          <w:p>
            <w:pPr>
              <w:pStyle w:val="0"/>
              <w:jc w:val="center"/>
            </w:pPr>
            <w:r>
              <w:rPr>
                <w:sz w:val="20"/>
              </w:rPr>
              <w:t xml:space="preserve">774</w:t>
            </w:r>
          </w:p>
        </w:tc>
        <w:tc>
          <w:tcPr>
            <w:tcW w:w="907" w:type="dxa"/>
            <w:vAlign w:val="center"/>
          </w:tcPr>
          <w:p>
            <w:pPr>
              <w:pStyle w:val="0"/>
              <w:jc w:val="center"/>
            </w:pPr>
            <w:r>
              <w:rPr>
                <w:sz w:val="20"/>
              </w:rPr>
              <w:t xml:space="preserve">662</w:t>
            </w:r>
          </w:p>
        </w:tc>
        <w:tc>
          <w:tcPr>
            <w:tcW w:w="907" w:type="dxa"/>
            <w:vAlign w:val="center"/>
          </w:tcPr>
          <w:p>
            <w:pPr>
              <w:pStyle w:val="0"/>
              <w:jc w:val="center"/>
            </w:pPr>
            <w:r>
              <w:rPr>
                <w:sz w:val="20"/>
              </w:rPr>
              <w:t xml:space="preserve">601</w:t>
            </w:r>
          </w:p>
        </w:tc>
        <w:tc>
          <w:tcPr>
            <w:tcW w:w="907" w:type="dxa"/>
            <w:vAlign w:val="center"/>
          </w:tcPr>
          <w:p>
            <w:pPr>
              <w:pStyle w:val="0"/>
              <w:jc w:val="center"/>
            </w:pPr>
            <w:r>
              <w:rPr>
                <w:sz w:val="20"/>
              </w:rPr>
              <w:t xml:space="preserve">543</w:t>
            </w:r>
          </w:p>
        </w:tc>
        <w:tc>
          <w:tcPr>
            <w:tcW w:w="907" w:type="dxa"/>
            <w:vAlign w:val="center"/>
          </w:tcPr>
          <w:p>
            <w:pPr>
              <w:pStyle w:val="0"/>
              <w:jc w:val="center"/>
            </w:pPr>
            <w:r>
              <w:rPr>
                <w:sz w:val="20"/>
              </w:rPr>
              <w:t xml:space="preserve">505</w:t>
            </w:r>
          </w:p>
        </w:tc>
      </w:tr>
      <w:tr>
        <w:tc>
          <w:tcPr>
            <w:tcW w:w="510" w:type="dxa"/>
            <w:vAlign w:val="center"/>
          </w:tcPr>
          <w:p>
            <w:pPr>
              <w:pStyle w:val="0"/>
              <w:jc w:val="center"/>
            </w:pPr>
            <w:r>
              <w:rPr>
                <w:sz w:val="20"/>
              </w:rPr>
              <w:t xml:space="preserve">7</w:t>
            </w:r>
          </w:p>
        </w:tc>
        <w:tc>
          <w:tcPr>
            <w:tcW w:w="3118" w:type="dxa"/>
            <w:vAlign w:val="center"/>
          </w:tcPr>
          <w:p>
            <w:pPr>
              <w:pStyle w:val="0"/>
            </w:pPr>
            <w:r>
              <w:rPr>
                <w:sz w:val="20"/>
              </w:rPr>
              <w:t xml:space="preserve">Деятельность в области здравоохранения и социальных услуг</w:t>
            </w:r>
          </w:p>
        </w:tc>
        <w:tc>
          <w:tcPr>
            <w:tcW w:w="907" w:type="dxa"/>
            <w:vAlign w:val="center"/>
          </w:tcPr>
          <w:p>
            <w:pPr>
              <w:pStyle w:val="0"/>
              <w:jc w:val="center"/>
            </w:pPr>
            <w:r>
              <w:rPr>
                <w:sz w:val="20"/>
              </w:rPr>
              <w:t xml:space="preserve">754</w:t>
            </w:r>
          </w:p>
        </w:tc>
        <w:tc>
          <w:tcPr>
            <w:tcW w:w="907" w:type="dxa"/>
            <w:vAlign w:val="center"/>
          </w:tcPr>
          <w:p>
            <w:pPr>
              <w:pStyle w:val="0"/>
              <w:jc w:val="center"/>
            </w:pPr>
            <w:r>
              <w:rPr>
                <w:sz w:val="20"/>
              </w:rPr>
              <w:t xml:space="preserve">703</w:t>
            </w:r>
          </w:p>
        </w:tc>
        <w:tc>
          <w:tcPr>
            <w:tcW w:w="907" w:type="dxa"/>
            <w:vAlign w:val="center"/>
          </w:tcPr>
          <w:p>
            <w:pPr>
              <w:pStyle w:val="0"/>
              <w:jc w:val="center"/>
            </w:pPr>
            <w:r>
              <w:rPr>
                <w:sz w:val="20"/>
              </w:rPr>
              <w:t xml:space="preserve">611</w:t>
            </w:r>
          </w:p>
        </w:tc>
        <w:tc>
          <w:tcPr>
            <w:tcW w:w="907" w:type="dxa"/>
            <w:vAlign w:val="center"/>
          </w:tcPr>
          <w:p>
            <w:pPr>
              <w:pStyle w:val="0"/>
              <w:jc w:val="center"/>
            </w:pPr>
            <w:r>
              <w:rPr>
                <w:sz w:val="20"/>
              </w:rPr>
              <w:t xml:space="preserve">540</w:t>
            </w:r>
          </w:p>
        </w:tc>
        <w:tc>
          <w:tcPr>
            <w:tcW w:w="907" w:type="dxa"/>
            <w:vAlign w:val="center"/>
          </w:tcPr>
          <w:p>
            <w:pPr>
              <w:pStyle w:val="0"/>
              <w:jc w:val="center"/>
            </w:pPr>
            <w:r>
              <w:rPr>
                <w:sz w:val="20"/>
              </w:rPr>
              <w:t xml:space="preserve">487</w:t>
            </w:r>
          </w:p>
        </w:tc>
        <w:tc>
          <w:tcPr>
            <w:tcW w:w="907" w:type="dxa"/>
            <w:vAlign w:val="center"/>
          </w:tcPr>
          <w:p>
            <w:pPr>
              <w:pStyle w:val="0"/>
              <w:jc w:val="center"/>
            </w:pPr>
            <w:r>
              <w:rPr>
                <w:sz w:val="20"/>
              </w:rPr>
              <w:t xml:space="preserve">434</w:t>
            </w:r>
          </w:p>
        </w:tc>
      </w:tr>
      <w:tr>
        <w:tc>
          <w:tcPr>
            <w:tcW w:w="510" w:type="dxa"/>
            <w:vAlign w:val="center"/>
          </w:tcPr>
          <w:p>
            <w:pPr>
              <w:pStyle w:val="0"/>
              <w:jc w:val="center"/>
            </w:pPr>
            <w:r>
              <w:rPr>
                <w:sz w:val="20"/>
              </w:rPr>
              <w:t xml:space="preserve">8</w:t>
            </w:r>
          </w:p>
        </w:tc>
        <w:tc>
          <w:tcPr>
            <w:tcW w:w="3118" w:type="dxa"/>
            <w:vAlign w:val="center"/>
          </w:tcPr>
          <w:p>
            <w:pPr>
              <w:pStyle w:val="0"/>
            </w:pPr>
            <w:r>
              <w:rPr>
                <w:sz w:val="20"/>
              </w:rPr>
              <w:t xml:space="preserve">Деятельность профессиональная, научная и техническая</w:t>
            </w:r>
          </w:p>
        </w:tc>
        <w:tc>
          <w:tcPr>
            <w:tcW w:w="907" w:type="dxa"/>
            <w:vAlign w:val="center"/>
          </w:tcPr>
          <w:p>
            <w:pPr>
              <w:pStyle w:val="0"/>
              <w:jc w:val="center"/>
            </w:pPr>
            <w:r>
              <w:rPr>
                <w:sz w:val="20"/>
              </w:rPr>
              <w:t xml:space="preserve">730</w:t>
            </w:r>
          </w:p>
        </w:tc>
        <w:tc>
          <w:tcPr>
            <w:tcW w:w="907" w:type="dxa"/>
            <w:vAlign w:val="center"/>
          </w:tcPr>
          <w:p>
            <w:pPr>
              <w:pStyle w:val="0"/>
              <w:jc w:val="center"/>
            </w:pPr>
            <w:r>
              <w:rPr>
                <w:sz w:val="20"/>
              </w:rPr>
              <w:t xml:space="preserve">696</w:t>
            </w:r>
          </w:p>
        </w:tc>
        <w:tc>
          <w:tcPr>
            <w:tcW w:w="907" w:type="dxa"/>
            <w:vAlign w:val="center"/>
          </w:tcPr>
          <w:p>
            <w:pPr>
              <w:pStyle w:val="0"/>
              <w:jc w:val="center"/>
            </w:pPr>
            <w:r>
              <w:rPr>
                <w:sz w:val="20"/>
              </w:rPr>
              <w:t xml:space="preserve">633</w:t>
            </w:r>
          </w:p>
        </w:tc>
        <w:tc>
          <w:tcPr>
            <w:tcW w:w="907" w:type="dxa"/>
            <w:vAlign w:val="center"/>
          </w:tcPr>
          <w:p>
            <w:pPr>
              <w:pStyle w:val="0"/>
              <w:jc w:val="center"/>
            </w:pPr>
            <w:r>
              <w:rPr>
                <w:sz w:val="20"/>
              </w:rPr>
              <w:t xml:space="preserve">595</w:t>
            </w:r>
          </w:p>
        </w:tc>
        <w:tc>
          <w:tcPr>
            <w:tcW w:w="907" w:type="dxa"/>
            <w:vAlign w:val="center"/>
          </w:tcPr>
          <w:p>
            <w:pPr>
              <w:pStyle w:val="0"/>
              <w:jc w:val="center"/>
            </w:pPr>
            <w:r>
              <w:rPr>
                <w:sz w:val="20"/>
              </w:rPr>
              <w:t xml:space="preserve">552</w:t>
            </w:r>
          </w:p>
        </w:tc>
        <w:tc>
          <w:tcPr>
            <w:tcW w:w="907" w:type="dxa"/>
            <w:vAlign w:val="center"/>
          </w:tcPr>
          <w:p>
            <w:pPr>
              <w:pStyle w:val="0"/>
              <w:jc w:val="center"/>
            </w:pPr>
            <w:r>
              <w:rPr>
                <w:sz w:val="20"/>
              </w:rPr>
              <w:t xml:space="preserve">506</w:t>
            </w:r>
          </w:p>
        </w:tc>
      </w:tr>
      <w:tr>
        <w:tc>
          <w:tcPr>
            <w:tcW w:w="510" w:type="dxa"/>
            <w:vAlign w:val="center"/>
          </w:tcPr>
          <w:p>
            <w:pPr>
              <w:pStyle w:val="0"/>
              <w:jc w:val="center"/>
            </w:pPr>
            <w:r>
              <w:rPr>
                <w:sz w:val="20"/>
              </w:rPr>
              <w:t xml:space="preserve">9</w:t>
            </w:r>
          </w:p>
        </w:tc>
        <w:tc>
          <w:tcPr>
            <w:tcW w:w="3118" w:type="dxa"/>
            <w:vAlign w:val="center"/>
          </w:tcPr>
          <w:p>
            <w:pPr>
              <w:pStyle w:val="0"/>
            </w:pPr>
            <w:r>
              <w:rPr>
                <w:sz w:val="20"/>
              </w:rPr>
              <w:t xml:space="preserve">Транспортировка и хранение</w:t>
            </w:r>
          </w:p>
        </w:tc>
        <w:tc>
          <w:tcPr>
            <w:tcW w:w="907" w:type="dxa"/>
            <w:vAlign w:val="center"/>
          </w:tcPr>
          <w:p>
            <w:pPr>
              <w:pStyle w:val="0"/>
              <w:jc w:val="center"/>
            </w:pPr>
            <w:r>
              <w:rPr>
                <w:sz w:val="20"/>
              </w:rPr>
              <w:t xml:space="preserve">589</w:t>
            </w:r>
          </w:p>
        </w:tc>
        <w:tc>
          <w:tcPr>
            <w:tcW w:w="907" w:type="dxa"/>
            <w:vAlign w:val="center"/>
          </w:tcPr>
          <w:p>
            <w:pPr>
              <w:pStyle w:val="0"/>
              <w:jc w:val="center"/>
            </w:pPr>
            <w:r>
              <w:rPr>
                <w:sz w:val="20"/>
              </w:rPr>
              <w:t xml:space="preserve">548</w:t>
            </w:r>
          </w:p>
        </w:tc>
        <w:tc>
          <w:tcPr>
            <w:tcW w:w="907" w:type="dxa"/>
            <w:vAlign w:val="center"/>
          </w:tcPr>
          <w:p>
            <w:pPr>
              <w:pStyle w:val="0"/>
              <w:jc w:val="center"/>
            </w:pPr>
            <w:r>
              <w:rPr>
                <w:sz w:val="20"/>
              </w:rPr>
              <w:t xml:space="preserve">486</w:t>
            </w:r>
          </w:p>
        </w:tc>
        <w:tc>
          <w:tcPr>
            <w:tcW w:w="907" w:type="dxa"/>
            <w:vAlign w:val="center"/>
          </w:tcPr>
          <w:p>
            <w:pPr>
              <w:pStyle w:val="0"/>
              <w:jc w:val="center"/>
            </w:pPr>
            <w:r>
              <w:rPr>
                <w:sz w:val="20"/>
              </w:rPr>
              <w:t xml:space="preserve">444</w:t>
            </w:r>
          </w:p>
        </w:tc>
        <w:tc>
          <w:tcPr>
            <w:tcW w:w="907" w:type="dxa"/>
            <w:vAlign w:val="center"/>
          </w:tcPr>
          <w:p>
            <w:pPr>
              <w:pStyle w:val="0"/>
              <w:jc w:val="center"/>
            </w:pPr>
            <w:r>
              <w:rPr>
                <w:sz w:val="20"/>
              </w:rPr>
              <w:t xml:space="preserve">391</w:t>
            </w:r>
          </w:p>
        </w:tc>
        <w:tc>
          <w:tcPr>
            <w:tcW w:w="907" w:type="dxa"/>
            <w:vAlign w:val="center"/>
          </w:tcPr>
          <w:p>
            <w:pPr>
              <w:pStyle w:val="0"/>
              <w:jc w:val="center"/>
            </w:pPr>
            <w:r>
              <w:rPr>
                <w:sz w:val="20"/>
              </w:rPr>
              <w:t xml:space="preserve">363</w:t>
            </w:r>
          </w:p>
        </w:tc>
      </w:tr>
      <w:tr>
        <w:tc>
          <w:tcPr>
            <w:tcW w:w="510" w:type="dxa"/>
            <w:vAlign w:val="center"/>
          </w:tcPr>
          <w:p>
            <w:pPr>
              <w:pStyle w:val="0"/>
              <w:jc w:val="center"/>
            </w:pPr>
            <w:r>
              <w:rPr>
                <w:sz w:val="20"/>
              </w:rPr>
              <w:t xml:space="preserve">10</w:t>
            </w:r>
          </w:p>
        </w:tc>
        <w:tc>
          <w:tcPr>
            <w:tcW w:w="3118" w:type="dxa"/>
            <w:vAlign w:val="center"/>
          </w:tcPr>
          <w:p>
            <w:pPr>
              <w:pStyle w:val="0"/>
            </w:pPr>
            <w:r>
              <w:rPr>
                <w:sz w:val="20"/>
              </w:rPr>
              <w:t xml:space="preserve">Деятельность административная и сопутствующие дополнительные услуги</w:t>
            </w:r>
          </w:p>
        </w:tc>
        <w:tc>
          <w:tcPr>
            <w:tcW w:w="907" w:type="dxa"/>
            <w:vAlign w:val="center"/>
          </w:tcPr>
          <w:p>
            <w:pPr>
              <w:pStyle w:val="0"/>
              <w:jc w:val="center"/>
            </w:pPr>
            <w:r>
              <w:rPr>
                <w:sz w:val="20"/>
              </w:rPr>
              <w:t xml:space="preserve">545</w:t>
            </w:r>
          </w:p>
        </w:tc>
        <w:tc>
          <w:tcPr>
            <w:tcW w:w="907" w:type="dxa"/>
            <w:vAlign w:val="center"/>
          </w:tcPr>
          <w:p>
            <w:pPr>
              <w:pStyle w:val="0"/>
              <w:jc w:val="center"/>
            </w:pPr>
            <w:r>
              <w:rPr>
                <w:sz w:val="20"/>
              </w:rPr>
              <w:t xml:space="preserve">510</w:t>
            </w:r>
          </w:p>
        </w:tc>
        <w:tc>
          <w:tcPr>
            <w:tcW w:w="907" w:type="dxa"/>
            <w:vAlign w:val="center"/>
          </w:tcPr>
          <w:p>
            <w:pPr>
              <w:pStyle w:val="0"/>
              <w:jc w:val="center"/>
            </w:pPr>
            <w:r>
              <w:rPr>
                <w:sz w:val="20"/>
              </w:rPr>
              <w:t xml:space="preserve">465</w:t>
            </w:r>
          </w:p>
        </w:tc>
        <w:tc>
          <w:tcPr>
            <w:tcW w:w="907" w:type="dxa"/>
            <w:vAlign w:val="center"/>
          </w:tcPr>
          <w:p>
            <w:pPr>
              <w:pStyle w:val="0"/>
              <w:jc w:val="center"/>
            </w:pPr>
            <w:r>
              <w:rPr>
                <w:sz w:val="20"/>
              </w:rPr>
              <w:t xml:space="preserve">393</w:t>
            </w:r>
          </w:p>
        </w:tc>
        <w:tc>
          <w:tcPr>
            <w:tcW w:w="907" w:type="dxa"/>
            <w:vAlign w:val="center"/>
          </w:tcPr>
          <w:p>
            <w:pPr>
              <w:pStyle w:val="0"/>
              <w:jc w:val="center"/>
            </w:pPr>
            <w:r>
              <w:rPr>
                <w:sz w:val="20"/>
              </w:rPr>
              <w:t xml:space="preserve">322</w:t>
            </w:r>
          </w:p>
        </w:tc>
        <w:tc>
          <w:tcPr>
            <w:tcW w:w="907" w:type="dxa"/>
            <w:vAlign w:val="center"/>
          </w:tcPr>
          <w:p>
            <w:pPr>
              <w:pStyle w:val="0"/>
              <w:jc w:val="center"/>
            </w:pPr>
            <w:r>
              <w:rPr>
                <w:sz w:val="20"/>
              </w:rPr>
              <w:t xml:space="preserve">288</w:t>
            </w:r>
          </w:p>
        </w:tc>
      </w:tr>
      <w:tr>
        <w:tc>
          <w:tcPr>
            <w:tcW w:w="510" w:type="dxa"/>
            <w:vAlign w:val="center"/>
          </w:tcPr>
          <w:p>
            <w:pPr>
              <w:pStyle w:val="0"/>
              <w:jc w:val="center"/>
            </w:pPr>
            <w:r>
              <w:rPr>
                <w:sz w:val="20"/>
              </w:rPr>
              <w:t xml:space="preserve">11</w:t>
            </w:r>
          </w:p>
        </w:tc>
        <w:tc>
          <w:tcPr>
            <w:tcW w:w="3118" w:type="dxa"/>
            <w:vAlign w:val="center"/>
          </w:tcPr>
          <w:p>
            <w:pPr>
              <w:pStyle w:val="0"/>
            </w:pPr>
            <w:r>
              <w:rPr>
                <w:sz w:val="20"/>
              </w:rPr>
              <w:t xml:space="preserve">Деятельность гостиниц и предприятий общественного питания</w:t>
            </w:r>
          </w:p>
        </w:tc>
        <w:tc>
          <w:tcPr>
            <w:tcW w:w="907" w:type="dxa"/>
            <w:vAlign w:val="center"/>
          </w:tcPr>
          <w:p>
            <w:pPr>
              <w:pStyle w:val="0"/>
              <w:jc w:val="center"/>
            </w:pPr>
            <w:r>
              <w:rPr>
                <w:sz w:val="20"/>
              </w:rPr>
              <w:t xml:space="preserve">438</w:t>
            </w:r>
          </w:p>
        </w:tc>
        <w:tc>
          <w:tcPr>
            <w:tcW w:w="907" w:type="dxa"/>
            <w:vAlign w:val="center"/>
          </w:tcPr>
          <w:p>
            <w:pPr>
              <w:pStyle w:val="0"/>
              <w:jc w:val="center"/>
            </w:pPr>
            <w:r>
              <w:rPr>
                <w:sz w:val="20"/>
              </w:rPr>
              <w:t xml:space="preserve">412</w:t>
            </w:r>
          </w:p>
        </w:tc>
        <w:tc>
          <w:tcPr>
            <w:tcW w:w="907" w:type="dxa"/>
            <w:vAlign w:val="center"/>
          </w:tcPr>
          <w:p>
            <w:pPr>
              <w:pStyle w:val="0"/>
              <w:jc w:val="center"/>
            </w:pPr>
            <w:r>
              <w:rPr>
                <w:sz w:val="20"/>
              </w:rPr>
              <w:t xml:space="preserve">370</w:t>
            </w:r>
          </w:p>
        </w:tc>
        <w:tc>
          <w:tcPr>
            <w:tcW w:w="907" w:type="dxa"/>
            <w:vAlign w:val="center"/>
          </w:tcPr>
          <w:p>
            <w:pPr>
              <w:pStyle w:val="0"/>
              <w:jc w:val="center"/>
            </w:pPr>
            <w:r>
              <w:rPr>
                <w:sz w:val="20"/>
              </w:rPr>
              <w:t xml:space="preserve">311</w:t>
            </w:r>
          </w:p>
        </w:tc>
        <w:tc>
          <w:tcPr>
            <w:tcW w:w="907" w:type="dxa"/>
            <w:vAlign w:val="center"/>
          </w:tcPr>
          <w:p>
            <w:pPr>
              <w:pStyle w:val="0"/>
              <w:jc w:val="center"/>
            </w:pPr>
            <w:r>
              <w:rPr>
                <w:sz w:val="20"/>
              </w:rPr>
              <w:t xml:space="preserve">274</w:t>
            </w:r>
          </w:p>
        </w:tc>
        <w:tc>
          <w:tcPr>
            <w:tcW w:w="907" w:type="dxa"/>
            <w:vAlign w:val="center"/>
          </w:tcPr>
          <w:p>
            <w:pPr>
              <w:pStyle w:val="0"/>
              <w:jc w:val="center"/>
            </w:pPr>
            <w:r>
              <w:rPr>
                <w:sz w:val="20"/>
              </w:rPr>
              <w:t xml:space="preserve">254</w:t>
            </w:r>
          </w:p>
        </w:tc>
      </w:tr>
      <w:tr>
        <w:tc>
          <w:tcPr>
            <w:tcW w:w="510" w:type="dxa"/>
            <w:vAlign w:val="center"/>
          </w:tcPr>
          <w:p>
            <w:pPr>
              <w:pStyle w:val="0"/>
              <w:jc w:val="center"/>
            </w:pPr>
            <w:r>
              <w:rPr>
                <w:sz w:val="20"/>
              </w:rPr>
              <w:t xml:space="preserve">12</w:t>
            </w:r>
          </w:p>
        </w:tc>
        <w:tc>
          <w:tcPr>
            <w:tcW w:w="3118" w:type="dxa"/>
            <w:vAlign w:val="center"/>
          </w:tcPr>
          <w:p>
            <w:pPr>
              <w:pStyle w:val="0"/>
            </w:pPr>
            <w:r>
              <w:rPr>
                <w:sz w:val="20"/>
              </w:rPr>
              <w:t xml:space="preserve">Предоставление прочих видов услуг</w:t>
            </w:r>
          </w:p>
        </w:tc>
        <w:tc>
          <w:tcPr>
            <w:tcW w:w="907" w:type="dxa"/>
            <w:vAlign w:val="center"/>
          </w:tcPr>
          <w:p>
            <w:pPr>
              <w:pStyle w:val="0"/>
              <w:jc w:val="center"/>
            </w:pPr>
            <w:r>
              <w:rPr>
                <w:sz w:val="20"/>
              </w:rPr>
              <w:t xml:space="preserve">322</w:t>
            </w:r>
          </w:p>
        </w:tc>
        <w:tc>
          <w:tcPr>
            <w:tcW w:w="907" w:type="dxa"/>
            <w:vAlign w:val="center"/>
          </w:tcPr>
          <w:p>
            <w:pPr>
              <w:pStyle w:val="0"/>
              <w:jc w:val="center"/>
            </w:pPr>
            <w:r>
              <w:rPr>
                <w:sz w:val="20"/>
              </w:rPr>
              <w:t xml:space="preserve">276</w:t>
            </w:r>
          </w:p>
        </w:tc>
        <w:tc>
          <w:tcPr>
            <w:tcW w:w="907" w:type="dxa"/>
            <w:vAlign w:val="center"/>
          </w:tcPr>
          <w:p>
            <w:pPr>
              <w:pStyle w:val="0"/>
              <w:jc w:val="center"/>
            </w:pPr>
            <w:r>
              <w:rPr>
                <w:sz w:val="20"/>
              </w:rPr>
              <w:t xml:space="preserve">257</w:t>
            </w:r>
          </w:p>
        </w:tc>
        <w:tc>
          <w:tcPr>
            <w:tcW w:w="907" w:type="dxa"/>
            <w:vAlign w:val="center"/>
          </w:tcPr>
          <w:p>
            <w:pPr>
              <w:pStyle w:val="0"/>
              <w:jc w:val="center"/>
            </w:pPr>
            <w:r>
              <w:rPr>
                <w:sz w:val="20"/>
              </w:rPr>
              <w:t xml:space="preserve">223</w:t>
            </w:r>
          </w:p>
        </w:tc>
        <w:tc>
          <w:tcPr>
            <w:tcW w:w="907" w:type="dxa"/>
            <w:vAlign w:val="center"/>
          </w:tcPr>
          <w:p>
            <w:pPr>
              <w:pStyle w:val="0"/>
              <w:jc w:val="center"/>
            </w:pPr>
            <w:r>
              <w:rPr>
                <w:sz w:val="20"/>
              </w:rPr>
              <w:t xml:space="preserve">192</w:t>
            </w:r>
          </w:p>
        </w:tc>
        <w:tc>
          <w:tcPr>
            <w:tcW w:w="907" w:type="dxa"/>
            <w:vAlign w:val="center"/>
          </w:tcPr>
          <w:p>
            <w:pPr>
              <w:pStyle w:val="0"/>
              <w:jc w:val="center"/>
            </w:pPr>
            <w:r>
              <w:rPr>
                <w:sz w:val="20"/>
              </w:rPr>
              <w:t xml:space="preserve">169</w:t>
            </w:r>
          </w:p>
        </w:tc>
      </w:tr>
      <w:tr>
        <w:tc>
          <w:tcPr>
            <w:tcW w:w="510" w:type="dxa"/>
            <w:vAlign w:val="center"/>
          </w:tcPr>
          <w:p>
            <w:pPr>
              <w:pStyle w:val="0"/>
              <w:jc w:val="center"/>
            </w:pPr>
            <w:r>
              <w:rPr>
                <w:sz w:val="20"/>
              </w:rPr>
              <w:t xml:space="preserve">13</w:t>
            </w:r>
          </w:p>
        </w:tc>
        <w:tc>
          <w:tcPr>
            <w:tcW w:w="3118" w:type="dxa"/>
            <w:vAlign w:val="center"/>
          </w:tcPr>
          <w:p>
            <w:pPr>
              <w:pStyle w:val="0"/>
            </w:pPr>
            <w:r>
              <w:rPr>
                <w:sz w:val="20"/>
              </w:rPr>
              <w:t xml:space="preserve">Деятельность по операциям с недвижимым имуществом</w:t>
            </w:r>
          </w:p>
        </w:tc>
        <w:tc>
          <w:tcPr>
            <w:tcW w:w="907" w:type="dxa"/>
            <w:vAlign w:val="center"/>
          </w:tcPr>
          <w:p>
            <w:pPr>
              <w:pStyle w:val="0"/>
              <w:jc w:val="center"/>
            </w:pPr>
            <w:r>
              <w:rPr>
                <w:sz w:val="20"/>
              </w:rPr>
              <w:t xml:space="preserve">296</w:t>
            </w:r>
          </w:p>
        </w:tc>
        <w:tc>
          <w:tcPr>
            <w:tcW w:w="907" w:type="dxa"/>
            <w:vAlign w:val="center"/>
          </w:tcPr>
          <w:p>
            <w:pPr>
              <w:pStyle w:val="0"/>
              <w:jc w:val="center"/>
            </w:pPr>
            <w:r>
              <w:rPr>
                <w:sz w:val="20"/>
              </w:rPr>
              <w:t xml:space="preserve">263</w:t>
            </w:r>
          </w:p>
        </w:tc>
        <w:tc>
          <w:tcPr>
            <w:tcW w:w="907" w:type="dxa"/>
            <w:vAlign w:val="center"/>
          </w:tcPr>
          <w:p>
            <w:pPr>
              <w:pStyle w:val="0"/>
              <w:jc w:val="center"/>
            </w:pPr>
            <w:r>
              <w:rPr>
                <w:sz w:val="20"/>
              </w:rPr>
              <w:t xml:space="preserve">200</w:t>
            </w:r>
          </w:p>
        </w:tc>
        <w:tc>
          <w:tcPr>
            <w:tcW w:w="907" w:type="dxa"/>
            <w:vAlign w:val="center"/>
          </w:tcPr>
          <w:p>
            <w:pPr>
              <w:pStyle w:val="0"/>
              <w:jc w:val="center"/>
            </w:pPr>
            <w:r>
              <w:rPr>
                <w:sz w:val="20"/>
              </w:rPr>
              <w:t xml:space="preserve">167</w:t>
            </w:r>
          </w:p>
        </w:tc>
        <w:tc>
          <w:tcPr>
            <w:tcW w:w="907" w:type="dxa"/>
            <w:vAlign w:val="center"/>
          </w:tcPr>
          <w:p>
            <w:pPr>
              <w:pStyle w:val="0"/>
              <w:jc w:val="center"/>
            </w:pPr>
            <w:r>
              <w:rPr>
                <w:sz w:val="20"/>
              </w:rPr>
              <w:t xml:space="preserve">105</w:t>
            </w:r>
          </w:p>
        </w:tc>
        <w:tc>
          <w:tcPr>
            <w:tcW w:w="907" w:type="dxa"/>
            <w:vAlign w:val="center"/>
          </w:tcPr>
          <w:p>
            <w:pPr>
              <w:pStyle w:val="0"/>
              <w:jc w:val="center"/>
            </w:pPr>
            <w:r>
              <w:rPr>
                <w:sz w:val="20"/>
              </w:rPr>
              <w:t xml:space="preserve">97</w:t>
            </w:r>
          </w:p>
        </w:tc>
      </w:tr>
      <w:tr>
        <w:tc>
          <w:tcPr>
            <w:tcW w:w="510" w:type="dxa"/>
            <w:vAlign w:val="center"/>
          </w:tcPr>
          <w:p>
            <w:pPr>
              <w:pStyle w:val="0"/>
              <w:jc w:val="center"/>
            </w:pPr>
            <w:r>
              <w:rPr>
                <w:sz w:val="20"/>
              </w:rPr>
              <w:t xml:space="preserve">14</w:t>
            </w:r>
          </w:p>
        </w:tc>
        <w:tc>
          <w:tcPr>
            <w:tcW w:w="3118" w:type="dxa"/>
            <w:vAlign w:val="center"/>
          </w:tcPr>
          <w:p>
            <w:pPr>
              <w:pStyle w:val="0"/>
            </w:pPr>
            <w:r>
              <w:rPr>
                <w:sz w:val="20"/>
              </w:rPr>
              <w:t xml:space="preserve">Деятельность финансовая и страховая</w:t>
            </w:r>
          </w:p>
        </w:tc>
        <w:tc>
          <w:tcPr>
            <w:tcW w:w="907" w:type="dxa"/>
            <w:vAlign w:val="center"/>
          </w:tcPr>
          <w:p>
            <w:pPr>
              <w:pStyle w:val="0"/>
              <w:jc w:val="center"/>
            </w:pPr>
            <w:r>
              <w:rPr>
                <w:sz w:val="20"/>
              </w:rPr>
              <w:t xml:space="preserve">268</w:t>
            </w:r>
          </w:p>
        </w:tc>
        <w:tc>
          <w:tcPr>
            <w:tcW w:w="907" w:type="dxa"/>
            <w:vAlign w:val="center"/>
          </w:tcPr>
          <w:p>
            <w:pPr>
              <w:pStyle w:val="0"/>
              <w:jc w:val="center"/>
            </w:pPr>
            <w:r>
              <w:rPr>
                <w:sz w:val="20"/>
              </w:rPr>
              <w:t xml:space="preserve">225</w:t>
            </w:r>
          </w:p>
        </w:tc>
        <w:tc>
          <w:tcPr>
            <w:tcW w:w="907" w:type="dxa"/>
            <w:vAlign w:val="center"/>
          </w:tcPr>
          <w:p>
            <w:pPr>
              <w:pStyle w:val="0"/>
              <w:jc w:val="center"/>
            </w:pPr>
            <w:r>
              <w:rPr>
                <w:sz w:val="20"/>
              </w:rPr>
              <w:t xml:space="preserve">199</w:t>
            </w:r>
          </w:p>
        </w:tc>
        <w:tc>
          <w:tcPr>
            <w:tcW w:w="907" w:type="dxa"/>
            <w:vAlign w:val="center"/>
          </w:tcPr>
          <w:p>
            <w:pPr>
              <w:pStyle w:val="0"/>
              <w:jc w:val="center"/>
            </w:pPr>
            <w:r>
              <w:rPr>
                <w:sz w:val="20"/>
              </w:rPr>
              <w:t xml:space="preserve">166</w:t>
            </w:r>
          </w:p>
        </w:tc>
        <w:tc>
          <w:tcPr>
            <w:tcW w:w="907" w:type="dxa"/>
            <w:vAlign w:val="center"/>
          </w:tcPr>
          <w:p>
            <w:pPr>
              <w:pStyle w:val="0"/>
              <w:jc w:val="center"/>
            </w:pPr>
            <w:r>
              <w:rPr>
                <w:sz w:val="20"/>
              </w:rPr>
              <w:t xml:space="preserve">108</w:t>
            </w:r>
          </w:p>
        </w:tc>
        <w:tc>
          <w:tcPr>
            <w:tcW w:w="907" w:type="dxa"/>
            <w:vAlign w:val="center"/>
          </w:tcPr>
          <w:p>
            <w:pPr>
              <w:pStyle w:val="0"/>
              <w:jc w:val="center"/>
            </w:pPr>
            <w:r>
              <w:rPr>
                <w:sz w:val="20"/>
              </w:rPr>
              <w:t xml:space="preserve">83</w:t>
            </w:r>
          </w:p>
        </w:tc>
      </w:tr>
      <w:tr>
        <w:tc>
          <w:tcPr>
            <w:tcW w:w="510" w:type="dxa"/>
            <w:vAlign w:val="center"/>
          </w:tcPr>
          <w:p>
            <w:pPr>
              <w:pStyle w:val="0"/>
              <w:jc w:val="center"/>
            </w:pPr>
            <w:r>
              <w:rPr>
                <w:sz w:val="20"/>
              </w:rPr>
              <w:t xml:space="preserve">15</w:t>
            </w:r>
          </w:p>
        </w:tc>
        <w:tc>
          <w:tcPr>
            <w:tcW w:w="3118" w:type="dxa"/>
            <w:vAlign w:val="center"/>
          </w:tcPr>
          <w:p>
            <w:pPr>
              <w:pStyle w:val="0"/>
            </w:pPr>
            <w:r>
              <w:rPr>
                <w:sz w:val="20"/>
              </w:rPr>
              <w:t xml:space="preserve">Обеспечение электрической энергией, газом и паром; кондиционирование воздуха</w:t>
            </w:r>
          </w:p>
        </w:tc>
        <w:tc>
          <w:tcPr>
            <w:tcW w:w="907" w:type="dxa"/>
            <w:vAlign w:val="center"/>
          </w:tcPr>
          <w:p>
            <w:pPr>
              <w:pStyle w:val="0"/>
              <w:jc w:val="center"/>
            </w:pPr>
            <w:r>
              <w:rPr>
                <w:sz w:val="20"/>
              </w:rPr>
              <w:t xml:space="preserve">243</w:t>
            </w:r>
          </w:p>
        </w:tc>
        <w:tc>
          <w:tcPr>
            <w:tcW w:w="907" w:type="dxa"/>
            <w:vAlign w:val="center"/>
          </w:tcPr>
          <w:p>
            <w:pPr>
              <w:pStyle w:val="0"/>
              <w:jc w:val="center"/>
            </w:pPr>
            <w:r>
              <w:rPr>
                <w:sz w:val="20"/>
              </w:rPr>
              <w:t xml:space="preserve">228</w:t>
            </w:r>
          </w:p>
        </w:tc>
        <w:tc>
          <w:tcPr>
            <w:tcW w:w="907" w:type="dxa"/>
            <w:vAlign w:val="center"/>
          </w:tcPr>
          <w:p>
            <w:pPr>
              <w:pStyle w:val="0"/>
              <w:jc w:val="center"/>
            </w:pPr>
            <w:r>
              <w:rPr>
                <w:sz w:val="20"/>
              </w:rPr>
              <w:t xml:space="preserve">184</w:t>
            </w:r>
          </w:p>
        </w:tc>
        <w:tc>
          <w:tcPr>
            <w:tcW w:w="907" w:type="dxa"/>
            <w:vAlign w:val="center"/>
          </w:tcPr>
          <w:p>
            <w:pPr>
              <w:pStyle w:val="0"/>
              <w:jc w:val="center"/>
            </w:pPr>
            <w:r>
              <w:rPr>
                <w:sz w:val="20"/>
              </w:rPr>
              <w:t xml:space="preserve">134</w:t>
            </w:r>
          </w:p>
        </w:tc>
        <w:tc>
          <w:tcPr>
            <w:tcW w:w="907" w:type="dxa"/>
            <w:vAlign w:val="center"/>
          </w:tcPr>
          <w:p>
            <w:pPr>
              <w:pStyle w:val="0"/>
              <w:jc w:val="center"/>
            </w:pPr>
            <w:r>
              <w:rPr>
                <w:sz w:val="20"/>
              </w:rPr>
              <w:t xml:space="preserve">101</w:t>
            </w:r>
          </w:p>
        </w:tc>
        <w:tc>
          <w:tcPr>
            <w:tcW w:w="907" w:type="dxa"/>
            <w:vAlign w:val="center"/>
          </w:tcPr>
          <w:p>
            <w:pPr>
              <w:pStyle w:val="0"/>
              <w:jc w:val="center"/>
            </w:pPr>
            <w:r>
              <w:rPr>
                <w:sz w:val="20"/>
              </w:rPr>
              <w:t xml:space="preserve">89</w:t>
            </w:r>
          </w:p>
        </w:tc>
      </w:tr>
      <w:tr>
        <w:tc>
          <w:tcPr>
            <w:tcW w:w="510" w:type="dxa"/>
            <w:vAlign w:val="center"/>
          </w:tcPr>
          <w:p>
            <w:pPr>
              <w:pStyle w:val="0"/>
              <w:jc w:val="center"/>
            </w:pPr>
            <w:r>
              <w:rPr>
                <w:sz w:val="20"/>
              </w:rPr>
              <w:t xml:space="preserve">16</w:t>
            </w:r>
          </w:p>
        </w:tc>
        <w:tc>
          <w:tcPr>
            <w:tcW w:w="3118" w:type="dxa"/>
            <w:vAlign w:val="center"/>
          </w:tcPr>
          <w:p>
            <w:pPr>
              <w:pStyle w:val="0"/>
            </w:pPr>
            <w:r>
              <w:rPr>
                <w:sz w:val="20"/>
              </w:rPr>
              <w:t xml:space="preserve">Деятельность в области информации и связи</w:t>
            </w:r>
          </w:p>
        </w:tc>
        <w:tc>
          <w:tcPr>
            <w:tcW w:w="907" w:type="dxa"/>
            <w:vAlign w:val="center"/>
          </w:tcPr>
          <w:p>
            <w:pPr>
              <w:pStyle w:val="0"/>
              <w:jc w:val="center"/>
            </w:pPr>
            <w:r>
              <w:rPr>
                <w:sz w:val="20"/>
              </w:rPr>
              <w:t xml:space="preserve">155</w:t>
            </w:r>
          </w:p>
        </w:tc>
        <w:tc>
          <w:tcPr>
            <w:tcW w:w="907" w:type="dxa"/>
            <w:vAlign w:val="center"/>
          </w:tcPr>
          <w:p>
            <w:pPr>
              <w:pStyle w:val="0"/>
              <w:jc w:val="center"/>
            </w:pPr>
            <w:r>
              <w:rPr>
                <w:sz w:val="20"/>
              </w:rPr>
              <w:t xml:space="preserve">132</w:t>
            </w:r>
          </w:p>
        </w:tc>
        <w:tc>
          <w:tcPr>
            <w:tcW w:w="907" w:type="dxa"/>
            <w:vAlign w:val="center"/>
          </w:tcPr>
          <w:p>
            <w:pPr>
              <w:pStyle w:val="0"/>
              <w:jc w:val="center"/>
            </w:pPr>
            <w:r>
              <w:rPr>
                <w:sz w:val="20"/>
              </w:rPr>
              <w:t xml:space="preserve">118</w:t>
            </w:r>
          </w:p>
        </w:tc>
        <w:tc>
          <w:tcPr>
            <w:tcW w:w="907" w:type="dxa"/>
            <w:vAlign w:val="center"/>
          </w:tcPr>
          <w:p>
            <w:pPr>
              <w:pStyle w:val="0"/>
              <w:jc w:val="center"/>
            </w:pPr>
            <w:r>
              <w:rPr>
                <w:sz w:val="20"/>
              </w:rPr>
              <w:t xml:space="preserve">99</w:t>
            </w:r>
          </w:p>
        </w:tc>
        <w:tc>
          <w:tcPr>
            <w:tcW w:w="907" w:type="dxa"/>
            <w:vAlign w:val="center"/>
          </w:tcPr>
          <w:p>
            <w:pPr>
              <w:pStyle w:val="0"/>
              <w:jc w:val="center"/>
            </w:pPr>
            <w:r>
              <w:rPr>
                <w:sz w:val="20"/>
              </w:rPr>
              <w:t xml:space="preserve">73</w:t>
            </w:r>
          </w:p>
        </w:tc>
        <w:tc>
          <w:tcPr>
            <w:tcW w:w="907" w:type="dxa"/>
            <w:vAlign w:val="center"/>
          </w:tcPr>
          <w:p>
            <w:pPr>
              <w:pStyle w:val="0"/>
              <w:jc w:val="center"/>
            </w:pPr>
            <w:r>
              <w:rPr>
                <w:sz w:val="20"/>
              </w:rPr>
              <w:t xml:space="preserve">75</w:t>
            </w:r>
          </w:p>
        </w:tc>
      </w:tr>
      <w:tr>
        <w:tc>
          <w:tcPr>
            <w:tcW w:w="510" w:type="dxa"/>
            <w:vAlign w:val="center"/>
          </w:tcPr>
          <w:p>
            <w:pPr>
              <w:pStyle w:val="0"/>
              <w:jc w:val="center"/>
            </w:pPr>
            <w:r>
              <w:rPr>
                <w:sz w:val="20"/>
              </w:rPr>
              <w:t xml:space="preserve">17</w:t>
            </w:r>
          </w:p>
        </w:tc>
        <w:tc>
          <w:tcPr>
            <w:tcW w:w="3118" w:type="dxa"/>
            <w:vAlign w:val="center"/>
          </w:tcPr>
          <w:p>
            <w:pPr>
              <w:pStyle w:val="0"/>
            </w:pPr>
            <w:r>
              <w:rPr>
                <w:sz w:val="20"/>
              </w:rPr>
              <w:t xml:space="preserve">Деятельность в области культуры, спорта, организации досуга и развлечений</w:t>
            </w:r>
          </w:p>
        </w:tc>
        <w:tc>
          <w:tcPr>
            <w:tcW w:w="907" w:type="dxa"/>
            <w:vAlign w:val="center"/>
          </w:tcPr>
          <w:p>
            <w:pPr>
              <w:pStyle w:val="0"/>
              <w:jc w:val="center"/>
            </w:pPr>
            <w:r>
              <w:rPr>
                <w:sz w:val="20"/>
              </w:rPr>
              <w:t xml:space="preserve">124</w:t>
            </w:r>
          </w:p>
        </w:tc>
        <w:tc>
          <w:tcPr>
            <w:tcW w:w="907" w:type="dxa"/>
            <w:vAlign w:val="center"/>
          </w:tcPr>
          <w:p>
            <w:pPr>
              <w:pStyle w:val="0"/>
              <w:jc w:val="center"/>
            </w:pPr>
            <w:r>
              <w:rPr>
                <w:sz w:val="20"/>
              </w:rPr>
              <w:t xml:space="preserve">108</w:t>
            </w:r>
          </w:p>
        </w:tc>
        <w:tc>
          <w:tcPr>
            <w:tcW w:w="907" w:type="dxa"/>
            <w:vAlign w:val="center"/>
          </w:tcPr>
          <w:p>
            <w:pPr>
              <w:pStyle w:val="0"/>
              <w:jc w:val="center"/>
            </w:pPr>
            <w:r>
              <w:rPr>
                <w:sz w:val="20"/>
              </w:rPr>
              <w:t xml:space="preserve">96</w:t>
            </w:r>
          </w:p>
        </w:tc>
        <w:tc>
          <w:tcPr>
            <w:tcW w:w="907" w:type="dxa"/>
            <w:vAlign w:val="center"/>
          </w:tcPr>
          <w:p>
            <w:pPr>
              <w:pStyle w:val="0"/>
              <w:jc w:val="center"/>
            </w:pPr>
            <w:r>
              <w:rPr>
                <w:sz w:val="20"/>
              </w:rPr>
              <w:t xml:space="preserve">82</w:t>
            </w:r>
          </w:p>
        </w:tc>
        <w:tc>
          <w:tcPr>
            <w:tcW w:w="907" w:type="dxa"/>
            <w:vAlign w:val="center"/>
          </w:tcPr>
          <w:p>
            <w:pPr>
              <w:pStyle w:val="0"/>
              <w:jc w:val="center"/>
            </w:pPr>
            <w:r>
              <w:rPr>
                <w:sz w:val="20"/>
              </w:rPr>
              <w:t xml:space="preserve">70</w:t>
            </w:r>
          </w:p>
        </w:tc>
        <w:tc>
          <w:tcPr>
            <w:tcW w:w="907" w:type="dxa"/>
            <w:vAlign w:val="center"/>
          </w:tcPr>
          <w:p>
            <w:pPr>
              <w:pStyle w:val="0"/>
              <w:jc w:val="center"/>
            </w:pPr>
            <w:r>
              <w:rPr>
                <w:sz w:val="20"/>
              </w:rPr>
              <w:t xml:space="preserve">61</w:t>
            </w:r>
          </w:p>
        </w:tc>
      </w:tr>
      <w:tr>
        <w:tc>
          <w:tcPr>
            <w:tcW w:w="510" w:type="dxa"/>
            <w:vAlign w:val="center"/>
          </w:tcPr>
          <w:p>
            <w:pPr>
              <w:pStyle w:val="0"/>
              <w:jc w:val="center"/>
            </w:pPr>
            <w:r>
              <w:rPr>
                <w:sz w:val="20"/>
              </w:rPr>
              <w:t xml:space="preserve">18</w:t>
            </w:r>
          </w:p>
        </w:tc>
        <w:tc>
          <w:tcPr>
            <w:tcW w:w="3118" w:type="dxa"/>
            <w:vAlign w:val="center"/>
          </w:tcPr>
          <w:p>
            <w:pPr>
              <w:pStyle w:val="0"/>
            </w:pPr>
            <w:r>
              <w:rPr>
                <w:sz w:val="20"/>
              </w:rPr>
              <w:t xml:space="preserve">Водоснабжение; водоотведение; организация сбора и утилизации отходов; деятельность по ликвидации загрязнений</w:t>
            </w:r>
          </w:p>
        </w:tc>
        <w:tc>
          <w:tcPr>
            <w:tcW w:w="907" w:type="dxa"/>
            <w:vAlign w:val="center"/>
          </w:tcPr>
          <w:p>
            <w:pPr>
              <w:pStyle w:val="0"/>
              <w:jc w:val="center"/>
            </w:pPr>
            <w:r>
              <w:rPr>
                <w:sz w:val="20"/>
              </w:rPr>
              <w:t xml:space="preserve">57</w:t>
            </w:r>
          </w:p>
        </w:tc>
        <w:tc>
          <w:tcPr>
            <w:tcW w:w="907" w:type="dxa"/>
            <w:vAlign w:val="center"/>
          </w:tcPr>
          <w:p>
            <w:pPr>
              <w:pStyle w:val="0"/>
              <w:jc w:val="center"/>
            </w:pPr>
            <w:r>
              <w:rPr>
                <w:sz w:val="20"/>
              </w:rPr>
              <w:t xml:space="preserve">50</w:t>
            </w:r>
          </w:p>
        </w:tc>
        <w:tc>
          <w:tcPr>
            <w:tcW w:w="907" w:type="dxa"/>
            <w:vAlign w:val="center"/>
          </w:tcPr>
          <w:p>
            <w:pPr>
              <w:pStyle w:val="0"/>
              <w:jc w:val="center"/>
            </w:pPr>
            <w:r>
              <w:rPr>
                <w:sz w:val="20"/>
              </w:rPr>
              <w:t xml:space="preserve">44</w:t>
            </w:r>
          </w:p>
        </w:tc>
        <w:tc>
          <w:tcPr>
            <w:tcW w:w="907" w:type="dxa"/>
            <w:vAlign w:val="center"/>
          </w:tcPr>
          <w:p>
            <w:pPr>
              <w:pStyle w:val="0"/>
              <w:jc w:val="center"/>
            </w:pPr>
            <w:r>
              <w:rPr>
                <w:sz w:val="20"/>
              </w:rPr>
              <w:t xml:space="preserve">40</w:t>
            </w:r>
          </w:p>
        </w:tc>
        <w:tc>
          <w:tcPr>
            <w:tcW w:w="907" w:type="dxa"/>
            <w:vAlign w:val="center"/>
          </w:tcPr>
          <w:p>
            <w:pPr>
              <w:pStyle w:val="0"/>
              <w:jc w:val="center"/>
            </w:pPr>
            <w:r>
              <w:rPr>
                <w:sz w:val="20"/>
              </w:rPr>
              <w:t xml:space="preserve">36</w:t>
            </w:r>
          </w:p>
        </w:tc>
        <w:tc>
          <w:tcPr>
            <w:tcW w:w="907" w:type="dxa"/>
            <w:vAlign w:val="center"/>
          </w:tcPr>
          <w:p>
            <w:pPr>
              <w:pStyle w:val="0"/>
              <w:jc w:val="center"/>
            </w:pPr>
            <w:r>
              <w:rPr>
                <w:sz w:val="20"/>
              </w:rPr>
              <w:t xml:space="preserve">30</w:t>
            </w:r>
          </w:p>
        </w:tc>
      </w:tr>
      <w:tr>
        <w:tc>
          <w:tcPr>
            <w:tcW w:w="510" w:type="dxa"/>
            <w:vAlign w:val="center"/>
          </w:tcPr>
          <w:p>
            <w:pPr>
              <w:pStyle w:val="0"/>
              <w:jc w:val="center"/>
            </w:pPr>
            <w:r>
              <w:rPr>
                <w:sz w:val="20"/>
              </w:rPr>
              <w:t xml:space="preserve">19</w:t>
            </w:r>
          </w:p>
        </w:tc>
        <w:tc>
          <w:tcPr>
            <w:tcW w:w="3118" w:type="dxa"/>
            <w:vAlign w:val="center"/>
          </w:tcPr>
          <w:p>
            <w:pPr>
              <w:pStyle w:val="0"/>
            </w:pPr>
            <w:r>
              <w:rPr>
                <w:sz w:val="20"/>
              </w:rPr>
              <w:t xml:space="preserve">Добыча полезных ископаемых</w:t>
            </w:r>
          </w:p>
        </w:tc>
        <w:tc>
          <w:tcPr>
            <w:tcW w:w="907" w:type="dxa"/>
            <w:vAlign w:val="center"/>
          </w:tcPr>
          <w:p>
            <w:pPr>
              <w:pStyle w:val="0"/>
              <w:jc w:val="center"/>
            </w:pPr>
            <w:r>
              <w:rPr>
                <w:sz w:val="20"/>
              </w:rPr>
              <w:t xml:space="preserve">48</w:t>
            </w:r>
          </w:p>
        </w:tc>
        <w:tc>
          <w:tcPr>
            <w:tcW w:w="907" w:type="dxa"/>
            <w:vAlign w:val="center"/>
          </w:tcPr>
          <w:p>
            <w:pPr>
              <w:pStyle w:val="0"/>
              <w:jc w:val="center"/>
            </w:pPr>
            <w:r>
              <w:rPr>
                <w:sz w:val="20"/>
              </w:rPr>
              <w:t xml:space="preserve">42</w:t>
            </w:r>
          </w:p>
        </w:tc>
        <w:tc>
          <w:tcPr>
            <w:tcW w:w="907" w:type="dxa"/>
            <w:vAlign w:val="center"/>
          </w:tcPr>
          <w:p>
            <w:pPr>
              <w:pStyle w:val="0"/>
              <w:jc w:val="center"/>
            </w:pPr>
            <w:r>
              <w:rPr>
                <w:sz w:val="20"/>
              </w:rPr>
              <w:t xml:space="preserve">35</w:t>
            </w:r>
          </w:p>
        </w:tc>
        <w:tc>
          <w:tcPr>
            <w:tcW w:w="907" w:type="dxa"/>
            <w:vAlign w:val="center"/>
          </w:tcPr>
          <w:p>
            <w:pPr>
              <w:pStyle w:val="0"/>
              <w:jc w:val="center"/>
            </w:pPr>
            <w:r>
              <w:rPr>
                <w:sz w:val="20"/>
              </w:rPr>
              <w:t xml:space="preserve">32</w:t>
            </w:r>
          </w:p>
        </w:tc>
        <w:tc>
          <w:tcPr>
            <w:tcW w:w="907" w:type="dxa"/>
            <w:vAlign w:val="center"/>
          </w:tcPr>
          <w:p>
            <w:pPr>
              <w:pStyle w:val="0"/>
              <w:jc w:val="center"/>
            </w:pPr>
            <w:r>
              <w:rPr>
                <w:sz w:val="20"/>
              </w:rPr>
              <w:t xml:space="preserve">28</w:t>
            </w:r>
          </w:p>
        </w:tc>
        <w:tc>
          <w:tcPr>
            <w:tcW w:w="907" w:type="dxa"/>
            <w:vAlign w:val="center"/>
          </w:tcPr>
          <w:p>
            <w:pPr>
              <w:pStyle w:val="0"/>
              <w:jc w:val="center"/>
            </w:pPr>
            <w:r>
              <w:rPr>
                <w:sz w:val="20"/>
              </w:rPr>
              <w:t xml:space="preserve">22</w:t>
            </w:r>
          </w:p>
        </w:tc>
      </w:tr>
    </w:tbl>
    <w:p>
      <w:pPr>
        <w:pStyle w:val="0"/>
        <w:jc w:val="both"/>
      </w:pPr>
      <w:r>
        <w:rPr>
          <w:sz w:val="20"/>
        </w:rPr>
      </w:r>
    </w:p>
    <w:p>
      <w:pPr>
        <w:pStyle w:val="0"/>
        <w:ind w:firstLine="540"/>
        <w:jc w:val="both"/>
      </w:pPr>
      <w:r>
        <w:rPr>
          <w:sz w:val="20"/>
        </w:rPr>
        <w:t xml:space="preserve">По результатам обследования спрос на рабочую силу в 2018 году составляет более 26 тыс. человек, с учетом оценки прогноза трудоустройства выпускников учебных заведений среднего и высшего профессионального образования спрос на рабочую силу составит более 11 тыс. человек. Прогнозные оценки рынка труда Тюменской области демонстрируют сбалансированную ситуацию, включая риски увольнения граждан предпенсионного возраста и обращения этих граждан в органы службы занятости для содействия в трудоустройстве. В последующие годы спрос будет равномерно снижаться примерно на 2 тыс. человек ежегодно и в 2023 году составит более 18 тыс. человек. Такая тенденция объясняется тем, что организации (в первую очередь предприятия частной, смешанной и других форм собственности) не имеют возможности формировать долгосрочные прогнозы кадровой потребности. Вследствие чего можно предположить, что реальная потребность в персонале через 3 - 5 лет заметно скорректируется в сторону увеличения (особенно при условии соблюдения благоприятного инвестиционного климата в регионе).</w:t>
      </w:r>
    </w:p>
    <w:p>
      <w:pPr>
        <w:pStyle w:val="0"/>
        <w:spacing w:before="200" w:line-rule="auto"/>
        <w:ind w:firstLine="540"/>
        <w:jc w:val="both"/>
      </w:pPr>
      <w:r>
        <w:rPr>
          <w:sz w:val="20"/>
        </w:rPr>
        <w:t xml:space="preserve">В 2018 году заявленная потребность в работниках в промышленности и строительстве оценивается в 15,3 тыс. человек. Это больше половины всей заявленной кадровой потребности - 56,7%.</w:t>
      </w:r>
    </w:p>
    <w:p>
      <w:pPr>
        <w:pStyle w:val="0"/>
        <w:spacing w:before="200" w:line-rule="auto"/>
        <w:ind w:firstLine="540"/>
        <w:jc w:val="both"/>
      </w:pPr>
      <w:r>
        <w:rPr>
          <w:sz w:val="20"/>
        </w:rPr>
        <w:t xml:space="preserve">Потребность региона в рабочих значительно превышает долю потребности в служащих. В основном это связано со спросом на рабочих строительных и промышленных профессий: монтажники (технологических трубопроводов, технологического обслуживания и связанных с ним конструкций, по ремонту стальных и железобетонных конструкций, наружных трубопроводов, санитарно-технических систем и оборудования, систем вентиляции и кондиционирования) - 4,8 тыс. человек; сварщики - 1,31 тыс. человек; штукатуры - 1,25 тыс. человек; электрогазосварщики - 1,1 тыс. человек; каменщики - 909 человек и бетонщики - 766 человек. На остальные рабочие профессии в промышленности и строительстве приходится около 33,7% от заявленной потребности в этих отраслях.</w:t>
      </w:r>
    </w:p>
    <w:p>
      <w:pPr>
        <w:pStyle w:val="0"/>
        <w:spacing w:before="200" w:line-rule="auto"/>
        <w:ind w:firstLine="540"/>
        <w:jc w:val="both"/>
      </w:pPr>
      <w:r>
        <w:rPr>
          <w:sz w:val="20"/>
        </w:rPr>
        <w:t xml:space="preserve">Стабильная потребность в специалистах с высшим образованием сохраняется по следующим профессиям: врач - 398 человек (терапевт, педиатр, анестезиолог-реаниматолог, рентгенолог, акушер-гинеколог, невролог); учитель - 298 человек (учитель начальных классов, математики, русского языка и литературы, дополнительного образования, английского языка, музыки); инженер - 163 человека (инженер-технолог, инженер по ремонту).</w:t>
      </w:r>
    </w:p>
    <w:p>
      <w:pPr>
        <w:pStyle w:val="0"/>
        <w:spacing w:before="200" w:line-rule="auto"/>
        <w:ind w:firstLine="540"/>
        <w:jc w:val="both"/>
      </w:pPr>
      <w:r>
        <w:rPr>
          <w:sz w:val="20"/>
        </w:rPr>
        <w:t xml:space="preserve">В перспективе ожидается сохранение тенденции неполного закрытия потребностей экономики Тюменской области в квалифицированных рабочих и специалистах среднего звена, специалистов инженерных специальностей за счет подготовки выпускников в учреждениях среднего профессионального и высшего образования.</w:t>
      </w:r>
    </w:p>
    <w:p>
      <w:pPr>
        <w:pStyle w:val="0"/>
        <w:jc w:val="both"/>
      </w:pPr>
      <w:r>
        <w:rPr>
          <w:sz w:val="20"/>
        </w:rPr>
      </w:r>
    </w:p>
    <w:p>
      <w:pPr>
        <w:pStyle w:val="2"/>
        <w:outlineLvl w:val="4"/>
        <w:ind w:firstLine="540"/>
        <w:jc w:val="both"/>
      </w:pPr>
      <w:r>
        <w:rPr>
          <w:sz w:val="20"/>
        </w:rPr>
        <w:t xml:space="preserve">Таблица 3 - Прогноз потребности в работниках в разрезе основных профессий, специальностей на 2019 - 2023 годы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3118"/>
        <w:gridCol w:w="907"/>
        <w:gridCol w:w="907"/>
        <w:gridCol w:w="907"/>
        <w:gridCol w:w="907"/>
        <w:gridCol w:w="907"/>
        <w:gridCol w:w="907"/>
      </w:tblGrid>
      <w:tr>
        <w:tc>
          <w:tcPr>
            <w:tcW w:w="510" w:type="dxa"/>
            <w:vAlign w:val="center"/>
            <w:vMerge w:val="restart"/>
          </w:tcPr>
          <w:p>
            <w:pPr>
              <w:pStyle w:val="0"/>
              <w:jc w:val="center"/>
            </w:pPr>
            <w:r>
              <w:rPr>
                <w:sz w:val="20"/>
              </w:rPr>
              <w:t xml:space="preserve">N п/п</w:t>
            </w:r>
          </w:p>
        </w:tc>
        <w:tc>
          <w:tcPr>
            <w:tcW w:w="3118" w:type="dxa"/>
            <w:vAlign w:val="center"/>
            <w:vMerge w:val="restart"/>
          </w:tcPr>
          <w:p>
            <w:pPr>
              <w:pStyle w:val="0"/>
              <w:jc w:val="center"/>
            </w:pPr>
            <w:r>
              <w:rPr>
                <w:sz w:val="20"/>
              </w:rPr>
              <w:t xml:space="preserve">Наименование профессии, специальности</w:t>
            </w:r>
          </w:p>
        </w:tc>
        <w:tc>
          <w:tcPr>
            <w:gridSpan w:val="6"/>
            <w:tcW w:w="5442" w:type="dxa"/>
            <w:vAlign w:val="center"/>
          </w:tcPr>
          <w:p>
            <w:pPr>
              <w:pStyle w:val="0"/>
              <w:jc w:val="center"/>
            </w:pPr>
            <w:r>
              <w:rPr>
                <w:sz w:val="20"/>
              </w:rPr>
              <w:t xml:space="preserve">Прогнозируемая потребность, человек</w:t>
            </w:r>
          </w:p>
        </w:tc>
      </w:tr>
      <w:tr>
        <w:tc>
          <w:tcPr>
            <w:vMerge w:val="continue"/>
          </w:tcPr>
          <w:p/>
        </w:tc>
        <w:tc>
          <w:tcPr>
            <w:vMerge w:val="continue"/>
          </w:tcPr>
          <w:p/>
        </w:tc>
        <w:tc>
          <w:tcPr>
            <w:tcW w:w="907" w:type="dxa"/>
            <w:vAlign w:val="center"/>
          </w:tcPr>
          <w:p>
            <w:pPr>
              <w:pStyle w:val="0"/>
              <w:jc w:val="center"/>
            </w:pPr>
            <w:r>
              <w:rPr>
                <w:sz w:val="20"/>
              </w:rPr>
              <w:t xml:space="preserve">2018 г.</w:t>
            </w:r>
          </w:p>
        </w:tc>
        <w:tc>
          <w:tcPr>
            <w:tcW w:w="907" w:type="dxa"/>
            <w:vAlign w:val="center"/>
          </w:tcPr>
          <w:p>
            <w:pPr>
              <w:pStyle w:val="0"/>
              <w:jc w:val="center"/>
            </w:pPr>
            <w:r>
              <w:rPr>
                <w:sz w:val="20"/>
              </w:rPr>
              <w:t xml:space="preserve">2019 г.</w:t>
            </w:r>
          </w:p>
        </w:tc>
        <w:tc>
          <w:tcPr>
            <w:tcW w:w="907" w:type="dxa"/>
            <w:vAlign w:val="center"/>
          </w:tcPr>
          <w:p>
            <w:pPr>
              <w:pStyle w:val="0"/>
              <w:jc w:val="center"/>
            </w:pPr>
            <w:r>
              <w:rPr>
                <w:sz w:val="20"/>
              </w:rPr>
              <w:t xml:space="preserve">2020 г.</w:t>
            </w:r>
          </w:p>
        </w:tc>
        <w:tc>
          <w:tcPr>
            <w:tcW w:w="907" w:type="dxa"/>
            <w:vAlign w:val="center"/>
          </w:tcPr>
          <w:p>
            <w:pPr>
              <w:pStyle w:val="0"/>
              <w:jc w:val="center"/>
            </w:pPr>
            <w:r>
              <w:rPr>
                <w:sz w:val="20"/>
              </w:rPr>
              <w:t xml:space="preserve">2021 г.</w:t>
            </w:r>
          </w:p>
        </w:tc>
        <w:tc>
          <w:tcPr>
            <w:tcW w:w="907" w:type="dxa"/>
            <w:vAlign w:val="center"/>
          </w:tcPr>
          <w:p>
            <w:pPr>
              <w:pStyle w:val="0"/>
              <w:jc w:val="center"/>
            </w:pPr>
            <w:r>
              <w:rPr>
                <w:sz w:val="20"/>
              </w:rPr>
              <w:t xml:space="preserve">2022 г.</w:t>
            </w:r>
          </w:p>
        </w:tc>
        <w:tc>
          <w:tcPr>
            <w:tcW w:w="907" w:type="dxa"/>
            <w:vAlign w:val="center"/>
          </w:tcPr>
          <w:p>
            <w:pPr>
              <w:pStyle w:val="0"/>
              <w:jc w:val="center"/>
            </w:pPr>
            <w:r>
              <w:rPr>
                <w:sz w:val="20"/>
              </w:rPr>
              <w:t xml:space="preserve">2023 г.</w:t>
            </w:r>
          </w:p>
        </w:tc>
      </w:tr>
      <w:tr>
        <w:tc>
          <w:tcPr>
            <w:tcW w:w="510" w:type="dxa"/>
          </w:tcPr>
          <w:p>
            <w:pPr>
              <w:pStyle w:val="0"/>
            </w:pPr>
            <w:r>
              <w:rPr>
                <w:sz w:val="20"/>
              </w:rPr>
            </w:r>
          </w:p>
        </w:tc>
        <w:tc>
          <w:tcPr>
            <w:tcW w:w="3118" w:type="dxa"/>
            <w:vAlign w:val="center"/>
          </w:tcPr>
          <w:p>
            <w:pPr>
              <w:pStyle w:val="0"/>
            </w:pPr>
            <w:r>
              <w:rPr>
                <w:sz w:val="20"/>
              </w:rPr>
              <w:t xml:space="preserve">В целом по Тюменской области</w:t>
            </w:r>
          </w:p>
        </w:tc>
        <w:tc>
          <w:tcPr>
            <w:tcW w:w="907" w:type="dxa"/>
            <w:vAlign w:val="center"/>
          </w:tcPr>
          <w:p>
            <w:pPr>
              <w:pStyle w:val="0"/>
              <w:jc w:val="center"/>
            </w:pPr>
            <w:r>
              <w:rPr>
                <w:sz w:val="20"/>
              </w:rPr>
              <w:t xml:space="preserve">26934</w:t>
            </w:r>
          </w:p>
        </w:tc>
        <w:tc>
          <w:tcPr>
            <w:tcW w:w="907" w:type="dxa"/>
            <w:vAlign w:val="center"/>
          </w:tcPr>
          <w:p>
            <w:pPr>
              <w:pStyle w:val="0"/>
              <w:jc w:val="center"/>
            </w:pPr>
            <w:r>
              <w:rPr>
                <w:sz w:val="20"/>
              </w:rPr>
              <w:t xml:space="preserve">25268</w:t>
            </w:r>
          </w:p>
        </w:tc>
        <w:tc>
          <w:tcPr>
            <w:tcW w:w="907" w:type="dxa"/>
            <w:vAlign w:val="center"/>
          </w:tcPr>
          <w:p>
            <w:pPr>
              <w:pStyle w:val="0"/>
              <w:jc w:val="center"/>
            </w:pPr>
            <w:r>
              <w:rPr>
                <w:sz w:val="20"/>
              </w:rPr>
              <w:t xml:space="preserve">23401</w:t>
            </w:r>
          </w:p>
        </w:tc>
        <w:tc>
          <w:tcPr>
            <w:tcW w:w="907" w:type="dxa"/>
            <w:vAlign w:val="center"/>
          </w:tcPr>
          <w:p>
            <w:pPr>
              <w:pStyle w:val="0"/>
              <w:jc w:val="center"/>
            </w:pPr>
            <w:r>
              <w:rPr>
                <w:sz w:val="20"/>
              </w:rPr>
              <w:t xml:space="preserve">21574</w:t>
            </w:r>
          </w:p>
        </w:tc>
        <w:tc>
          <w:tcPr>
            <w:tcW w:w="907" w:type="dxa"/>
            <w:vAlign w:val="center"/>
          </w:tcPr>
          <w:p>
            <w:pPr>
              <w:pStyle w:val="0"/>
              <w:jc w:val="center"/>
            </w:pPr>
            <w:r>
              <w:rPr>
                <w:sz w:val="20"/>
              </w:rPr>
              <w:t xml:space="preserve">20089</w:t>
            </w:r>
          </w:p>
        </w:tc>
        <w:tc>
          <w:tcPr>
            <w:tcW w:w="907" w:type="dxa"/>
            <w:vAlign w:val="center"/>
          </w:tcPr>
          <w:p>
            <w:pPr>
              <w:pStyle w:val="0"/>
              <w:jc w:val="center"/>
            </w:pPr>
            <w:r>
              <w:rPr>
                <w:sz w:val="20"/>
              </w:rPr>
              <w:t xml:space="preserve">18712</w:t>
            </w:r>
          </w:p>
        </w:tc>
      </w:tr>
      <w:tr>
        <w:tc>
          <w:tcPr>
            <w:tcW w:w="510" w:type="dxa"/>
          </w:tcPr>
          <w:p>
            <w:pPr>
              <w:pStyle w:val="0"/>
            </w:pPr>
            <w:r>
              <w:rPr>
                <w:sz w:val="20"/>
              </w:rPr>
            </w:r>
          </w:p>
        </w:tc>
        <w:tc>
          <w:tcPr>
            <w:gridSpan w:val="5"/>
            <w:tcW w:w="6746" w:type="dxa"/>
            <w:vAlign w:val="center"/>
          </w:tcPr>
          <w:p>
            <w:pPr>
              <w:pStyle w:val="0"/>
              <w:jc w:val="center"/>
            </w:pPr>
            <w:r>
              <w:rPr>
                <w:sz w:val="20"/>
              </w:rPr>
              <w:t xml:space="preserve">в том числе:</w:t>
            </w:r>
          </w:p>
        </w:tc>
        <w:tc>
          <w:tcPr>
            <w:tcW w:w="907" w:type="dxa"/>
          </w:tcPr>
          <w:p>
            <w:pPr>
              <w:pStyle w:val="0"/>
            </w:pPr>
            <w:r>
              <w:rPr>
                <w:sz w:val="20"/>
              </w:rPr>
            </w:r>
          </w:p>
        </w:tc>
        <w:tc>
          <w:tcPr>
            <w:tcW w:w="907" w:type="dxa"/>
          </w:tcPr>
          <w:p>
            <w:pPr>
              <w:pStyle w:val="0"/>
            </w:pPr>
            <w:r>
              <w:rPr>
                <w:sz w:val="20"/>
              </w:rPr>
            </w:r>
          </w:p>
        </w:tc>
      </w:tr>
      <w:tr>
        <w:tc>
          <w:tcPr>
            <w:tcW w:w="510" w:type="dxa"/>
          </w:tcPr>
          <w:p>
            <w:pPr>
              <w:pStyle w:val="0"/>
            </w:pPr>
            <w:r>
              <w:rPr>
                <w:sz w:val="20"/>
              </w:rPr>
            </w:r>
          </w:p>
        </w:tc>
        <w:tc>
          <w:tcPr>
            <w:gridSpan w:val="7"/>
            <w:tcW w:w="8560" w:type="dxa"/>
            <w:vAlign w:val="center"/>
          </w:tcPr>
          <w:p>
            <w:pPr>
              <w:pStyle w:val="0"/>
              <w:jc w:val="center"/>
            </w:pPr>
            <w:r>
              <w:rPr>
                <w:sz w:val="20"/>
              </w:rPr>
              <w:t xml:space="preserve">Промышленность и строительство</w:t>
            </w:r>
          </w:p>
        </w:tc>
      </w:tr>
      <w:tr>
        <w:tc>
          <w:tcPr>
            <w:tcW w:w="510" w:type="dxa"/>
          </w:tcPr>
          <w:p>
            <w:pPr>
              <w:pStyle w:val="0"/>
              <w:jc w:val="center"/>
            </w:pPr>
            <w:r>
              <w:rPr>
                <w:sz w:val="20"/>
              </w:rPr>
              <w:t xml:space="preserve">1</w:t>
            </w:r>
          </w:p>
        </w:tc>
        <w:tc>
          <w:tcPr>
            <w:tcW w:w="3118" w:type="dxa"/>
          </w:tcPr>
          <w:p>
            <w:pPr>
              <w:pStyle w:val="0"/>
            </w:pPr>
            <w:r>
              <w:rPr>
                <w:sz w:val="20"/>
              </w:rPr>
              <w:t xml:space="preserve">Монтажник технологических трубопроводов</w:t>
            </w:r>
          </w:p>
        </w:tc>
        <w:tc>
          <w:tcPr>
            <w:tcW w:w="907" w:type="dxa"/>
            <w:vAlign w:val="center"/>
          </w:tcPr>
          <w:p>
            <w:pPr>
              <w:pStyle w:val="0"/>
              <w:jc w:val="center"/>
            </w:pPr>
            <w:r>
              <w:rPr>
                <w:sz w:val="20"/>
              </w:rPr>
              <w:t xml:space="preserve">1636</w:t>
            </w:r>
          </w:p>
        </w:tc>
        <w:tc>
          <w:tcPr>
            <w:tcW w:w="907" w:type="dxa"/>
            <w:vAlign w:val="center"/>
          </w:tcPr>
          <w:p>
            <w:pPr>
              <w:pStyle w:val="0"/>
              <w:jc w:val="center"/>
            </w:pPr>
            <w:r>
              <w:rPr>
                <w:sz w:val="20"/>
              </w:rPr>
              <w:t xml:space="preserve">1661</w:t>
            </w:r>
          </w:p>
        </w:tc>
        <w:tc>
          <w:tcPr>
            <w:tcW w:w="907" w:type="dxa"/>
            <w:vAlign w:val="center"/>
          </w:tcPr>
          <w:p>
            <w:pPr>
              <w:pStyle w:val="0"/>
              <w:jc w:val="center"/>
            </w:pPr>
            <w:r>
              <w:rPr>
                <w:sz w:val="20"/>
              </w:rPr>
              <w:t xml:space="preserve">1559</w:t>
            </w:r>
          </w:p>
        </w:tc>
        <w:tc>
          <w:tcPr>
            <w:tcW w:w="907" w:type="dxa"/>
            <w:vAlign w:val="center"/>
          </w:tcPr>
          <w:p>
            <w:pPr>
              <w:pStyle w:val="0"/>
              <w:jc w:val="center"/>
            </w:pPr>
            <w:r>
              <w:rPr>
                <w:sz w:val="20"/>
              </w:rPr>
              <w:t xml:space="preserve">1357</w:t>
            </w:r>
          </w:p>
        </w:tc>
        <w:tc>
          <w:tcPr>
            <w:tcW w:w="907" w:type="dxa"/>
            <w:vAlign w:val="center"/>
          </w:tcPr>
          <w:p>
            <w:pPr>
              <w:pStyle w:val="0"/>
              <w:jc w:val="center"/>
            </w:pPr>
            <w:r>
              <w:rPr>
                <w:sz w:val="20"/>
              </w:rPr>
              <w:t xml:space="preserve">1201</w:t>
            </w:r>
          </w:p>
        </w:tc>
        <w:tc>
          <w:tcPr>
            <w:tcW w:w="907" w:type="dxa"/>
            <w:vAlign w:val="center"/>
          </w:tcPr>
          <w:p>
            <w:pPr>
              <w:pStyle w:val="0"/>
              <w:jc w:val="center"/>
            </w:pPr>
            <w:r>
              <w:rPr>
                <w:sz w:val="20"/>
              </w:rPr>
              <w:t xml:space="preserve">1188</w:t>
            </w:r>
          </w:p>
        </w:tc>
      </w:tr>
      <w:tr>
        <w:tc>
          <w:tcPr>
            <w:tcW w:w="510" w:type="dxa"/>
          </w:tcPr>
          <w:p>
            <w:pPr>
              <w:pStyle w:val="0"/>
              <w:jc w:val="center"/>
            </w:pPr>
            <w:r>
              <w:rPr>
                <w:sz w:val="20"/>
              </w:rPr>
              <w:t xml:space="preserve">2</w:t>
            </w:r>
          </w:p>
        </w:tc>
        <w:tc>
          <w:tcPr>
            <w:tcW w:w="3118" w:type="dxa"/>
          </w:tcPr>
          <w:p>
            <w:pPr>
              <w:pStyle w:val="0"/>
            </w:pPr>
            <w:r>
              <w:rPr>
                <w:sz w:val="20"/>
              </w:rPr>
              <w:t xml:space="preserve">Сварщик</w:t>
            </w:r>
          </w:p>
        </w:tc>
        <w:tc>
          <w:tcPr>
            <w:tcW w:w="907" w:type="dxa"/>
            <w:vAlign w:val="center"/>
          </w:tcPr>
          <w:p>
            <w:pPr>
              <w:pStyle w:val="0"/>
              <w:jc w:val="center"/>
            </w:pPr>
            <w:r>
              <w:rPr>
                <w:sz w:val="20"/>
              </w:rPr>
              <w:t xml:space="preserve">1311</w:t>
            </w:r>
          </w:p>
        </w:tc>
        <w:tc>
          <w:tcPr>
            <w:tcW w:w="907" w:type="dxa"/>
            <w:vAlign w:val="center"/>
          </w:tcPr>
          <w:p>
            <w:pPr>
              <w:pStyle w:val="0"/>
              <w:jc w:val="center"/>
            </w:pPr>
            <w:r>
              <w:rPr>
                <w:sz w:val="20"/>
              </w:rPr>
              <w:t xml:space="preserve">1402</w:t>
            </w:r>
          </w:p>
        </w:tc>
        <w:tc>
          <w:tcPr>
            <w:tcW w:w="907" w:type="dxa"/>
            <w:vAlign w:val="center"/>
          </w:tcPr>
          <w:p>
            <w:pPr>
              <w:pStyle w:val="0"/>
              <w:jc w:val="center"/>
            </w:pPr>
            <w:r>
              <w:rPr>
                <w:sz w:val="20"/>
              </w:rPr>
              <w:t xml:space="preserve">1206</w:t>
            </w:r>
          </w:p>
        </w:tc>
        <w:tc>
          <w:tcPr>
            <w:tcW w:w="907" w:type="dxa"/>
            <w:vAlign w:val="center"/>
          </w:tcPr>
          <w:p>
            <w:pPr>
              <w:pStyle w:val="0"/>
              <w:jc w:val="center"/>
            </w:pPr>
            <w:r>
              <w:rPr>
                <w:sz w:val="20"/>
              </w:rPr>
              <w:t xml:space="preserve">1194</w:t>
            </w:r>
          </w:p>
        </w:tc>
        <w:tc>
          <w:tcPr>
            <w:tcW w:w="907" w:type="dxa"/>
            <w:vAlign w:val="center"/>
          </w:tcPr>
          <w:p>
            <w:pPr>
              <w:pStyle w:val="0"/>
              <w:jc w:val="center"/>
            </w:pPr>
            <w:r>
              <w:rPr>
                <w:sz w:val="20"/>
              </w:rPr>
              <w:t xml:space="preserve">1002</w:t>
            </w:r>
          </w:p>
        </w:tc>
        <w:tc>
          <w:tcPr>
            <w:tcW w:w="907" w:type="dxa"/>
            <w:vAlign w:val="center"/>
          </w:tcPr>
          <w:p>
            <w:pPr>
              <w:pStyle w:val="0"/>
              <w:jc w:val="center"/>
            </w:pPr>
            <w:r>
              <w:rPr>
                <w:sz w:val="20"/>
              </w:rPr>
              <w:t xml:space="preserve">893</w:t>
            </w:r>
          </w:p>
        </w:tc>
      </w:tr>
      <w:tr>
        <w:tc>
          <w:tcPr>
            <w:tcW w:w="510" w:type="dxa"/>
          </w:tcPr>
          <w:p>
            <w:pPr>
              <w:pStyle w:val="0"/>
              <w:jc w:val="center"/>
            </w:pPr>
            <w:r>
              <w:rPr>
                <w:sz w:val="20"/>
              </w:rPr>
              <w:t xml:space="preserve">3</w:t>
            </w:r>
          </w:p>
        </w:tc>
        <w:tc>
          <w:tcPr>
            <w:tcW w:w="3118" w:type="dxa"/>
          </w:tcPr>
          <w:p>
            <w:pPr>
              <w:pStyle w:val="0"/>
            </w:pPr>
            <w:r>
              <w:rPr>
                <w:sz w:val="20"/>
              </w:rPr>
              <w:t xml:space="preserve">Штукатур</w:t>
            </w:r>
          </w:p>
        </w:tc>
        <w:tc>
          <w:tcPr>
            <w:tcW w:w="907" w:type="dxa"/>
            <w:vAlign w:val="center"/>
          </w:tcPr>
          <w:p>
            <w:pPr>
              <w:pStyle w:val="0"/>
              <w:jc w:val="center"/>
            </w:pPr>
            <w:r>
              <w:rPr>
                <w:sz w:val="20"/>
              </w:rPr>
              <w:t xml:space="preserve">1250</w:t>
            </w:r>
          </w:p>
        </w:tc>
        <w:tc>
          <w:tcPr>
            <w:tcW w:w="907" w:type="dxa"/>
            <w:vAlign w:val="center"/>
          </w:tcPr>
          <w:p>
            <w:pPr>
              <w:pStyle w:val="0"/>
              <w:jc w:val="center"/>
            </w:pPr>
            <w:r>
              <w:rPr>
                <w:sz w:val="20"/>
              </w:rPr>
              <w:t xml:space="preserve">1205</w:t>
            </w:r>
          </w:p>
        </w:tc>
        <w:tc>
          <w:tcPr>
            <w:tcW w:w="907" w:type="dxa"/>
            <w:vAlign w:val="center"/>
          </w:tcPr>
          <w:p>
            <w:pPr>
              <w:pStyle w:val="0"/>
              <w:jc w:val="center"/>
            </w:pPr>
            <w:r>
              <w:rPr>
                <w:sz w:val="20"/>
              </w:rPr>
              <w:t xml:space="preserve">1333</w:t>
            </w:r>
          </w:p>
        </w:tc>
        <w:tc>
          <w:tcPr>
            <w:tcW w:w="907" w:type="dxa"/>
            <w:vAlign w:val="center"/>
          </w:tcPr>
          <w:p>
            <w:pPr>
              <w:pStyle w:val="0"/>
              <w:jc w:val="center"/>
            </w:pPr>
            <w:r>
              <w:rPr>
                <w:sz w:val="20"/>
              </w:rPr>
              <w:t xml:space="preserve">1100</w:t>
            </w:r>
          </w:p>
        </w:tc>
        <w:tc>
          <w:tcPr>
            <w:tcW w:w="907" w:type="dxa"/>
            <w:vAlign w:val="center"/>
          </w:tcPr>
          <w:p>
            <w:pPr>
              <w:pStyle w:val="0"/>
              <w:jc w:val="center"/>
            </w:pPr>
            <w:r>
              <w:rPr>
                <w:sz w:val="20"/>
              </w:rPr>
              <w:t xml:space="preserve">1034</w:t>
            </w:r>
          </w:p>
        </w:tc>
        <w:tc>
          <w:tcPr>
            <w:tcW w:w="907" w:type="dxa"/>
            <w:vAlign w:val="center"/>
          </w:tcPr>
          <w:p>
            <w:pPr>
              <w:pStyle w:val="0"/>
              <w:jc w:val="center"/>
            </w:pPr>
            <w:r>
              <w:rPr>
                <w:sz w:val="20"/>
              </w:rPr>
              <w:t xml:space="preserve">966</w:t>
            </w:r>
          </w:p>
        </w:tc>
      </w:tr>
      <w:tr>
        <w:tc>
          <w:tcPr>
            <w:tcW w:w="510" w:type="dxa"/>
          </w:tcPr>
          <w:p>
            <w:pPr>
              <w:pStyle w:val="0"/>
              <w:jc w:val="center"/>
            </w:pPr>
            <w:r>
              <w:rPr>
                <w:sz w:val="20"/>
              </w:rPr>
              <w:t xml:space="preserve">4</w:t>
            </w:r>
          </w:p>
        </w:tc>
        <w:tc>
          <w:tcPr>
            <w:tcW w:w="3118" w:type="dxa"/>
          </w:tcPr>
          <w:p>
            <w:pPr>
              <w:pStyle w:val="0"/>
            </w:pPr>
            <w:r>
              <w:rPr>
                <w:sz w:val="20"/>
              </w:rPr>
              <w:t xml:space="preserve">Электрогазосварщик</w:t>
            </w:r>
          </w:p>
        </w:tc>
        <w:tc>
          <w:tcPr>
            <w:tcW w:w="907" w:type="dxa"/>
            <w:vAlign w:val="center"/>
          </w:tcPr>
          <w:p>
            <w:pPr>
              <w:pStyle w:val="0"/>
              <w:jc w:val="center"/>
            </w:pPr>
            <w:r>
              <w:rPr>
                <w:sz w:val="20"/>
              </w:rPr>
              <w:t xml:space="preserve">1102</w:t>
            </w:r>
          </w:p>
        </w:tc>
        <w:tc>
          <w:tcPr>
            <w:tcW w:w="907" w:type="dxa"/>
            <w:vAlign w:val="center"/>
          </w:tcPr>
          <w:p>
            <w:pPr>
              <w:pStyle w:val="0"/>
              <w:jc w:val="center"/>
            </w:pPr>
            <w:r>
              <w:rPr>
                <w:sz w:val="20"/>
              </w:rPr>
              <w:t xml:space="preserve">925</w:t>
            </w:r>
          </w:p>
        </w:tc>
        <w:tc>
          <w:tcPr>
            <w:tcW w:w="907" w:type="dxa"/>
            <w:vAlign w:val="center"/>
          </w:tcPr>
          <w:p>
            <w:pPr>
              <w:pStyle w:val="0"/>
              <w:jc w:val="center"/>
            </w:pPr>
            <w:r>
              <w:rPr>
                <w:sz w:val="20"/>
              </w:rPr>
              <w:t xml:space="preserve">936</w:t>
            </w:r>
          </w:p>
        </w:tc>
        <w:tc>
          <w:tcPr>
            <w:tcW w:w="907" w:type="dxa"/>
            <w:vAlign w:val="center"/>
          </w:tcPr>
          <w:p>
            <w:pPr>
              <w:pStyle w:val="0"/>
              <w:jc w:val="center"/>
            </w:pPr>
            <w:r>
              <w:rPr>
                <w:sz w:val="20"/>
              </w:rPr>
              <w:t xml:space="preserve">874</w:t>
            </w:r>
          </w:p>
        </w:tc>
        <w:tc>
          <w:tcPr>
            <w:tcW w:w="907" w:type="dxa"/>
            <w:vAlign w:val="center"/>
          </w:tcPr>
          <w:p>
            <w:pPr>
              <w:pStyle w:val="0"/>
              <w:jc w:val="center"/>
            </w:pPr>
            <w:r>
              <w:rPr>
                <w:sz w:val="20"/>
              </w:rPr>
              <w:t xml:space="preserve">811</w:t>
            </w:r>
          </w:p>
        </w:tc>
        <w:tc>
          <w:tcPr>
            <w:tcW w:w="907" w:type="dxa"/>
            <w:vAlign w:val="center"/>
          </w:tcPr>
          <w:p>
            <w:pPr>
              <w:pStyle w:val="0"/>
              <w:jc w:val="center"/>
            </w:pPr>
            <w:r>
              <w:rPr>
                <w:sz w:val="20"/>
              </w:rPr>
              <w:t xml:space="preserve">742</w:t>
            </w:r>
          </w:p>
        </w:tc>
      </w:tr>
      <w:tr>
        <w:tc>
          <w:tcPr>
            <w:tcW w:w="510" w:type="dxa"/>
          </w:tcPr>
          <w:p>
            <w:pPr>
              <w:pStyle w:val="0"/>
              <w:jc w:val="center"/>
            </w:pPr>
            <w:r>
              <w:rPr>
                <w:sz w:val="20"/>
              </w:rPr>
              <w:t xml:space="preserve">5</w:t>
            </w:r>
          </w:p>
        </w:tc>
        <w:tc>
          <w:tcPr>
            <w:tcW w:w="3118" w:type="dxa"/>
          </w:tcPr>
          <w:p>
            <w:pPr>
              <w:pStyle w:val="0"/>
            </w:pPr>
            <w:r>
              <w:rPr>
                <w:sz w:val="20"/>
              </w:rPr>
              <w:t xml:space="preserve">Монтажник технологического оборудования и связанных с ним конструкций</w:t>
            </w:r>
          </w:p>
        </w:tc>
        <w:tc>
          <w:tcPr>
            <w:tcW w:w="907" w:type="dxa"/>
            <w:vAlign w:val="center"/>
          </w:tcPr>
          <w:p>
            <w:pPr>
              <w:pStyle w:val="0"/>
              <w:jc w:val="center"/>
            </w:pPr>
            <w:r>
              <w:rPr>
                <w:sz w:val="20"/>
              </w:rPr>
              <w:t xml:space="preserve">1024</w:t>
            </w:r>
          </w:p>
        </w:tc>
        <w:tc>
          <w:tcPr>
            <w:tcW w:w="907" w:type="dxa"/>
            <w:vAlign w:val="center"/>
          </w:tcPr>
          <w:p>
            <w:pPr>
              <w:pStyle w:val="0"/>
              <w:jc w:val="center"/>
            </w:pPr>
            <w:r>
              <w:rPr>
                <w:sz w:val="20"/>
              </w:rPr>
              <w:t xml:space="preserve">1121</w:t>
            </w:r>
          </w:p>
        </w:tc>
        <w:tc>
          <w:tcPr>
            <w:tcW w:w="907" w:type="dxa"/>
            <w:vAlign w:val="center"/>
          </w:tcPr>
          <w:p>
            <w:pPr>
              <w:pStyle w:val="0"/>
              <w:jc w:val="center"/>
            </w:pPr>
            <w:r>
              <w:rPr>
                <w:sz w:val="20"/>
              </w:rPr>
              <w:t xml:space="preserve">1187</w:t>
            </w:r>
          </w:p>
        </w:tc>
        <w:tc>
          <w:tcPr>
            <w:tcW w:w="907" w:type="dxa"/>
            <w:vAlign w:val="center"/>
          </w:tcPr>
          <w:p>
            <w:pPr>
              <w:pStyle w:val="0"/>
              <w:jc w:val="center"/>
            </w:pPr>
            <w:r>
              <w:rPr>
                <w:sz w:val="20"/>
              </w:rPr>
              <w:t xml:space="preserve">1009</w:t>
            </w:r>
          </w:p>
        </w:tc>
        <w:tc>
          <w:tcPr>
            <w:tcW w:w="907" w:type="dxa"/>
            <w:vAlign w:val="center"/>
          </w:tcPr>
          <w:p>
            <w:pPr>
              <w:pStyle w:val="0"/>
              <w:jc w:val="center"/>
            </w:pPr>
            <w:r>
              <w:rPr>
                <w:sz w:val="20"/>
              </w:rPr>
              <w:t xml:space="preserve">963</w:t>
            </w:r>
          </w:p>
        </w:tc>
        <w:tc>
          <w:tcPr>
            <w:tcW w:w="907" w:type="dxa"/>
            <w:vAlign w:val="center"/>
          </w:tcPr>
          <w:p>
            <w:pPr>
              <w:pStyle w:val="0"/>
              <w:jc w:val="center"/>
            </w:pPr>
            <w:r>
              <w:rPr>
                <w:sz w:val="20"/>
              </w:rPr>
              <w:t xml:space="preserve">887</w:t>
            </w:r>
          </w:p>
        </w:tc>
      </w:tr>
      <w:tr>
        <w:tc>
          <w:tcPr>
            <w:tcW w:w="510" w:type="dxa"/>
          </w:tcPr>
          <w:p>
            <w:pPr>
              <w:pStyle w:val="0"/>
              <w:jc w:val="center"/>
            </w:pPr>
            <w:r>
              <w:rPr>
                <w:sz w:val="20"/>
              </w:rPr>
              <w:t xml:space="preserve">6</w:t>
            </w:r>
          </w:p>
        </w:tc>
        <w:tc>
          <w:tcPr>
            <w:tcW w:w="3118" w:type="dxa"/>
          </w:tcPr>
          <w:p>
            <w:pPr>
              <w:pStyle w:val="0"/>
            </w:pPr>
            <w:r>
              <w:rPr>
                <w:sz w:val="20"/>
              </w:rPr>
              <w:t xml:space="preserve">Каменщик</w:t>
            </w:r>
          </w:p>
        </w:tc>
        <w:tc>
          <w:tcPr>
            <w:tcW w:w="907" w:type="dxa"/>
            <w:vAlign w:val="center"/>
          </w:tcPr>
          <w:p>
            <w:pPr>
              <w:pStyle w:val="0"/>
              <w:jc w:val="center"/>
            </w:pPr>
            <w:r>
              <w:rPr>
                <w:sz w:val="20"/>
              </w:rPr>
              <w:t xml:space="preserve">909</w:t>
            </w:r>
          </w:p>
        </w:tc>
        <w:tc>
          <w:tcPr>
            <w:tcW w:w="907" w:type="dxa"/>
            <w:vAlign w:val="center"/>
          </w:tcPr>
          <w:p>
            <w:pPr>
              <w:pStyle w:val="0"/>
              <w:jc w:val="center"/>
            </w:pPr>
            <w:r>
              <w:rPr>
                <w:sz w:val="20"/>
              </w:rPr>
              <w:t xml:space="preserve">841</w:t>
            </w:r>
          </w:p>
        </w:tc>
        <w:tc>
          <w:tcPr>
            <w:tcW w:w="907" w:type="dxa"/>
            <w:vAlign w:val="center"/>
          </w:tcPr>
          <w:p>
            <w:pPr>
              <w:pStyle w:val="0"/>
              <w:jc w:val="center"/>
            </w:pPr>
            <w:r>
              <w:rPr>
                <w:sz w:val="20"/>
              </w:rPr>
              <w:t xml:space="preserve">764</w:t>
            </w:r>
          </w:p>
        </w:tc>
        <w:tc>
          <w:tcPr>
            <w:tcW w:w="907" w:type="dxa"/>
            <w:vAlign w:val="center"/>
          </w:tcPr>
          <w:p>
            <w:pPr>
              <w:pStyle w:val="0"/>
              <w:jc w:val="center"/>
            </w:pPr>
            <w:r>
              <w:rPr>
                <w:sz w:val="20"/>
              </w:rPr>
              <w:t xml:space="preserve">735</w:t>
            </w:r>
          </w:p>
        </w:tc>
        <w:tc>
          <w:tcPr>
            <w:tcW w:w="907" w:type="dxa"/>
            <w:vAlign w:val="center"/>
          </w:tcPr>
          <w:p>
            <w:pPr>
              <w:pStyle w:val="0"/>
              <w:jc w:val="center"/>
            </w:pPr>
            <w:r>
              <w:rPr>
                <w:sz w:val="20"/>
              </w:rPr>
              <w:t xml:space="preserve">695</w:t>
            </w:r>
          </w:p>
        </w:tc>
        <w:tc>
          <w:tcPr>
            <w:tcW w:w="907" w:type="dxa"/>
            <w:vAlign w:val="center"/>
          </w:tcPr>
          <w:p>
            <w:pPr>
              <w:pStyle w:val="0"/>
              <w:jc w:val="center"/>
            </w:pPr>
            <w:r>
              <w:rPr>
                <w:sz w:val="20"/>
              </w:rPr>
              <w:t xml:space="preserve">623</w:t>
            </w:r>
          </w:p>
        </w:tc>
      </w:tr>
      <w:tr>
        <w:tc>
          <w:tcPr>
            <w:tcW w:w="510" w:type="dxa"/>
          </w:tcPr>
          <w:p>
            <w:pPr>
              <w:pStyle w:val="0"/>
              <w:jc w:val="center"/>
            </w:pPr>
            <w:r>
              <w:rPr>
                <w:sz w:val="20"/>
              </w:rPr>
              <w:t xml:space="preserve">7</w:t>
            </w:r>
          </w:p>
        </w:tc>
        <w:tc>
          <w:tcPr>
            <w:tcW w:w="3118" w:type="dxa"/>
          </w:tcPr>
          <w:p>
            <w:pPr>
              <w:pStyle w:val="0"/>
            </w:pPr>
            <w:r>
              <w:rPr>
                <w:sz w:val="20"/>
              </w:rPr>
              <w:t xml:space="preserve">Бетонщик</w:t>
            </w:r>
          </w:p>
        </w:tc>
        <w:tc>
          <w:tcPr>
            <w:tcW w:w="907" w:type="dxa"/>
            <w:vAlign w:val="center"/>
          </w:tcPr>
          <w:p>
            <w:pPr>
              <w:pStyle w:val="0"/>
              <w:jc w:val="center"/>
            </w:pPr>
            <w:r>
              <w:rPr>
                <w:sz w:val="20"/>
              </w:rPr>
              <w:t xml:space="preserve">766</w:t>
            </w:r>
          </w:p>
        </w:tc>
        <w:tc>
          <w:tcPr>
            <w:tcW w:w="907" w:type="dxa"/>
            <w:vAlign w:val="center"/>
          </w:tcPr>
          <w:p>
            <w:pPr>
              <w:pStyle w:val="0"/>
              <w:jc w:val="center"/>
            </w:pPr>
            <w:r>
              <w:rPr>
                <w:sz w:val="20"/>
              </w:rPr>
              <w:t xml:space="preserve">707</w:t>
            </w:r>
          </w:p>
        </w:tc>
        <w:tc>
          <w:tcPr>
            <w:tcW w:w="907" w:type="dxa"/>
            <w:vAlign w:val="center"/>
          </w:tcPr>
          <w:p>
            <w:pPr>
              <w:pStyle w:val="0"/>
              <w:jc w:val="center"/>
            </w:pPr>
            <w:r>
              <w:rPr>
                <w:sz w:val="20"/>
              </w:rPr>
              <w:t xml:space="preserve">778</w:t>
            </w:r>
          </w:p>
        </w:tc>
        <w:tc>
          <w:tcPr>
            <w:tcW w:w="907" w:type="dxa"/>
            <w:vAlign w:val="center"/>
          </w:tcPr>
          <w:p>
            <w:pPr>
              <w:pStyle w:val="0"/>
              <w:jc w:val="center"/>
            </w:pPr>
            <w:r>
              <w:rPr>
                <w:sz w:val="20"/>
              </w:rPr>
              <w:t xml:space="preserve">761</w:t>
            </w:r>
          </w:p>
        </w:tc>
        <w:tc>
          <w:tcPr>
            <w:tcW w:w="907" w:type="dxa"/>
            <w:vAlign w:val="center"/>
          </w:tcPr>
          <w:p>
            <w:pPr>
              <w:pStyle w:val="0"/>
              <w:jc w:val="center"/>
            </w:pPr>
            <w:r>
              <w:rPr>
                <w:sz w:val="20"/>
              </w:rPr>
              <w:t xml:space="preserve">744</w:t>
            </w:r>
          </w:p>
        </w:tc>
        <w:tc>
          <w:tcPr>
            <w:tcW w:w="907" w:type="dxa"/>
            <w:vAlign w:val="center"/>
          </w:tcPr>
          <w:p>
            <w:pPr>
              <w:pStyle w:val="0"/>
              <w:jc w:val="center"/>
            </w:pPr>
            <w:r>
              <w:rPr>
                <w:sz w:val="20"/>
              </w:rPr>
              <w:t xml:space="preserve">678</w:t>
            </w:r>
          </w:p>
        </w:tc>
      </w:tr>
      <w:tr>
        <w:tc>
          <w:tcPr>
            <w:tcW w:w="510" w:type="dxa"/>
          </w:tcPr>
          <w:p>
            <w:pPr>
              <w:pStyle w:val="0"/>
              <w:jc w:val="center"/>
            </w:pPr>
            <w:r>
              <w:rPr>
                <w:sz w:val="20"/>
              </w:rPr>
              <w:t xml:space="preserve">8</w:t>
            </w:r>
          </w:p>
        </w:tc>
        <w:tc>
          <w:tcPr>
            <w:tcW w:w="3118" w:type="dxa"/>
          </w:tcPr>
          <w:p>
            <w:pPr>
              <w:pStyle w:val="0"/>
            </w:pPr>
            <w:r>
              <w:rPr>
                <w:sz w:val="20"/>
              </w:rPr>
              <w:t xml:space="preserve">Монтажник по монтажу стальных и железобетонных конструкций</w:t>
            </w:r>
          </w:p>
        </w:tc>
        <w:tc>
          <w:tcPr>
            <w:tcW w:w="907" w:type="dxa"/>
            <w:vAlign w:val="center"/>
          </w:tcPr>
          <w:p>
            <w:pPr>
              <w:pStyle w:val="0"/>
              <w:jc w:val="center"/>
            </w:pPr>
            <w:r>
              <w:rPr>
                <w:sz w:val="20"/>
              </w:rPr>
              <w:t xml:space="preserve">714</w:t>
            </w:r>
          </w:p>
        </w:tc>
        <w:tc>
          <w:tcPr>
            <w:tcW w:w="907" w:type="dxa"/>
            <w:vAlign w:val="center"/>
          </w:tcPr>
          <w:p>
            <w:pPr>
              <w:pStyle w:val="0"/>
              <w:jc w:val="center"/>
            </w:pPr>
            <w:r>
              <w:rPr>
                <w:sz w:val="20"/>
              </w:rPr>
              <w:t xml:space="preserve">826</w:t>
            </w:r>
          </w:p>
        </w:tc>
        <w:tc>
          <w:tcPr>
            <w:tcW w:w="907" w:type="dxa"/>
            <w:vAlign w:val="center"/>
          </w:tcPr>
          <w:p>
            <w:pPr>
              <w:pStyle w:val="0"/>
              <w:jc w:val="center"/>
            </w:pPr>
            <w:r>
              <w:rPr>
                <w:sz w:val="20"/>
              </w:rPr>
              <w:t xml:space="preserve">856</w:t>
            </w:r>
          </w:p>
        </w:tc>
        <w:tc>
          <w:tcPr>
            <w:tcW w:w="907" w:type="dxa"/>
            <w:vAlign w:val="center"/>
          </w:tcPr>
          <w:p>
            <w:pPr>
              <w:pStyle w:val="0"/>
              <w:jc w:val="center"/>
            </w:pPr>
            <w:r>
              <w:rPr>
                <w:sz w:val="20"/>
              </w:rPr>
              <w:t xml:space="preserve">692</w:t>
            </w:r>
          </w:p>
        </w:tc>
        <w:tc>
          <w:tcPr>
            <w:tcW w:w="907" w:type="dxa"/>
            <w:vAlign w:val="center"/>
          </w:tcPr>
          <w:p>
            <w:pPr>
              <w:pStyle w:val="0"/>
              <w:jc w:val="center"/>
            </w:pPr>
            <w:r>
              <w:rPr>
                <w:sz w:val="20"/>
              </w:rPr>
              <w:t xml:space="preserve">616</w:t>
            </w:r>
          </w:p>
        </w:tc>
        <w:tc>
          <w:tcPr>
            <w:tcW w:w="907" w:type="dxa"/>
            <w:vAlign w:val="center"/>
          </w:tcPr>
          <w:p>
            <w:pPr>
              <w:pStyle w:val="0"/>
              <w:jc w:val="center"/>
            </w:pPr>
            <w:r>
              <w:rPr>
                <w:sz w:val="20"/>
              </w:rPr>
              <w:t xml:space="preserve">524</w:t>
            </w:r>
          </w:p>
        </w:tc>
      </w:tr>
      <w:tr>
        <w:tc>
          <w:tcPr>
            <w:tcW w:w="510" w:type="dxa"/>
          </w:tcPr>
          <w:p>
            <w:pPr>
              <w:pStyle w:val="0"/>
              <w:jc w:val="center"/>
            </w:pPr>
            <w:r>
              <w:rPr>
                <w:sz w:val="20"/>
              </w:rPr>
              <w:t xml:space="preserve">9</w:t>
            </w:r>
          </w:p>
        </w:tc>
        <w:tc>
          <w:tcPr>
            <w:tcW w:w="3118" w:type="dxa"/>
          </w:tcPr>
          <w:p>
            <w:pPr>
              <w:pStyle w:val="0"/>
            </w:pPr>
            <w:r>
              <w:rPr>
                <w:sz w:val="20"/>
              </w:rPr>
              <w:t xml:space="preserve">Изолировщик труб на линии</w:t>
            </w:r>
          </w:p>
        </w:tc>
        <w:tc>
          <w:tcPr>
            <w:tcW w:w="907" w:type="dxa"/>
            <w:vAlign w:val="center"/>
          </w:tcPr>
          <w:p>
            <w:pPr>
              <w:pStyle w:val="0"/>
              <w:jc w:val="center"/>
            </w:pPr>
            <w:r>
              <w:rPr>
                <w:sz w:val="20"/>
              </w:rPr>
              <w:t xml:space="preserve">594</w:t>
            </w:r>
          </w:p>
        </w:tc>
        <w:tc>
          <w:tcPr>
            <w:tcW w:w="907" w:type="dxa"/>
            <w:vAlign w:val="center"/>
          </w:tcPr>
          <w:p>
            <w:pPr>
              <w:pStyle w:val="0"/>
              <w:jc w:val="center"/>
            </w:pPr>
            <w:r>
              <w:rPr>
                <w:sz w:val="20"/>
              </w:rPr>
              <w:t xml:space="preserve">665</w:t>
            </w:r>
          </w:p>
        </w:tc>
        <w:tc>
          <w:tcPr>
            <w:tcW w:w="907" w:type="dxa"/>
            <w:vAlign w:val="center"/>
          </w:tcPr>
          <w:p>
            <w:pPr>
              <w:pStyle w:val="0"/>
              <w:jc w:val="center"/>
            </w:pPr>
            <w:r>
              <w:rPr>
                <w:sz w:val="20"/>
              </w:rPr>
              <w:t xml:space="preserve">701</w:t>
            </w:r>
          </w:p>
        </w:tc>
        <w:tc>
          <w:tcPr>
            <w:tcW w:w="907" w:type="dxa"/>
            <w:vAlign w:val="center"/>
          </w:tcPr>
          <w:p>
            <w:pPr>
              <w:pStyle w:val="0"/>
              <w:jc w:val="center"/>
            </w:pPr>
            <w:r>
              <w:rPr>
                <w:sz w:val="20"/>
              </w:rPr>
              <w:t xml:space="preserve">578</w:t>
            </w:r>
          </w:p>
        </w:tc>
        <w:tc>
          <w:tcPr>
            <w:tcW w:w="907" w:type="dxa"/>
            <w:vAlign w:val="center"/>
          </w:tcPr>
          <w:p>
            <w:pPr>
              <w:pStyle w:val="0"/>
              <w:jc w:val="center"/>
            </w:pPr>
            <w:r>
              <w:rPr>
                <w:sz w:val="20"/>
              </w:rPr>
              <w:t xml:space="preserve">545</w:t>
            </w:r>
          </w:p>
        </w:tc>
        <w:tc>
          <w:tcPr>
            <w:tcW w:w="907" w:type="dxa"/>
            <w:vAlign w:val="center"/>
          </w:tcPr>
          <w:p>
            <w:pPr>
              <w:pStyle w:val="0"/>
              <w:jc w:val="center"/>
            </w:pPr>
            <w:r>
              <w:rPr>
                <w:sz w:val="20"/>
              </w:rPr>
              <w:t xml:space="preserve">401</w:t>
            </w:r>
          </w:p>
        </w:tc>
      </w:tr>
      <w:tr>
        <w:tc>
          <w:tcPr>
            <w:tcW w:w="510" w:type="dxa"/>
          </w:tcPr>
          <w:p>
            <w:pPr>
              <w:pStyle w:val="0"/>
              <w:jc w:val="center"/>
            </w:pPr>
            <w:r>
              <w:rPr>
                <w:sz w:val="20"/>
              </w:rPr>
              <w:t xml:space="preserve">10</w:t>
            </w:r>
          </w:p>
        </w:tc>
        <w:tc>
          <w:tcPr>
            <w:tcW w:w="3118" w:type="dxa"/>
          </w:tcPr>
          <w:p>
            <w:pPr>
              <w:pStyle w:val="0"/>
            </w:pPr>
            <w:r>
              <w:rPr>
                <w:sz w:val="20"/>
              </w:rPr>
              <w:t xml:space="preserve">Арматурщик</w:t>
            </w:r>
          </w:p>
        </w:tc>
        <w:tc>
          <w:tcPr>
            <w:tcW w:w="907" w:type="dxa"/>
            <w:vAlign w:val="center"/>
          </w:tcPr>
          <w:p>
            <w:pPr>
              <w:pStyle w:val="0"/>
              <w:jc w:val="center"/>
            </w:pPr>
            <w:r>
              <w:rPr>
                <w:sz w:val="20"/>
              </w:rPr>
              <w:t xml:space="preserve">580</w:t>
            </w:r>
          </w:p>
        </w:tc>
        <w:tc>
          <w:tcPr>
            <w:tcW w:w="907" w:type="dxa"/>
            <w:vAlign w:val="center"/>
          </w:tcPr>
          <w:p>
            <w:pPr>
              <w:pStyle w:val="0"/>
              <w:jc w:val="center"/>
            </w:pPr>
            <w:r>
              <w:rPr>
                <w:sz w:val="20"/>
              </w:rPr>
              <w:t xml:space="preserve">544</w:t>
            </w:r>
          </w:p>
        </w:tc>
        <w:tc>
          <w:tcPr>
            <w:tcW w:w="907" w:type="dxa"/>
            <w:vAlign w:val="center"/>
          </w:tcPr>
          <w:p>
            <w:pPr>
              <w:pStyle w:val="0"/>
              <w:jc w:val="center"/>
            </w:pPr>
            <w:r>
              <w:rPr>
                <w:sz w:val="20"/>
              </w:rPr>
              <w:t xml:space="preserve">513</w:t>
            </w:r>
          </w:p>
        </w:tc>
        <w:tc>
          <w:tcPr>
            <w:tcW w:w="907" w:type="dxa"/>
            <w:vAlign w:val="center"/>
          </w:tcPr>
          <w:p>
            <w:pPr>
              <w:pStyle w:val="0"/>
              <w:jc w:val="center"/>
            </w:pPr>
            <w:r>
              <w:rPr>
                <w:sz w:val="20"/>
              </w:rPr>
              <w:t xml:space="preserve">442</w:t>
            </w:r>
          </w:p>
        </w:tc>
        <w:tc>
          <w:tcPr>
            <w:tcW w:w="907" w:type="dxa"/>
            <w:vAlign w:val="center"/>
          </w:tcPr>
          <w:p>
            <w:pPr>
              <w:pStyle w:val="0"/>
              <w:jc w:val="center"/>
            </w:pPr>
            <w:r>
              <w:rPr>
                <w:sz w:val="20"/>
              </w:rPr>
              <w:t xml:space="preserve">409</w:t>
            </w:r>
          </w:p>
        </w:tc>
        <w:tc>
          <w:tcPr>
            <w:tcW w:w="907" w:type="dxa"/>
            <w:vAlign w:val="center"/>
          </w:tcPr>
          <w:p>
            <w:pPr>
              <w:pStyle w:val="0"/>
              <w:jc w:val="center"/>
            </w:pPr>
            <w:r>
              <w:rPr>
                <w:sz w:val="20"/>
              </w:rPr>
              <w:t xml:space="preserve">377</w:t>
            </w:r>
          </w:p>
        </w:tc>
      </w:tr>
      <w:tr>
        <w:tc>
          <w:tcPr>
            <w:tcW w:w="510" w:type="dxa"/>
          </w:tcPr>
          <w:p>
            <w:pPr>
              <w:pStyle w:val="0"/>
              <w:jc w:val="center"/>
            </w:pPr>
            <w:r>
              <w:rPr>
                <w:sz w:val="20"/>
              </w:rPr>
              <w:t xml:space="preserve">11</w:t>
            </w:r>
          </w:p>
        </w:tc>
        <w:tc>
          <w:tcPr>
            <w:tcW w:w="3118" w:type="dxa"/>
          </w:tcPr>
          <w:p>
            <w:pPr>
              <w:pStyle w:val="0"/>
            </w:pPr>
            <w:r>
              <w:rPr>
                <w:sz w:val="20"/>
              </w:rPr>
              <w:t xml:space="preserve">Газосварщик</w:t>
            </w:r>
          </w:p>
        </w:tc>
        <w:tc>
          <w:tcPr>
            <w:tcW w:w="907" w:type="dxa"/>
            <w:vAlign w:val="center"/>
          </w:tcPr>
          <w:p>
            <w:pPr>
              <w:pStyle w:val="0"/>
              <w:jc w:val="center"/>
            </w:pPr>
            <w:r>
              <w:rPr>
                <w:sz w:val="20"/>
              </w:rPr>
              <w:t xml:space="preserve">502</w:t>
            </w:r>
          </w:p>
        </w:tc>
        <w:tc>
          <w:tcPr>
            <w:tcW w:w="907" w:type="dxa"/>
            <w:vAlign w:val="center"/>
          </w:tcPr>
          <w:p>
            <w:pPr>
              <w:pStyle w:val="0"/>
              <w:jc w:val="center"/>
            </w:pPr>
            <w:r>
              <w:rPr>
                <w:sz w:val="20"/>
              </w:rPr>
              <w:t xml:space="preserve">476</w:t>
            </w:r>
          </w:p>
        </w:tc>
        <w:tc>
          <w:tcPr>
            <w:tcW w:w="907" w:type="dxa"/>
            <w:vAlign w:val="center"/>
          </w:tcPr>
          <w:p>
            <w:pPr>
              <w:pStyle w:val="0"/>
              <w:jc w:val="center"/>
            </w:pPr>
            <w:r>
              <w:rPr>
                <w:sz w:val="20"/>
              </w:rPr>
              <w:t xml:space="preserve">404</w:t>
            </w:r>
          </w:p>
        </w:tc>
        <w:tc>
          <w:tcPr>
            <w:tcW w:w="907" w:type="dxa"/>
            <w:vAlign w:val="center"/>
          </w:tcPr>
          <w:p>
            <w:pPr>
              <w:pStyle w:val="0"/>
              <w:jc w:val="center"/>
            </w:pPr>
            <w:r>
              <w:rPr>
                <w:sz w:val="20"/>
              </w:rPr>
              <w:t xml:space="preserve">389</w:t>
            </w:r>
          </w:p>
        </w:tc>
        <w:tc>
          <w:tcPr>
            <w:tcW w:w="907" w:type="dxa"/>
            <w:vAlign w:val="center"/>
          </w:tcPr>
          <w:p>
            <w:pPr>
              <w:pStyle w:val="0"/>
              <w:jc w:val="center"/>
            </w:pPr>
            <w:r>
              <w:rPr>
                <w:sz w:val="20"/>
              </w:rPr>
              <w:t xml:space="preserve">367</w:t>
            </w:r>
          </w:p>
        </w:tc>
        <w:tc>
          <w:tcPr>
            <w:tcW w:w="907" w:type="dxa"/>
            <w:vAlign w:val="center"/>
          </w:tcPr>
          <w:p>
            <w:pPr>
              <w:pStyle w:val="0"/>
              <w:jc w:val="center"/>
            </w:pPr>
            <w:r>
              <w:rPr>
                <w:sz w:val="20"/>
              </w:rPr>
              <w:t xml:space="preserve">349</w:t>
            </w:r>
          </w:p>
        </w:tc>
      </w:tr>
      <w:tr>
        <w:tc>
          <w:tcPr>
            <w:tcW w:w="510" w:type="dxa"/>
          </w:tcPr>
          <w:p>
            <w:pPr>
              <w:pStyle w:val="0"/>
              <w:jc w:val="center"/>
            </w:pPr>
            <w:r>
              <w:rPr>
                <w:sz w:val="20"/>
              </w:rPr>
              <w:t xml:space="preserve">12</w:t>
            </w:r>
          </w:p>
        </w:tc>
        <w:tc>
          <w:tcPr>
            <w:tcW w:w="3118" w:type="dxa"/>
          </w:tcPr>
          <w:p>
            <w:pPr>
              <w:pStyle w:val="0"/>
            </w:pPr>
            <w:r>
              <w:rPr>
                <w:sz w:val="20"/>
              </w:rPr>
              <w:t xml:space="preserve">Монтажник наружных трубопроводов</w:t>
            </w:r>
          </w:p>
        </w:tc>
        <w:tc>
          <w:tcPr>
            <w:tcW w:w="907" w:type="dxa"/>
            <w:vAlign w:val="center"/>
          </w:tcPr>
          <w:p>
            <w:pPr>
              <w:pStyle w:val="0"/>
              <w:jc w:val="center"/>
            </w:pPr>
            <w:r>
              <w:rPr>
                <w:sz w:val="20"/>
              </w:rPr>
              <w:t xml:space="preserve">485</w:t>
            </w:r>
          </w:p>
        </w:tc>
        <w:tc>
          <w:tcPr>
            <w:tcW w:w="907" w:type="dxa"/>
            <w:vAlign w:val="center"/>
          </w:tcPr>
          <w:p>
            <w:pPr>
              <w:pStyle w:val="0"/>
              <w:jc w:val="center"/>
            </w:pPr>
            <w:r>
              <w:rPr>
                <w:sz w:val="20"/>
              </w:rPr>
              <w:t xml:space="preserve">456</w:t>
            </w:r>
          </w:p>
        </w:tc>
        <w:tc>
          <w:tcPr>
            <w:tcW w:w="907" w:type="dxa"/>
            <w:vAlign w:val="center"/>
          </w:tcPr>
          <w:p>
            <w:pPr>
              <w:pStyle w:val="0"/>
              <w:jc w:val="center"/>
            </w:pPr>
            <w:r>
              <w:rPr>
                <w:sz w:val="20"/>
              </w:rPr>
              <w:t xml:space="preserve">411</w:t>
            </w:r>
          </w:p>
        </w:tc>
        <w:tc>
          <w:tcPr>
            <w:tcW w:w="907" w:type="dxa"/>
            <w:vAlign w:val="center"/>
          </w:tcPr>
          <w:p>
            <w:pPr>
              <w:pStyle w:val="0"/>
              <w:jc w:val="center"/>
            </w:pPr>
            <w:r>
              <w:rPr>
                <w:sz w:val="20"/>
              </w:rPr>
              <w:t xml:space="preserve">367</w:t>
            </w:r>
          </w:p>
        </w:tc>
        <w:tc>
          <w:tcPr>
            <w:tcW w:w="907" w:type="dxa"/>
            <w:vAlign w:val="center"/>
          </w:tcPr>
          <w:p>
            <w:pPr>
              <w:pStyle w:val="0"/>
              <w:jc w:val="center"/>
            </w:pPr>
            <w:r>
              <w:rPr>
                <w:sz w:val="20"/>
              </w:rPr>
              <w:t xml:space="preserve">322</w:t>
            </w:r>
          </w:p>
        </w:tc>
        <w:tc>
          <w:tcPr>
            <w:tcW w:w="907" w:type="dxa"/>
            <w:vAlign w:val="center"/>
          </w:tcPr>
          <w:p>
            <w:pPr>
              <w:pStyle w:val="0"/>
              <w:jc w:val="center"/>
            </w:pPr>
            <w:r>
              <w:rPr>
                <w:sz w:val="20"/>
              </w:rPr>
              <w:t xml:space="preserve">300</w:t>
            </w:r>
          </w:p>
        </w:tc>
      </w:tr>
      <w:tr>
        <w:tc>
          <w:tcPr>
            <w:tcW w:w="510" w:type="dxa"/>
          </w:tcPr>
          <w:p>
            <w:pPr>
              <w:pStyle w:val="0"/>
              <w:jc w:val="center"/>
            </w:pPr>
            <w:r>
              <w:rPr>
                <w:sz w:val="20"/>
              </w:rPr>
              <w:t xml:space="preserve">13</w:t>
            </w:r>
          </w:p>
        </w:tc>
        <w:tc>
          <w:tcPr>
            <w:tcW w:w="3118" w:type="dxa"/>
          </w:tcPr>
          <w:p>
            <w:pPr>
              <w:pStyle w:val="0"/>
            </w:pPr>
            <w:r>
              <w:rPr>
                <w:sz w:val="20"/>
              </w:rPr>
              <w:t xml:space="preserve">Монтажник санитарно-технических систем и оборудования</w:t>
            </w:r>
          </w:p>
        </w:tc>
        <w:tc>
          <w:tcPr>
            <w:tcW w:w="907" w:type="dxa"/>
            <w:vAlign w:val="center"/>
          </w:tcPr>
          <w:p>
            <w:pPr>
              <w:pStyle w:val="0"/>
              <w:jc w:val="center"/>
            </w:pPr>
            <w:r>
              <w:rPr>
                <w:sz w:val="20"/>
              </w:rPr>
              <w:t xml:space="preserve">480</w:t>
            </w:r>
          </w:p>
        </w:tc>
        <w:tc>
          <w:tcPr>
            <w:tcW w:w="907" w:type="dxa"/>
            <w:vAlign w:val="center"/>
          </w:tcPr>
          <w:p>
            <w:pPr>
              <w:pStyle w:val="0"/>
              <w:jc w:val="center"/>
            </w:pPr>
            <w:r>
              <w:rPr>
                <w:sz w:val="20"/>
              </w:rPr>
              <w:t xml:space="preserve">441</w:t>
            </w:r>
          </w:p>
        </w:tc>
        <w:tc>
          <w:tcPr>
            <w:tcW w:w="907" w:type="dxa"/>
            <w:vAlign w:val="center"/>
          </w:tcPr>
          <w:p>
            <w:pPr>
              <w:pStyle w:val="0"/>
              <w:jc w:val="center"/>
            </w:pPr>
            <w:r>
              <w:rPr>
                <w:sz w:val="20"/>
              </w:rPr>
              <w:t xml:space="preserve">428</w:t>
            </w:r>
          </w:p>
        </w:tc>
        <w:tc>
          <w:tcPr>
            <w:tcW w:w="907" w:type="dxa"/>
            <w:vAlign w:val="center"/>
          </w:tcPr>
          <w:p>
            <w:pPr>
              <w:pStyle w:val="0"/>
              <w:jc w:val="center"/>
            </w:pPr>
            <w:r>
              <w:rPr>
                <w:sz w:val="20"/>
              </w:rPr>
              <w:t xml:space="preserve">386</w:t>
            </w:r>
          </w:p>
        </w:tc>
        <w:tc>
          <w:tcPr>
            <w:tcW w:w="907" w:type="dxa"/>
            <w:vAlign w:val="center"/>
          </w:tcPr>
          <w:p>
            <w:pPr>
              <w:pStyle w:val="0"/>
              <w:jc w:val="center"/>
            </w:pPr>
            <w:r>
              <w:rPr>
                <w:sz w:val="20"/>
              </w:rPr>
              <w:t xml:space="preserve">370</w:t>
            </w:r>
          </w:p>
        </w:tc>
        <w:tc>
          <w:tcPr>
            <w:tcW w:w="907" w:type="dxa"/>
            <w:vAlign w:val="center"/>
          </w:tcPr>
          <w:p>
            <w:pPr>
              <w:pStyle w:val="0"/>
              <w:jc w:val="center"/>
            </w:pPr>
            <w:r>
              <w:rPr>
                <w:sz w:val="20"/>
              </w:rPr>
              <w:t xml:space="preserve">352</w:t>
            </w:r>
          </w:p>
        </w:tc>
      </w:tr>
      <w:tr>
        <w:tc>
          <w:tcPr>
            <w:tcW w:w="510" w:type="dxa"/>
          </w:tcPr>
          <w:p>
            <w:pPr>
              <w:pStyle w:val="0"/>
              <w:jc w:val="center"/>
            </w:pPr>
            <w:r>
              <w:rPr>
                <w:sz w:val="20"/>
              </w:rPr>
              <w:t xml:space="preserve">14</w:t>
            </w:r>
          </w:p>
        </w:tc>
        <w:tc>
          <w:tcPr>
            <w:tcW w:w="3118" w:type="dxa"/>
          </w:tcPr>
          <w:p>
            <w:pPr>
              <w:pStyle w:val="0"/>
            </w:pPr>
            <w:r>
              <w:rPr>
                <w:sz w:val="20"/>
              </w:rPr>
              <w:t xml:space="preserve">Маляр</w:t>
            </w:r>
          </w:p>
        </w:tc>
        <w:tc>
          <w:tcPr>
            <w:tcW w:w="907" w:type="dxa"/>
            <w:vAlign w:val="center"/>
          </w:tcPr>
          <w:p>
            <w:pPr>
              <w:pStyle w:val="0"/>
              <w:jc w:val="center"/>
            </w:pPr>
            <w:r>
              <w:rPr>
                <w:sz w:val="20"/>
              </w:rPr>
              <w:t xml:space="preserve">457</w:t>
            </w:r>
          </w:p>
        </w:tc>
        <w:tc>
          <w:tcPr>
            <w:tcW w:w="907" w:type="dxa"/>
            <w:vAlign w:val="center"/>
          </w:tcPr>
          <w:p>
            <w:pPr>
              <w:pStyle w:val="0"/>
              <w:jc w:val="center"/>
            </w:pPr>
            <w:r>
              <w:rPr>
                <w:sz w:val="20"/>
              </w:rPr>
              <w:t xml:space="preserve">406</w:t>
            </w:r>
          </w:p>
        </w:tc>
        <w:tc>
          <w:tcPr>
            <w:tcW w:w="907" w:type="dxa"/>
            <w:vAlign w:val="center"/>
          </w:tcPr>
          <w:p>
            <w:pPr>
              <w:pStyle w:val="0"/>
              <w:jc w:val="center"/>
            </w:pPr>
            <w:r>
              <w:rPr>
                <w:sz w:val="20"/>
              </w:rPr>
              <w:t xml:space="preserve">486</w:t>
            </w:r>
          </w:p>
        </w:tc>
        <w:tc>
          <w:tcPr>
            <w:tcW w:w="907" w:type="dxa"/>
            <w:vAlign w:val="center"/>
          </w:tcPr>
          <w:p>
            <w:pPr>
              <w:pStyle w:val="0"/>
              <w:jc w:val="center"/>
            </w:pPr>
            <w:r>
              <w:rPr>
                <w:sz w:val="20"/>
              </w:rPr>
              <w:t xml:space="preserve">451</w:t>
            </w:r>
          </w:p>
        </w:tc>
        <w:tc>
          <w:tcPr>
            <w:tcW w:w="907" w:type="dxa"/>
            <w:vAlign w:val="center"/>
          </w:tcPr>
          <w:p>
            <w:pPr>
              <w:pStyle w:val="0"/>
              <w:jc w:val="center"/>
            </w:pPr>
            <w:r>
              <w:rPr>
                <w:sz w:val="20"/>
              </w:rPr>
              <w:t xml:space="preserve">428</w:t>
            </w:r>
          </w:p>
        </w:tc>
        <w:tc>
          <w:tcPr>
            <w:tcW w:w="907" w:type="dxa"/>
            <w:vAlign w:val="center"/>
          </w:tcPr>
          <w:p>
            <w:pPr>
              <w:pStyle w:val="0"/>
              <w:jc w:val="center"/>
            </w:pPr>
            <w:r>
              <w:rPr>
                <w:sz w:val="20"/>
              </w:rPr>
              <w:t xml:space="preserve">399</w:t>
            </w:r>
          </w:p>
        </w:tc>
      </w:tr>
      <w:tr>
        <w:tc>
          <w:tcPr>
            <w:tcW w:w="510" w:type="dxa"/>
          </w:tcPr>
          <w:p>
            <w:pPr>
              <w:pStyle w:val="0"/>
              <w:jc w:val="center"/>
            </w:pPr>
            <w:r>
              <w:rPr>
                <w:sz w:val="20"/>
              </w:rPr>
              <w:t xml:space="preserve">15</w:t>
            </w:r>
          </w:p>
        </w:tc>
        <w:tc>
          <w:tcPr>
            <w:tcW w:w="3118" w:type="dxa"/>
          </w:tcPr>
          <w:p>
            <w:pPr>
              <w:pStyle w:val="0"/>
            </w:pPr>
            <w:r>
              <w:rPr>
                <w:sz w:val="20"/>
              </w:rPr>
              <w:t xml:space="preserve">Монтажник систем вентиляции, кондиционирования воздуха, пневмотранспорта и аспирации</w:t>
            </w:r>
          </w:p>
        </w:tc>
        <w:tc>
          <w:tcPr>
            <w:tcW w:w="907" w:type="dxa"/>
            <w:vAlign w:val="center"/>
          </w:tcPr>
          <w:p>
            <w:pPr>
              <w:pStyle w:val="0"/>
              <w:jc w:val="center"/>
            </w:pPr>
            <w:r>
              <w:rPr>
                <w:sz w:val="20"/>
              </w:rPr>
              <w:t xml:space="preserve">451</w:t>
            </w:r>
          </w:p>
        </w:tc>
        <w:tc>
          <w:tcPr>
            <w:tcW w:w="907" w:type="dxa"/>
            <w:vAlign w:val="center"/>
          </w:tcPr>
          <w:p>
            <w:pPr>
              <w:pStyle w:val="0"/>
              <w:jc w:val="center"/>
            </w:pPr>
            <w:r>
              <w:rPr>
                <w:sz w:val="20"/>
              </w:rPr>
              <w:t xml:space="preserve">422</w:t>
            </w:r>
          </w:p>
        </w:tc>
        <w:tc>
          <w:tcPr>
            <w:tcW w:w="907" w:type="dxa"/>
            <w:vAlign w:val="center"/>
          </w:tcPr>
          <w:p>
            <w:pPr>
              <w:pStyle w:val="0"/>
              <w:jc w:val="center"/>
            </w:pPr>
            <w:r>
              <w:rPr>
                <w:sz w:val="20"/>
              </w:rPr>
              <w:t xml:space="preserve">395</w:t>
            </w:r>
          </w:p>
        </w:tc>
        <w:tc>
          <w:tcPr>
            <w:tcW w:w="907" w:type="dxa"/>
            <w:vAlign w:val="center"/>
          </w:tcPr>
          <w:p>
            <w:pPr>
              <w:pStyle w:val="0"/>
              <w:jc w:val="center"/>
            </w:pPr>
            <w:r>
              <w:rPr>
                <w:sz w:val="20"/>
              </w:rPr>
              <w:t xml:space="preserve">364</w:t>
            </w:r>
          </w:p>
        </w:tc>
        <w:tc>
          <w:tcPr>
            <w:tcW w:w="907" w:type="dxa"/>
            <w:vAlign w:val="center"/>
          </w:tcPr>
          <w:p>
            <w:pPr>
              <w:pStyle w:val="0"/>
              <w:jc w:val="center"/>
            </w:pPr>
            <w:r>
              <w:rPr>
                <w:sz w:val="20"/>
              </w:rPr>
              <w:t xml:space="preserve">343</w:t>
            </w:r>
          </w:p>
        </w:tc>
        <w:tc>
          <w:tcPr>
            <w:tcW w:w="907" w:type="dxa"/>
            <w:vAlign w:val="center"/>
          </w:tcPr>
          <w:p>
            <w:pPr>
              <w:pStyle w:val="0"/>
              <w:jc w:val="center"/>
            </w:pPr>
            <w:r>
              <w:rPr>
                <w:sz w:val="20"/>
              </w:rPr>
              <w:t xml:space="preserve">314</w:t>
            </w:r>
          </w:p>
        </w:tc>
      </w:tr>
      <w:tr>
        <w:tc>
          <w:tcPr>
            <w:tcW w:w="510" w:type="dxa"/>
          </w:tcPr>
          <w:p>
            <w:pPr>
              <w:pStyle w:val="0"/>
              <w:jc w:val="center"/>
            </w:pPr>
            <w:r>
              <w:rPr>
                <w:sz w:val="20"/>
              </w:rPr>
              <w:t xml:space="preserve">16</w:t>
            </w:r>
          </w:p>
        </w:tc>
        <w:tc>
          <w:tcPr>
            <w:tcW w:w="3118" w:type="dxa"/>
          </w:tcPr>
          <w:p>
            <w:pPr>
              <w:pStyle w:val="0"/>
            </w:pPr>
            <w:r>
              <w:rPr>
                <w:sz w:val="20"/>
              </w:rPr>
              <w:t xml:space="preserve">Электромонтажник по кабельным сетям</w:t>
            </w:r>
          </w:p>
        </w:tc>
        <w:tc>
          <w:tcPr>
            <w:tcW w:w="907" w:type="dxa"/>
            <w:vAlign w:val="center"/>
          </w:tcPr>
          <w:p>
            <w:pPr>
              <w:pStyle w:val="0"/>
              <w:jc w:val="center"/>
            </w:pPr>
            <w:r>
              <w:rPr>
                <w:sz w:val="20"/>
              </w:rPr>
              <w:t xml:space="preserve">325</w:t>
            </w:r>
          </w:p>
        </w:tc>
        <w:tc>
          <w:tcPr>
            <w:tcW w:w="907" w:type="dxa"/>
            <w:vAlign w:val="center"/>
          </w:tcPr>
          <w:p>
            <w:pPr>
              <w:pStyle w:val="0"/>
              <w:jc w:val="center"/>
            </w:pPr>
            <w:r>
              <w:rPr>
                <w:sz w:val="20"/>
              </w:rPr>
              <w:t xml:space="preserve">305</w:t>
            </w:r>
          </w:p>
        </w:tc>
        <w:tc>
          <w:tcPr>
            <w:tcW w:w="907" w:type="dxa"/>
            <w:vAlign w:val="center"/>
          </w:tcPr>
          <w:p>
            <w:pPr>
              <w:pStyle w:val="0"/>
              <w:jc w:val="center"/>
            </w:pPr>
            <w:r>
              <w:rPr>
                <w:sz w:val="20"/>
              </w:rPr>
              <w:t xml:space="preserve">283</w:t>
            </w:r>
          </w:p>
        </w:tc>
        <w:tc>
          <w:tcPr>
            <w:tcW w:w="907" w:type="dxa"/>
            <w:vAlign w:val="center"/>
          </w:tcPr>
          <w:p>
            <w:pPr>
              <w:pStyle w:val="0"/>
              <w:jc w:val="center"/>
            </w:pPr>
            <w:r>
              <w:rPr>
                <w:sz w:val="20"/>
              </w:rPr>
              <w:t xml:space="preserve">265</w:t>
            </w:r>
          </w:p>
        </w:tc>
        <w:tc>
          <w:tcPr>
            <w:tcW w:w="907" w:type="dxa"/>
            <w:vAlign w:val="center"/>
          </w:tcPr>
          <w:p>
            <w:pPr>
              <w:pStyle w:val="0"/>
              <w:jc w:val="center"/>
            </w:pPr>
            <w:r>
              <w:rPr>
                <w:sz w:val="20"/>
              </w:rPr>
              <w:t xml:space="preserve">244</w:t>
            </w:r>
          </w:p>
        </w:tc>
        <w:tc>
          <w:tcPr>
            <w:tcW w:w="907" w:type="dxa"/>
            <w:vAlign w:val="center"/>
          </w:tcPr>
          <w:p>
            <w:pPr>
              <w:pStyle w:val="0"/>
              <w:jc w:val="center"/>
            </w:pPr>
            <w:r>
              <w:rPr>
                <w:sz w:val="20"/>
              </w:rPr>
              <w:t xml:space="preserve">210</w:t>
            </w:r>
          </w:p>
        </w:tc>
      </w:tr>
      <w:tr>
        <w:tc>
          <w:tcPr>
            <w:tcW w:w="510" w:type="dxa"/>
          </w:tcPr>
          <w:p>
            <w:pPr>
              <w:pStyle w:val="0"/>
              <w:jc w:val="center"/>
            </w:pPr>
            <w:r>
              <w:rPr>
                <w:sz w:val="20"/>
              </w:rPr>
              <w:t xml:space="preserve">17</w:t>
            </w:r>
          </w:p>
        </w:tc>
        <w:tc>
          <w:tcPr>
            <w:tcW w:w="3118" w:type="dxa"/>
          </w:tcPr>
          <w:p>
            <w:pPr>
              <w:pStyle w:val="0"/>
            </w:pPr>
            <w:r>
              <w:rPr>
                <w:sz w:val="20"/>
              </w:rPr>
              <w:t xml:space="preserve">Мастер строительных и монтажных работ</w:t>
            </w:r>
          </w:p>
        </w:tc>
        <w:tc>
          <w:tcPr>
            <w:tcW w:w="907" w:type="dxa"/>
            <w:vAlign w:val="center"/>
          </w:tcPr>
          <w:p>
            <w:pPr>
              <w:pStyle w:val="0"/>
              <w:jc w:val="center"/>
            </w:pPr>
            <w:r>
              <w:rPr>
                <w:sz w:val="20"/>
              </w:rPr>
              <w:t xml:space="preserve">323</w:t>
            </w:r>
          </w:p>
        </w:tc>
        <w:tc>
          <w:tcPr>
            <w:tcW w:w="907" w:type="dxa"/>
            <w:vAlign w:val="center"/>
          </w:tcPr>
          <w:p>
            <w:pPr>
              <w:pStyle w:val="0"/>
              <w:jc w:val="center"/>
            </w:pPr>
            <w:r>
              <w:rPr>
                <w:sz w:val="20"/>
              </w:rPr>
              <w:t xml:space="preserve">303</w:t>
            </w:r>
          </w:p>
        </w:tc>
        <w:tc>
          <w:tcPr>
            <w:tcW w:w="907" w:type="dxa"/>
            <w:vAlign w:val="center"/>
          </w:tcPr>
          <w:p>
            <w:pPr>
              <w:pStyle w:val="0"/>
              <w:jc w:val="center"/>
            </w:pPr>
            <w:r>
              <w:rPr>
                <w:sz w:val="20"/>
              </w:rPr>
              <w:t xml:space="preserve">277</w:t>
            </w:r>
          </w:p>
        </w:tc>
        <w:tc>
          <w:tcPr>
            <w:tcW w:w="907" w:type="dxa"/>
            <w:vAlign w:val="center"/>
          </w:tcPr>
          <w:p>
            <w:pPr>
              <w:pStyle w:val="0"/>
              <w:jc w:val="center"/>
            </w:pPr>
            <w:r>
              <w:rPr>
                <w:sz w:val="20"/>
              </w:rPr>
              <w:t xml:space="preserve">259</w:t>
            </w:r>
          </w:p>
        </w:tc>
        <w:tc>
          <w:tcPr>
            <w:tcW w:w="907" w:type="dxa"/>
            <w:vAlign w:val="center"/>
          </w:tcPr>
          <w:p>
            <w:pPr>
              <w:pStyle w:val="0"/>
              <w:jc w:val="center"/>
            </w:pPr>
            <w:r>
              <w:rPr>
                <w:sz w:val="20"/>
              </w:rPr>
              <w:t xml:space="preserve">240</w:t>
            </w:r>
          </w:p>
        </w:tc>
        <w:tc>
          <w:tcPr>
            <w:tcW w:w="907" w:type="dxa"/>
            <w:vAlign w:val="center"/>
          </w:tcPr>
          <w:p>
            <w:pPr>
              <w:pStyle w:val="0"/>
              <w:jc w:val="center"/>
            </w:pPr>
            <w:r>
              <w:rPr>
                <w:sz w:val="20"/>
              </w:rPr>
              <w:t xml:space="preserve">202</w:t>
            </w:r>
          </w:p>
        </w:tc>
      </w:tr>
      <w:tr>
        <w:tc>
          <w:tcPr>
            <w:tcW w:w="510" w:type="dxa"/>
          </w:tcPr>
          <w:p>
            <w:pPr>
              <w:pStyle w:val="0"/>
              <w:jc w:val="center"/>
            </w:pPr>
            <w:r>
              <w:rPr>
                <w:sz w:val="20"/>
              </w:rPr>
              <w:t xml:space="preserve">18</w:t>
            </w:r>
          </w:p>
        </w:tc>
        <w:tc>
          <w:tcPr>
            <w:tcW w:w="3118" w:type="dxa"/>
          </w:tcPr>
          <w:p>
            <w:pPr>
              <w:pStyle w:val="0"/>
            </w:pPr>
            <w:r>
              <w:rPr>
                <w:sz w:val="20"/>
              </w:rPr>
              <w:t xml:space="preserve">Электрик участка</w:t>
            </w:r>
          </w:p>
        </w:tc>
        <w:tc>
          <w:tcPr>
            <w:tcW w:w="907" w:type="dxa"/>
            <w:vAlign w:val="center"/>
          </w:tcPr>
          <w:p>
            <w:pPr>
              <w:pStyle w:val="0"/>
              <w:jc w:val="center"/>
            </w:pPr>
            <w:r>
              <w:rPr>
                <w:sz w:val="20"/>
              </w:rPr>
              <w:t xml:space="preserve">306</w:t>
            </w:r>
          </w:p>
        </w:tc>
        <w:tc>
          <w:tcPr>
            <w:tcW w:w="907" w:type="dxa"/>
            <w:vAlign w:val="center"/>
          </w:tcPr>
          <w:p>
            <w:pPr>
              <w:pStyle w:val="0"/>
              <w:jc w:val="center"/>
            </w:pPr>
            <w:r>
              <w:rPr>
                <w:sz w:val="20"/>
              </w:rPr>
              <w:t xml:space="preserve">289</w:t>
            </w:r>
          </w:p>
        </w:tc>
        <w:tc>
          <w:tcPr>
            <w:tcW w:w="907" w:type="dxa"/>
            <w:vAlign w:val="center"/>
          </w:tcPr>
          <w:p>
            <w:pPr>
              <w:pStyle w:val="0"/>
              <w:jc w:val="center"/>
            </w:pPr>
            <w:r>
              <w:rPr>
                <w:sz w:val="20"/>
              </w:rPr>
              <w:t xml:space="preserve">268</w:t>
            </w:r>
          </w:p>
        </w:tc>
        <w:tc>
          <w:tcPr>
            <w:tcW w:w="907" w:type="dxa"/>
            <w:vAlign w:val="center"/>
          </w:tcPr>
          <w:p>
            <w:pPr>
              <w:pStyle w:val="0"/>
              <w:jc w:val="center"/>
            </w:pPr>
            <w:r>
              <w:rPr>
                <w:sz w:val="20"/>
              </w:rPr>
              <w:t xml:space="preserve">247</w:t>
            </w:r>
          </w:p>
        </w:tc>
        <w:tc>
          <w:tcPr>
            <w:tcW w:w="907" w:type="dxa"/>
            <w:vAlign w:val="center"/>
          </w:tcPr>
          <w:p>
            <w:pPr>
              <w:pStyle w:val="0"/>
              <w:jc w:val="center"/>
            </w:pPr>
            <w:r>
              <w:rPr>
                <w:sz w:val="20"/>
              </w:rPr>
              <w:t xml:space="preserve">220</w:t>
            </w:r>
          </w:p>
        </w:tc>
        <w:tc>
          <w:tcPr>
            <w:tcW w:w="907" w:type="dxa"/>
            <w:vAlign w:val="center"/>
          </w:tcPr>
          <w:p>
            <w:pPr>
              <w:pStyle w:val="0"/>
              <w:jc w:val="center"/>
            </w:pPr>
            <w:r>
              <w:rPr>
                <w:sz w:val="20"/>
              </w:rPr>
              <w:t xml:space="preserve">203</w:t>
            </w:r>
          </w:p>
        </w:tc>
      </w:tr>
      <w:tr>
        <w:tc>
          <w:tcPr>
            <w:tcW w:w="510" w:type="dxa"/>
          </w:tcPr>
          <w:p>
            <w:pPr>
              <w:pStyle w:val="0"/>
              <w:jc w:val="center"/>
            </w:pPr>
            <w:r>
              <w:rPr>
                <w:sz w:val="20"/>
              </w:rPr>
              <w:t xml:space="preserve">19</w:t>
            </w:r>
          </w:p>
        </w:tc>
        <w:tc>
          <w:tcPr>
            <w:tcW w:w="3118" w:type="dxa"/>
          </w:tcPr>
          <w:p>
            <w:pPr>
              <w:pStyle w:val="0"/>
            </w:pPr>
            <w:r>
              <w:rPr>
                <w:sz w:val="20"/>
              </w:rPr>
              <w:t xml:space="preserve">Облицовщик-плиточник</w:t>
            </w:r>
          </w:p>
        </w:tc>
        <w:tc>
          <w:tcPr>
            <w:tcW w:w="907" w:type="dxa"/>
            <w:vAlign w:val="center"/>
          </w:tcPr>
          <w:p>
            <w:pPr>
              <w:pStyle w:val="0"/>
              <w:jc w:val="center"/>
            </w:pPr>
            <w:r>
              <w:rPr>
                <w:sz w:val="20"/>
              </w:rPr>
              <w:t xml:space="preserve">305</w:t>
            </w:r>
          </w:p>
        </w:tc>
        <w:tc>
          <w:tcPr>
            <w:tcW w:w="907" w:type="dxa"/>
            <w:vAlign w:val="center"/>
          </w:tcPr>
          <w:p>
            <w:pPr>
              <w:pStyle w:val="0"/>
              <w:jc w:val="center"/>
            </w:pPr>
            <w:r>
              <w:rPr>
                <w:sz w:val="20"/>
              </w:rPr>
              <w:t xml:space="preserve">284</w:t>
            </w:r>
          </w:p>
        </w:tc>
        <w:tc>
          <w:tcPr>
            <w:tcW w:w="907" w:type="dxa"/>
            <w:vAlign w:val="center"/>
          </w:tcPr>
          <w:p>
            <w:pPr>
              <w:pStyle w:val="0"/>
              <w:jc w:val="center"/>
            </w:pPr>
            <w:r>
              <w:rPr>
                <w:sz w:val="20"/>
              </w:rPr>
              <w:t xml:space="preserve">255</w:t>
            </w:r>
          </w:p>
        </w:tc>
        <w:tc>
          <w:tcPr>
            <w:tcW w:w="907" w:type="dxa"/>
            <w:vAlign w:val="center"/>
          </w:tcPr>
          <w:p>
            <w:pPr>
              <w:pStyle w:val="0"/>
              <w:jc w:val="center"/>
            </w:pPr>
            <w:r>
              <w:rPr>
                <w:sz w:val="20"/>
              </w:rPr>
              <w:t xml:space="preserve">241</w:t>
            </w:r>
          </w:p>
        </w:tc>
        <w:tc>
          <w:tcPr>
            <w:tcW w:w="907" w:type="dxa"/>
            <w:vAlign w:val="center"/>
          </w:tcPr>
          <w:p>
            <w:pPr>
              <w:pStyle w:val="0"/>
              <w:jc w:val="center"/>
            </w:pPr>
            <w:r>
              <w:rPr>
                <w:sz w:val="20"/>
              </w:rPr>
              <w:t xml:space="preserve">231</w:t>
            </w:r>
          </w:p>
        </w:tc>
        <w:tc>
          <w:tcPr>
            <w:tcW w:w="907" w:type="dxa"/>
            <w:vAlign w:val="center"/>
          </w:tcPr>
          <w:p>
            <w:pPr>
              <w:pStyle w:val="0"/>
              <w:jc w:val="center"/>
            </w:pPr>
            <w:r>
              <w:rPr>
                <w:sz w:val="20"/>
              </w:rPr>
              <w:t xml:space="preserve">211</w:t>
            </w:r>
          </w:p>
        </w:tc>
      </w:tr>
      <w:tr>
        <w:tc>
          <w:tcPr>
            <w:tcW w:w="510" w:type="dxa"/>
          </w:tcPr>
          <w:p>
            <w:pPr>
              <w:pStyle w:val="0"/>
              <w:jc w:val="center"/>
            </w:pPr>
            <w:r>
              <w:rPr>
                <w:sz w:val="20"/>
              </w:rPr>
              <w:t xml:space="preserve">20</w:t>
            </w:r>
          </w:p>
        </w:tc>
        <w:tc>
          <w:tcPr>
            <w:tcW w:w="3118" w:type="dxa"/>
          </w:tcPr>
          <w:p>
            <w:pPr>
              <w:pStyle w:val="0"/>
            </w:pPr>
            <w:r>
              <w:rPr>
                <w:sz w:val="20"/>
              </w:rPr>
              <w:t xml:space="preserve">Монтажник систем вентиляции, кондиционирования воздуха, пневмотранспорта и аспирации</w:t>
            </w:r>
          </w:p>
        </w:tc>
        <w:tc>
          <w:tcPr>
            <w:tcW w:w="907" w:type="dxa"/>
            <w:vAlign w:val="center"/>
          </w:tcPr>
          <w:p>
            <w:pPr>
              <w:pStyle w:val="0"/>
              <w:jc w:val="center"/>
            </w:pPr>
            <w:r>
              <w:rPr>
                <w:sz w:val="20"/>
              </w:rPr>
              <w:t xml:space="preserve">300</w:t>
            </w:r>
          </w:p>
        </w:tc>
        <w:tc>
          <w:tcPr>
            <w:tcW w:w="907" w:type="dxa"/>
            <w:vAlign w:val="center"/>
          </w:tcPr>
          <w:p>
            <w:pPr>
              <w:pStyle w:val="0"/>
              <w:jc w:val="center"/>
            </w:pPr>
            <w:r>
              <w:rPr>
                <w:sz w:val="20"/>
              </w:rPr>
              <w:t xml:space="preserve">279</w:t>
            </w:r>
          </w:p>
        </w:tc>
        <w:tc>
          <w:tcPr>
            <w:tcW w:w="907" w:type="dxa"/>
            <w:vAlign w:val="center"/>
          </w:tcPr>
          <w:p>
            <w:pPr>
              <w:pStyle w:val="0"/>
              <w:jc w:val="center"/>
            </w:pPr>
            <w:r>
              <w:rPr>
                <w:sz w:val="20"/>
              </w:rPr>
              <w:t xml:space="preserve">261</w:t>
            </w:r>
          </w:p>
        </w:tc>
        <w:tc>
          <w:tcPr>
            <w:tcW w:w="907" w:type="dxa"/>
            <w:vAlign w:val="center"/>
          </w:tcPr>
          <w:p>
            <w:pPr>
              <w:pStyle w:val="0"/>
              <w:jc w:val="center"/>
            </w:pPr>
            <w:r>
              <w:rPr>
                <w:sz w:val="20"/>
              </w:rPr>
              <w:t xml:space="preserve">235</w:t>
            </w:r>
          </w:p>
        </w:tc>
        <w:tc>
          <w:tcPr>
            <w:tcW w:w="907" w:type="dxa"/>
            <w:vAlign w:val="center"/>
          </w:tcPr>
          <w:p>
            <w:pPr>
              <w:pStyle w:val="0"/>
              <w:jc w:val="center"/>
            </w:pPr>
            <w:r>
              <w:rPr>
                <w:sz w:val="20"/>
              </w:rPr>
              <w:t xml:space="preserve">201</w:t>
            </w:r>
          </w:p>
        </w:tc>
        <w:tc>
          <w:tcPr>
            <w:tcW w:w="907" w:type="dxa"/>
            <w:vAlign w:val="center"/>
          </w:tcPr>
          <w:p>
            <w:pPr>
              <w:pStyle w:val="0"/>
              <w:jc w:val="center"/>
            </w:pPr>
            <w:r>
              <w:rPr>
                <w:sz w:val="20"/>
              </w:rPr>
              <w:t xml:space="preserve">188</w:t>
            </w:r>
          </w:p>
        </w:tc>
      </w:tr>
      <w:tr>
        <w:tc>
          <w:tcPr>
            <w:tcW w:w="510" w:type="dxa"/>
          </w:tcPr>
          <w:p>
            <w:pPr>
              <w:pStyle w:val="0"/>
              <w:jc w:val="center"/>
            </w:pPr>
            <w:r>
              <w:rPr>
                <w:sz w:val="20"/>
              </w:rPr>
              <w:t xml:space="preserve">21</w:t>
            </w:r>
          </w:p>
        </w:tc>
        <w:tc>
          <w:tcPr>
            <w:tcW w:w="3118" w:type="dxa"/>
          </w:tcPr>
          <w:p>
            <w:pPr>
              <w:pStyle w:val="0"/>
            </w:pPr>
            <w:r>
              <w:rPr>
                <w:sz w:val="20"/>
              </w:rPr>
              <w:t xml:space="preserve">Электромеханик</w:t>
            </w:r>
          </w:p>
        </w:tc>
        <w:tc>
          <w:tcPr>
            <w:tcW w:w="907" w:type="dxa"/>
            <w:vAlign w:val="center"/>
          </w:tcPr>
          <w:p>
            <w:pPr>
              <w:pStyle w:val="0"/>
              <w:jc w:val="center"/>
            </w:pPr>
            <w:r>
              <w:rPr>
                <w:sz w:val="20"/>
              </w:rPr>
              <w:t xml:space="preserve">289</w:t>
            </w:r>
          </w:p>
        </w:tc>
        <w:tc>
          <w:tcPr>
            <w:tcW w:w="907" w:type="dxa"/>
            <w:vAlign w:val="center"/>
          </w:tcPr>
          <w:p>
            <w:pPr>
              <w:pStyle w:val="0"/>
              <w:jc w:val="center"/>
            </w:pPr>
            <w:r>
              <w:rPr>
                <w:sz w:val="20"/>
              </w:rPr>
              <w:t xml:space="preserve">277</w:t>
            </w:r>
          </w:p>
        </w:tc>
        <w:tc>
          <w:tcPr>
            <w:tcW w:w="907" w:type="dxa"/>
            <w:vAlign w:val="center"/>
          </w:tcPr>
          <w:p>
            <w:pPr>
              <w:pStyle w:val="0"/>
              <w:jc w:val="center"/>
            </w:pPr>
            <w:r>
              <w:rPr>
                <w:sz w:val="20"/>
              </w:rPr>
              <w:t xml:space="preserve">250</w:t>
            </w:r>
          </w:p>
        </w:tc>
        <w:tc>
          <w:tcPr>
            <w:tcW w:w="907" w:type="dxa"/>
            <w:vAlign w:val="center"/>
          </w:tcPr>
          <w:p>
            <w:pPr>
              <w:pStyle w:val="0"/>
              <w:jc w:val="center"/>
            </w:pPr>
            <w:r>
              <w:rPr>
                <w:sz w:val="20"/>
              </w:rPr>
              <w:t xml:space="preserve">239</w:t>
            </w:r>
          </w:p>
        </w:tc>
        <w:tc>
          <w:tcPr>
            <w:tcW w:w="907" w:type="dxa"/>
            <w:vAlign w:val="center"/>
          </w:tcPr>
          <w:p>
            <w:pPr>
              <w:pStyle w:val="0"/>
              <w:jc w:val="center"/>
            </w:pPr>
            <w:r>
              <w:rPr>
                <w:sz w:val="20"/>
              </w:rPr>
              <w:t xml:space="preserve">212</w:t>
            </w:r>
          </w:p>
        </w:tc>
        <w:tc>
          <w:tcPr>
            <w:tcW w:w="907" w:type="dxa"/>
            <w:vAlign w:val="center"/>
          </w:tcPr>
          <w:p>
            <w:pPr>
              <w:pStyle w:val="0"/>
              <w:jc w:val="center"/>
            </w:pPr>
            <w:r>
              <w:rPr>
                <w:sz w:val="20"/>
              </w:rPr>
              <w:t xml:space="preserve">195</w:t>
            </w:r>
          </w:p>
        </w:tc>
      </w:tr>
      <w:tr>
        <w:tc>
          <w:tcPr>
            <w:tcW w:w="510" w:type="dxa"/>
          </w:tcPr>
          <w:p>
            <w:pPr>
              <w:pStyle w:val="0"/>
              <w:jc w:val="center"/>
            </w:pPr>
            <w:r>
              <w:rPr>
                <w:sz w:val="20"/>
              </w:rPr>
              <w:t xml:space="preserve">22</w:t>
            </w:r>
          </w:p>
        </w:tc>
        <w:tc>
          <w:tcPr>
            <w:tcW w:w="3118" w:type="dxa"/>
          </w:tcPr>
          <w:p>
            <w:pPr>
              <w:pStyle w:val="0"/>
            </w:pPr>
            <w:r>
              <w:rPr>
                <w:sz w:val="20"/>
              </w:rPr>
              <w:t xml:space="preserve">Электромонтажник-наладчик</w:t>
            </w:r>
          </w:p>
        </w:tc>
        <w:tc>
          <w:tcPr>
            <w:tcW w:w="907" w:type="dxa"/>
            <w:vAlign w:val="center"/>
          </w:tcPr>
          <w:p>
            <w:pPr>
              <w:pStyle w:val="0"/>
              <w:jc w:val="center"/>
            </w:pPr>
            <w:r>
              <w:rPr>
                <w:sz w:val="20"/>
              </w:rPr>
              <w:t xml:space="preserve">284</w:t>
            </w:r>
          </w:p>
        </w:tc>
        <w:tc>
          <w:tcPr>
            <w:tcW w:w="907" w:type="dxa"/>
            <w:vAlign w:val="center"/>
          </w:tcPr>
          <w:p>
            <w:pPr>
              <w:pStyle w:val="0"/>
              <w:jc w:val="center"/>
            </w:pPr>
            <w:r>
              <w:rPr>
                <w:sz w:val="20"/>
              </w:rPr>
              <w:t xml:space="preserve">261</w:t>
            </w:r>
          </w:p>
        </w:tc>
        <w:tc>
          <w:tcPr>
            <w:tcW w:w="907" w:type="dxa"/>
            <w:vAlign w:val="center"/>
          </w:tcPr>
          <w:p>
            <w:pPr>
              <w:pStyle w:val="0"/>
              <w:jc w:val="center"/>
            </w:pPr>
            <w:r>
              <w:rPr>
                <w:sz w:val="20"/>
              </w:rPr>
              <w:t xml:space="preserve">244</w:t>
            </w:r>
          </w:p>
        </w:tc>
        <w:tc>
          <w:tcPr>
            <w:tcW w:w="907" w:type="dxa"/>
            <w:vAlign w:val="center"/>
          </w:tcPr>
          <w:p>
            <w:pPr>
              <w:pStyle w:val="0"/>
              <w:jc w:val="center"/>
            </w:pPr>
            <w:r>
              <w:rPr>
                <w:sz w:val="20"/>
              </w:rPr>
              <w:t xml:space="preserve">222</w:t>
            </w:r>
          </w:p>
        </w:tc>
        <w:tc>
          <w:tcPr>
            <w:tcW w:w="907" w:type="dxa"/>
            <w:vAlign w:val="center"/>
          </w:tcPr>
          <w:p>
            <w:pPr>
              <w:pStyle w:val="0"/>
              <w:jc w:val="center"/>
            </w:pPr>
            <w:r>
              <w:rPr>
                <w:sz w:val="20"/>
              </w:rPr>
              <w:t xml:space="preserve">205</w:t>
            </w:r>
          </w:p>
        </w:tc>
        <w:tc>
          <w:tcPr>
            <w:tcW w:w="907" w:type="dxa"/>
            <w:vAlign w:val="center"/>
          </w:tcPr>
          <w:p>
            <w:pPr>
              <w:pStyle w:val="0"/>
              <w:jc w:val="center"/>
            </w:pPr>
            <w:r>
              <w:rPr>
                <w:sz w:val="20"/>
              </w:rPr>
              <w:t xml:space="preserve">187</w:t>
            </w:r>
          </w:p>
        </w:tc>
      </w:tr>
      <w:tr>
        <w:tc>
          <w:tcPr>
            <w:tcW w:w="510" w:type="dxa"/>
          </w:tcPr>
          <w:p>
            <w:pPr>
              <w:pStyle w:val="0"/>
              <w:jc w:val="center"/>
            </w:pPr>
            <w:r>
              <w:rPr>
                <w:sz w:val="20"/>
              </w:rPr>
              <w:t xml:space="preserve">23</w:t>
            </w:r>
          </w:p>
        </w:tc>
        <w:tc>
          <w:tcPr>
            <w:tcW w:w="3118" w:type="dxa"/>
          </w:tcPr>
          <w:p>
            <w:pPr>
              <w:pStyle w:val="0"/>
            </w:pPr>
            <w:r>
              <w:rPr>
                <w:sz w:val="20"/>
              </w:rPr>
              <w:t xml:space="preserve">Слесарь</w:t>
            </w:r>
          </w:p>
        </w:tc>
        <w:tc>
          <w:tcPr>
            <w:tcW w:w="907" w:type="dxa"/>
            <w:vAlign w:val="center"/>
          </w:tcPr>
          <w:p>
            <w:pPr>
              <w:pStyle w:val="0"/>
              <w:jc w:val="center"/>
            </w:pPr>
            <w:r>
              <w:rPr>
                <w:sz w:val="20"/>
              </w:rPr>
              <w:t xml:space="preserve">275</w:t>
            </w:r>
          </w:p>
        </w:tc>
        <w:tc>
          <w:tcPr>
            <w:tcW w:w="907" w:type="dxa"/>
            <w:vAlign w:val="center"/>
          </w:tcPr>
          <w:p>
            <w:pPr>
              <w:pStyle w:val="0"/>
              <w:jc w:val="center"/>
            </w:pPr>
            <w:r>
              <w:rPr>
                <w:sz w:val="20"/>
              </w:rPr>
              <w:t xml:space="preserve">274</w:t>
            </w:r>
          </w:p>
        </w:tc>
        <w:tc>
          <w:tcPr>
            <w:tcW w:w="907" w:type="dxa"/>
            <w:vAlign w:val="center"/>
          </w:tcPr>
          <w:p>
            <w:pPr>
              <w:pStyle w:val="0"/>
              <w:jc w:val="center"/>
            </w:pPr>
            <w:r>
              <w:rPr>
                <w:sz w:val="20"/>
              </w:rPr>
              <w:t xml:space="preserve">270</w:t>
            </w:r>
          </w:p>
        </w:tc>
        <w:tc>
          <w:tcPr>
            <w:tcW w:w="907" w:type="dxa"/>
            <w:vAlign w:val="center"/>
          </w:tcPr>
          <w:p>
            <w:pPr>
              <w:pStyle w:val="0"/>
              <w:jc w:val="center"/>
            </w:pPr>
            <w:r>
              <w:rPr>
                <w:sz w:val="20"/>
              </w:rPr>
              <w:t xml:space="preserve">251</w:t>
            </w:r>
          </w:p>
        </w:tc>
        <w:tc>
          <w:tcPr>
            <w:tcW w:w="907" w:type="dxa"/>
            <w:vAlign w:val="center"/>
          </w:tcPr>
          <w:p>
            <w:pPr>
              <w:pStyle w:val="0"/>
              <w:jc w:val="center"/>
            </w:pPr>
            <w:r>
              <w:rPr>
                <w:sz w:val="20"/>
              </w:rPr>
              <w:t xml:space="preserve">211</w:t>
            </w:r>
          </w:p>
        </w:tc>
        <w:tc>
          <w:tcPr>
            <w:tcW w:w="907" w:type="dxa"/>
            <w:vAlign w:val="center"/>
          </w:tcPr>
          <w:p>
            <w:pPr>
              <w:pStyle w:val="0"/>
              <w:jc w:val="center"/>
            </w:pPr>
            <w:r>
              <w:rPr>
                <w:sz w:val="20"/>
              </w:rPr>
              <w:t xml:space="preserve">179</w:t>
            </w:r>
          </w:p>
        </w:tc>
      </w:tr>
      <w:tr>
        <w:tc>
          <w:tcPr>
            <w:tcW w:w="510" w:type="dxa"/>
          </w:tcPr>
          <w:p>
            <w:pPr>
              <w:pStyle w:val="0"/>
              <w:jc w:val="center"/>
            </w:pPr>
            <w:r>
              <w:rPr>
                <w:sz w:val="20"/>
              </w:rPr>
              <w:t xml:space="preserve">24</w:t>
            </w:r>
          </w:p>
        </w:tc>
        <w:tc>
          <w:tcPr>
            <w:tcW w:w="3118" w:type="dxa"/>
          </w:tcPr>
          <w:p>
            <w:pPr>
              <w:pStyle w:val="0"/>
            </w:pPr>
            <w:r>
              <w:rPr>
                <w:sz w:val="20"/>
              </w:rPr>
              <w:t xml:space="preserve">Плотник</w:t>
            </w:r>
          </w:p>
        </w:tc>
        <w:tc>
          <w:tcPr>
            <w:tcW w:w="907" w:type="dxa"/>
            <w:vAlign w:val="center"/>
          </w:tcPr>
          <w:p>
            <w:pPr>
              <w:pStyle w:val="0"/>
              <w:jc w:val="center"/>
            </w:pPr>
            <w:r>
              <w:rPr>
                <w:sz w:val="20"/>
              </w:rPr>
              <w:t xml:space="preserve">271</w:t>
            </w:r>
          </w:p>
        </w:tc>
        <w:tc>
          <w:tcPr>
            <w:tcW w:w="907" w:type="dxa"/>
            <w:vAlign w:val="center"/>
          </w:tcPr>
          <w:p>
            <w:pPr>
              <w:pStyle w:val="0"/>
              <w:jc w:val="center"/>
            </w:pPr>
            <w:r>
              <w:rPr>
                <w:sz w:val="20"/>
              </w:rPr>
              <w:t xml:space="preserve">259</w:t>
            </w:r>
          </w:p>
        </w:tc>
        <w:tc>
          <w:tcPr>
            <w:tcW w:w="907" w:type="dxa"/>
            <w:vAlign w:val="center"/>
          </w:tcPr>
          <w:p>
            <w:pPr>
              <w:pStyle w:val="0"/>
              <w:jc w:val="center"/>
            </w:pPr>
            <w:r>
              <w:rPr>
                <w:sz w:val="20"/>
              </w:rPr>
              <w:t xml:space="preserve">229</w:t>
            </w:r>
          </w:p>
        </w:tc>
        <w:tc>
          <w:tcPr>
            <w:tcW w:w="907" w:type="dxa"/>
            <w:vAlign w:val="center"/>
          </w:tcPr>
          <w:p>
            <w:pPr>
              <w:pStyle w:val="0"/>
              <w:jc w:val="center"/>
            </w:pPr>
            <w:r>
              <w:rPr>
                <w:sz w:val="20"/>
              </w:rPr>
              <w:t xml:space="preserve">204</w:t>
            </w:r>
          </w:p>
        </w:tc>
        <w:tc>
          <w:tcPr>
            <w:tcW w:w="907" w:type="dxa"/>
            <w:vAlign w:val="center"/>
          </w:tcPr>
          <w:p>
            <w:pPr>
              <w:pStyle w:val="0"/>
              <w:jc w:val="center"/>
            </w:pPr>
            <w:r>
              <w:rPr>
                <w:sz w:val="20"/>
              </w:rPr>
              <w:t xml:space="preserve">186</w:t>
            </w:r>
          </w:p>
        </w:tc>
        <w:tc>
          <w:tcPr>
            <w:tcW w:w="907" w:type="dxa"/>
            <w:vAlign w:val="center"/>
          </w:tcPr>
          <w:p>
            <w:pPr>
              <w:pStyle w:val="0"/>
              <w:jc w:val="center"/>
            </w:pPr>
            <w:r>
              <w:rPr>
                <w:sz w:val="20"/>
              </w:rPr>
              <w:t xml:space="preserve">158</w:t>
            </w:r>
          </w:p>
        </w:tc>
      </w:tr>
      <w:tr>
        <w:tc>
          <w:tcPr>
            <w:tcW w:w="510" w:type="dxa"/>
          </w:tcPr>
          <w:p>
            <w:pPr>
              <w:pStyle w:val="0"/>
              <w:jc w:val="center"/>
            </w:pPr>
            <w:r>
              <w:rPr>
                <w:sz w:val="20"/>
              </w:rPr>
              <w:t xml:space="preserve">25</w:t>
            </w:r>
          </w:p>
        </w:tc>
        <w:tc>
          <w:tcPr>
            <w:tcW w:w="3118" w:type="dxa"/>
          </w:tcPr>
          <w:p>
            <w:pPr>
              <w:pStyle w:val="0"/>
            </w:pPr>
            <w:r>
              <w:rPr>
                <w:sz w:val="20"/>
              </w:rPr>
              <w:t xml:space="preserve">Инженер</w:t>
            </w:r>
          </w:p>
        </w:tc>
        <w:tc>
          <w:tcPr>
            <w:tcW w:w="907" w:type="dxa"/>
            <w:vAlign w:val="center"/>
          </w:tcPr>
          <w:p>
            <w:pPr>
              <w:pStyle w:val="0"/>
              <w:jc w:val="center"/>
            </w:pPr>
            <w:r>
              <w:rPr>
                <w:sz w:val="20"/>
              </w:rPr>
              <w:t xml:space="preserve">222</w:t>
            </w:r>
          </w:p>
        </w:tc>
        <w:tc>
          <w:tcPr>
            <w:tcW w:w="907" w:type="dxa"/>
            <w:vAlign w:val="center"/>
          </w:tcPr>
          <w:p>
            <w:pPr>
              <w:pStyle w:val="0"/>
              <w:jc w:val="center"/>
            </w:pPr>
            <w:r>
              <w:rPr>
                <w:sz w:val="20"/>
              </w:rPr>
              <w:t xml:space="preserve">203</w:t>
            </w:r>
          </w:p>
        </w:tc>
        <w:tc>
          <w:tcPr>
            <w:tcW w:w="907" w:type="dxa"/>
            <w:vAlign w:val="center"/>
          </w:tcPr>
          <w:p>
            <w:pPr>
              <w:pStyle w:val="0"/>
              <w:jc w:val="center"/>
            </w:pPr>
            <w:r>
              <w:rPr>
                <w:sz w:val="20"/>
              </w:rPr>
              <w:t xml:space="preserve">216</w:t>
            </w:r>
          </w:p>
        </w:tc>
        <w:tc>
          <w:tcPr>
            <w:tcW w:w="907" w:type="dxa"/>
            <w:vAlign w:val="center"/>
          </w:tcPr>
          <w:p>
            <w:pPr>
              <w:pStyle w:val="0"/>
              <w:jc w:val="center"/>
            </w:pPr>
            <w:r>
              <w:rPr>
                <w:sz w:val="20"/>
              </w:rPr>
              <w:t xml:space="preserve">188</w:t>
            </w:r>
          </w:p>
        </w:tc>
        <w:tc>
          <w:tcPr>
            <w:tcW w:w="907" w:type="dxa"/>
            <w:vAlign w:val="center"/>
          </w:tcPr>
          <w:p>
            <w:pPr>
              <w:pStyle w:val="0"/>
              <w:jc w:val="center"/>
            </w:pPr>
            <w:r>
              <w:rPr>
                <w:sz w:val="20"/>
              </w:rPr>
              <w:t xml:space="preserve">165</w:t>
            </w:r>
          </w:p>
        </w:tc>
        <w:tc>
          <w:tcPr>
            <w:tcW w:w="907" w:type="dxa"/>
            <w:vAlign w:val="center"/>
          </w:tcPr>
          <w:p>
            <w:pPr>
              <w:pStyle w:val="0"/>
              <w:jc w:val="center"/>
            </w:pPr>
            <w:r>
              <w:rPr>
                <w:sz w:val="20"/>
              </w:rPr>
              <w:t xml:space="preserve">144</w:t>
            </w:r>
          </w:p>
        </w:tc>
      </w:tr>
      <w:tr>
        <w:tc>
          <w:tcPr>
            <w:tcW w:w="510" w:type="dxa"/>
          </w:tcPr>
          <w:p>
            <w:pPr>
              <w:pStyle w:val="0"/>
              <w:jc w:val="center"/>
            </w:pPr>
            <w:r>
              <w:rPr>
                <w:sz w:val="20"/>
              </w:rPr>
              <w:t xml:space="preserve">26</w:t>
            </w:r>
          </w:p>
        </w:tc>
        <w:tc>
          <w:tcPr>
            <w:tcW w:w="3118" w:type="dxa"/>
          </w:tcPr>
          <w:p>
            <w:pPr>
              <w:pStyle w:val="0"/>
            </w:pPr>
            <w:r>
              <w:rPr>
                <w:sz w:val="20"/>
              </w:rPr>
              <w:t xml:space="preserve">Электросварщик</w:t>
            </w:r>
          </w:p>
        </w:tc>
        <w:tc>
          <w:tcPr>
            <w:tcW w:w="907" w:type="dxa"/>
            <w:vAlign w:val="center"/>
          </w:tcPr>
          <w:p>
            <w:pPr>
              <w:pStyle w:val="0"/>
              <w:jc w:val="center"/>
            </w:pPr>
            <w:r>
              <w:rPr>
                <w:sz w:val="20"/>
              </w:rPr>
              <w:t xml:space="preserve">195</w:t>
            </w:r>
          </w:p>
        </w:tc>
        <w:tc>
          <w:tcPr>
            <w:tcW w:w="907" w:type="dxa"/>
            <w:vAlign w:val="center"/>
          </w:tcPr>
          <w:p>
            <w:pPr>
              <w:pStyle w:val="0"/>
              <w:jc w:val="center"/>
            </w:pPr>
            <w:r>
              <w:rPr>
                <w:sz w:val="20"/>
              </w:rPr>
              <w:t xml:space="preserve">179</w:t>
            </w:r>
          </w:p>
        </w:tc>
        <w:tc>
          <w:tcPr>
            <w:tcW w:w="907" w:type="dxa"/>
            <w:vAlign w:val="center"/>
          </w:tcPr>
          <w:p>
            <w:pPr>
              <w:pStyle w:val="0"/>
              <w:jc w:val="center"/>
            </w:pPr>
            <w:r>
              <w:rPr>
                <w:sz w:val="20"/>
              </w:rPr>
              <w:t xml:space="preserve">164</w:t>
            </w:r>
          </w:p>
        </w:tc>
        <w:tc>
          <w:tcPr>
            <w:tcW w:w="907" w:type="dxa"/>
            <w:vAlign w:val="center"/>
          </w:tcPr>
          <w:p>
            <w:pPr>
              <w:pStyle w:val="0"/>
              <w:jc w:val="center"/>
            </w:pPr>
            <w:r>
              <w:rPr>
                <w:sz w:val="20"/>
              </w:rPr>
              <w:t xml:space="preserve">133</w:t>
            </w:r>
          </w:p>
        </w:tc>
        <w:tc>
          <w:tcPr>
            <w:tcW w:w="907" w:type="dxa"/>
            <w:vAlign w:val="center"/>
          </w:tcPr>
          <w:p>
            <w:pPr>
              <w:pStyle w:val="0"/>
              <w:jc w:val="center"/>
            </w:pPr>
            <w:r>
              <w:rPr>
                <w:sz w:val="20"/>
              </w:rPr>
              <w:t xml:space="preserve">114</w:t>
            </w:r>
          </w:p>
        </w:tc>
        <w:tc>
          <w:tcPr>
            <w:tcW w:w="907" w:type="dxa"/>
            <w:vAlign w:val="center"/>
          </w:tcPr>
          <w:p>
            <w:pPr>
              <w:pStyle w:val="0"/>
              <w:jc w:val="center"/>
            </w:pPr>
            <w:r>
              <w:rPr>
                <w:sz w:val="20"/>
              </w:rPr>
              <w:t xml:space="preserve">101</w:t>
            </w:r>
          </w:p>
        </w:tc>
      </w:tr>
      <w:tr>
        <w:tc>
          <w:tcPr>
            <w:tcW w:w="510" w:type="dxa"/>
          </w:tcPr>
          <w:p>
            <w:pPr>
              <w:pStyle w:val="0"/>
              <w:jc w:val="center"/>
            </w:pPr>
            <w:r>
              <w:rPr>
                <w:sz w:val="20"/>
              </w:rPr>
              <w:t xml:space="preserve">27</w:t>
            </w:r>
          </w:p>
        </w:tc>
        <w:tc>
          <w:tcPr>
            <w:tcW w:w="3118" w:type="dxa"/>
          </w:tcPr>
          <w:p>
            <w:pPr>
              <w:pStyle w:val="0"/>
            </w:pPr>
            <w:r>
              <w:rPr>
                <w:sz w:val="20"/>
              </w:rPr>
              <w:t xml:space="preserve">Машинист крана</w:t>
            </w:r>
          </w:p>
        </w:tc>
        <w:tc>
          <w:tcPr>
            <w:tcW w:w="907" w:type="dxa"/>
            <w:vAlign w:val="center"/>
          </w:tcPr>
          <w:p>
            <w:pPr>
              <w:pStyle w:val="0"/>
              <w:jc w:val="center"/>
            </w:pPr>
            <w:r>
              <w:rPr>
                <w:sz w:val="20"/>
              </w:rPr>
              <w:t xml:space="preserve">122</w:t>
            </w:r>
          </w:p>
        </w:tc>
        <w:tc>
          <w:tcPr>
            <w:tcW w:w="907" w:type="dxa"/>
            <w:vAlign w:val="center"/>
          </w:tcPr>
          <w:p>
            <w:pPr>
              <w:pStyle w:val="0"/>
              <w:jc w:val="center"/>
            </w:pPr>
            <w:r>
              <w:rPr>
                <w:sz w:val="20"/>
              </w:rPr>
              <w:t xml:space="preserve">105</w:t>
            </w:r>
          </w:p>
        </w:tc>
        <w:tc>
          <w:tcPr>
            <w:tcW w:w="907" w:type="dxa"/>
            <w:vAlign w:val="center"/>
          </w:tcPr>
          <w:p>
            <w:pPr>
              <w:pStyle w:val="0"/>
              <w:jc w:val="center"/>
            </w:pPr>
            <w:r>
              <w:rPr>
                <w:sz w:val="20"/>
              </w:rPr>
              <w:t xml:space="preserve">122</w:t>
            </w:r>
          </w:p>
        </w:tc>
        <w:tc>
          <w:tcPr>
            <w:tcW w:w="907" w:type="dxa"/>
            <w:vAlign w:val="center"/>
          </w:tcPr>
          <w:p>
            <w:pPr>
              <w:pStyle w:val="0"/>
              <w:jc w:val="center"/>
            </w:pPr>
            <w:r>
              <w:rPr>
                <w:sz w:val="20"/>
              </w:rPr>
              <w:t xml:space="preserve">100</w:t>
            </w:r>
          </w:p>
        </w:tc>
        <w:tc>
          <w:tcPr>
            <w:tcW w:w="907" w:type="dxa"/>
            <w:vAlign w:val="center"/>
          </w:tcPr>
          <w:p>
            <w:pPr>
              <w:pStyle w:val="0"/>
              <w:jc w:val="center"/>
            </w:pPr>
            <w:r>
              <w:rPr>
                <w:sz w:val="20"/>
              </w:rPr>
              <w:t xml:space="preserve">87</w:t>
            </w:r>
          </w:p>
        </w:tc>
        <w:tc>
          <w:tcPr>
            <w:tcW w:w="907" w:type="dxa"/>
            <w:vAlign w:val="center"/>
          </w:tcPr>
          <w:p>
            <w:pPr>
              <w:pStyle w:val="0"/>
              <w:jc w:val="center"/>
            </w:pPr>
            <w:r>
              <w:rPr>
                <w:sz w:val="20"/>
              </w:rPr>
              <w:t xml:space="preserve">77</w:t>
            </w:r>
          </w:p>
        </w:tc>
      </w:tr>
      <w:tr>
        <w:tc>
          <w:tcPr>
            <w:tcW w:w="510" w:type="dxa"/>
          </w:tcPr>
          <w:p>
            <w:pPr>
              <w:pStyle w:val="0"/>
              <w:jc w:val="center"/>
            </w:pPr>
            <w:r>
              <w:rPr>
                <w:sz w:val="20"/>
              </w:rPr>
              <w:t xml:space="preserve">28</w:t>
            </w:r>
          </w:p>
        </w:tc>
        <w:tc>
          <w:tcPr>
            <w:tcW w:w="3118" w:type="dxa"/>
          </w:tcPr>
          <w:p>
            <w:pPr>
              <w:pStyle w:val="0"/>
            </w:pPr>
            <w:r>
              <w:rPr>
                <w:sz w:val="20"/>
              </w:rPr>
              <w:t xml:space="preserve">Инженер-механик</w:t>
            </w:r>
          </w:p>
        </w:tc>
        <w:tc>
          <w:tcPr>
            <w:tcW w:w="907" w:type="dxa"/>
            <w:vAlign w:val="center"/>
          </w:tcPr>
          <w:p>
            <w:pPr>
              <w:pStyle w:val="0"/>
              <w:jc w:val="center"/>
            </w:pPr>
            <w:r>
              <w:rPr>
                <w:sz w:val="20"/>
              </w:rPr>
              <w:t xml:space="preserve">102</w:t>
            </w:r>
          </w:p>
        </w:tc>
        <w:tc>
          <w:tcPr>
            <w:tcW w:w="907" w:type="dxa"/>
            <w:vAlign w:val="center"/>
          </w:tcPr>
          <w:p>
            <w:pPr>
              <w:pStyle w:val="0"/>
              <w:jc w:val="center"/>
            </w:pPr>
            <w:r>
              <w:rPr>
                <w:sz w:val="20"/>
              </w:rPr>
              <w:t xml:space="preserve">100</w:t>
            </w:r>
          </w:p>
        </w:tc>
        <w:tc>
          <w:tcPr>
            <w:tcW w:w="907" w:type="dxa"/>
            <w:vAlign w:val="center"/>
          </w:tcPr>
          <w:p>
            <w:pPr>
              <w:pStyle w:val="0"/>
              <w:jc w:val="center"/>
            </w:pPr>
            <w:r>
              <w:rPr>
                <w:sz w:val="20"/>
              </w:rPr>
              <w:t xml:space="preserve">86</w:t>
            </w:r>
          </w:p>
        </w:tc>
        <w:tc>
          <w:tcPr>
            <w:tcW w:w="907" w:type="dxa"/>
            <w:vAlign w:val="center"/>
          </w:tcPr>
          <w:p>
            <w:pPr>
              <w:pStyle w:val="0"/>
              <w:jc w:val="center"/>
            </w:pPr>
            <w:r>
              <w:rPr>
                <w:sz w:val="20"/>
              </w:rPr>
              <w:t xml:space="preserve">74</w:t>
            </w:r>
          </w:p>
        </w:tc>
        <w:tc>
          <w:tcPr>
            <w:tcW w:w="907" w:type="dxa"/>
            <w:vAlign w:val="center"/>
          </w:tcPr>
          <w:p>
            <w:pPr>
              <w:pStyle w:val="0"/>
              <w:jc w:val="center"/>
            </w:pPr>
            <w:r>
              <w:rPr>
                <w:sz w:val="20"/>
              </w:rPr>
              <w:t xml:space="preserve">69</w:t>
            </w:r>
          </w:p>
        </w:tc>
        <w:tc>
          <w:tcPr>
            <w:tcW w:w="907" w:type="dxa"/>
            <w:vAlign w:val="center"/>
          </w:tcPr>
          <w:p>
            <w:pPr>
              <w:pStyle w:val="0"/>
              <w:jc w:val="center"/>
            </w:pPr>
            <w:r>
              <w:rPr>
                <w:sz w:val="20"/>
              </w:rPr>
              <w:t xml:space="preserve">65</w:t>
            </w:r>
          </w:p>
        </w:tc>
      </w:tr>
      <w:tr>
        <w:tc>
          <w:tcPr>
            <w:tcW w:w="510" w:type="dxa"/>
          </w:tcPr>
          <w:p>
            <w:pPr>
              <w:pStyle w:val="0"/>
            </w:pPr>
            <w:r>
              <w:rPr>
                <w:sz w:val="20"/>
              </w:rPr>
            </w:r>
          </w:p>
        </w:tc>
        <w:tc>
          <w:tcPr>
            <w:gridSpan w:val="7"/>
            <w:tcW w:w="8560" w:type="dxa"/>
            <w:vAlign w:val="center"/>
          </w:tcPr>
          <w:p>
            <w:pPr>
              <w:pStyle w:val="0"/>
              <w:jc w:val="center"/>
            </w:pPr>
            <w:r>
              <w:rPr>
                <w:sz w:val="20"/>
              </w:rPr>
              <w:t xml:space="preserve">Государственное управление и обеспечение военной безопасности; социальное обеспечение</w:t>
            </w:r>
          </w:p>
        </w:tc>
      </w:tr>
      <w:tr>
        <w:tc>
          <w:tcPr>
            <w:tcW w:w="510" w:type="dxa"/>
          </w:tcPr>
          <w:p>
            <w:pPr>
              <w:pStyle w:val="0"/>
              <w:jc w:val="center"/>
            </w:pPr>
            <w:r>
              <w:rPr>
                <w:sz w:val="20"/>
              </w:rPr>
              <w:t xml:space="preserve">29</w:t>
            </w:r>
          </w:p>
        </w:tc>
        <w:tc>
          <w:tcPr>
            <w:tcW w:w="3118" w:type="dxa"/>
          </w:tcPr>
          <w:p>
            <w:pPr>
              <w:pStyle w:val="0"/>
            </w:pPr>
            <w:r>
              <w:rPr>
                <w:sz w:val="20"/>
              </w:rPr>
              <w:t xml:space="preserve">Стрелок</w:t>
            </w:r>
          </w:p>
        </w:tc>
        <w:tc>
          <w:tcPr>
            <w:tcW w:w="907" w:type="dxa"/>
            <w:vAlign w:val="center"/>
          </w:tcPr>
          <w:p>
            <w:pPr>
              <w:pStyle w:val="0"/>
              <w:jc w:val="center"/>
            </w:pPr>
            <w:r>
              <w:rPr>
                <w:sz w:val="20"/>
              </w:rPr>
              <w:t xml:space="preserve">161</w:t>
            </w:r>
          </w:p>
        </w:tc>
        <w:tc>
          <w:tcPr>
            <w:tcW w:w="907" w:type="dxa"/>
            <w:vAlign w:val="center"/>
          </w:tcPr>
          <w:p>
            <w:pPr>
              <w:pStyle w:val="0"/>
              <w:jc w:val="center"/>
            </w:pPr>
            <w:r>
              <w:rPr>
                <w:sz w:val="20"/>
              </w:rPr>
              <w:t xml:space="preserve">150</w:t>
            </w:r>
          </w:p>
        </w:tc>
        <w:tc>
          <w:tcPr>
            <w:tcW w:w="907" w:type="dxa"/>
            <w:vAlign w:val="center"/>
          </w:tcPr>
          <w:p>
            <w:pPr>
              <w:pStyle w:val="0"/>
              <w:jc w:val="center"/>
            </w:pPr>
            <w:r>
              <w:rPr>
                <w:sz w:val="20"/>
              </w:rPr>
              <w:t xml:space="preserve">141</w:t>
            </w:r>
          </w:p>
        </w:tc>
        <w:tc>
          <w:tcPr>
            <w:tcW w:w="907" w:type="dxa"/>
            <w:vAlign w:val="center"/>
          </w:tcPr>
          <w:p>
            <w:pPr>
              <w:pStyle w:val="0"/>
              <w:jc w:val="center"/>
            </w:pPr>
            <w:r>
              <w:rPr>
                <w:sz w:val="20"/>
              </w:rPr>
              <w:t xml:space="preserve">100</w:t>
            </w:r>
          </w:p>
        </w:tc>
        <w:tc>
          <w:tcPr>
            <w:tcW w:w="907" w:type="dxa"/>
            <w:vAlign w:val="center"/>
          </w:tcPr>
          <w:p>
            <w:pPr>
              <w:pStyle w:val="0"/>
              <w:jc w:val="center"/>
            </w:pPr>
            <w:r>
              <w:rPr>
                <w:sz w:val="20"/>
              </w:rPr>
              <w:t xml:space="preserve">95</w:t>
            </w:r>
          </w:p>
        </w:tc>
        <w:tc>
          <w:tcPr>
            <w:tcW w:w="907" w:type="dxa"/>
            <w:vAlign w:val="center"/>
          </w:tcPr>
          <w:p>
            <w:pPr>
              <w:pStyle w:val="0"/>
              <w:jc w:val="center"/>
            </w:pPr>
            <w:r>
              <w:rPr>
                <w:sz w:val="20"/>
              </w:rPr>
              <w:t xml:space="preserve">90</w:t>
            </w:r>
          </w:p>
        </w:tc>
      </w:tr>
      <w:tr>
        <w:tc>
          <w:tcPr>
            <w:tcW w:w="510" w:type="dxa"/>
          </w:tcPr>
          <w:p>
            <w:pPr>
              <w:pStyle w:val="0"/>
              <w:jc w:val="center"/>
            </w:pPr>
            <w:r>
              <w:rPr>
                <w:sz w:val="20"/>
              </w:rPr>
              <w:t xml:space="preserve">30</w:t>
            </w:r>
          </w:p>
        </w:tc>
        <w:tc>
          <w:tcPr>
            <w:tcW w:w="3118" w:type="dxa"/>
          </w:tcPr>
          <w:p>
            <w:pPr>
              <w:pStyle w:val="0"/>
            </w:pPr>
            <w:r>
              <w:rPr>
                <w:sz w:val="20"/>
              </w:rPr>
              <w:t xml:space="preserve">Военнослужащий</w:t>
            </w:r>
          </w:p>
        </w:tc>
        <w:tc>
          <w:tcPr>
            <w:tcW w:w="907" w:type="dxa"/>
            <w:vAlign w:val="center"/>
          </w:tcPr>
          <w:p>
            <w:pPr>
              <w:pStyle w:val="0"/>
              <w:jc w:val="center"/>
            </w:pPr>
            <w:r>
              <w:rPr>
                <w:sz w:val="20"/>
              </w:rPr>
              <w:t xml:space="preserve">155</w:t>
            </w:r>
          </w:p>
        </w:tc>
        <w:tc>
          <w:tcPr>
            <w:tcW w:w="907" w:type="dxa"/>
            <w:vAlign w:val="center"/>
          </w:tcPr>
          <w:p>
            <w:pPr>
              <w:pStyle w:val="0"/>
              <w:jc w:val="center"/>
            </w:pPr>
            <w:r>
              <w:rPr>
                <w:sz w:val="20"/>
              </w:rPr>
              <w:t xml:space="preserve">155</w:t>
            </w:r>
          </w:p>
        </w:tc>
        <w:tc>
          <w:tcPr>
            <w:tcW w:w="907" w:type="dxa"/>
            <w:vAlign w:val="center"/>
          </w:tcPr>
          <w:p>
            <w:pPr>
              <w:pStyle w:val="0"/>
              <w:jc w:val="center"/>
            </w:pPr>
            <w:r>
              <w:rPr>
                <w:sz w:val="20"/>
              </w:rPr>
              <w:t xml:space="preserve">130</w:t>
            </w:r>
          </w:p>
        </w:tc>
        <w:tc>
          <w:tcPr>
            <w:tcW w:w="907" w:type="dxa"/>
            <w:vAlign w:val="center"/>
          </w:tcPr>
          <w:p>
            <w:pPr>
              <w:pStyle w:val="0"/>
              <w:jc w:val="center"/>
            </w:pPr>
            <w:r>
              <w:rPr>
                <w:sz w:val="20"/>
              </w:rPr>
              <w:t xml:space="preserve">110</w:t>
            </w:r>
          </w:p>
        </w:tc>
        <w:tc>
          <w:tcPr>
            <w:tcW w:w="907" w:type="dxa"/>
            <w:vAlign w:val="center"/>
          </w:tcPr>
          <w:p>
            <w:pPr>
              <w:pStyle w:val="0"/>
              <w:jc w:val="center"/>
            </w:pPr>
            <w:r>
              <w:rPr>
                <w:sz w:val="20"/>
              </w:rPr>
              <w:t xml:space="preserve">96</w:t>
            </w:r>
          </w:p>
        </w:tc>
        <w:tc>
          <w:tcPr>
            <w:tcW w:w="907" w:type="dxa"/>
            <w:vAlign w:val="center"/>
          </w:tcPr>
          <w:p>
            <w:pPr>
              <w:pStyle w:val="0"/>
              <w:jc w:val="center"/>
            </w:pPr>
            <w:r>
              <w:rPr>
                <w:sz w:val="20"/>
              </w:rPr>
              <w:t xml:space="preserve">94</w:t>
            </w:r>
          </w:p>
        </w:tc>
      </w:tr>
      <w:tr>
        <w:tc>
          <w:tcPr>
            <w:tcW w:w="510" w:type="dxa"/>
          </w:tcPr>
          <w:p>
            <w:pPr>
              <w:pStyle w:val="0"/>
              <w:jc w:val="center"/>
            </w:pPr>
            <w:r>
              <w:rPr>
                <w:sz w:val="20"/>
              </w:rPr>
              <w:t xml:space="preserve">31</w:t>
            </w:r>
          </w:p>
        </w:tc>
        <w:tc>
          <w:tcPr>
            <w:tcW w:w="3118" w:type="dxa"/>
          </w:tcPr>
          <w:p>
            <w:pPr>
              <w:pStyle w:val="0"/>
            </w:pPr>
            <w:r>
              <w:rPr>
                <w:sz w:val="20"/>
              </w:rPr>
              <w:t xml:space="preserve">Инструктор по вождению автомобиля</w:t>
            </w:r>
          </w:p>
        </w:tc>
        <w:tc>
          <w:tcPr>
            <w:tcW w:w="907" w:type="dxa"/>
            <w:vAlign w:val="center"/>
          </w:tcPr>
          <w:p>
            <w:pPr>
              <w:pStyle w:val="0"/>
              <w:jc w:val="center"/>
            </w:pPr>
            <w:r>
              <w:rPr>
                <w:sz w:val="20"/>
              </w:rPr>
              <w:t xml:space="preserve">100</w:t>
            </w:r>
          </w:p>
        </w:tc>
        <w:tc>
          <w:tcPr>
            <w:tcW w:w="907" w:type="dxa"/>
            <w:vAlign w:val="center"/>
          </w:tcPr>
          <w:p>
            <w:pPr>
              <w:pStyle w:val="0"/>
              <w:jc w:val="center"/>
            </w:pPr>
            <w:r>
              <w:rPr>
                <w:sz w:val="20"/>
              </w:rPr>
              <w:t xml:space="preserve">110</w:t>
            </w:r>
          </w:p>
        </w:tc>
        <w:tc>
          <w:tcPr>
            <w:tcW w:w="907" w:type="dxa"/>
            <w:vAlign w:val="center"/>
          </w:tcPr>
          <w:p>
            <w:pPr>
              <w:pStyle w:val="0"/>
              <w:jc w:val="center"/>
            </w:pPr>
            <w:r>
              <w:rPr>
                <w:sz w:val="20"/>
              </w:rPr>
              <w:t xml:space="preserve">94</w:t>
            </w:r>
          </w:p>
        </w:tc>
        <w:tc>
          <w:tcPr>
            <w:tcW w:w="907" w:type="dxa"/>
            <w:vAlign w:val="center"/>
          </w:tcPr>
          <w:p>
            <w:pPr>
              <w:pStyle w:val="0"/>
              <w:jc w:val="center"/>
            </w:pPr>
            <w:r>
              <w:rPr>
                <w:sz w:val="20"/>
              </w:rPr>
              <w:t xml:space="preserve">92</w:t>
            </w:r>
          </w:p>
        </w:tc>
        <w:tc>
          <w:tcPr>
            <w:tcW w:w="907" w:type="dxa"/>
            <w:vAlign w:val="center"/>
          </w:tcPr>
          <w:p>
            <w:pPr>
              <w:pStyle w:val="0"/>
              <w:jc w:val="center"/>
            </w:pPr>
            <w:r>
              <w:rPr>
                <w:sz w:val="20"/>
              </w:rPr>
              <w:t xml:space="preserve">83</w:t>
            </w:r>
          </w:p>
        </w:tc>
        <w:tc>
          <w:tcPr>
            <w:tcW w:w="907" w:type="dxa"/>
            <w:vAlign w:val="center"/>
          </w:tcPr>
          <w:p>
            <w:pPr>
              <w:pStyle w:val="0"/>
              <w:jc w:val="center"/>
            </w:pPr>
            <w:r>
              <w:rPr>
                <w:sz w:val="20"/>
              </w:rPr>
              <w:t xml:space="preserve">80</w:t>
            </w:r>
          </w:p>
        </w:tc>
      </w:tr>
      <w:tr>
        <w:tc>
          <w:tcPr>
            <w:tcW w:w="510" w:type="dxa"/>
          </w:tcPr>
          <w:p>
            <w:pPr>
              <w:pStyle w:val="0"/>
              <w:jc w:val="center"/>
            </w:pPr>
            <w:r>
              <w:rPr>
                <w:sz w:val="20"/>
              </w:rPr>
              <w:t xml:space="preserve">32</w:t>
            </w:r>
          </w:p>
        </w:tc>
        <w:tc>
          <w:tcPr>
            <w:tcW w:w="3118" w:type="dxa"/>
          </w:tcPr>
          <w:p>
            <w:pPr>
              <w:pStyle w:val="0"/>
            </w:pPr>
            <w:r>
              <w:rPr>
                <w:sz w:val="20"/>
              </w:rPr>
              <w:t xml:space="preserve">Полицейский</w:t>
            </w:r>
          </w:p>
        </w:tc>
        <w:tc>
          <w:tcPr>
            <w:tcW w:w="907" w:type="dxa"/>
            <w:vAlign w:val="center"/>
          </w:tcPr>
          <w:p>
            <w:pPr>
              <w:pStyle w:val="0"/>
              <w:jc w:val="center"/>
            </w:pPr>
            <w:r>
              <w:rPr>
                <w:sz w:val="20"/>
              </w:rPr>
              <w:t xml:space="preserve">66</w:t>
            </w:r>
          </w:p>
        </w:tc>
        <w:tc>
          <w:tcPr>
            <w:tcW w:w="907" w:type="dxa"/>
            <w:vAlign w:val="center"/>
          </w:tcPr>
          <w:p>
            <w:pPr>
              <w:pStyle w:val="0"/>
              <w:jc w:val="center"/>
            </w:pPr>
            <w:r>
              <w:rPr>
                <w:sz w:val="20"/>
              </w:rPr>
              <w:t xml:space="preserve">56</w:t>
            </w:r>
          </w:p>
        </w:tc>
        <w:tc>
          <w:tcPr>
            <w:tcW w:w="907" w:type="dxa"/>
            <w:vAlign w:val="center"/>
          </w:tcPr>
          <w:p>
            <w:pPr>
              <w:pStyle w:val="0"/>
              <w:jc w:val="center"/>
            </w:pPr>
            <w:r>
              <w:rPr>
                <w:sz w:val="20"/>
              </w:rPr>
              <w:t xml:space="preserve">54</w:t>
            </w:r>
          </w:p>
        </w:tc>
        <w:tc>
          <w:tcPr>
            <w:tcW w:w="907" w:type="dxa"/>
            <w:vAlign w:val="center"/>
          </w:tcPr>
          <w:p>
            <w:pPr>
              <w:pStyle w:val="0"/>
              <w:jc w:val="center"/>
            </w:pPr>
            <w:r>
              <w:rPr>
                <w:sz w:val="20"/>
              </w:rPr>
              <w:t xml:space="preserve">50</w:t>
            </w:r>
          </w:p>
        </w:tc>
        <w:tc>
          <w:tcPr>
            <w:tcW w:w="907" w:type="dxa"/>
            <w:vAlign w:val="center"/>
          </w:tcPr>
          <w:p>
            <w:pPr>
              <w:pStyle w:val="0"/>
              <w:jc w:val="center"/>
            </w:pPr>
            <w:r>
              <w:rPr>
                <w:sz w:val="20"/>
              </w:rPr>
              <w:t xml:space="preserve">44</w:t>
            </w:r>
          </w:p>
        </w:tc>
        <w:tc>
          <w:tcPr>
            <w:tcW w:w="907" w:type="dxa"/>
            <w:vAlign w:val="center"/>
          </w:tcPr>
          <w:p>
            <w:pPr>
              <w:pStyle w:val="0"/>
              <w:jc w:val="center"/>
            </w:pPr>
            <w:r>
              <w:rPr>
                <w:sz w:val="20"/>
              </w:rPr>
              <w:t xml:space="preserve">40</w:t>
            </w:r>
          </w:p>
        </w:tc>
      </w:tr>
      <w:tr>
        <w:tc>
          <w:tcPr>
            <w:tcW w:w="510" w:type="dxa"/>
          </w:tcPr>
          <w:p>
            <w:pPr>
              <w:pStyle w:val="0"/>
              <w:jc w:val="center"/>
            </w:pPr>
            <w:r>
              <w:rPr>
                <w:sz w:val="20"/>
              </w:rPr>
              <w:t xml:space="preserve">33</w:t>
            </w:r>
          </w:p>
        </w:tc>
        <w:tc>
          <w:tcPr>
            <w:tcW w:w="3118" w:type="dxa"/>
          </w:tcPr>
          <w:p>
            <w:pPr>
              <w:pStyle w:val="0"/>
            </w:pPr>
            <w:r>
              <w:rPr>
                <w:sz w:val="20"/>
              </w:rPr>
              <w:t xml:space="preserve">Судебный пристав</w:t>
            </w:r>
          </w:p>
        </w:tc>
        <w:tc>
          <w:tcPr>
            <w:tcW w:w="907" w:type="dxa"/>
            <w:vAlign w:val="center"/>
          </w:tcPr>
          <w:p>
            <w:pPr>
              <w:pStyle w:val="0"/>
              <w:jc w:val="center"/>
            </w:pPr>
            <w:r>
              <w:rPr>
                <w:sz w:val="20"/>
              </w:rPr>
              <w:t xml:space="preserve">48</w:t>
            </w:r>
          </w:p>
        </w:tc>
        <w:tc>
          <w:tcPr>
            <w:tcW w:w="907" w:type="dxa"/>
            <w:vAlign w:val="center"/>
          </w:tcPr>
          <w:p>
            <w:pPr>
              <w:pStyle w:val="0"/>
              <w:jc w:val="center"/>
            </w:pPr>
            <w:r>
              <w:rPr>
                <w:sz w:val="20"/>
              </w:rPr>
              <w:t xml:space="preserve">45</w:t>
            </w:r>
          </w:p>
        </w:tc>
        <w:tc>
          <w:tcPr>
            <w:tcW w:w="907" w:type="dxa"/>
            <w:vAlign w:val="center"/>
          </w:tcPr>
          <w:p>
            <w:pPr>
              <w:pStyle w:val="0"/>
              <w:jc w:val="center"/>
            </w:pPr>
            <w:r>
              <w:rPr>
                <w:sz w:val="20"/>
              </w:rPr>
              <w:t xml:space="preserve">45</w:t>
            </w:r>
          </w:p>
        </w:tc>
        <w:tc>
          <w:tcPr>
            <w:tcW w:w="907" w:type="dxa"/>
            <w:vAlign w:val="center"/>
          </w:tcPr>
          <w:p>
            <w:pPr>
              <w:pStyle w:val="0"/>
              <w:jc w:val="center"/>
            </w:pPr>
            <w:r>
              <w:rPr>
                <w:sz w:val="20"/>
              </w:rPr>
              <w:t xml:space="preserve">41</w:t>
            </w:r>
          </w:p>
        </w:tc>
        <w:tc>
          <w:tcPr>
            <w:tcW w:w="907" w:type="dxa"/>
            <w:vAlign w:val="center"/>
          </w:tcPr>
          <w:p>
            <w:pPr>
              <w:pStyle w:val="0"/>
              <w:jc w:val="center"/>
            </w:pPr>
            <w:r>
              <w:rPr>
                <w:sz w:val="20"/>
              </w:rPr>
              <w:t xml:space="preserve">35</w:t>
            </w:r>
          </w:p>
        </w:tc>
        <w:tc>
          <w:tcPr>
            <w:tcW w:w="907" w:type="dxa"/>
            <w:vAlign w:val="center"/>
          </w:tcPr>
          <w:p>
            <w:pPr>
              <w:pStyle w:val="0"/>
              <w:jc w:val="center"/>
            </w:pPr>
            <w:r>
              <w:rPr>
                <w:sz w:val="20"/>
              </w:rPr>
              <w:t xml:space="preserve">35</w:t>
            </w:r>
          </w:p>
        </w:tc>
      </w:tr>
      <w:tr>
        <w:tc>
          <w:tcPr>
            <w:tcW w:w="510" w:type="dxa"/>
          </w:tcPr>
          <w:p>
            <w:pPr>
              <w:pStyle w:val="0"/>
              <w:jc w:val="center"/>
            </w:pPr>
            <w:r>
              <w:rPr>
                <w:sz w:val="20"/>
              </w:rPr>
              <w:t xml:space="preserve">34</w:t>
            </w:r>
          </w:p>
        </w:tc>
        <w:tc>
          <w:tcPr>
            <w:tcW w:w="3118" w:type="dxa"/>
          </w:tcPr>
          <w:p>
            <w:pPr>
              <w:pStyle w:val="0"/>
            </w:pPr>
            <w:r>
              <w:rPr>
                <w:sz w:val="20"/>
              </w:rPr>
              <w:t xml:space="preserve">Охранник</w:t>
            </w:r>
          </w:p>
        </w:tc>
        <w:tc>
          <w:tcPr>
            <w:tcW w:w="907" w:type="dxa"/>
            <w:vAlign w:val="center"/>
          </w:tcPr>
          <w:p>
            <w:pPr>
              <w:pStyle w:val="0"/>
              <w:jc w:val="center"/>
            </w:pPr>
            <w:r>
              <w:rPr>
                <w:sz w:val="20"/>
              </w:rPr>
              <w:t xml:space="preserve">34</w:t>
            </w:r>
          </w:p>
        </w:tc>
        <w:tc>
          <w:tcPr>
            <w:tcW w:w="907" w:type="dxa"/>
            <w:vAlign w:val="center"/>
          </w:tcPr>
          <w:p>
            <w:pPr>
              <w:pStyle w:val="0"/>
              <w:jc w:val="center"/>
            </w:pPr>
            <w:r>
              <w:rPr>
                <w:sz w:val="20"/>
              </w:rPr>
              <w:t xml:space="preserve">36</w:t>
            </w:r>
          </w:p>
        </w:tc>
        <w:tc>
          <w:tcPr>
            <w:tcW w:w="907" w:type="dxa"/>
            <w:vAlign w:val="center"/>
          </w:tcPr>
          <w:p>
            <w:pPr>
              <w:pStyle w:val="0"/>
              <w:jc w:val="center"/>
            </w:pPr>
            <w:r>
              <w:rPr>
                <w:sz w:val="20"/>
              </w:rPr>
              <w:t xml:space="preserve">35</w:t>
            </w:r>
          </w:p>
        </w:tc>
        <w:tc>
          <w:tcPr>
            <w:tcW w:w="907" w:type="dxa"/>
            <w:vAlign w:val="center"/>
          </w:tcPr>
          <w:p>
            <w:pPr>
              <w:pStyle w:val="0"/>
              <w:jc w:val="center"/>
            </w:pPr>
            <w:r>
              <w:rPr>
                <w:sz w:val="20"/>
              </w:rPr>
              <w:t xml:space="preserve">34</w:t>
            </w:r>
          </w:p>
        </w:tc>
        <w:tc>
          <w:tcPr>
            <w:tcW w:w="907" w:type="dxa"/>
            <w:vAlign w:val="center"/>
          </w:tcPr>
          <w:p>
            <w:pPr>
              <w:pStyle w:val="0"/>
              <w:jc w:val="center"/>
            </w:pPr>
            <w:r>
              <w:rPr>
                <w:sz w:val="20"/>
              </w:rPr>
              <w:t xml:space="preserve">30</w:t>
            </w:r>
          </w:p>
        </w:tc>
        <w:tc>
          <w:tcPr>
            <w:tcW w:w="907" w:type="dxa"/>
            <w:vAlign w:val="center"/>
          </w:tcPr>
          <w:p>
            <w:pPr>
              <w:pStyle w:val="0"/>
              <w:jc w:val="center"/>
            </w:pPr>
            <w:r>
              <w:rPr>
                <w:sz w:val="20"/>
              </w:rPr>
              <w:t xml:space="preserve">30</w:t>
            </w:r>
          </w:p>
        </w:tc>
      </w:tr>
      <w:tr>
        <w:tc>
          <w:tcPr>
            <w:tcW w:w="510" w:type="dxa"/>
          </w:tcPr>
          <w:p>
            <w:pPr>
              <w:pStyle w:val="0"/>
              <w:jc w:val="center"/>
            </w:pPr>
            <w:r>
              <w:rPr>
                <w:sz w:val="20"/>
              </w:rPr>
              <w:t xml:space="preserve">35</w:t>
            </w:r>
          </w:p>
        </w:tc>
        <w:tc>
          <w:tcPr>
            <w:tcW w:w="3118" w:type="dxa"/>
          </w:tcPr>
          <w:p>
            <w:pPr>
              <w:pStyle w:val="0"/>
            </w:pPr>
            <w:r>
              <w:rPr>
                <w:sz w:val="20"/>
              </w:rPr>
              <w:t xml:space="preserve">Оперативный уполномоченный</w:t>
            </w:r>
          </w:p>
        </w:tc>
        <w:tc>
          <w:tcPr>
            <w:tcW w:w="907" w:type="dxa"/>
            <w:vAlign w:val="center"/>
          </w:tcPr>
          <w:p>
            <w:pPr>
              <w:pStyle w:val="0"/>
              <w:jc w:val="center"/>
            </w:pPr>
            <w:r>
              <w:rPr>
                <w:sz w:val="20"/>
              </w:rPr>
              <w:t xml:space="preserve">44</w:t>
            </w:r>
          </w:p>
        </w:tc>
        <w:tc>
          <w:tcPr>
            <w:tcW w:w="907" w:type="dxa"/>
            <w:vAlign w:val="center"/>
          </w:tcPr>
          <w:p>
            <w:pPr>
              <w:pStyle w:val="0"/>
              <w:jc w:val="center"/>
            </w:pPr>
            <w:r>
              <w:rPr>
                <w:sz w:val="20"/>
              </w:rPr>
              <w:t xml:space="preserve">45</w:t>
            </w:r>
          </w:p>
        </w:tc>
        <w:tc>
          <w:tcPr>
            <w:tcW w:w="907" w:type="dxa"/>
            <w:vAlign w:val="center"/>
          </w:tcPr>
          <w:p>
            <w:pPr>
              <w:pStyle w:val="0"/>
              <w:jc w:val="center"/>
            </w:pPr>
            <w:r>
              <w:rPr>
                <w:sz w:val="20"/>
              </w:rPr>
              <w:t xml:space="preserve">37</w:t>
            </w:r>
          </w:p>
        </w:tc>
        <w:tc>
          <w:tcPr>
            <w:tcW w:w="907" w:type="dxa"/>
            <w:vAlign w:val="center"/>
          </w:tcPr>
          <w:p>
            <w:pPr>
              <w:pStyle w:val="0"/>
              <w:jc w:val="center"/>
            </w:pPr>
            <w:r>
              <w:rPr>
                <w:sz w:val="20"/>
              </w:rPr>
              <w:t xml:space="preserve">37</w:t>
            </w:r>
          </w:p>
        </w:tc>
        <w:tc>
          <w:tcPr>
            <w:tcW w:w="907" w:type="dxa"/>
            <w:vAlign w:val="center"/>
          </w:tcPr>
          <w:p>
            <w:pPr>
              <w:pStyle w:val="0"/>
              <w:jc w:val="center"/>
            </w:pPr>
            <w:r>
              <w:rPr>
                <w:sz w:val="20"/>
              </w:rPr>
              <w:t xml:space="preserve">32</w:t>
            </w:r>
          </w:p>
        </w:tc>
        <w:tc>
          <w:tcPr>
            <w:tcW w:w="907" w:type="dxa"/>
            <w:vAlign w:val="center"/>
          </w:tcPr>
          <w:p>
            <w:pPr>
              <w:pStyle w:val="0"/>
              <w:jc w:val="center"/>
            </w:pPr>
            <w:r>
              <w:rPr>
                <w:sz w:val="20"/>
              </w:rPr>
              <w:t xml:space="preserve">32</w:t>
            </w:r>
          </w:p>
        </w:tc>
      </w:tr>
      <w:tr>
        <w:tc>
          <w:tcPr>
            <w:tcW w:w="510" w:type="dxa"/>
          </w:tcPr>
          <w:p>
            <w:pPr>
              <w:pStyle w:val="0"/>
            </w:pPr>
            <w:r>
              <w:rPr>
                <w:sz w:val="20"/>
              </w:rPr>
            </w:r>
          </w:p>
        </w:tc>
        <w:tc>
          <w:tcPr>
            <w:gridSpan w:val="7"/>
            <w:tcW w:w="8560" w:type="dxa"/>
            <w:vAlign w:val="center"/>
          </w:tcPr>
          <w:p>
            <w:pPr>
              <w:pStyle w:val="0"/>
              <w:jc w:val="center"/>
            </w:pPr>
            <w:r>
              <w:rPr>
                <w:sz w:val="20"/>
              </w:rPr>
              <w:t xml:space="preserve">Деятельность профессиональная, научная и техническая</w:t>
            </w:r>
          </w:p>
        </w:tc>
      </w:tr>
      <w:tr>
        <w:tc>
          <w:tcPr>
            <w:tcW w:w="510" w:type="dxa"/>
          </w:tcPr>
          <w:p>
            <w:pPr>
              <w:pStyle w:val="0"/>
              <w:jc w:val="center"/>
            </w:pPr>
            <w:r>
              <w:rPr>
                <w:sz w:val="20"/>
              </w:rPr>
              <w:t xml:space="preserve">36</w:t>
            </w:r>
          </w:p>
        </w:tc>
        <w:tc>
          <w:tcPr>
            <w:tcW w:w="3118" w:type="dxa"/>
          </w:tcPr>
          <w:p>
            <w:pPr>
              <w:pStyle w:val="0"/>
            </w:pPr>
            <w:r>
              <w:rPr>
                <w:sz w:val="20"/>
              </w:rPr>
              <w:t xml:space="preserve">Инженер-проектировщик</w:t>
            </w:r>
          </w:p>
        </w:tc>
        <w:tc>
          <w:tcPr>
            <w:tcW w:w="907" w:type="dxa"/>
            <w:vAlign w:val="center"/>
          </w:tcPr>
          <w:p>
            <w:pPr>
              <w:pStyle w:val="0"/>
              <w:jc w:val="center"/>
            </w:pPr>
            <w:r>
              <w:rPr>
                <w:sz w:val="20"/>
              </w:rPr>
              <w:t xml:space="preserve">86</w:t>
            </w:r>
          </w:p>
        </w:tc>
        <w:tc>
          <w:tcPr>
            <w:tcW w:w="907" w:type="dxa"/>
            <w:vAlign w:val="center"/>
          </w:tcPr>
          <w:p>
            <w:pPr>
              <w:pStyle w:val="0"/>
              <w:jc w:val="center"/>
            </w:pPr>
            <w:r>
              <w:rPr>
                <w:sz w:val="20"/>
              </w:rPr>
              <w:t xml:space="preserve">90</w:t>
            </w:r>
          </w:p>
        </w:tc>
        <w:tc>
          <w:tcPr>
            <w:tcW w:w="907" w:type="dxa"/>
            <w:vAlign w:val="center"/>
          </w:tcPr>
          <w:p>
            <w:pPr>
              <w:pStyle w:val="0"/>
              <w:jc w:val="center"/>
            </w:pPr>
            <w:r>
              <w:rPr>
                <w:sz w:val="20"/>
              </w:rPr>
              <w:t xml:space="preserve">93</w:t>
            </w:r>
          </w:p>
        </w:tc>
        <w:tc>
          <w:tcPr>
            <w:tcW w:w="907" w:type="dxa"/>
            <w:vAlign w:val="center"/>
          </w:tcPr>
          <w:p>
            <w:pPr>
              <w:pStyle w:val="0"/>
              <w:jc w:val="center"/>
            </w:pPr>
            <w:r>
              <w:rPr>
                <w:sz w:val="20"/>
              </w:rPr>
              <w:t xml:space="preserve">81</w:t>
            </w:r>
          </w:p>
        </w:tc>
        <w:tc>
          <w:tcPr>
            <w:tcW w:w="907" w:type="dxa"/>
            <w:vAlign w:val="center"/>
          </w:tcPr>
          <w:p>
            <w:pPr>
              <w:pStyle w:val="0"/>
              <w:jc w:val="center"/>
            </w:pPr>
            <w:r>
              <w:rPr>
                <w:sz w:val="20"/>
              </w:rPr>
              <w:t xml:space="preserve">75</w:t>
            </w:r>
          </w:p>
        </w:tc>
        <w:tc>
          <w:tcPr>
            <w:tcW w:w="907" w:type="dxa"/>
            <w:vAlign w:val="center"/>
          </w:tcPr>
          <w:p>
            <w:pPr>
              <w:pStyle w:val="0"/>
              <w:jc w:val="center"/>
            </w:pPr>
            <w:r>
              <w:rPr>
                <w:sz w:val="20"/>
              </w:rPr>
              <w:t xml:space="preserve">75</w:t>
            </w:r>
          </w:p>
        </w:tc>
      </w:tr>
      <w:tr>
        <w:tc>
          <w:tcPr>
            <w:tcW w:w="510" w:type="dxa"/>
          </w:tcPr>
          <w:p>
            <w:pPr>
              <w:pStyle w:val="0"/>
              <w:jc w:val="center"/>
            </w:pPr>
            <w:r>
              <w:rPr>
                <w:sz w:val="20"/>
              </w:rPr>
              <w:t xml:space="preserve">37</w:t>
            </w:r>
          </w:p>
        </w:tc>
        <w:tc>
          <w:tcPr>
            <w:tcW w:w="3118" w:type="dxa"/>
          </w:tcPr>
          <w:p>
            <w:pPr>
              <w:pStyle w:val="0"/>
            </w:pPr>
            <w:r>
              <w:rPr>
                <w:sz w:val="20"/>
              </w:rPr>
              <w:t xml:space="preserve">Инженер</w:t>
            </w:r>
          </w:p>
        </w:tc>
        <w:tc>
          <w:tcPr>
            <w:tcW w:w="907" w:type="dxa"/>
            <w:vAlign w:val="center"/>
          </w:tcPr>
          <w:p>
            <w:pPr>
              <w:pStyle w:val="0"/>
              <w:jc w:val="center"/>
            </w:pPr>
            <w:r>
              <w:rPr>
                <w:sz w:val="20"/>
              </w:rPr>
              <w:t xml:space="preserve">77</w:t>
            </w:r>
          </w:p>
        </w:tc>
        <w:tc>
          <w:tcPr>
            <w:tcW w:w="907" w:type="dxa"/>
            <w:vAlign w:val="center"/>
          </w:tcPr>
          <w:p>
            <w:pPr>
              <w:pStyle w:val="0"/>
              <w:jc w:val="center"/>
            </w:pPr>
            <w:r>
              <w:rPr>
                <w:sz w:val="20"/>
              </w:rPr>
              <w:t xml:space="preserve">80</w:t>
            </w:r>
          </w:p>
        </w:tc>
        <w:tc>
          <w:tcPr>
            <w:tcW w:w="907" w:type="dxa"/>
            <w:vAlign w:val="center"/>
          </w:tcPr>
          <w:p>
            <w:pPr>
              <w:pStyle w:val="0"/>
              <w:jc w:val="center"/>
            </w:pPr>
            <w:r>
              <w:rPr>
                <w:sz w:val="20"/>
              </w:rPr>
              <w:t xml:space="preserve">92</w:t>
            </w:r>
          </w:p>
        </w:tc>
        <w:tc>
          <w:tcPr>
            <w:tcW w:w="907" w:type="dxa"/>
            <w:vAlign w:val="center"/>
          </w:tcPr>
          <w:p>
            <w:pPr>
              <w:pStyle w:val="0"/>
              <w:jc w:val="center"/>
            </w:pPr>
            <w:r>
              <w:rPr>
                <w:sz w:val="20"/>
              </w:rPr>
              <w:t xml:space="preserve">84</w:t>
            </w:r>
          </w:p>
        </w:tc>
        <w:tc>
          <w:tcPr>
            <w:tcW w:w="907" w:type="dxa"/>
            <w:vAlign w:val="center"/>
          </w:tcPr>
          <w:p>
            <w:pPr>
              <w:pStyle w:val="0"/>
              <w:jc w:val="center"/>
            </w:pPr>
            <w:r>
              <w:rPr>
                <w:sz w:val="20"/>
              </w:rPr>
              <w:t xml:space="preserve">75</w:t>
            </w:r>
          </w:p>
        </w:tc>
        <w:tc>
          <w:tcPr>
            <w:tcW w:w="907" w:type="dxa"/>
            <w:vAlign w:val="center"/>
          </w:tcPr>
          <w:p>
            <w:pPr>
              <w:pStyle w:val="0"/>
              <w:jc w:val="center"/>
            </w:pPr>
            <w:r>
              <w:rPr>
                <w:sz w:val="20"/>
              </w:rPr>
              <w:t xml:space="preserve">70</w:t>
            </w:r>
          </w:p>
        </w:tc>
      </w:tr>
      <w:tr>
        <w:tc>
          <w:tcPr>
            <w:tcW w:w="510" w:type="dxa"/>
          </w:tcPr>
          <w:p>
            <w:pPr>
              <w:pStyle w:val="0"/>
              <w:jc w:val="center"/>
            </w:pPr>
            <w:r>
              <w:rPr>
                <w:sz w:val="20"/>
              </w:rPr>
              <w:t xml:space="preserve">38</w:t>
            </w:r>
          </w:p>
        </w:tc>
        <w:tc>
          <w:tcPr>
            <w:tcW w:w="3118" w:type="dxa"/>
          </w:tcPr>
          <w:p>
            <w:pPr>
              <w:pStyle w:val="0"/>
            </w:pPr>
            <w:r>
              <w:rPr>
                <w:sz w:val="20"/>
              </w:rPr>
              <w:t xml:space="preserve">Рабочий на геофизических работах</w:t>
            </w:r>
          </w:p>
        </w:tc>
        <w:tc>
          <w:tcPr>
            <w:tcW w:w="907" w:type="dxa"/>
            <w:vAlign w:val="center"/>
          </w:tcPr>
          <w:p>
            <w:pPr>
              <w:pStyle w:val="0"/>
              <w:jc w:val="center"/>
            </w:pPr>
            <w:r>
              <w:rPr>
                <w:sz w:val="20"/>
              </w:rPr>
              <w:t xml:space="preserve">25</w:t>
            </w:r>
          </w:p>
        </w:tc>
        <w:tc>
          <w:tcPr>
            <w:tcW w:w="907" w:type="dxa"/>
            <w:vAlign w:val="center"/>
          </w:tcPr>
          <w:p>
            <w:pPr>
              <w:pStyle w:val="0"/>
              <w:jc w:val="center"/>
            </w:pPr>
            <w:r>
              <w:rPr>
                <w:sz w:val="20"/>
              </w:rPr>
              <w:t xml:space="preserve">25</w:t>
            </w:r>
          </w:p>
        </w:tc>
        <w:tc>
          <w:tcPr>
            <w:tcW w:w="907" w:type="dxa"/>
            <w:vAlign w:val="center"/>
          </w:tcPr>
          <w:p>
            <w:pPr>
              <w:pStyle w:val="0"/>
              <w:jc w:val="center"/>
            </w:pPr>
            <w:r>
              <w:rPr>
                <w:sz w:val="20"/>
              </w:rPr>
              <w:t xml:space="preserve">24</w:t>
            </w:r>
          </w:p>
        </w:tc>
        <w:tc>
          <w:tcPr>
            <w:tcW w:w="907" w:type="dxa"/>
            <w:vAlign w:val="center"/>
          </w:tcPr>
          <w:p>
            <w:pPr>
              <w:pStyle w:val="0"/>
              <w:jc w:val="center"/>
            </w:pPr>
            <w:r>
              <w:rPr>
                <w:sz w:val="20"/>
              </w:rPr>
              <w:t xml:space="preserve">20</w:t>
            </w:r>
          </w:p>
        </w:tc>
        <w:tc>
          <w:tcPr>
            <w:tcW w:w="907" w:type="dxa"/>
            <w:vAlign w:val="center"/>
          </w:tcPr>
          <w:p>
            <w:pPr>
              <w:pStyle w:val="0"/>
              <w:jc w:val="center"/>
            </w:pPr>
            <w:r>
              <w:rPr>
                <w:sz w:val="20"/>
              </w:rPr>
              <w:t xml:space="preserve">20</w:t>
            </w:r>
          </w:p>
        </w:tc>
        <w:tc>
          <w:tcPr>
            <w:tcW w:w="907" w:type="dxa"/>
            <w:vAlign w:val="center"/>
          </w:tcPr>
          <w:p>
            <w:pPr>
              <w:pStyle w:val="0"/>
              <w:jc w:val="center"/>
            </w:pPr>
            <w:r>
              <w:rPr>
                <w:sz w:val="20"/>
              </w:rPr>
              <w:t xml:space="preserve">15</w:t>
            </w:r>
          </w:p>
        </w:tc>
      </w:tr>
      <w:tr>
        <w:tc>
          <w:tcPr>
            <w:tcW w:w="510" w:type="dxa"/>
          </w:tcPr>
          <w:p>
            <w:pPr>
              <w:pStyle w:val="0"/>
              <w:jc w:val="center"/>
            </w:pPr>
            <w:r>
              <w:rPr>
                <w:sz w:val="20"/>
              </w:rPr>
              <w:t xml:space="preserve">39</w:t>
            </w:r>
          </w:p>
        </w:tc>
        <w:tc>
          <w:tcPr>
            <w:tcW w:w="3118" w:type="dxa"/>
          </w:tcPr>
          <w:p>
            <w:pPr>
              <w:pStyle w:val="0"/>
            </w:pPr>
            <w:r>
              <w:rPr>
                <w:sz w:val="20"/>
              </w:rPr>
              <w:t xml:space="preserve">Технолог</w:t>
            </w:r>
          </w:p>
        </w:tc>
        <w:tc>
          <w:tcPr>
            <w:tcW w:w="907" w:type="dxa"/>
            <w:vAlign w:val="center"/>
          </w:tcPr>
          <w:p>
            <w:pPr>
              <w:pStyle w:val="0"/>
              <w:jc w:val="center"/>
            </w:pPr>
            <w:r>
              <w:rPr>
                <w:sz w:val="20"/>
              </w:rPr>
              <w:t xml:space="preserve">21</w:t>
            </w:r>
          </w:p>
        </w:tc>
        <w:tc>
          <w:tcPr>
            <w:tcW w:w="907" w:type="dxa"/>
            <w:vAlign w:val="center"/>
          </w:tcPr>
          <w:p>
            <w:pPr>
              <w:pStyle w:val="0"/>
              <w:jc w:val="center"/>
            </w:pPr>
            <w:r>
              <w:rPr>
                <w:sz w:val="20"/>
              </w:rPr>
              <w:t xml:space="preserve">21</w:t>
            </w:r>
          </w:p>
        </w:tc>
        <w:tc>
          <w:tcPr>
            <w:tcW w:w="907" w:type="dxa"/>
            <w:vAlign w:val="center"/>
          </w:tcPr>
          <w:p>
            <w:pPr>
              <w:pStyle w:val="0"/>
              <w:jc w:val="center"/>
            </w:pPr>
            <w:r>
              <w:rPr>
                <w:sz w:val="20"/>
              </w:rPr>
              <w:t xml:space="preserve">22</w:t>
            </w:r>
          </w:p>
        </w:tc>
        <w:tc>
          <w:tcPr>
            <w:tcW w:w="907" w:type="dxa"/>
            <w:vAlign w:val="center"/>
          </w:tcPr>
          <w:p>
            <w:pPr>
              <w:pStyle w:val="0"/>
              <w:jc w:val="center"/>
            </w:pPr>
            <w:r>
              <w:rPr>
                <w:sz w:val="20"/>
              </w:rPr>
              <w:t xml:space="preserve">20</w:t>
            </w:r>
          </w:p>
        </w:tc>
        <w:tc>
          <w:tcPr>
            <w:tcW w:w="907" w:type="dxa"/>
            <w:vAlign w:val="center"/>
          </w:tcPr>
          <w:p>
            <w:pPr>
              <w:pStyle w:val="0"/>
              <w:jc w:val="center"/>
            </w:pPr>
            <w:r>
              <w:rPr>
                <w:sz w:val="20"/>
              </w:rPr>
              <w:t xml:space="preserve">18</w:t>
            </w:r>
          </w:p>
        </w:tc>
        <w:tc>
          <w:tcPr>
            <w:tcW w:w="907" w:type="dxa"/>
            <w:vAlign w:val="center"/>
          </w:tcPr>
          <w:p>
            <w:pPr>
              <w:pStyle w:val="0"/>
              <w:jc w:val="center"/>
            </w:pPr>
            <w:r>
              <w:rPr>
                <w:sz w:val="20"/>
              </w:rPr>
              <w:t xml:space="preserve">17</w:t>
            </w:r>
          </w:p>
        </w:tc>
      </w:tr>
      <w:tr>
        <w:tc>
          <w:tcPr>
            <w:tcW w:w="510" w:type="dxa"/>
          </w:tcPr>
          <w:p>
            <w:pPr>
              <w:pStyle w:val="0"/>
            </w:pPr>
            <w:r>
              <w:rPr>
                <w:sz w:val="20"/>
              </w:rPr>
            </w:r>
          </w:p>
        </w:tc>
        <w:tc>
          <w:tcPr>
            <w:gridSpan w:val="7"/>
            <w:tcW w:w="8560" w:type="dxa"/>
            <w:vAlign w:val="center"/>
          </w:tcPr>
          <w:p>
            <w:pPr>
              <w:pStyle w:val="0"/>
              <w:jc w:val="center"/>
            </w:pPr>
            <w:r>
              <w:rPr>
                <w:sz w:val="20"/>
              </w:rPr>
              <w:t xml:space="preserve">Сельское хозяйство</w:t>
            </w:r>
          </w:p>
        </w:tc>
      </w:tr>
      <w:tr>
        <w:tc>
          <w:tcPr>
            <w:tcW w:w="510" w:type="dxa"/>
          </w:tcPr>
          <w:p>
            <w:pPr>
              <w:pStyle w:val="0"/>
              <w:jc w:val="center"/>
            </w:pPr>
            <w:r>
              <w:rPr>
                <w:sz w:val="20"/>
              </w:rPr>
              <w:t xml:space="preserve">40</w:t>
            </w:r>
          </w:p>
        </w:tc>
        <w:tc>
          <w:tcPr>
            <w:tcW w:w="3118" w:type="dxa"/>
          </w:tcPr>
          <w:p>
            <w:pPr>
              <w:pStyle w:val="0"/>
            </w:pPr>
            <w:r>
              <w:rPr>
                <w:sz w:val="20"/>
              </w:rPr>
              <w:t xml:space="preserve">Тракторист</w:t>
            </w:r>
          </w:p>
        </w:tc>
        <w:tc>
          <w:tcPr>
            <w:tcW w:w="907" w:type="dxa"/>
            <w:vAlign w:val="center"/>
          </w:tcPr>
          <w:p>
            <w:pPr>
              <w:pStyle w:val="0"/>
              <w:jc w:val="center"/>
            </w:pPr>
            <w:r>
              <w:rPr>
                <w:sz w:val="20"/>
              </w:rPr>
              <w:t xml:space="preserve">113</w:t>
            </w:r>
          </w:p>
        </w:tc>
        <w:tc>
          <w:tcPr>
            <w:tcW w:w="907" w:type="dxa"/>
            <w:vAlign w:val="center"/>
          </w:tcPr>
          <w:p>
            <w:pPr>
              <w:pStyle w:val="0"/>
              <w:jc w:val="center"/>
            </w:pPr>
            <w:r>
              <w:rPr>
                <w:sz w:val="20"/>
              </w:rPr>
              <w:t xml:space="preserve">115</w:t>
            </w:r>
          </w:p>
        </w:tc>
        <w:tc>
          <w:tcPr>
            <w:tcW w:w="907" w:type="dxa"/>
            <w:vAlign w:val="center"/>
          </w:tcPr>
          <w:p>
            <w:pPr>
              <w:pStyle w:val="0"/>
              <w:jc w:val="center"/>
            </w:pPr>
            <w:r>
              <w:rPr>
                <w:sz w:val="20"/>
              </w:rPr>
              <w:t xml:space="preserve">111</w:t>
            </w:r>
          </w:p>
        </w:tc>
        <w:tc>
          <w:tcPr>
            <w:tcW w:w="907" w:type="dxa"/>
            <w:vAlign w:val="center"/>
          </w:tcPr>
          <w:p>
            <w:pPr>
              <w:pStyle w:val="0"/>
              <w:jc w:val="center"/>
            </w:pPr>
            <w:r>
              <w:rPr>
                <w:sz w:val="20"/>
              </w:rPr>
              <w:t xml:space="preserve">104</w:t>
            </w:r>
          </w:p>
        </w:tc>
        <w:tc>
          <w:tcPr>
            <w:tcW w:w="907" w:type="dxa"/>
            <w:vAlign w:val="center"/>
          </w:tcPr>
          <w:p>
            <w:pPr>
              <w:pStyle w:val="0"/>
              <w:jc w:val="center"/>
            </w:pPr>
            <w:r>
              <w:rPr>
                <w:sz w:val="20"/>
              </w:rPr>
              <w:t xml:space="preserve">96</w:t>
            </w:r>
          </w:p>
        </w:tc>
        <w:tc>
          <w:tcPr>
            <w:tcW w:w="907" w:type="dxa"/>
            <w:vAlign w:val="center"/>
          </w:tcPr>
          <w:p>
            <w:pPr>
              <w:pStyle w:val="0"/>
              <w:jc w:val="center"/>
            </w:pPr>
            <w:r>
              <w:rPr>
                <w:sz w:val="20"/>
              </w:rPr>
              <w:t xml:space="preserve">90</w:t>
            </w:r>
          </w:p>
        </w:tc>
      </w:tr>
      <w:tr>
        <w:tc>
          <w:tcPr>
            <w:tcW w:w="510" w:type="dxa"/>
          </w:tcPr>
          <w:p>
            <w:pPr>
              <w:pStyle w:val="0"/>
              <w:jc w:val="center"/>
            </w:pPr>
            <w:r>
              <w:rPr>
                <w:sz w:val="20"/>
              </w:rPr>
              <w:t xml:space="preserve">41</w:t>
            </w:r>
          </w:p>
        </w:tc>
        <w:tc>
          <w:tcPr>
            <w:tcW w:w="3118" w:type="dxa"/>
          </w:tcPr>
          <w:p>
            <w:pPr>
              <w:pStyle w:val="0"/>
            </w:pPr>
            <w:r>
              <w:rPr>
                <w:sz w:val="20"/>
              </w:rPr>
              <w:t xml:space="preserve">Обработчик мяса</w:t>
            </w:r>
          </w:p>
        </w:tc>
        <w:tc>
          <w:tcPr>
            <w:tcW w:w="907" w:type="dxa"/>
            <w:vAlign w:val="center"/>
          </w:tcPr>
          <w:p>
            <w:pPr>
              <w:pStyle w:val="0"/>
              <w:jc w:val="center"/>
            </w:pPr>
            <w:r>
              <w:rPr>
                <w:sz w:val="20"/>
              </w:rPr>
              <w:t xml:space="preserve">74</w:t>
            </w:r>
          </w:p>
        </w:tc>
        <w:tc>
          <w:tcPr>
            <w:tcW w:w="907" w:type="dxa"/>
            <w:vAlign w:val="center"/>
          </w:tcPr>
          <w:p>
            <w:pPr>
              <w:pStyle w:val="0"/>
              <w:jc w:val="center"/>
            </w:pPr>
            <w:r>
              <w:rPr>
                <w:sz w:val="20"/>
              </w:rPr>
              <w:t xml:space="preserve">72</w:t>
            </w:r>
          </w:p>
        </w:tc>
        <w:tc>
          <w:tcPr>
            <w:tcW w:w="907" w:type="dxa"/>
            <w:vAlign w:val="center"/>
          </w:tcPr>
          <w:p>
            <w:pPr>
              <w:pStyle w:val="0"/>
              <w:jc w:val="center"/>
            </w:pPr>
            <w:r>
              <w:rPr>
                <w:sz w:val="20"/>
              </w:rPr>
              <w:t xml:space="preserve">70</w:t>
            </w:r>
          </w:p>
        </w:tc>
        <w:tc>
          <w:tcPr>
            <w:tcW w:w="907" w:type="dxa"/>
            <w:vAlign w:val="center"/>
          </w:tcPr>
          <w:p>
            <w:pPr>
              <w:pStyle w:val="0"/>
              <w:jc w:val="center"/>
            </w:pPr>
            <w:r>
              <w:rPr>
                <w:sz w:val="20"/>
              </w:rPr>
              <w:t xml:space="preserve">65</w:t>
            </w:r>
          </w:p>
        </w:tc>
        <w:tc>
          <w:tcPr>
            <w:tcW w:w="907" w:type="dxa"/>
            <w:vAlign w:val="center"/>
          </w:tcPr>
          <w:p>
            <w:pPr>
              <w:pStyle w:val="0"/>
              <w:jc w:val="center"/>
            </w:pPr>
            <w:r>
              <w:rPr>
                <w:sz w:val="20"/>
              </w:rPr>
              <w:t xml:space="preserve">64</w:t>
            </w:r>
          </w:p>
        </w:tc>
        <w:tc>
          <w:tcPr>
            <w:tcW w:w="907" w:type="dxa"/>
            <w:vAlign w:val="center"/>
          </w:tcPr>
          <w:p>
            <w:pPr>
              <w:pStyle w:val="0"/>
              <w:jc w:val="center"/>
            </w:pPr>
            <w:r>
              <w:rPr>
                <w:sz w:val="20"/>
              </w:rPr>
              <w:t xml:space="preserve">60</w:t>
            </w:r>
          </w:p>
        </w:tc>
      </w:tr>
      <w:tr>
        <w:tc>
          <w:tcPr>
            <w:tcW w:w="510" w:type="dxa"/>
          </w:tcPr>
          <w:p>
            <w:pPr>
              <w:pStyle w:val="0"/>
              <w:jc w:val="center"/>
            </w:pPr>
            <w:r>
              <w:rPr>
                <w:sz w:val="20"/>
              </w:rPr>
              <w:t xml:space="preserve">42</w:t>
            </w:r>
          </w:p>
        </w:tc>
        <w:tc>
          <w:tcPr>
            <w:tcW w:w="3118" w:type="dxa"/>
          </w:tcPr>
          <w:p>
            <w:pPr>
              <w:pStyle w:val="0"/>
            </w:pPr>
            <w:r>
              <w:rPr>
                <w:sz w:val="20"/>
              </w:rPr>
              <w:t xml:space="preserve">Оператор машинного доения</w:t>
            </w:r>
          </w:p>
        </w:tc>
        <w:tc>
          <w:tcPr>
            <w:tcW w:w="907" w:type="dxa"/>
            <w:vAlign w:val="center"/>
          </w:tcPr>
          <w:p>
            <w:pPr>
              <w:pStyle w:val="0"/>
              <w:jc w:val="center"/>
            </w:pPr>
            <w:r>
              <w:rPr>
                <w:sz w:val="20"/>
              </w:rPr>
              <w:t xml:space="preserve">57</w:t>
            </w:r>
          </w:p>
        </w:tc>
        <w:tc>
          <w:tcPr>
            <w:tcW w:w="907" w:type="dxa"/>
            <w:vAlign w:val="center"/>
          </w:tcPr>
          <w:p>
            <w:pPr>
              <w:pStyle w:val="0"/>
              <w:jc w:val="center"/>
            </w:pPr>
            <w:r>
              <w:rPr>
                <w:sz w:val="20"/>
              </w:rPr>
              <w:t xml:space="preserve">55</w:t>
            </w:r>
          </w:p>
        </w:tc>
        <w:tc>
          <w:tcPr>
            <w:tcW w:w="907" w:type="dxa"/>
            <w:vAlign w:val="center"/>
          </w:tcPr>
          <w:p>
            <w:pPr>
              <w:pStyle w:val="0"/>
              <w:jc w:val="center"/>
            </w:pPr>
            <w:r>
              <w:rPr>
                <w:sz w:val="20"/>
              </w:rPr>
              <w:t xml:space="preserve">50</w:t>
            </w:r>
          </w:p>
        </w:tc>
        <w:tc>
          <w:tcPr>
            <w:tcW w:w="907" w:type="dxa"/>
            <w:vAlign w:val="center"/>
          </w:tcPr>
          <w:p>
            <w:pPr>
              <w:pStyle w:val="0"/>
              <w:jc w:val="center"/>
            </w:pPr>
            <w:r>
              <w:rPr>
                <w:sz w:val="20"/>
              </w:rPr>
              <w:t xml:space="preserve">47</w:t>
            </w:r>
          </w:p>
        </w:tc>
        <w:tc>
          <w:tcPr>
            <w:tcW w:w="907" w:type="dxa"/>
            <w:vAlign w:val="center"/>
          </w:tcPr>
          <w:p>
            <w:pPr>
              <w:pStyle w:val="0"/>
              <w:jc w:val="center"/>
            </w:pPr>
            <w:r>
              <w:rPr>
                <w:sz w:val="20"/>
              </w:rPr>
              <w:t xml:space="preserve">42</w:t>
            </w:r>
          </w:p>
        </w:tc>
        <w:tc>
          <w:tcPr>
            <w:tcW w:w="907" w:type="dxa"/>
            <w:vAlign w:val="center"/>
          </w:tcPr>
          <w:p>
            <w:pPr>
              <w:pStyle w:val="0"/>
              <w:jc w:val="center"/>
            </w:pPr>
            <w:r>
              <w:rPr>
                <w:sz w:val="20"/>
              </w:rPr>
              <w:t xml:space="preserve">40</w:t>
            </w:r>
          </w:p>
        </w:tc>
      </w:tr>
      <w:tr>
        <w:tc>
          <w:tcPr>
            <w:tcW w:w="510" w:type="dxa"/>
          </w:tcPr>
          <w:p>
            <w:pPr>
              <w:pStyle w:val="0"/>
              <w:jc w:val="center"/>
            </w:pPr>
            <w:r>
              <w:rPr>
                <w:sz w:val="20"/>
              </w:rPr>
              <w:t xml:space="preserve">43</w:t>
            </w:r>
          </w:p>
        </w:tc>
        <w:tc>
          <w:tcPr>
            <w:tcW w:w="3118" w:type="dxa"/>
          </w:tcPr>
          <w:p>
            <w:pPr>
              <w:pStyle w:val="0"/>
            </w:pPr>
            <w:r>
              <w:rPr>
                <w:sz w:val="20"/>
              </w:rPr>
              <w:t xml:space="preserve">Ветеринарный врач</w:t>
            </w:r>
          </w:p>
        </w:tc>
        <w:tc>
          <w:tcPr>
            <w:tcW w:w="907" w:type="dxa"/>
            <w:vAlign w:val="center"/>
          </w:tcPr>
          <w:p>
            <w:pPr>
              <w:pStyle w:val="0"/>
              <w:jc w:val="center"/>
            </w:pPr>
            <w:r>
              <w:rPr>
                <w:sz w:val="20"/>
              </w:rPr>
              <w:t xml:space="preserve">42</w:t>
            </w:r>
          </w:p>
        </w:tc>
        <w:tc>
          <w:tcPr>
            <w:tcW w:w="907" w:type="dxa"/>
            <w:vAlign w:val="center"/>
          </w:tcPr>
          <w:p>
            <w:pPr>
              <w:pStyle w:val="0"/>
              <w:jc w:val="center"/>
            </w:pPr>
            <w:r>
              <w:rPr>
                <w:sz w:val="20"/>
              </w:rPr>
              <w:t xml:space="preserve">40</w:t>
            </w:r>
          </w:p>
        </w:tc>
        <w:tc>
          <w:tcPr>
            <w:tcW w:w="907" w:type="dxa"/>
            <w:vAlign w:val="center"/>
          </w:tcPr>
          <w:p>
            <w:pPr>
              <w:pStyle w:val="0"/>
              <w:jc w:val="center"/>
            </w:pPr>
            <w:r>
              <w:rPr>
                <w:sz w:val="20"/>
              </w:rPr>
              <w:t xml:space="preserve">45</w:t>
            </w:r>
          </w:p>
        </w:tc>
        <w:tc>
          <w:tcPr>
            <w:tcW w:w="907" w:type="dxa"/>
            <w:vAlign w:val="center"/>
          </w:tcPr>
          <w:p>
            <w:pPr>
              <w:pStyle w:val="0"/>
              <w:jc w:val="center"/>
            </w:pPr>
            <w:r>
              <w:rPr>
                <w:sz w:val="20"/>
              </w:rPr>
              <w:t xml:space="preserve">36</w:t>
            </w:r>
          </w:p>
        </w:tc>
        <w:tc>
          <w:tcPr>
            <w:tcW w:w="907" w:type="dxa"/>
            <w:vAlign w:val="center"/>
          </w:tcPr>
          <w:p>
            <w:pPr>
              <w:pStyle w:val="0"/>
              <w:jc w:val="center"/>
            </w:pPr>
            <w:r>
              <w:rPr>
                <w:sz w:val="20"/>
              </w:rPr>
              <w:t xml:space="preserve">33</w:t>
            </w:r>
          </w:p>
        </w:tc>
        <w:tc>
          <w:tcPr>
            <w:tcW w:w="907" w:type="dxa"/>
            <w:vAlign w:val="center"/>
          </w:tcPr>
          <w:p>
            <w:pPr>
              <w:pStyle w:val="0"/>
              <w:jc w:val="center"/>
            </w:pPr>
            <w:r>
              <w:rPr>
                <w:sz w:val="20"/>
              </w:rPr>
              <w:t xml:space="preserve">29</w:t>
            </w:r>
          </w:p>
        </w:tc>
      </w:tr>
      <w:tr>
        <w:tc>
          <w:tcPr>
            <w:tcW w:w="510" w:type="dxa"/>
          </w:tcPr>
          <w:p>
            <w:pPr>
              <w:pStyle w:val="0"/>
              <w:jc w:val="center"/>
            </w:pPr>
            <w:r>
              <w:rPr>
                <w:sz w:val="20"/>
              </w:rPr>
              <w:t xml:space="preserve">44</w:t>
            </w:r>
          </w:p>
        </w:tc>
        <w:tc>
          <w:tcPr>
            <w:tcW w:w="3118" w:type="dxa"/>
          </w:tcPr>
          <w:p>
            <w:pPr>
              <w:pStyle w:val="0"/>
            </w:pPr>
            <w:r>
              <w:rPr>
                <w:sz w:val="20"/>
              </w:rPr>
              <w:t xml:space="preserve">Агроном</w:t>
            </w:r>
          </w:p>
        </w:tc>
        <w:tc>
          <w:tcPr>
            <w:tcW w:w="907" w:type="dxa"/>
            <w:vAlign w:val="center"/>
          </w:tcPr>
          <w:p>
            <w:pPr>
              <w:pStyle w:val="0"/>
              <w:jc w:val="center"/>
            </w:pPr>
            <w:r>
              <w:rPr>
                <w:sz w:val="20"/>
              </w:rPr>
              <w:t xml:space="preserve">31</w:t>
            </w:r>
          </w:p>
        </w:tc>
        <w:tc>
          <w:tcPr>
            <w:tcW w:w="907" w:type="dxa"/>
            <w:vAlign w:val="center"/>
          </w:tcPr>
          <w:p>
            <w:pPr>
              <w:pStyle w:val="0"/>
              <w:jc w:val="center"/>
            </w:pPr>
            <w:r>
              <w:rPr>
                <w:sz w:val="20"/>
              </w:rPr>
              <w:t xml:space="preserve">30</w:t>
            </w:r>
          </w:p>
        </w:tc>
        <w:tc>
          <w:tcPr>
            <w:tcW w:w="907" w:type="dxa"/>
            <w:vAlign w:val="center"/>
          </w:tcPr>
          <w:p>
            <w:pPr>
              <w:pStyle w:val="0"/>
              <w:jc w:val="center"/>
            </w:pPr>
            <w:r>
              <w:rPr>
                <w:sz w:val="20"/>
              </w:rPr>
              <w:t xml:space="preserve">28</w:t>
            </w:r>
          </w:p>
        </w:tc>
        <w:tc>
          <w:tcPr>
            <w:tcW w:w="907" w:type="dxa"/>
            <w:vAlign w:val="center"/>
          </w:tcPr>
          <w:p>
            <w:pPr>
              <w:pStyle w:val="0"/>
              <w:jc w:val="center"/>
            </w:pPr>
            <w:r>
              <w:rPr>
                <w:sz w:val="20"/>
              </w:rPr>
              <w:t xml:space="preserve">25</w:t>
            </w:r>
          </w:p>
        </w:tc>
        <w:tc>
          <w:tcPr>
            <w:tcW w:w="907" w:type="dxa"/>
            <w:vAlign w:val="center"/>
          </w:tcPr>
          <w:p>
            <w:pPr>
              <w:pStyle w:val="0"/>
              <w:jc w:val="center"/>
            </w:pPr>
            <w:r>
              <w:rPr>
                <w:sz w:val="20"/>
              </w:rPr>
              <w:t xml:space="preserve">25</w:t>
            </w:r>
          </w:p>
        </w:tc>
        <w:tc>
          <w:tcPr>
            <w:tcW w:w="907" w:type="dxa"/>
            <w:vAlign w:val="center"/>
          </w:tcPr>
          <w:p>
            <w:pPr>
              <w:pStyle w:val="0"/>
              <w:jc w:val="center"/>
            </w:pPr>
            <w:r>
              <w:rPr>
                <w:sz w:val="20"/>
              </w:rPr>
              <w:t xml:space="preserve">23</w:t>
            </w:r>
          </w:p>
        </w:tc>
      </w:tr>
      <w:tr>
        <w:tc>
          <w:tcPr>
            <w:tcW w:w="510" w:type="dxa"/>
          </w:tcPr>
          <w:p>
            <w:pPr>
              <w:pStyle w:val="0"/>
              <w:jc w:val="center"/>
            </w:pPr>
            <w:r>
              <w:rPr>
                <w:sz w:val="20"/>
              </w:rPr>
              <w:t xml:space="preserve">45</w:t>
            </w:r>
          </w:p>
        </w:tc>
        <w:tc>
          <w:tcPr>
            <w:tcW w:w="3118" w:type="dxa"/>
          </w:tcPr>
          <w:p>
            <w:pPr>
              <w:pStyle w:val="0"/>
            </w:pPr>
            <w:r>
              <w:rPr>
                <w:sz w:val="20"/>
              </w:rPr>
              <w:t xml:space="preserve">Животновод</w:t>
            </w:r>
          </w:p>
        </w:tc>
        <w:tc>
          <w:tcPr>
            <w:tcW w:w="907" w:type="dxa"/>
            <w:vAlign w:val="center"/>
          </w:tcPr>
          <w:p>
            <w:pPr>
              <w:pStyle w:val="0"/>
              <w:jc w:val="center"/>
            </w:pPr>
            <w:r>
              <w:rPr>
                <w:sz w:val="20"/>
              </w:rPr>
              <w:t xml:space="preserve">30</w:t>
            </w:r>
          </w:p>
        </w:tc>
        <w:tc>
          <w:tcPr>
            <w:tcW w:w="907" w:type="dxa"/>
            <w:vAlign w:val="center"/>
          </w:tcPr>
          <w:p>
            <w:pPr>
              <w:pStyle w:val="0"/>
              <w:jc w:val="center"/>
            </w:pPr>
            <w:r>
              <w:rPr>
                <w:sz w:val="20"/>
              </w:rPr>
              <w:t xml:space="preserve">29</w:t>
            </w:r>
          </w:p>
        </w:tc>
        <w:tc>
          <w:tcPr>
            <w:tcW w:w="907" w:type="dxa"/>
            <w:vAlign w:val="center"/>
          </w:tcPr>
          <w:p>
            <w:pPr>
              <w:pStyle w:val="0"/>
              <w:jc w:val="center"/>
            </w:pPr>
            <w:r>
              <w:rPr>
                <w:sz w:val="20"/>
              </w:rPr>
              <w:t xml:space="preserve">33</w:t>
            </w:r>
          </w:p>
        </w:tc>
        <w:tc>
          <w:tcPr>
            <w:tcW w:w="907" w:type="dxa"/>
            <w:vAlign w:val="center"/>
          </w:tcPr>
          <w:p>
            <w:pPr>
              <w:pStyle w:val="0"/>
              <w:jc w:val="center"/>
            </w:pPr>
            <w:r>
              <w:rPr>
                <w:sz w:val="20"/>
              </w:rPr>
              <w:t xml:space="preserve">30</w:t>
            </w:r>
          </w:p>
        </w:tc>
        <w:tc>
          <w:tcPr>
            <w:tcW w:w="907" w:type="dxa"/>
            <w:vAlign w:val="center"/>
          </w:tcPr>
          <w:p>
            <w:pPr>
              <w:pStyle w:val="0"/>
              <w:jc w:val="center"/>
            </w:pPr>
            <w:r>
              <w:rPr>
                <w:sz w:val="20"/>
              </w:rPr>
              <w:t xml:space="preserve">24</w:t>
            </w:r>
          </w:p>
        </w:tc>
        <w:tc>
          <w:tcPr>
            <w:tcW w:w="907" w:type="dxa"/>
            <w:vAlign w:val="center"/>
          </w:tcPr>
          <w:p>
            <w:pPr>
              <w:pStyle w:val="0"/>
              <w:jc w:val="center"/>
            </w:pPr>
            <w:r>
              <w:rPr>
                <w:sz w:val="20"/>
              </w:rPr>
              <w:t xml:space="preserve">19</w:t>
            </w:r>
          </w:p>
        </w:tc>
      </w:tr>
      <w:tr>
        <w:tc>
          <w:tcPr>
            <w:tcW w:w="510" w:type="dxa"/>
          </w:tcPr>
          <w:p>
            <w:pPr>
              <w:pStyle w:val="0"/>
              <w:jc w:val="center"/>
            </w:pPr>
            <w:r>
              <w:rPr>
                <w:sz w:val="20"/>
              </w:rPr>
              <w:t xml:space="preserve">46</w:t>
            </w:r>
          </w:p>
        </w:tc>
        <w:tc>
          <w:tcPr>
            <w:tcW w:w="3118" w:type="dxa"/>
          </w:tcPr>
          <w:p>
            <w:pPr>
              <w:pStyle w:val="0"/>
            </w:pPr>
            <w:r>
              <w:rPr>
                <w:sz w:val="20"/>
              </w:rPr>
              <w:t xml:space="preserve">Вальщик леса</w:t>
            </w:r>
          </w:p>
        </w:tc>
        <w:tc>
          <w:tcPr>
            <w:tcW w:w="907" w:type="dxa"/>
            <w:vAlign w:val="center"/>
          </w:tcPr>
          <w:p>
            <w:pPr>
              <w:pStyle w:val="0"/>
              <w:jc w:val="center"/>
            </w:pPr>
            <w:r>
              <w:rPr>
                <w:sz w:val="20"/>
              </w:rPr>
              <w:t xml:space="preserve">30</w:t>
            </w:r>
          </w:p>
        </w:tc>
        <w:tc>
          <w:tcPr>
            <w:tcW w:w="907" w:type="dxa"/>
            <w:vAlign w:val="center"/>
          </w:tcPr>
          <w:p>
            <w:pPr>
              <w:pStyle w:val="0"/>
              <w:jc w:val="center"/>
            </w:pPr>
            <w:r>
              <w:rPr>
                <w:sz w:val="20"/>
              </w:rPr>
              <w:t xml:space="preserve">30</w:t>
            </w:r>
          </w:p>
        </w:tc>
        <w:tc>
          <w:tcPr>
            <w:tcW w:w="907" w:type="dxa"/>
            <w:vAlign w:val="center"/>
          </w:tcPr>
          <w:p>
            <w:pPr>
              <w:pStyle w:val="0"/>
              <w:jc w:val="center"/>
            </w:pPr>
            <w:r>
              <w:rPr>
                <w:sz w:val="20"/>
              </w:rPr>
              <w:t xml:space="preserve">26</w:t>
            </w:r>
          </w:p>
        </w:tc>
        <w:tc>
          <w:tcPr>
            <w:tcW w:w="907" w:type="dxa"/>
            <w:vAlign w:val="center"/>
          </w:tcPr>
          <w:p>
            <w:pPr>
              <w:pStyle w:val="0"/>
              <w:jc w:val="center"/>
            </w:pPr>
            <w:r>
              <w:rPr>
                <w:sz w:val="20"/>
              </w:rPr>
              <w:t xml:space="preserve">25</w:t>
            </w:r>
          </w:p>
        </w:tc>
        <w:tc>
          <w:tcPr>
            <w:tcW w:w="907" w:type="dxa"/>
            <w:vAlign w:val="center"/>
          </w:tcPr>
          <w:p>
            <w:pPr>
              <w:pStyle w:val="0"/>
              <w:jc w:val="center"/>
            </w:pPr>
            <w:r>
              <w:rPr>
                <w:sz w:val="20"/>
              </w:rPr>
              <w:t xml:space="preserve">18</w:t>
            </w:r>
          </w:p>
        </w:tc>
        <w:tc>
          <w:tcPr>
            <w:tcW w:w="907" w:type="dxa"/>
            <w:vAlign w:val="center"/>
          </w:tcPr>
          <w:p>
            <w:pPr>
              <w:pStyle w:val="0"/>
              <w:jc w:val="center"/>
            </w:pPr>
            <w:r>
              <w:rPr>
                <w:sz w:val="20"/>
              </w:rPr>
              <w:t xml:space="preserve">18</w:t>
            </w:r>
          </w:p>
        </w:tc>
      </w:tr>
      <w:tr>
        <w:tc>
          <w:tcPr>
            <w:tcW w:w="510" w:type="dxa"/>
          </w:tcPr>
          <w:p>
            <w:pPr>
              <w:pStyle w:val="0"/>
            </w:pPr>
            <w:r>
              <w:rPr>
                <w:sz w:val="20"/>
              </w:rPr>
            </w:r>
          </w:p>
        </w:tc>
        <w:tc>
          <w:tcPr>
            <w:gridSpan w:val="7"/>
            <w:tcW w:w="8560" w:type="dxa"/>
            <w:vAlign w:val="center"/>
          </w:tcPr>
          <w:p>
            <w:pPr>
              <w:pStyle w:val="0"/>
              <w:jc w:val="center"/>
            </w:pPr>
            <w:r>
              <w:rPr>
                <w:sz w:val="20"/>
              </w:rPr>
              <w:t xml:space="preserve">Социальная сфера</w:t>
            </w:r>
          </w:p>
        </w:tc>
      </w:tr>
      <w:tr>
        <w:tc>
          <w:tcPr>
            <w:tcW w:w="510" w:type="dxa"/>
          </w:tcPr>
          <w:p>
            <w:pPr>
              <w:pStyle w:val="0"/>
              <w:jc w:val="center"/>
            </w:pPr>
            <w:r>
              <w:rPr>
                <w:sz w:val="20"/>
              </w:rPr>
              <w:t xml:space="preserve">47</w:t>
            </w:r>
          </w:p>
        </w:tc>
        <w:tc>
          <w:tcPr>
            <w:tcW w:w="3118" w:type="dxa"/>
          </w:tcPr>
          <w:p>
            <w:pPr>
              <w:pStyle w:val="0"/>
            </w:pPr>
            <w:r>
              <w:rPr>
                <w:sz w:val="20"/>
              </w:rPr>
              <w:t xml:space="preserve">Врач</w:t>
            </w:r>
          </w:p>
        </w:tc>
        <w:tc>
          <w:tcPr>
            <w:tcW w:w="907" w:type="dxa"/>
            <w:vAlign w:val="center"/>
          </w:tcPr>
          <w:p>
            <w:pPr>
              <w:pStyle w:val="0"/>
              <w:jc w:val="center"/>
            </w:pPr>
            <w:r>
              <w:rPr>
                <w:sz w:val="20"/>
              </w:rPr>
              <w:t xml:space="preserve">398</w:t>
            </w:r>
          </w:p>
        </w:tc>
        <w:tc>
          <w:tcPr>
            <w:tcW w:w="907" w:type="dxa"/>
            <w:vAlign w:val="center"/>
          </w:tcPr>
          <w:p>
            <w:pPr>
              <w:pStyle w:val="0"/>
              <w:jc w:val="center"/>
            </w:pPr>
            <w:r>
              <w:rPr>
                <w:sz w:val="20"/>
              </w:rPr>
              <w:t xml:space="preserve">412</w:t>
            </w:r>
          </w:p>
        </w:tc>
        <w:tc>
          <w:tcPr>
            <w:tcW w:w="907" w:type="dxa"/>
            <w:vAlign w:val="center"/>
          </w:tcPr>
          <w:p>
            <w:pPr>
              <w:pStyle w:val="0"/>
              <w:jc w:val="center"/>
            </w:pPr>
            <w:r>
              <w:rPr>
                <w:sz w:val="20"/>
              </w:rPr>
              <w:t xml:space="preserve">403</w:t>
            </w:r>
          </w:p>
        </w:tc>
        <w:tc>
          <w:tcPr>
            <w:tcW w:w="907" w:type="dxa"/>
            <w:vAlign w:val="center"/>
          </w:tcPr>
          <w:p>
            <w:pPr>
              <w:pStyle w:val="0"/>
              <w:jc w:val="center"/>
            </w:pPr>
            <w:r>
              <w:rPr>
                <w:sz w:val="20"/>
              </w:rPr>
              <w:t xml:space="preserve">387</w:t>
            </w:r>
          </w:p>
        </w:tc>
        <w:tc>
          <w:tcPr>
            <w:tcW w:w="907" w:type="dxa"/>
            <w:vAlign w:val="center"/>
          </w:tcPr>
          <w:p>
            <w:pPr>
              <w:pStyle w:val="0"/>
              <w:jc w:val="center"/>
            </w:pPr>
            <w:r>
              <w:rPr>
                <w:sz w:val="20"/>
              </w:rPr>
              <w:t xml:space="preserve">391</w:t>
            </w:r>
          </w:p>
        </w:tc>
        <w:tc>
          <w:tcPr>
            <w:tcW w:w="907" w:type="dxa"/>
            <w:vAlign w:val="center"/>
          </w:tcPr>
          <w:p>
            <w:pPr>
              <w:pStyle w:val="0"/>
              <w:jc w:val="center"/>
            </w:pPr>
            <w:r>
              <w:rPr>
                <w:sz w:val="20"/>
              </w:rPr>
              <w:t xml:space="preserve">376</w:t>
            </w:r>
          </w:p>
        </w:tc>
      </w:tr>
      <w:tr>
        <w:tc>
          <w:tcPr>
            <w:tcW w:w="510" w:type="dxa"/>
          </w:tcPr>
          <w:p>
            <w:pPr>
              <w:pStyle w:val="0"/>
              <w:jc w:val="center"/>
            </w:pPr>
            <w:r>
              <w:rPr>
                <w:sz w:val="20"/>
              </w:rPr>
              <w:t xml:space="preserve">48</w:t>
            </w:r>
          </w:p>
        </w:tc>
        <w:tc>
          <w:tcPr>
            <w:tcW w:w="3118" w:type="dxa"/>
          </w:tcPr>
          <w:p>
            <w:pPr>
              <w:pStyle w:val="0"/>
            </w:pPr>
            <w:r>
              <w:rPr>
                <w:sz w:val="20"/>
              </w:rPr>
              <w:t xml:space="preserve">Учитель</w:t>
            </w:r>
          </w:p>
        </w:tc>
        <w:tc>
          <w:tcPr>
            <w:tcW w:w="907" w:type="dxa"/>
            <w:vAlign w:val="center"/>
          </w:tcPr>
          <w:p>
            <w:pPr>
              <w:pStyle w:val="0"/>
              <w:jc w:val="center"/>
            </w:pPr>
            <w:r>
              <w:rPr>
                <w:sz w:val="20"/>
              </w:rPr>
              <w:t xml:space="preserve">298</w:t>
            </w:r>
          </w:p>
        </w:tc>
        <w:tc>
          <w:tcPr>
            <w:tcW w:w="907" w:type="dxa"/>
            <w:vAlign w:val="center"/>
          </w:tcPr>
          <w:p>
            <w:pPr>
              <w:pStyle w:val="0"/>
              <w:jc w:val="center"/>
            </w:pPr>
            <w:r>
              <w:rPr>
                <w:sz w:val="20"/>
              </w:rPr>
              <w:t xml:space="preserve">330</w:t>
            </w:r>
          </w:p>
        </w:tc>
        <w:tc>
          <w:tcPr>
            <w:tcW w:w="907" w:type="dxa"/>
            <w:vAlign w:val="center"/>
          </w:tcPr>
          <w:p>
            <w:pPr>
              <w:pStyle w:val="0"/>
              <w:jc w:val="center"/>
            </w:pPr>
            <w:r>
              <w:rPr>
                <w:sz w:val="20"/>
              </w:rPr>
              <w:t xml:space="preserve">311</w:t>
            </w:r>
          </w:p>
        </w:tc>
        <w:tc>
          <w:tcPr>
            <w:tcW w:w="907" w:type="dxa"/>
            <w:vAlign w:val="center"/>
          </w:tcPr>
          <w:p>
            <w:pPr>
              <w:pStyle w:val="0"/>
              <w:jc w:val="center"/>
            </w:pPr>
            <w:r>
              <w:rPr>
                <w:sz w:val="20"/>
              </w:rPr>
              <w:t xml:space="preserve">285</w:t>
            </w:r>
          </w:p>
        </w:tc>
        <w:tc>
          <w:tcPr>
            <w:tcW w:w="907" w:type="dxa"/>
            <w:vAlign w:val="center"/>
          </w:tcPr>
          <w:p>
            <w:pPr>
              <w:pStyle w:val="0"/>
              <w:jc w:val="center"/>
            </w:pPr>
            <w:r>
              <w:rPr>
                <w:sz w:val="20"/>
              </w:rPr>
              <w:t xml:space="preserve">274</w:t>
            </w:r>
          </w:p>
        </w:tc>
        <w:tc>
          <w:tcPr>
            <w:tcW w:w="907" w:type="dxa"/>
            <w:vAlign w:val="center"/>
          </w:tcPr>
          <w:p>
            <w:pPr>
              <w:pStyle w:val="0"/>
              <w:jc w:val="center"/>
            </w:pPr>
            <w:r>
              <w:rPr>
                <w:sz w:val="20"/>
              </w:rPr>
              <w:t xml:space="preserve">260</w:t>
            </w:r>
          </w:p>
        </w:tc>
      </w:tr>
      <w:tr>
        <w:tc>
          <w:tcPr>
            <w:tcW w:w="510" w:type="dxa"/>
          </w:tcPr>
          <w:p>
            <w:pPr>
              <w:pStyle w:val="0"/>
              <w:jc w:val="center"/>
            </w:pPr>
            <w:r>
              <w:rPr>
                <w:sz w:val="20"/>
              </w:rPr>
              <w:t xml:space="preserve">49</w:t>
            </w:r>
          </w:p>
        </w:tc>
        <w:tc>
          <w:tcPr>
            <w:tcW w:w="3118" w:type="dxa"/>
          </w:tcPr>
          <w:p>
            <w:pPr>
              <w:pStyle w:val="0"/>
            </w:pPr>
            <w:r>
              <w:rPr>
                <w:sz w:val="20"/>
              </w:rPr>
              <w:t xml:space="preserve">Медицинская сестра</w:t>
            </w:r>
          </w:p>
        </w:tc>
        <w:tc>
          <w:tcPr>
            <w:tcW w:w="907" w:type="dxa"/>
            <w:vAlign w:val="center"/>
          </w:tcPr>
          <w:p>
            <w:pPr>
              <w:pStyle w:val="0"/>
              <w:jc w:val="center"/>
            </w:pPr>
            <w:r>
              <w:rPr>
                <w:sz w:val="20"/>
              </w:rPr>
              <w:t xml:space="preserve">295</w:t>
            </w:r>
          </w:p>
        </w:tc>
        <w:tc>
          <w:tcPr>
            <w:tcW w:w="907" w:type="dxa"/>
            <w:vAlign w:val="center"/>
          </w:tcPr>
          <w:p>
            <w:pPr>
              <w:pStyle w:val="0"/>
              <w:jc w:val="center"/>
            </w:pPr>
            <w:r>
              <w:rPr>
                <w:sz w:val="20"/>
              </w:rPr>
              <w:t xml:space="preserve">300</w:t>
            </w:r>
          </w:p>
        </w:tc>
        <w:tc>
          <w:tcPr>
            <w:tcW w:w="907" w:type="dxa"/>
            <w:vAlign w:val="center"/>
          </w:tcPr>
          <w:p>
            <w:pPr>
              <w:pStyle w:val="0"/>
              <w:jc w:val="center"/>
            </w:pPr>
            <w:r>
              <w:rPr>
                <w:sz w:val="20"/>
              </w:rPr>
              <w:t xml:space="preserve">293</w:t>
            </w:r>
          </w:p>
        </w:tc>
        <w:tc>
          <w:tcPr>
            <w:tcW w:w="907" w:type="dxa"/>
            <w:vAlign w:val="center"/>
          </w:tcPr>
          <w:p>
            <w:pPr>
              <w:pStyle w:val="0"/>
              <w:jc w:val="center"/>
            </w:pPr>
            <w:r>
              <w:rPr>
                <w:sz w:val="20"/>
              </w:rPr>
              <w:t xml:space="preserve">271</w:t>
            </w:r>
          </w:p>
        </w:tc>
        <w:tc>
          <w:tcPr>
            <w:tcW w:w="907" w:type="dxa"/>
            <w:vAlign w:val="center"/>
          </w:tcPr>
          <w:p>
            <w:pPr>
              <w:pStyle w:val="0"/>
              <w:jc w:val="center"/>
            </w:pPr>
            <w:r>
              <w:rPr>
                <w:sz w:val="20"/>
              </w:rPr>
              <w:t xml:space="preserve">258</w:t>
            </w:r>
          </w:p>
        </w:tc>
        <w:tc>
          <w:tcPr>
            <w:tcW w:w="907" w:type="dxa"/>
            <w:vAlign w:val="center"/>
          </w:tcPr>
          <w:p>
            <w:pPr>
              <w:pStyle w:val="0"/>
              <w:jc w:val="center"/>
            </w:pPr>
            <w:r>
              <w:rPr>
                <w:sz w:val="20"/>
              </w:rPr>
              <w:t xml:space="preserve">247</w:t>
            </w:r>
          </w:p>
        </w:tc>
      </w:tr>
      <w:tr>
        <w:tc>
          <w:tcPr>
            <w:tcW w:w="510" w:type="dxa"/>
          </w:tcPr>
          <w:p>
            <w:pPr>
              <w:pStyle w:val="0"/>
              <w:jc w:val="center"/>
            </w:pPr>
            <w:r>
              <w:rPr>
                <w:sz w:val="20"/>
              </w:rPr>
              <w:t xml:space="preserve">50</w:t>
            </w:r>
          </w:p>
        </w:tc>
        <w:tc>
          <w:tcPr>
            <w:tcW w:w="3118" w:type="dxa"/>
          </w:tcPr>
          <w:p>
            <w:pPr>
              <w:pStyle w:val="0"/>
            </w:pPr>
            <w:r>
              <w:rPr>
                <w:sz w:val="20"/>
              </w:rPr>
              <w:t xml:space="preserve">Лаборант</w:t>
            </w:r>
          </w:p>
        </w:tc>
        <w:tc>
          <w:tcPr>
            <w:tcW w:w="907" w:type="dxa"/>
            <w:vAlign w:val="center"/>
          </w:tcPr>
          <w:p>
            <w:pPr>
              <w:pStyle w:val="0"/>
              <w:jc w:val="center"/>
            </w:pPr>
            <w:r>
              <w:rPr>
                <w:sz w:val="20"/>
              </w:rPr>
              <w:t xml:space="preserve">123</w:t>
            </w:r>
          </w:p>
        </w:tc>
        <w:tc>
          <w:tcPr>
            <w:tcW w:w="907" w:type="dxa"/>
            <w:vAlign w:val="center"/>
          </w:tcPr>
          <w:p>
            <w:pPr>
              <w:pStyle w:val="0"/>
              <w:jc w:val="center"/>
            </w:pPr>
            <w:r>
              <w:rPr>
                <w:sz w:val="20"/>
              </w:rPr>
              <w:t xml:space="preserve">118</w:t>
            </w:r>
          </w:p>
        </w:tc>
        <w:tc>
          <w:tcPr>
            <w:tcW w:w="907" w:type="dxa"/>
            <w:vAlign w:val="center"/>
          </w:tcPr>
          <w:p>
            <w:pPr>
              <w:pStyle w:val="0"/>
              <w:jc w:val="center"/>
            </w:pPr>
            <w:r>
              <w:rPr>
                <w:sz w:val="20"/>
              </w:rPr>
              <w:t xml:space="preserve">119</w:t>
            </w:r>
          </w:p>
        </w:tc>
        <w:tc>
          <w:tcPr>
            <w:tcW w:w="907" w:type="dxa"/>
            <w:vAlign w:val="center"/>
          </w:tcPr>
          <w:p>
            <w:pPr>
              <w:pStyle w:val="0"/>
              <w:jc w:val="center"/>
            </w:pPr>
            <w:r>
              <w:rPr>
                <w:sz w:val="20"/>
              </w:rPr>
              <w:t xml:space="preserve">107</w:t>
            </w:r>
          </w:p>
        </w:tc>
        <w:tc>
          <w:tcPr>
            <w:tcW w:w="907" w:type="dxa"/>
            <w:vAlign w:val="center"/>
          </w:tcPr>
          <w:p>
            <w:pPr>
              <w:pStyle w:val="0"/>
              <w:jc w:val="center"/>
            </w:pPr>
            <w:r>
              <w:rPr>
                <w:sz w:val="20"/>
              </w:rPr>
              <w:t xml:space="preserve">105</w:t>
            </w:r>
          </w:p>
        </w:tc>
        <w:tc>
          <w:tcPr>
            <w:tcW w:w="907" w:type="dxa"/>
            <w:vAlign w:val="center"/>
          </w:tcPr>
          <w:p>
            <w:pPr>
              <w:pStyle w:val="0"/>
              <w:jc w:val="center"/>
            </w:pPr>
            <w:r>
              <w:rPr>
                <w:sz w:val="20"/>
              </w:rPr>
              <w:t xml:space="preserve">105</w:t>
            </w:r>
          </w:p>
        </w:tc>
      </w:tr>
      <w:tr>
        <w:tc>
          <w:tcPr>
            <w:tcW w:w="510" w:type="dxa"/>
          </w:tcPr>
          <w:p>
            <w:pPr>
              <w:pStyle w:val="0"/>
            </w:pPr>
            <w:r>
              <w:rPr>
                <w:sz w:val="20"/>
              </w:rPr>
            </w:r>
          </w:p>
        </w:tc>
        <w:tc>
          <w:tcPr>
            <w:gridSpan w:val="7"/>
            <w:tcW w:w="8560" w:type="dxa"/>
            <w:vAlign w:val="center"/>
          </w:tcPr>
          <w:p>
            <w:pPr>
              <w:pStyle w:val="0"/>
              <w:jc w:val="center"/>
            </w:pPr>
            <w:r>
              <w:rPr>
                <w:sz w:val="20"/>
              </w:rPr>
              <w:t xml:space="preserve">Общеотраслевые специальности и сервисные услуги</w:t>
            </w:r>
          </w:p>
        </w:tc>
      </w:tr>
      <w:tr>
        <w:tc>
          <w:tcPr>
            <w:tcW w:w="510" w:type="dxa"/>
          </w:tcPr>
          <w:p>
            <w:pPr>
              <w:pStyle w:val="0"/>
              <w:jc w:val="center"/>
            </w:pPr>
            <w:r>
              <w:rPr>
                <w:sz w:val="20"/>
              </w:rPr>
              <w:t xml:space="preserve">51</w:t>
            </w:r>
          </w:p>
        </w:tc>
        <w:tc>
          <w:tcPr>
            <w:tcW w:w="3118" w:type="dxa"/>
          </w:tcPr>
          <w:p>
            <w:pPr>
              <w:pStyle w:val="0"/>
            </w:pPr>
            <w:r>
              <w:rPr>
                <w:sz w:val="20"/>
              </w:rPr>
              <w:t xml:space="preserve">Водитель автомобиля</w:t>
            </w:r>
          </w:p>
        </w:tc>
        <w:tc>
          <w:tcPr>
            <w:tcW w:w="907" w:type="dxa"/>
            <w:vAlign w:val="center"/>
          </w:tcPr>
          <w:p>
            <w:pPr>
              <w:pStyle w:val="0"/>
              <w:jc w:val="center"/>
            </w:pPr>
            <w:r>
              <w:rPr>
                <w:sz w:val="20"/>
              </w:rPr>
              <w:t xml:space="preserve">739</w:t>
            </w:r>
          </w:p>
        </w:tc>
        <w:tc>
          <w:tcPr>
            <w:tcW w:w="907" w:type="dxa"/>
            <w:vAlign w:val="center"/>
          </w:tcPr>
          <w:p>
            <w:pPr>
              <w:pStyle w:val="0"/>
              <w:jc w:val="center"/>
            </w:pPr>
            <w:r>
              <w:rPr>
                <w:sz w:val="20"/>
              </w:rPr>
              <w:t xml:space="preserve">720</w:t>
            </w:r>
          </w:p>
        </w:tc>
        <w:tc>
          <w:tcPr>
            <w:tcW w:w="907" w:type="dxa"/>
            <w:vAlign w:val="center"/>
          </w:tcPr>
          <w:p>
            <w:pPr>
              <w:pStyle w:val="0"/>
              <w:jc w:val="center"/>
            </w:pPr>
            <w:r>
              <w:rPr>
                <w:sz w:val="20"/>
              </w:rPr>
              <w:t xml:space="preserve">711</w:t>
            </w:r>
          </w:p>
        </w:tc>
        <w:tc>
          <w:tcPr>
            <w:tcW w:w="907" w:type="dxa"/>
            <w:vAlign w:val="center"/>
          </w:tcPr>
          <w:p>
            <w:pPr>
              <w:pStyle w:val="0"/>
              <w:jc w:val="center"/>
            </w:pPr>
            <w:r>
              <w:rPr>
                <w:sz w:val="20"/>
              </w:rPr>
              <w:t xml:space="preserve">703</w:t>
            </w:r>
          </w:p>
        </w:tc>
        <w:tc>
          <w:tcPr>
            <w:tcW w:w="907" w:type="dxa"/>
            <w:vAlign w:val="center"/>
          </w:tcPr>
          <w:p>
            <w:pPr>
              <w:pStyle w:val="0"/>
              <w:jc w:val="center"/>
            </w:pPr>
            <w:r>
              <w:rPr>
                <w:sz w:val="20"/>
              </w:rPr>
              <w:t xml:space="preserve">650</w:t>
            </w:r>
          </w:p>
        </w:tc>
        <w:tc>
          <w:tcPr>
            <w:tcW w:w="907" w:type="dxa"/>
            <w:vAlign w:val="center"/>
          </w:tcPr>
          <w:p>
            <w:pPr>
              <w:pStyle w:val="0"/>
              <w:jc w:val="center"/>
            </w:pPr>
            <w:r>
              <w:rPr>
                <w:sz w:val="20"/>
              </w:rPr>
              <w:t xml:space="preserve">650</w:t>
            </w:r>
          </w:p>
        </w:tc>
      </w:tr>
      <w:tr>
        <w:tc>
          <w:tcPr>
            <w:tcW w:w="510" w:type="dxa"/>
          </w:tcPr>
          <w:p>
            <w:pPr>
              <w:pStyle w:val="0"/>
              <w:jc w:val="center"/>
            </w:pPr>
            <w:r>
              <w:rPr>
                <w:sz w:val="20"/>
              </w:rPr>
              <w:t xml:space="preserve">52</w:t>
            </w:r>
          </w:p>
        </w:tc>
        <w:tc>
          <w:tcPr>
            <w:tcW w:w="3118" w:type="dxa"/>
          </w:tcPr>
          <w:p>
            <w:pPr>
              <w:pStyle w:val="0"/>
            </w:pPr>
            <w:r>
              <w:rPr>
                <w:sz w:val="20"/>
              </w:rPr>
              <w:t xml:space="preserve">Специалист (по отраслям)</w:t>
            </w:r>
          </w:p>
        </w:tc>
        <w:tc>
          <w:tcPr>
            <w:tcW w:w="907" w:type="dxa"/>
            <w:vAlign w:val="center"/>
          </w:tcPr>
          <w:p>
            <w:pPr>
              <w:pStyle w:val="0"/>
              <w:jc w:val="center"/>
            </w:pPr>
            <w:r>
              <w:rPr>
                <w:sz w:val="20"/>
              </w:rPr>
              <w:t xml:space="preserve">385</w:t>
            </w:r>
          </w:p>
        </w:tc>
        <w:tc>
          <w:tcPr>
            <w:tcW w:w="907" w:type="dxa"/>
            <w:vAlign w:val="center"/>
          </w:tcPr>
          <w:p>
            <w:pPr>
              <w:pStyle w:val="0"/>
              <w:jc w:val="center"/>
            </w:pPr>
            <w:r>
              <w:rPr>
                <w:sz w:val="20"/>
              </w:rPr>
              <w:t xml:space="preserve">400</w:t>
            </w:r>
          </w:p>
        </w:tc>
        <w:tc>
          <w:tcPr>
            <w:tcW w:w="907" w:type="dxa"/>
            <w:vAlign w:val="center"/>
          </w:tcPr>
          <w:p>
            <w:pPr>
              <w:pStyle w:val="0"/>
              <w:jc w:val="center"/>
            </w:pPr>
            <w:r>
              <w:rPr>
                <w:sz w:val="20"/>
              </w:rPr>
              <w:t xml:space="preserve">396</w:t>
            </w:r>
          </w:p>
        </w:tc>
        <w:tc>
          <w:tcPr>
            <w:tcW w:w="907" w:type="dxa"/>
            <w:vAlign w:val="center"/>
          </w:tcPr>
          <w:p>
            <w:pPr>
              <w:pStyle w:val="0"/>
              <w:jc w:val="center"/>
            </w:pPr>
            <w:r>
              <w:rPr>
                <w:sz w:val="20"/>
              </w:rPr>
              <w:t xml:space="preserve">380</w:t>
            </w:r>
          </w:p>
        </w:tc>
        <w:tc>
          <w:tcPr>
            <w:tcW w:w="907" w:type="dxa"/>
            <w:vAlign w:val="center"/>
          </w:tcPr>
          <w:p>
            <w:pPr>
              <w:pStyle w:val="0"/>
              <w:jc w:val="center"/>
            </w:pPr>
            <w:r>
              <w:rPr>
                <w:sz w:val="20"/>
              </w:rPr>
              <w:t xml:space="preserve">366</w:t>
            </w:r>
          </w:p>
        </w:tc>
        <w:tc>
          <w:tcPr>
            <w:tcW w:w="907" w:type="dxa"/>
            <w:vAlign w:val="center"/>
          </w:tcPr>
          <w:p>
            <w:pPr>
              <w:pStyle w:val="0"/>
              <w:jc w:val="center"/>
            </w:pPr>
            <w:r>
              <w:rPr>
                <w:sz w:val="20"/>
              </w:rPr>
              <w:t xml:space="preserve">351</w:t>
            </w:r>
          </w:p>
        </w:tc>
      </w:tr>
      <w:tr>
        <w:tc>
          <w:tcPr>
            <w:tcW w:w="510" w:type="dxa"/>
          </w:tcPr>
          <w:p>
            <w:pPr>
              <w:pStyle w:val="0"/>
              <w:jc w:val="center"/>
            </w:pPr>
            <w:r>
              <w:rPr>
                <w:sz w:val="20"/>
              </w:rPr>
              <w:t xml:space="preserve">53</w:t>
            </w:r>
          </w:p>
        </w:tc>
        <w:tc>
          <w:tcPr>
            <w:tcW w:w="3118" w:type="dxa"/>
          </w:tcPr>
          <w:p>
            <w:pPr>
              <w:pStyle w:val="0"/>
            </w:pPr>
            <w:r>
              <w:rPr>
                <w:sz w:val="20"/>
              </w:rPr>
              <w:t xml:space="preserve">Менеджер</w:t>
            </w:r>
          </w:p>
        </w:tc>
        <w:tc>
          <w:tcPr>
            <w:tcW w:w="907" w:type="dxa"/>
            <w:vAlign w:val="center"/>
          </w:tcPr>
          <w:p>
            <w:pPr>
              <w:pStyle w:val="0"/>
              <w:jc w:val="center"/>
            </w:pPr>
            <w:r>
              <w:rPr>
                <w:sz w:val="20"/>
              </w:rPr>
              <w:t xml:space="preserve">319</w:t>
            </w:r>
          </w:p>
        </w:tc>
        <w:tc>
          <w:tcPr>
            <w:tcW w:w="907" w:type="dxa"/>
            <w:vAlign w:val="center"/>
          </w:tcPr>
          <w:p>
            <w:pPr>
              <w:pStyle w:val="0"/>
              <w:jc w:val="center"/>
            </w:pPr>
            <w:r>
              <w:rPr>
                <w:sz w:val="20"/>
              </w:rPr>
              <w:t xml:space="preserve">303</w:t>
            </w:r>
          </w:p>
        </w:tc>
        <w:tc>
          <w:tcPr>
            <w:tcW w:w="907" w:type="dxa"/>
            <w:vAlign w:val="center"/>
          </w:tcPr>
          <w:p>
            <w:pPr>
              <w:pStyle w:val="0"/>
              <w:jc w:val="center"/>
            </w:pPr>
            <w:r>
              <w:rPr>
                <w:sz w:val="20"/>
              </w:rPr>
              <w:t xml:space="preserve">285</w:t>
            </w:r>
          </w:p>
        </w:tc>
        <w:tc>
          <w:tcPr>
            <w:tcW w:w="907" w:type="dxa"/>
            <w:vAlign w:val="center"/>
          </w:tcPr>
          <w:p>
            <w:pPr>
              <w:pStyle w:val="0"/>
              <w:jc w:val="center"/>
            </w:pPr>
            <w:r>
              <w:rPr>
                <w:sz w:val="20"/>
              </w:rPr>
              <w:t xml:space="preserve">271</w:t>
            </w:r>
          </w:p>
        </w:tc>
        <w:tc>
          <w:tcPr>
            <w:tcW w:w="907" w:type="dxa"/>
            <w:vAlign w:val="center"/>
          </w:tcPr>
          <w:p>
            <w:pPr>
              <w:pStyle w:val="0"/>
              <w:jc w:val="center"/>
            </w:pPr>
            <w:r>
              <w:rPr>
                <w:sz w:val="20"/>
              </w:rPr>
              <w:t xml:space="preserve">236</w:t>
            </w:r>
          </w:p>
        </w:tc>
        <w:tc>
          <w:tcPr>
            <w:tcW w:w="907" w:type="dxa"/>
            <w:vAlign w:val="center"/>
          </w:tcPr>
          <w:p>
            <w:pPr>
              <w:pStyle w:val="0"/>
              <w:jc w:val="center"/>
            </w:pPr>
            <w:r>
              <w:rPr>
                <w:sz w:val="20"/>
              </w:rPr>
              <w:t xml:space="preserve">222</w:t>
            </w:r>
          </w:p>
        </w:tc>
      </w:tr>
      <w:tr>
        <w:tc>
          <w:tcPr>
            <w:tcW w:w="510" w:type="dxa"/>
          </w:tcPr>
          <w:p>
            <w:pPr>
              <w:pStyle w:val="0"/>
              <w:jc w:val="center"/>
            </w:pPr>
            <w:r>
              <w:rPr>
                <w:sz w:val="20"/>
              </w:rPr>
              <w:t xml:space="preserve">54</w:t>
            </w:r>
          </w:p>
        </w:tc>
        <w:tc>
          <w:tcPr>
            <w:tcW w:w="3118" w:type="dxa"/>
          </w:tcPr>
          <w:p>
            <w:pPr>
              <w:pStyle w:val="0"/>
            </w:pPr>
            <w:r>
              <w:rPr>
                <w:sz w:val="20"/>
              </w:rPr>
              <w:t xml:space="preserve">Электромонтер по ремонту и обслуживанию электрооборудования</w:t>
            </w:r>
          </w:p>
        </w:tc>
        <w:tc>
          <w:tcPr>
            <w:tcW w:w="907" w:type="dxa"/>
            <w:vAlign w:val="center"/>
          </w:tcPr>
          <w:p>
            <w:pPr>
              <w:pStyle w:val="0"/>
              <w:jc w:val="center"/>
            </w:pPr>
            <w:r>
              <w:rPr>
                <w:sz w:val="20"/>
              </w:rPr>
              <w:t xml:space="preserve">310</w:t>
            </w:r>
          </w:p>
        </w:tc>
        <w:tc>
          <w:tcPr>
            <w:tcW w:w="907" w:type="dxa"/>
            <w:vAlign w:val="center"/>
          </w:tcPr>
          <w:p>
            <w:pPr>
              <w:pStyle w:val="0"/>
              <w:jc w:val="center"/>
            </w:pPr>
            <w:r>
              <w:rPr>
                <w:sz w:val="20"/>
              </w:rPr>
              <w:t xml:space="preserve">315</w:t>
            </w:r>
          </w:p>
        </w:tc>
        <w:tc>
          <w:tcPr>
            <w:tcW w:w="907" w:type="dxa"/>
            <w:vAlign w:val="center"/>
          </w:tcPr>
          <w:p>
            <w:pPr>
              <w:pStyle w:val="0"/>
              <w:jc w:val="center"/>
            </w:pPr>
            <w:r>
              <w:rPr>
                <w:sz w:val="20"/>
              </w:rPr>
              <w:t xml:space="preserve">320</w:t>
            </w:r>
          </w:p>
        </w:tc>
        <w:tc>
          <w:tcPr>
            <w:tcW w:w="907" w:type="dxa"/>
            <w:vAlign w:val="center"/>
          </w:tcPr>
          <w:p>
            <w:pPr>
              <w:pStyle w:val="0"/>
              <w:jc w:val="center"/>
            </w:pPr>
            <w:r>
              <w:rPr>
                <w:sz w:val="20"/>
              </w:rPr>
              <w:t xml:space="preserve">304</w:t>
            </w:r>
          </w:p>
        </w:tc>
        <w:tc>
          <w:tcPr>
            <w:tcW w:w="907" w:type="dxa"/>
            <w:vAlign w:val="center"/>
          </w:tcPr>
          <w:p>
            <w:pPr>
              <w:pStyle w:val="0"/>
              <w:jc w:val="center"/>
            </w:pPr>
            <w:r>
              <w:rPr>
                <w:sz w:val="20"/>
              </w:rPr>
              <w:t xml:space="preserve">296</w:t>
            </w:r>
          </w:p>
        </w:tc>
        <w:tc>
          <w:tcPr>
            <w:tcW w:w="907" w:type="dxa"/>
            <w:vAlign w:val="center"/>
          </w:tcPr>
          <w:p>
            <w:pPr>
              <w:pStyle w:val="0"/>
              <w:jc w:val="center"/>
            </w:pPr>
            <w:r>
              <w:rPr>
                <w:sz w:val="20"/>
              </w:rPr>
              <w:t xml:space="preserve">273</w:t>
            </w:r>
          </w:p>
        </w:tc>
      </w:tr>
      <w:tr>
        <w:tc>
          <w:tcPr>
            <w:tcW w:w="510" w:type="dxa"/>
          </w:tcPr>
          <w:p>
            <w:pPr>
              <w:pStyle w:val="0"/>
              <w:jc w:val="center"/>
            </w:pPr>
            <w:r>
              <w:rPr>
                <w:sz w:val="20"/>
              </w:rPr>
              <w:t xml:space="preserve">55</w:t>
            </w:r>
          </w:p>
        </w:tc>
        <w:tc>
          <w:tcPr>
            <w:tcW w:w="3118" w:type="dxa"/>
          </w:tcPr>
          <w:p>
            <w:pPr>
              <w:pStyle w:val="0"/>
            </w:pPr>
            <w:r>
              <w:rPr>
                <w:sz w:val="20"/>
              </w:rPr>
              <w:t xml:space="preserve">Повар</w:t>
            </w:r>
          </w:p>
        </w:tc>
        <w:tc>
          <w:tcPr>
            <w:tcW w:w="907" w:type="dxa"/>
            <w:vAlign w:val="center"/>
          </w:tcPr>
          <w:p>
            <w:pPr>
              <w:pStyle w:val="0"/>
              <w:jc w:val="center"/>
            </w:pPr>
            <w:r>
              <w:rPr>
                <w:sz w:val="20"/>
              </w:rPr>
              <w:t xml:space="preserve">269</w:t>
            </w:r>
          </w:p>
        </w:tc>
        <w:tc>
          <w:tcPr>
            <w:tcW w:w="907" w:type="dxa"/>
            <w:vAlign w:val="center"/>
          </w:tcPr>
          <w:p>
            <w:pPr>
              <w:pStyle w:val="0"/>
              <w:jc w:val="center"/>
            </w:pPr>
            <w:r>
              <w:rPr>
                <w:sz w:val="20"/>
              </w:rPr>
              <w:t xml:space="preserve">257</w:t>
            </w:r>
          </w:p>
        </w:tc>
        <w:tc>
          <w:tcPr>
            <w:tcW w:w="907" w:type="dxa"/>
            <w:vAlign w:val="center"/>
          </w:tcPr>
          <w:p>
            <w:pPr>
              <w:pStyle w:val="0"/>
              <w:jc w:val="center"/>
            </w:pPr>
            <w:r>
              <w:rPr>
                <w:sz w:val="20"/>
              </w:rPr>
              <w:t xml:space="preserve">248</w:t>
            </w:r>
          </w:p>
        </w:tc>
        <w:tc>
          <w:tcPr>
            <w:tcW w:w="907" w:type="dxa"/>
            <w:vAlign w:val="center"/>
          </w:tcPr>
          <w:p>
            <w:pPr>
              <w:pStyle w:val="0"/>
              <w:jc w:val="center"/>
            </w:pPr>
            <w:r>
              <w:rPr>
                <w:sz w:val="20"/>
              </w:rPr>
              <w:t xml:space="preserve">233</w:t>
            </w:r>
          </w:p>
        </w:tc>
        <w:tc>
          <w:tcPr>
            <w:tcW w:w="907" w:type="dxa"/>
            <w:vAlign w:val="center"/>
          </w:tcPr>
          <w:p>
            <w:pPr>
              <w:pStyle w:val="0"/>
              <w:jc w:val="center"/>
            </w:pPr>
            <w:r>
              <w:rPr>
                <w:sz w:val="20"/>
              </w:rPr>
              <w:t xml:space="preserve">221</w:t>
            </w:r>
          </w:p>
        </w:tc>
        <w:tc>
          <w:tcPr>
            <w:tcW w:w="907" w:type="dxa"/>
            <w:vAlign w:val="center"/>
          </w:tcPr>
          <w:p>
            <w:pPr>
              <w:pStyle w:val="0"/>
              <w:jc w:val="center"/>
            </w:pPr>
            <w:r>
              <w:rPr>
                <w:sz w:val="20"/>
              </w:rPr>
              <w:t xml:space="preserve">209</w:t>
            </w:r>
          </w:p>
        </w:tc>
      </w:tr>
      <w:tr>
        <w:tc>
          <w:tcPr>
            <w:tcW w:w="510" w:type="dxa"/>
          </w:tcPr>
          <w:p>
            <w:pPr>
              <w:pStyle w:val="0"/>
              <w:jc w:val="center"/>
            </w:pPr>
            <w:r>
              <w:rPr>
                <w:sz w:val="20"/>
              </w:rPr>
              <w:t xml:space="preserve">56</w:t>
            </w:r>
          </w:p>
        </w:tc>
        <w:tc>
          <w:tcPr>
            <w:tcW w:w="3118" w:type="dxa"/>
          </w:tcPr>
          <w:p>
            <w:pPr>
              <w:pStyle w:val="0"/>
            </w:pPr>
            <w:r>
              <w:rPr>
                <w:sz w:val="20"/>
              </w:rPr>
              <w:t xml:space="preserve">Слесарь-сантехник</w:t>
            </w:r>
          </w:p>
        </w:tc>
        <w:tc>
          <w:tcPr>
            <w:tcW w:w="907" w:type="dxa"/>
            <w:vAlign w:val="center"/>
          </w:tcPr>
          <w:p>
            <w:pPr>
              <w:pStyle w:val="0"/>
              <w:jc w:val="center"/>
            </w:pPr>
            <w:r>
              <w:rPr>
                <w:sz w:val="20"/>
              </w:rPr>
              <w:t xml:space="preserve">148</w:t>
            </w:r>
          </w:p>
        </w:tc>
        <w:tc>
          <w:tcPr>
            <w:tcW w:w="907" w:type="dxa"/>
            <w:vAlign w:val="center"/>
          </w:tcPr>
          <w:p>
            <w:pPr>
              <w:pStyle w:val="0"/>
              <w:jc w:val="center"/>
            </w:pPr>
            <w:r>
              <w:rPr>
                <w:sz w:val="20"/>
              </w:rPr>
              <w:t xml:space="preserve">128</w:t>
            </w:r>
          </w:p>
        </w:tc>
        <w:tc>
          <w:tcPr>
            <w:tcW w:w="907" w:type="dxa"/>
            <w:vAlign w:val="center"/>
          </w:tcPr>
          <w:p>
            <w:pPr>
              <w:pStyle w:val="0"/>
              <w:jc w:val="center"/>
            </w:pPr>
            <w:r>
              <w:rPr>
                <w:sz w:val="20"/>
              </w:rPr>
              <w:t xml:space="preserve">121</w:t>
            </w:r>
          </w:p>
        </w:tc>
        <w:tc>
          <w:tcPr>
            <w:tcW w:w="907" w:type="dxa"/>
            <w:vAlign w:val="center"/>
          </w:tcPr>
          <w:p>
            <w:pPr>
              <w:pStyle w:val="0"/>
              <w:jc w:val="center"/>
            </w:pPr>
            <w:r>
              <w:rPr>
                <w:sz w:val="20"/>
              </w:rPr>
              <w:t xml:space="preserve">111</w:t>
            </w:r>
          </w:p>
        </w:tc>
        <w:tc>
          <w:tcPr>
            <w:tcW w:w="907" w:type="dxa"/>
            <w:vAlign w:val="center"/>
          </w:tcPr>
          <w:p>
            <w:pPr>
              <w:pStyle w:val="0"/>
              <w:jc w:val="center"/>
            </w:pPr>
            <w:r>
              <w:rPr>
                <w:sz w:val="20"/>
              </w:rPr>
              <w:t xml:space="preserve">104</w:t>
            </w:r>
          </w:p>
        </w:tc>
        <w:tc>
          <w:tcPr>
            <w:tcW w:w="907" w:type="dxa"/>
            <w:vAlign w:val="center"/>
          </w:tcPr>
          <w:p>
            <w:pPr>
              <w:pStyle w:val="0"/>
              <w:jc w:val="center"/>
            </w:pPr>
            <w:r>
              <w:rPr>
                <w:sz w:val="20"/>
              </w:rPr>
              <w:t xml:space="preserve">99</w:t>
            </w:r>
          </w:p>
        </w:tc>
      </w:tr>
      <w:tr>
        <w:tc>
          <w:tcPr>
            <w:tcW w:w="510" w:type="dxa"/>
          </w:tcPr>
          <w:p>
            <w:pPr>
              <w:pStyle w:val="0"/>
              <w:jc w:val="center"/>
            </w:pPr>
            <w:r>
              <w:rPr>
                <w:sz w:val="20"/>
              </w:rPr>
              <w:t xml:space="preserve">57</w:t>
            </w:r>
          </w:p>
        </w:tc>
        <w:tc>
          <w:tcPr>
            <w:tcW w:w="3118" w:type="dxa"/>
          </w:tcPr>
          <w:p>
            <w:pPr>
              <w:pStyle w:val="0"/>
            </w:pPr>
            <w:r>
              <w:rPr>
                <w:sz w:val="20"/>
              </w:rPr>
              <w:t xml:space="preserve">Продавец</w:t>
            </w:r>
          </w:p>
        </w:tc>
        <w:tc>
          <w:tcPr>
            <w:tcW w:w="907" w:type="dxa"/>
            <w:vAlign w:val="center"/>
          </w:tcPr>
          <w:p>
            <w:pPr>
              <w:pStyle w:val="0"/>
              <w:jc w:val="center"/>
            </w:pPr>
            <w:r>
              <w:rPr>
                <w:sz w:val="20"/>
              </w:rPr>
              <w:t xml:space="preserve">137</w:t>
            </w:r>
          </w:p>
        </w:tc>
        <w:tc>
          <w:tcPr>
            <w:tcW w:w="907" w:type="dxa"/>
            <w:vAlign w:val="center"/>
          </w:tcPr>
          <w:p>
            <w:pPr>
              <w:pStyle w:val="0"/>
              <w:jc w:val="center"/>
            </w:pPr>
            <w:r>
              <w:rPr>
                <w:sz w:val="20"/>
              </w:rPr>
              <w:t xml:space="preserve">123</w:t>
            </w:r>
          </w:p>
        </w:tc>
        <w:tc>
          <w:tcPr>
            <w:tcW w:w="907" w:type="dxa"/>
            <w:vAlign w:val="center"/>
          </w:tcPr>
          <w:p>
            <w:pPr>
              <w:pStyle w:val="0"/>
              <w:jc w:val="center"/>
            </w:pPr>
            <w:r>
              <w:rPr>
                <w:sz w:val="20"/>
              </w:rPr>
              <w:t xml:space="preserve">110</w:t>
            </w:r>
          </w:p>
        </w:tc>
        <w:tc>
          <w:tcPr>
            <w:tcW w:w="907" w:type="dxa"/>
            <w:vAlign w:val="center"/>
          </w:tcPr>
          <w:p>
            <w:pPr>
              <w:pStyle w:val="0"/>
              <w:jc w:val="center"/>
            </w:pPr>
            <w:r>
              <w:rPr>
                <w:sz w:val="20"/>
              </w:rPr>
              <w:t xml:space="preserve">102</w:t>
            </w:r>
          </w:p>
        </w:tc>
        <w:tc>
          <w:tcPr>
            <w:tcW w:w="907" w:type="dxa"/>
            <w:vAlign w:val="center"/>
          </w:tcPr>
          <w:p>
            <w:pPr>
              <w:pStyle w:val="0"/>
              <w:jc w:val="center"/>
            </w:pPr>
            <w:r>
              <w:rPr>
                <w:sz w:val="20"/>
              </w:rPr>
              <w:t xml:space="preserve">96</w:t>
            </w:r>
          </w:p>
        </w:tc>
        <w:tc>
          <w:tcPr>
            <w:tcW w:w="907" w:type="dxa"/>
            <w:vAlign w:val="center"/>
          </w:tcPr>
          <w:p>
            <w:pPr>
              <w:pStyle w:val="0"/>
              <w:jc w:val="center"/>
            </w:pPr>
            <w:r>
              <w:rPr>
                <w:sz w:val="20"/>
              </w:rPr>
              <w:t xml:space="preserve">94</w:t>
            </w:r>
          </w:p>
        </w:tc>
      </w:tr>
      <w:tr>
        <w:tc>
          <w:tcPr>
            <w:tcW w:w="510" w:type="dxa"/>
          </w:tcPr>
          <w:p>
            <w:pPr>
              <w:pStyle w:val="0"/>
              <w:jc w:val="center"/>
            </w:pPr>
            <w:r>
              <w:rPr>
                <w:sz w:val="20"/>
              </w:rPr>
              <w:t xml:space="preserve">58</w:t>
            </w:r>
          </w:p>
        </w:tc>
        <w:tc>
          <w:tcPr>
            <w:tcW w:w="3118" w:type="dxa"/>
          </w:tcPr>
          <w:p>
            <w:pPr>
              <w:pStyle w:val="0"/>
            </w:pPr>
            <w:r>
              <w:rPr>
                <w:sz w:val="20"/>
              </w:rPr>
              <w:t xml:space="preserve">Официант</w:t>
            </w:r>
          </w:p>
        </w:tc>
        <w:tc>
          <w:tcPr>
            <w:tcW w:w="907" w:type="dxa"/>
            <w:vAlign w:val="center"/>
          </w:tcPr>
          <w:p>
            <w:pPr>
              <w:pStyle w:val="0"/>
              <w:jc w:val="center"/>
            </w:pPr>
            <w:r>
              <w:rPr>
                <w:sz w:val="20"/>
              </w:rPr>
              <w:t xml:space="preserve">121</w:t>
            </w:r>
          </w:p>
        </w:tc>
        <w:tc>
          <w:tcPr>
            <w:tcW w:w="907" w:type="dxa"/>
            <w:vAlign w:val="center"/>
          </w:tcPr>
          <w:p>
            <w:pPr>
              <w:pStyle w:val="0"/>
              <w:jc w:val="center"/>
            </w:pPr>
            <w:r>
              <w:rPr>
                <w:sz w:val="20"/>
              </w:rPr>
              <w:t xml:space="preserve">112</w:t>
            </w:r>
          </w:p>
        </w:tc>
        <w:tc>
          <w:tcPr>
            <w:tcW w:w="907" w:type="dxa"/>
            <w:vAlign w:val="center"/>
          </w:tcPr>
          <w:p>
            <w:pPr>
              <w:pStyle w:val="0"/>
              <w:jc w:val="center"/>
            </w:pPr>
            <w:r>
              <w:rPr>
                <w:sz w:val="20"/>
              </w:rPr>
              <w:t xml:space="preserve">109</w:t>
            </w:r>
          </w:p>
        </w:tc>
        <w:tc>
          <w:tcPr>
            <w:tcW w:w="907" w:type="dxa"/>
            <w:vAlign w:val="center"/>
          </w:tcPr>
          <w:p>
            <w:pPr>
              <w:pStyle w:val="0"/>
              <w:jc w:val="center"/>
            </w:pPr>
            <w:r>
              <w:rPr>
                <w:sz w:val="20"/>
              </w:rPr>
              <w:t xml:space="preserve">97</w:t>
            </w:r>
          </w:p>
        </w:tc>
        <w:tc>
          <w:tcPr>
            <w:tcW w:w="907" w:type="dxa"/>
            <w:vAlign w:val="center"/>
          </w:tcPr>
          <w:p>
            <w:pPr>
              <w:pStyle w:val="0"/>
              <w:jc w:val="center"/>
            </w:pPr>
            <w:r>
              <w:rPr>
                <w:sz w:val="20"/>
              </w:rPr>
              <w:t xml:space="preserve">82</w:t>
            </w:r>
          </w:p>
        </w:tc>
        <w:tc>
          <w:tcPr>
            <w:tcW w:w="907" w:type="dxa"/>
            <w:vAlign w:val="center"/>
          </w:tcPr>
          <w:p>
            <w:pPr>
              <w:pStyle w:val="0"/>
              <w:jc w:val="center"/>
            </w:pPr>
            <w:r>
              <w:rPr>
                <w:sz w:val="20"/>
              </w:rPr>
              <w:t xml:space="preserve">75</w:t>
            </w:r>
          </w:p>
        </w:tc>
      </w:tr>
      <w:tr>
        <w:tc>
          <w:tcPr>
            <w:tcW w:w="510" w:type="dxa"/>
          </w:tcPr>
          <w:p>
            <w:pPr>
              <w:pStyle w:val="0"/>
              <w:jc w:val="center"/>
            </w:pPr>
            <w:r>
              <w:rPr>
                <w:sz w:val="20"/>
              </w:rPr>
              <w:t xml:space="preserve">59</w:t>
            </w:r>
          </w:p>
        </w:tc>
        <w:tc>
          <w:tcPr>
            <w:tcW w:w="3118" w:type="dxa"/>
          </w:tcPr>
          <w:p>
            <w:pPr>
              <w:pStyle w:val="0"/>
            </w:pPr>
            <w:r>
              <w:rPr>
                <w:sz w:val="20"/>
              </w:rPr>
              <w:t xml:space="preserve">Такелажник</w:t>
            </w:r>
          </w:p>
        </w:tc>
        <w:tc>
          <w:tcPr>
            <w:tcW w:w="907" w:type="dxa"/>
            <w:vAlign w:val="center"/>
          </w:tcPr>
          <w:p>
            <w:pPr>
              <w:pStyle w:val="0"/>
              <w:jc w:val="center"/>
            </w:pPr>
            <w:r>
              <w:rPr>
                <w:sz w:val="20"/>
              </w:rPr>
              <w:t xml:space="preserve">115</w:t>
            </w:r>
          </w:p>
        </w:tc>
        <w:tc>
          <w:tcPr>
            <w:tcW w:w="907" w:type="dxa"/>
            <w:vAlign w:val="center"/>
          </w:tcPr>
          <w:p>
            <w:pPr>
              <w:pStyle w:val="0"/>
              <w:jc w:val="center"/>
            </w:pPr>
            <w:r>
              <w:rPr>
                <w:sz w:val="20"/>
              </w:rPr>
              <w:t xml:space="preserve">104</w:t>
            </w:r>
          </w:p>
        </w:tc>
        <w:tc>
          <w:tcPr>
            <w:tcW w:w="907" w:type="dxa"/>
            <w:vAlign w:val="center"/>
          </w:tcPr>
          <w:p>
            <w:pPr>
              <w:pStyle w:val="0"/>
              <w:jc w:val="center"/>
            </w:pPr>
            <w:r>
              <w:rPr>
                <w:sz w:val="20"/>
              </w:rPr>
              <w:t xml:space="preserve">96</w:t>
            </w:r>
          </w:p>
        </w:tc>
        <w:tc>
          <w:tcPr>
            <w:tcW w:w="907" w:type="dxa"/>
            <w:vAlign w:val="center"/>
          </w:tcPr>
          <w:p>
            <w:pPr>
              <w:pStyle w:val="0"/>
              <w:jc w:val="center"/>
            </w:pPr>
            <w:r>
              <w:rPr>
                <w:sz w:val="20"/>
              </w:rPr>
              <w:t xml:space="preserve">90</w:t>
            </w:r>
          </w:p>
        </w:tc>
        <w:tc>
          <w:tcPr>
            <w:tcW w:w="907" w:type="dxa"/>
            <w:vAlign w:val="center"/>
          </w:tcPr>
          <w:p>
            <w:pPr>
              <w:pStyle w:val="0"/>
              <w:jc w:val="center"/>
            </w:pPr>
            <w:r>
              <w:rPr>
                <w:sz w:val="20"/>
              </w:rPr>
              <w:t xml:space="preserve">83</w:t>
            </w:r>
          </w:p>
        </w:tc>
        <w:tc>
          <w:tcPr>
            <w:tcW w:w="907" w:type="dxa"/>
            <w:vAlign w:val="center"/>
          </w:tcPr>
          <w:p>
            <w:pPr>
              <w:pStyle w:val="0"/>
              <w:jc w:val="center"/>
            </w:pPr>
            <w:r>
              <w:rPr>
                <w:sz w:val="20"/>
              </w:rPr>
              <w:t xml:space="preserve">83</w:t>
            </w:r>
          </w:p>
        </w:tc>
      </w:tr>
      <w:tr>
        <w:tc>
          <w:tcPr>
            <w:tcW w:w="510" w:type="dxa"/>
          </w:tcPr>
          <w:p>
            <w:pPr>
              <w:pStyle w:val="0"/>
              <w:jc w:val="center"/>
            </w:pPr>
            <w:r>
              <w:rPr>
                <w:sz w:val="20"/>
              </w:rPr>
              <w:t xml:space="preserve">60</w:t>
            </w:r>
          </w:p>
        </w:tc>
        <w:tc>
          <w:tcPr>
            <w:tcW w:w="3118" w:type="dxa"/>
          </w:tcPr>
          <w:p>
            <w:pPr>
              <w:pStyle w:val="0"/>
            </w:pPr>
            <w:r>
              <w:rPr>
                <w:sz w:val="20"/>
              </w:rPr>
              <w:t xml:space="preserve">Инженер по охране труда</w:t>
            </w:r>
          </w:p>
        </w:tc>
        <w:tc>
          <w:tcPr>
            <w:tcW w:w="907" w:type="dxa"/>
            <w:vAlign w:val="center"/>
          </w:tcPr>
          <w:p>
            <w:pPr>
              <w:pStyle w:val="0"/>
              <w:jc w:val="center"/>
            </w:pPr>
            <w:r>
              <w:rPr>
                <w:sz w:val="20"/>
              </w:rPr>
              <w:t xml:space="preserve">111</w:t>
            </w:r>
          </w:p>
        </w:tc>
        <w:tc>
          <w:tcPr>
            <w:tcW w:w="907" w:type="dxa"/>
            <w:vAlign w:val="center"/>
          </w:tcPr>
          <w:p>
            <w:pPr>
              <w:pStyle w:val="0"/>
              <w:jc w:val="center"/>
            </w:pPr>
            <w:r>
              <w:rPr>
                <w:sz w:val="20"/>
              </w:rPr>
              <w:t xml:space="preserve">101</w:t>
            </w:r>
          </w:p>
        </w:tc>
        <w:tc>
          <w:tcPr>
            <w:tcW w:w="907" w:type="dxa"/>
            <w:vAlign w:val="center"/>
          </w:tcPr>
          <w:p>
            <w:pPr>
              <w:pStyle w:val="0"/>
              <w:jc w:val="center"/>
            </w:pPr>
            <w:r>
              <w:rPr>
                <w:sz w:val="20"/>
              </w:rPr>
              <w:t xml:space="preserve">89</w:t>
            </w:r>
          </w:p>
        </w:tc>
        <w:tc>
          <w:tcPr>
            <w:tcW w:w="907" w:type="dxa"/>
            <w:vAlign w:val="center"/>
          </w:tcPr>
          <w:p>
            <w:pPr>
              <w:pStyle w:val="0"/>
              <w:jc w:val="center"/>
            </w:pPr>
            <w:r>
              <w:rPr>
                <w:sz w:val="20"/>
              </w:rPr>
              <w:t xml:space="preserve">85</w:t>
            </w:r>
          </w:p>
        </w:tc>
        <w:tc>
          <w:tcPr>
            <w:tcW w:w="907" w:type="dxa"/>
            <w:vAlign w:val="center"/>
          </w:tcPr>
          <w:p>
            <w:pPr>
              <w:pStyle w:val="0"/>
              <w:jc w:val="center"/>
            </w:pPr>
            <w:r>
              <w:rPr>
                <w:sz w:val="20"/>
              </w:rPr>
              <w:t xml:space="preserve">77</w:t>
            </w:r>
          </w:p>
        </w:tc>
        <w:tc>
          <w:tcPr>
            <w:tcW w:w="907" w:type="dxa"/>
            <w:vAlign w:val="center"/>
          </w:tcPr>
          <w:p>
            <w:pPr>
              <w:pStyle w:val="0"/>
              <w:jc w:val="center"/>
            </w:pPr>
            <w:r>
              <w:rPr>
                <w:sz w:val="20"/>
              </w:rPr>
              <w:t xml:space="preserve">67</w:t>
            </w:r>
          </w:p>
        </w:tc>
      </w:tr>
      <w:tr>
        <w:tc>
          <w:tcPr>
            <w:tcW w:w="510" w:type="dxa"/>
          </w:tcPr>
          <w:p>
            <w:pPr>
              <w:pStyle w:val="0"/>
              <w:jc w:val="center"/>
            </w:pPr>
            <w:r>
              <w:rPr>
                <w:sz w:val="20"/>
              </w:rPr>
              <w:t xml:space="preserve">61</w:t>
            </w:r>
          </w:p>
        </w:tc>
        <w:tc>
          <w:tcPr>
            <w:tcW w:w="3118" w:type="dxa"/>
          </w:tcPr>
          <w:p>
            <w:pPr>
              <w:pStyle w:val="0"/>
            </w:pPr>
            <w:r>
              <w:rPr>
                <w:sz w:val="20"/>
              </w:rPr>
              <w:t xml:space="preserve">Бухгалтер</w:t>
            </w:r>
          </w:p>
        </w:tc>
        <w:tc>
          <w:tcPr>
            <w:tcW w:w="907" w:type="dxa"/>
            <w:vAlign w:val="center"/>
          </w:tcPr>
          <w:p>
            <w:pPr>
              <w:pStyle w:val="0"/>
              <w:jc w:val="center"/>
            </w:pPr>
            <w:r>
              <w:rPr>
                <w:sz w:val="20"/>
              </w:rPr>
              <w:t xml:space="preserve">96</w:t>
            </w:r>
          </w:p>
        </w:tc>
        <w:tc>
          <w:tcPr>
            <w:tcW w:w="907" w:type="dxa"/>
            <w:vAlign w:val="center"/>
          </w:tcPr>
          <w:p>
            <w:pPr>
              <w:pStyle w:val="0"/>
              <w:jc w:val="center"/>
            </w:pPr>
            <w:r>
              <w:rPr>
                <w:sz w:val="20"/>
              </w:rPr>
              <w:t xml:space="preserve">90</w:t>
            </w:r>
          </w:p>
        </w:tc>
        <w:tc>
          <w:tcPr>
            <w:tcW w:w="907" w:type="dxa"/>
            <w:vAlign w:val="center"/>
          </w:tcPr>
          <w:p>
            <w:pPr>
              <w:pStyle w:val="0"/>
              <w:jc w:val="center"/>
            </w:pPr>
            <w:r>
              <w:rPr>
                <w:sz w:val="20"/>
              </w:rPr>
              <w:t xml:space="preserve">78</w:t>
            </w:r>
          </w:p>
        </w:tc>
        <w:tc>
          <w:tcPr>
            <w:tcW w:w="907" w:type="dxa"/>
            <w:vAlign w:val="center"/>
          </w:tcPr>
          <w:p>
            <w:pPr>
              <w:pStyle w:val="0"/>
              <w:jc w:val="center"/>
            </w:pPr>
            <w:r>
              <w:rPr>
                <w:sz w:val="20"/>
              </w:rPr>
              <w:t xml:space="preserve">70</w:t>
            </w:r>
          </w:p>
        </w:tc>
        <w:tc>
          <w:tcPr>
            <w:tcW w:w="907" w:type="dxa"/>
            <w:vAlign w:val="center"/>
          </w:tcPr>
          <w:p>
            <w:pPr>
              <w:pStyle w:val="0"/>
              <w:jc w:val="center"/>
            </w:pPr>
            <w:r>
              <w:rPr>
                <w:sz w:val="20"/>
              </w:rPr>
              <w:t xml:space="preserve">62</w:t>
            </w:r>
          </w:p>
        </w:tc>
        <w:tc>
          <w:tcPr>
            <w:tcW w:w="907" w:type="dxa"/>
            <w:vAlign w:val="center"/>
          </w:tcPr>
          <w:p>
            <w:pPr>
              <w:pStyle w:val="0"/>
              <w:jc w:val="center"/>
            </w:pPr>
            <w:r>
              <w:rPr>
                <w:sz w:val="20"/>
              </w:rPr>
              <w:t xml:space="preserve">51</w:t>
            </w:r>
          </w:p>
        </w:tc>
      </w:tr>
      <w:tr>
        <w:tc>
          <w:tcPr>
            <w:tcW w:w="510" w:type="dxa"/>
          </w:tcPr>
          <w:p>
            <w:pPr>
              <w:pStyle w:val="0"/>
              <w:jc w:val="center"/>
            </w:pPr>
            <w:r>
              <w:rPr>
                <w:sz w:val="20"/>
              </w:rPr>
              <w:t xml:space="preserve">62</w:t>
            </w:r>
          </w:p>
        </w:tc>
        <w:tc>
          <w:tcPr>
            <w:tcW w:w="3118" w:type="dxa"/>
          </w:tcPr>
          <w:p>
            <w:pPr>
              <w:pStyle w:val="0"/>
            </w:pPr>
            <w:r>
              <w:rPr>
                <w:sz w:val="20"/>
              </w:rPr>
              <w:t xml:space="preserve">Пекарь</w:t>
            </w:r>
          </w:p>
        </w:tc>
        <w:tc>
          <w:tcPr>
            <w:tcW w:w="907" w:type="dxa"/>
            <w:vAlign w:val="center"/>
          </w:tcPr>
          <w:p>
            <w:pPr>
              <w:pStyle w:val="0"/>
              <w:jc w:val="center"/>
            </w:pPr>
            <w:r>
              <w:rPr>
                <w:sz w:val="20"/>
              </w:rPr>
              <w:t xml:space="preserve">89</w:t>
            </w:r>
          </w:p>
        </w:tc>
        <w:tc>
          <w:tcPr>
            <w:tcW w:w="907" w:type="dxa"/>
            <w:vAlign w:val="center"/>
          </w:tcPr>
          <w:p>
            <w:pPr>
              <w:pStyle w:val="0"/>
              <w:jc w:val="center"/>
            </w:pPr>
            <w:r>
              <w:rPr>
                <w:sz w:val="20"/>
              </w:rPr>
              <w:t xml:space="preserve">83</w:t>
            </w:r>
          </w:p>
        </w:tc>
        <w:tc>
          <w:tcPr>
            <w:tcW w:w="907" w:type="dxa"/>
            <w:vAlign w:val="center"/>
          </w:tcPr>
          <w:p>
            <w:pPr>
              <w:pStyle w:val="0"/>
              <w:jc w:val="center"/>
            </w:pPr>
            <w:r>
              <w:rPr>
                <w:sz w:val="20"/>
              </w:rPr>
              <w:t xml:space="preserve">79</w:t>
            </w:r>
          </w:p>
        </w:tc>
        <w:tc>
          <w:tcPr>
            <w:tcW w:w="907" w:type="dxa"/>
            <w:vAlign w:val="center"/>
          </w:tcPr>
          <w:p>
            <w:pPr>
              <w:pStyle w:val="0"/>
              <w:jc w:val="center"/>
            </w:pPr>
            <w:r>
              <w:rPr>
                <w:sz w:val="20"/>
              </w:rPr>
              <w:t xml:space="preserve">74</w:t>
            </w:r>
          </w:p>
        </w:tc>
        <w:tc>
          <w:tcPr>
            <w:tcW w:w="907" w:type="dxa"/>
            <w:vAlign w:val="center"/>
          </w:tcPr>
          <w:p>
            <w:pPr>
              <w:pStyle w:val="0"/>
              <w:jc w:val="center"/>
            </w:pPr>
            <w:r>
              <w:rPr>
                <w:sz w:val="20"/>
              </w:rPr>
              <w:t xml:space="preserve">68</w:t>
            </w:r>
          </w:p>
        </w:tc>
        <w:tc>
          <w:tcPr>
            <w:tcW w:w="907" w:type="dxa"/>
            <w:vAlign w:val="center"/>
          </w:tcPr>
          <w:p>
            <w:pPr>
              <w:pStyle w:val="0"/>
              <w:jc w:val="center"/>
            </w:pPr>
            <w:r>
              <w:rPr>
                <w:sz w:val="20"/>
              </w:rPr>
              <w:t xml:space="preserve">66</w:t>
            </w:r>
          </w:p>
        </w:tc>
      </w:tr>
    </w:tbl>
    <w:p>
      <w:pPr>
        <w:pStyle w:val="0"/>
        <w:jc w:val="both"/>
      </w:pPr>
      <w:r>
        <w:rPr>
          <w:sz w:val="20"/>
        </w:rPr>
      </w:r>
    </w:p>
    <w:p>
      <w:pPr>
        <w:pStyle w:val="0"/>
        <w:ind w:firstLine="540"/>
        <w:jc w:val="both"/>
      </w:pPr>
      <w:r>
        <w:rPr>
          <w:sz w:val="20"/>
        </w:rPr>
        <w:t xml:space="preserve">Потребность в кадрах в отрасли промышленности и строительства обусловлена продолжением реализации инвестиционных проектов в этих отраслях, что требует дополнительного привлечения технических специалистов и высококвалифицированных работников.</w:t>
      </w:r>
    </w:p>
    <w:p>
      <w:pPr>
        <w:pStyle w:val="0"/>
        <w:spacing w:before="200" w:line-rule="auto"/>
        <w:ind w:firstLine="540"/>
        <w:jc w:val="both"/>
      </w:pPr>
      <w:r>
        <w:rPr>
          <w:sz w:val="20"/>
        </w:rPr>
        <w:t xml:space="preserve">Наибольшим спросом у инвесторов пользуются следующие профессии: монтажник по монтажу стальных и железобетонных конструкций; сварщик; машинист крана; инженер; мастер общестроительных работ.</w:t>
      </w:r>
    </w:p>
    <w:p>
      <w:pPr>
        <w:pStyle w:val="0"/>
        <w:spacing w:before="200" w:line-rule="auto"/>
        <w:ind w:firstLine="540"/>
        <w:jc w:val="both"/>
      </w:pPr>
      <w:r>
        <w:rPr>
          <w:sz w:val="20"/>
        </w:rPr>
        <w:t xml:space="preserve">На базе профессиональных образовательных организаций будут созданы ресурсные (образовательные) центры по основным направлениям реализации кластерных инициатив. Образовательные программы должны разрабатываться с участием хозяйствующих субъектов, Тюменской торгово-промышленной палаты.</w:t>
      </w:r>
    </w:p>
    <w:p>
      <w:pPr>
        <w:pStyle w:val="0"/>
        <w:spacing w:before="200" w:line-rule="auto"/>
        <w:ind w:firstLine="540"/>
        <w:jc w:val="both"/>
      </w:pPr>
      <w:r>
        <w:rPr>
          <w:sz w:val="20"/>
        </w:rPr>
        <w:t xml:space="preserve">Необходимо внедрение системы "подготовки кадров под ключ" для инвестиционных проектов, реализуемых и планируемых к реализации в регионе, путем получения данных о потребностях инвестора в конкретных кадрах на ранней стадии реализации проекта и выдаче агрегированной информации в виде государственных заданий учреждениям профессионального образования с государственным участием, а также внедрение новой модели подготовки кадров в профессиональных образовательных организациях (ПОО):</w:t>
      </w:r>
    </w:p>
    <w:p>
      <w:pPr>
        <w:pStyle w:val="0"/>
        <w:spacing w:before="200" w:line-rule="auto"/>
        <w:ind w:firstLine="540"/>
        <w:jc w:val="both"/>
      </w:pPr>
      <w:r>
        <w:rPr>
          <w:sz w:val="20"/>
        </w:rPr>
        <w:t xml:space="preserve">формирование наблюдательных советов при ПОО с введением в их состав руководителей наиболее современных крупных предприятий и отраслевых инвесторов, создающих предприятия по профилю ПОО;</w:t>
      </w:r>
    </w:p>
    <w:p>
      <w:pPr>
        <w:pStyle w:val="0"/>
        <w:spacing w:before="200" w:line-rule="auto"/>
        <w:ind w:firstLine="540"/>
        <w:jc w:val="both"/>
      </w:pPr>
      <w:r>
        <w:rPr>
          <w:sz w:val="20"/>
        </w:rPr>
        <w:t xml:space="preserve">предоставление таким советам полномочий по аттестации преподавателей ПОО и корректировке структуры и состава учебного плана;</w:t>
      </w:r>
    </w:p>
    <w:p>
      <w:pPr>
        <w:pStyle w:val="0"/>
        <w:spacing w:before="200" w:line-rule="auto"/>
        <w:ind w:firstLine="540"/>
        <w:jc w:val="both"/>
      </w:pPr>
      <w:r>
        <w:rPr>
          <w:sz w:val="20"/>
        </w:rPr>
        <w:t xml:space="preserve">организация взаимообмена стажировками между ПОО и предприятиями: ключевые сотрудники предприятия направляются на период до 3 месяцев для работы в качестве преподавателей в профильном ПОО с сохранением оплаты труда по месту постоянной работы, а преподаватели ПОО, прошедшие аттестацию, стажируются на предприятиях, входящих в попечительский совет (на регулярной основе - не реже 1 раза в три года и не менее чем на 3 месяца подряд).</w:t>
      </w:r>
    </w:p>
    <w:p>
      <w:pPr>
        <w:pStyle w:val="0"/>
        <w:spacing w:before="200" w:line-rule="auto"/>
        <w:ind w:firstLine="540"/>
        <w:jc w:val="both"/>
      </w:pPr>
      <w:r>
        <w:rPr>
          <w:sz w:val="20"/>
        </w:rPr>
        <w:t xml:space="preserve">Предусмотрено внедрение дуальной системы обучения в ПОО с активным привлечением иностранных специалистов по профилям, в которых у Российской Федерации есть высокая потребность в квалифицированных кадрах и нет собственных заделов, с последующей корректировкой программ обучения с учетом международного опыта и организацией регулярной стажировки студентов в иностранных учебных заведениях.</w:t>
      </w:r>
    </w:p>
    <w:p>
      <w:pPr>
        <w:pStyle w:val="0"/>
        <w:spacing w:before="200" w:line-rule="auto"/>
        <w:ind w:firstLine="540"/>
        <w:jc w:val="both"/>
      </w:pPr>
      <w:r>
        <w:rPr>
          <w:sz w:val="20"/>
        </w:rPr>
        <w:t xml:space="preserve">Будет продолжена работа по реализации дорожной карты внедрения регионального стандарта кадрового обеспечения промышленного роста в Тюменской области по основным блокам:</w:t>
      </w:r>
    </w:p>
    <w:p>
      <w:pPr>
        <w:pStyle w:val="0"/>
        <w:spacing w:before="200" w:line-rule="auto"/>
        <w:ind w:firstLine="540"/>
        <w:jc w:val="both"/>
      </w:pPr>
      <w:r>
        <w:rPr>
          <w:sz w:val="20"/>
        </w:rPr>
        <w:t xml:space="preserve">формирование организационных механизмов, включая разработку плана пилотной апробации, создание органов координации и управления;</w:t>
      </w:r>
    </w:p>
    <w:p>
      <w:pPr>
        <w:pStyle w:val="0"/>
        <w:spacing w:before="200" w:line-rule="auto"/>
        <w:ind w:firstLine="540"/>
        <w:jc w:val="both"/>
      </w:pPr>
      <w:r>
        <w:rPr>
          <w:sz w:val="20"/>
        </w:rPr>
        <w:t xml:space="preserve">реализация механизмов прогнозирования потребности в кадрах по перспективным и востребованным профессиям;</w:t>
      </w:r>
    </w:p>
    <w:p>
      <w:pPr>
        <w:pStyle w:val="0"/>
        <w:spacing w:before="200" w:line-rule="auto"/>
        <w:ind w:firstLine="540"/>
        <w:jc w:val="both"/>
      </w:pPr>
      <w:r>
        <w:rPr>
          <w:sz w:val="20"/>
        </w:rPr>
        <w:t xml:space="preserve">создание и поддержка функционирования материально-технической базы и информационно-коммуникационной инфраструктуры;</w:t>
      </w:r>
    </w:p>
    <w:p>
      <w:pPr>
        <w:pStyle w:val="0"/>
        <w:spacing w:before="200" w:line-rule="auto"/>
        <w:ind w:firstLine="540"/>
        <w:jc w:val="both"/>
      </w:pPr>
      <w:r>
        <w:rPr>
          <w:sz w:val="20"/>
        </w:rPr>
        <w:t xml:space="preserve">обеспечение навигации по востребованным и перспективным профессиям и дополнительное образование детей;</w:t>
      </w:r>
    </w:p>
    <w:p>
      <w:pPr>
        <w:pStyle w:val="0"/>
        <w:spacing w:before="200" w:line-rule="auto"/>
        <w:ind w:firstLine="540"/>
        <w:jc w:val="both"/>
      </w:pPr>
      <w:r>
        <w:rPr>
          <w:sz w:val="20"/>
        </w:rPr>
        <w:t xml:space="preserve">реализация механизмов практико-ориентированного (дуального) образования - подготовки рабочих кадров;</w:t>
      </w:r>
    </w:p>
    <w:p>
      <w:pPr>
        <w:pStyle w:val="0"/>
        <w:spacing w:before="200" w:line-rule="auto"/>
        <w:ind w:firstLine="540"/>
        <w:jc w:val="both"/>
      </w:pPr>
      <w:r>
        <w:rPr>
          <w:sz w:val="20"/>
        </w:rPr>
        <w:t xml:space="preserve">реализация механизмов подготовки квалифицированных рабочих кадров и специалистов для высокотехнологичных производств;</w:t>
      </w:r>
    </w:p>
    <w:p>
      <w:pPr>
        <w:pStyle w:val="0"/>
        <w:spacing w:before="200" w:line-rule="auto"/>
        <w:ind w:firstLine="540"/>
        <w:jc w:val="both"/>
      </w:pPr>
      <w:r>
        <w:rPr>
          <w:sz w:val="20"/>
        </w:rPr>
        <w:t xml:space="preserve">реализация механизмов подготовки и переподготовки педагогических кадров;</w:t>
      </w:r>
    </w:p>
    <w:p>
      <w:pPr>
        <w:pStyle w:val="0"/>
        <w:spacing w:before="200" w:line-rule="auto"/>
        <w:ind w:firstLine="540"/>
        <w:jc w:val="both"/>
      </w:pPr>
      <w:r>
        <w:rPr>
          <w:sz w:val="20"/>
        </w:rPr>
        <w:t xml:space="preserve">реализация механизмов оценки эффективности региональной модели кадрового обеспечения.</w:t>
      </w:r>
    </w:p>
    <w:p>
      <w:pPr>
        <w:pStyle w:val="2"/>
        <w:spacing w:before="200" w:line-rule="auto"/>
        <w:outlineLvl w:val="3"/>
        <w:ind w:firstLine="540"/>
        <w:jc w:val="both"/>
      </w:pPr>
      <w:r>
        <w:rPr>
          <w:sz w:val="20"/>
        </w:rPr>
        <w:t xml:space="preserve">10. Внедрение комплексной системы развития инвестиционного климата в муниципальных образованиях Тюменской области "7 шагов"</w:t>
      </w:r>
    </w:p>
    <w:p>
      <w:pPr>
        <w:pStyle w:val="0"/>
        <w:spacing w:before="200" w:line-rule="auto"/>
        <w:ind w:firstLine="540"/>
        <w:jc w:val="both"/>
      </w:pPr>
      <w:r>
        <w:rPr>
          <w:sz w:val="20"/>
        </w:rPr>
        <w:t xml:space="preserve">В соответствии с действующим законодательством Российской Федерации органы местного самоуправления наделены полномочиями по оказанию муниципальных услуг, прямо влияющих на реализацию инвестиционных проектов и осуществление предпринимательской деятельности. Улучшение инвестиционного климата в муниципальных образованиях позволяет качественно упростить условия ведения бизнеса на конкретных территориях.</w:t>
      </w:r>
    </w:p>
    <w:p>
      <w:pPr>
        <w:pStyle w:val="0"/>
        <w:spacing w:before="200" w:line-rule="auto"/>
        <w:ind w:firstLine="540"/>
        <w:jc w:val="both"/>
      </w:pPr>
      <w:r>
        <w:rPr>
          <w:sz w:val="20"/>
        </w:rPr>
        <w:t xml:space="preserve">Комплексная система развития экономики в муниципальных образованиях Тюменской области строится на основе лучших практик по развитию и поддержке предпринимательства на муниципальном уровне и содержит следующие основные направления:</w:t>
      </w:r>
    </w:p>
    <w:p>
      <w:pPr>
        <w:pStyle w:val="0"/>
        <w:spacing w:before="200" w:line-rule="auto"/>
        <w:ind w:firstLine="540"/>
        <w:jc w:val="both"/>
      </w:pPr>
      <w:r>
        <w:rPr>
          <w:sz w:val="20"/>
        </w:rPr>
        <w:t xml:space="preserve">создание системы проектного взаимодействия всех участников инвестиционного процесса на базе соглашения. В рамках данного мероприятия будет сформирован реестр инвестиционных проектов, онлайн-доступ к которому будут иметь все участники, подписавшие соглашение, для оперативного решения проблемных вопросов, возникающих у инвесторов;</w:t>
      </w:r>
    </w:p>
    <w:p>
      <w:pPr>
        <w:pStyle w:val="0"/>
        <w:spacing w:before="200" w:line-rule="auto"/>
        <w:ind w:firstLine="540"/>
        <w:jc w:val="both"/>
      </w:pPr>
      <w:r>
        <w:rPr>
          <w:sz w:val="20"/>
        </w:rPr>
        <w:t xml:space="preserve">принятие подробных и последовательных регламентов сопровождения инвестиционных проектов каждой из сторон соглашения;</w:t>
      </w:r>
    </w:p>
    <w:p>
      <w:pPr>
        <w:pStyle w:val="0"/>
        <w:spacing w:before="200" w:line-rule="auto"/>
        <w:ind w:firstLine="540"/>
        <w:jc w:val="both"/>
      </w:pPr>
      <w:r>
        <w:rPr>
          <w:sz w:val="20"/>
        </w:rPr>
        <w:t xml:space="preserve">включение в состав регионального Совета по улучшению инвестиционного климата представителей уполномоченных органов и организаций, отвечающих за показатели Национального рейтинга состояния инвестиционного климата. Для ежедневной отработки всех решений, принятых на совете, сформирован проектный офис;</w:t>
      </w:r>
    </w:p>
    <w:p>
      <w:pPr>
        <w:pStyle w:val="0"/>
        <w:spacing w:before="200" w:line-rule="auto"/>
        <w:ind w:firstLine="540"/>
        <w:jc w:val="both"/>
      </w:pPr>
      <w:r>
        <w:rPr>
          <w:sz w:val="20"/>
        </w:rPr>
        <w:t xml:space="preserve">регулярный мониторинг совместно с "Опорой России", "Деловой Россией" ключевых услуг для инвесторов через механизм "Тайный покупатель";</w:t>
      </w:r>
    </w:p>
    <w:p>
      <w:pPr>
        <w:pStyle w:val="0"/>
        <w:spacing w:before="200" w:line-rule="auto"/>
        <w:ind w:firstLine="540"/>
        <w:jc w:val="both"/>
      </w:pPr>
      <w:r>
        <w:rPr>
          <w:sz w:val="20"/>
        </w:rPr>
        <w:t xml:space="preserve">формирование проектных команд для управления развитием экономики муниципальных образований, состоящих из представителей Правительства Тюменской области, органов местного самоуправления и Фонда "Инвестиционное агентство Тюменской области";</w:t>
      </w:r>
    </w:p>
    <w:p>
      <w:pPr>
        <w:pStyle w:val="0"/>
        <w:spacing w:before="200" w:line-rule="auto"/>
        <w:ind w:firstLine="540"/>
        <w:jc w:val="both"/>
      </w:pPr>
      <w:r>
        <w:rPr>
          <w:sz w:val="20"/>
        </w:rPr>
        <w:t xml:space="preserve">разработка планов развития экономики муниципалитетов через формирование локомотивных проектов, включая площадки для их реализации, системную поддержку и сопровождение;</w:t>
      </w:r>
    </w:p>
    <w:p>
      <w:pPr>
        <w:pStyle w:val="0"/>
        <w:spacing w:before="200" w:line-rule="auto"/>
        <w:ind w:firstLine="540"/>
        <w:jc w:val="both"/>
      </w:pPr>
      <w:r>
        <w:rPr>
          <w:sz w:val="20"/>
        </w:rPr>
        <w:t xml:space="preserve">введение показателей эффективности для оценки деятельности администраций муниципальных образований с целью конкретизации установок. С целью мотивации глав администраций муниципальных образований формируется сводный рейтинг органов местного самоуправления параллельно Национальному рейтингу регионов;</w:t>
      </w:r>
    </w:p>
    <w:p>
      <w:pPr>
        <w:pStyle w:val="0"/>
        <w:spacing w:before="200" w:line-rule="auto"/>
        <w:ind w:firstLine="540"/>
        <w:jc w:val="both"/>
      </w:pPr>
      <w:r>
        <w:rPr>
          <w:sz w:val="20"/>
        </w:rPr>
        <w:t xml:space="preserve">Перечень реализуемых и перспективных инвестиционных </w:t>
      </w:r>
      <w:hyperlink w:history="0" w:anchor="P4371" w:tooltip="ИНВЕСТИЦИОННЫЕ ПРОЕКТЫ">
        <w:r>
          <w:rPr>
            <w:sz w:val="20"/>
            <w:color w:val="0000ff"/>
          </w:rPr>
          <w:t xml:space="preserve">проектов</w:t>
        </w:r>
      </w:hyperlink>
      <w:r>
        <w:rPr>
          <w:sz w:val="20"/>
        </w:rPr>
        <w:t xml:space="preserve"> Тюменской области представлен в приложении 5.</w:t>
      </w:r>
    </w:p>
    <w:p>
      <w:pPr>
        <w:pStyle w:val="0"/>
        <w:jc w:val="both"/>
      </w:pPr>
      <w:r>
        <w:rPr>
          <w:sz w:val="20"/>
        </w:rPr>
      </w:r>
    </w:p>
    <w:p>
      <w:pPr>
        <w:pStyle w:val="2"/>
        <w:outlineLvl w:val="2"/>
        <w:jc w:val="center"/>
      </w:pPr>
      <w:r>
        <w:rPr>
          <w:sz w:val="20"/>
        </w:rPr>
        <w:t xml:space="preserve">Ключевые инвестиционные проекты Тюменской области</w:t>
      </w:r>
    </w:p>
    <w:p>
      <w:pPr>
        <w:pStyle w:val="0"/>
        <w:jc w:val="both"/>
      </w:pPr>
      <w:r>
        <w:rPr>
          <w:sz w:val="20"/>
        </w:rPr>
      </w:r>
    </w:p>
    <w:p>
      <w:pPr>
        <w:pStyle w:val="0"/>
        <w:outlineLvl w:val="3"/>
        <w:jc w:val="center"/>
      </w:pPr>
      <w:r>
        <w:rPr>
          <w:position w:val="-253"/>
        </w:rPr>
        <w:drawing>
          <wp:inline distT="0" distB="0" distL="0" distR="0">
            <wp:extent cx="3792220" cy="33407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3792220" cy="3340735"/>
                    </a:xfrm>
                    <a:prstGeom prst="rect">
                      <a:avLst/>
                    </a:prstGeom>
                    <a:noFill/>
                    <a:ln>
                      <a:noFill/>
                    </a:ln>
                  </pic:spPr>
                </pic:pic>
              </a:graphicData>
            </a:graphic>
          </wp:inline>
        </w:drawing>
      </w:r>
    </w:p>
    <w:p>
      <w:pPr>
        <w:pStyle w:val="0"/>
        <w:jc w:val="both"/>
      </w:pPr>
      <w:r>
        <w:rPr>
          <w:sz w:val="20"/>
        </w:rPr>
      </w:r>
    </w:p>
    <w:p>
      <w:pPr>
        <w:pStyle w:val="2"/>
        <w:jc w:val="center"/>
      </w:pPr>
      <w:r>
        <w:rPr>
          <w:sz w:val="20"/>
        </w:rPr>
        <w:t xml:space="preserve">Рисунок 1 - Ключевые инвестиционные проекты</w:t>
      </w:r>
    </w:p>
    <w:p>
      <w:pPr>
        <w:pStyle w:val="2"/>
        <w:jc w:val="center"/>
      </w:pPr>
      <w:r>
        <w:rPr>
          <w:sz w:val="20"/>
        </w:rPr>
        <w:t xml:space="preserve">Тюменской области</w:t>
      </w:r>
    </w:p>
    <w:p>
      <w:pPr>
        <w:pStyle w:val="0"/>
        <w:jc w:val="both"/>
      </w:pPr>
      <w:r>
        <w:rPr>
          <w:sz w:val="20"/>
        </w:rPr>
      </w:r>
    </w:p>
    <w:p>
      <w:pPr>
        <w:pStyle w:val="0"/>
        <w:ind w:firstLine="540"/>
        <w:jc w:val="both"/>
      </w:pPr>
      <w:r>
        <w:rPr>
          <w:sz w:val="20"/>
        </w:rPr>
        <w:t xml:space="preserve">1. Развитие нефтедобывающей инфраструктуры компанией "Роснефть" в Уватском районе. Объем инвестиций - 860 млрд рублей (в целом по проекту за 2004 - 2023 годы), количество рабочих мест - 2000.</w:t>
      </w:r>
    </w:p>
    <w:p>
      <w:pPr>
        <w:pStyle w:val="0"/>
        <w:spacing w:before="200" w:line-rule="auto"/>
        <w:ind w:firstLine="540"/>
        <w:jc w:val="both"/>
      </w:pPr>
      <w:r>
        <w:rPr>
          <w:sz w:val="20"/>
        </w:rPr>
        <w:t xml:space="preserve">2. Строительство комплекса глубокой переработки углеводородного сырья ("ЗапСибНефтехим") в городе Тобольске. Объем инвестиций - 406,1 млрд рублей, количество рабочих мест - 800.</w:t>
      </w:r>
    </w:p>
    <w:p>
      <w:pPr>
        <w:pStyle w:val="0"/>
        <w:spacing w:before="200" w:line-rule="auto"/>
        <w:ind w:firstLine="540"/>
        <w:jc w:val="both"/>
      </w:pPr>
      <w:r>
        <w:rPr>
          <w:sz w:val="20"/>
        </w:rPr>
        <w:t xml:space="preserve">3. Создание нефтедобывающей инфраструктуры компанией "Сургутнефтегаз" в Уватском районе. Объем инвестиций - 62,1 млрд рублей (в целом по проекту), количество рабочих мест - 600.</w:t>
      </w:r>
    </w:p>
    <w:p>
      <w:pPr>
        <w:pStyle w:val="0"/>
        <w:spacing w:before="200" w:line-rule="auto"/>
        <w:ind w:firstLine="540"/>
        <w:jc w:val="both"/>
      </w:pPr>
      <w:r>
        <w:rPr>
          <w:sz w:val="20"/>
        </w:rPr>
        <w:t xml:space="preserve">4. Организация производства малеинового ангидрида компанией ПАО "СИБУР Холдинг" в городе Тобольске. Объем инвестиций - 15,8 млрд рублей.</w:t>
      </w:r>
    </w:p>
    <w:p>
      <w:pPr>
        <w:pStyle w:val="0"/>
        <w:spacing w:before="200" w:line-rule="auto"/>
        <w:ind w:firstLine="540"/>
        <w:jc w:val="both"/>
      </w:pPr>
      <w:r>
        <w:rPr>
          <w:sz w:val="20"/>
        </w:rPr>
        <w:t xml:space="preserve">5. Строительство аэропорта в городе Тобольске (ООО "ЗапСибНефтехим"). Объем инвестиций - 8,9 млрд рублей, количество рабочих мест - 210.</w:t>
      </w:r>
    </w:p>
    <w:p>
      <w:pPr>
        <w:pStyle w:val="0"/>
        <w:spacing w:before="200" w:line-rule="auto"/>
        <w:ind w:firstLine="540"/>
        <w:jc w:val="both"/>
      </w:pPr>
      <w:r>
        <w:rPr>
          <w:sz w:val="20"/>
        </w:rPr>
        <w:t xml:space="preserve">6. Строительство комплекса полного цикла по выращиванию и переработке бройлеров мощностью 40 тыс. тонн в год в Голышмановском городском округе и Юргинском муниципальном районе (ООО "РУСКОМ"). Объем инвестиций - 6,9 млрд рублей, количество рабочих мест - 750.</w:t>
      </w:r>
    </w:p>
    <w:p>
      <w:pPr>
        <w:pStyle w:val="0"/>
        <w:spacing w:before="200" w:line-rule="auto"/>
        <w:ind w:firstLine="540"/>
        <w:jc w:val="both"/>
      </w:pPr>
      <w:r>
        <w:rPr>
          <w:sz w:val="20"/>
        </w:rPr>
        <w:t xml:space="preserve">7. Строительство товарного молочного комплекса на 4600 фуражных коров Группы компаний "Дамате" в Голышмановском городском округе. Объем инвестиций - 6,7 млрд рублей (в целом по проекту), количество рабочих мест - 317.</w:t>
      </w:r>
    </w:p>
    <w:p>
      <w:pPr>
        <w:pStyle w:val="0"/>
        <w:spacing w:before="200" w:line-rule="auto"/>
        <w:ind w:firstLine="540"/>
        <w:jc w:val="both"/>
      </w:pPr>
      <w:r>
        <w:rPr>
          <w:sz w:val="20"/>
        </w:rPr>
        <w:t xml:space="preserve">8. Строительство третьей очереди тепличного комбината "ТК Тюмень Агро" в Тюменском районе. Объем инвестиций - 5,1 млрд рублей, количество рабочих мест - 140.</w:t>
      </w:r>
    </w:p>
    <w:p>
      <w:pPr>
        <w:pStyle w:val="0"/>
        <w:spacing w:before="200" w:line-rule="auto"/>
        <w:ind w:firstLine="540"/>
        <w:jc w:val="both"/>
      </w:pPr>
      <w:r>
        <w:rPr>
          <w:sz w:val="20"/>
        </w:rPr>
        <w:t xml:space="preserve">9. Строительство водно-термального оздоровительного комплекса с аквапарком "АКВАМОЛЛ" в городе Тюмени. Объем инвестиций - 4,3 млрд рублей, количество рабочих мест - 366.</w:t>
      </w:r>
    </w:p>
    <w:p>
      <w:pPr>
        <w:pStyle w:val="0"/>
        <w:spacing w:before="200" w:line-rule="auto"/>
        <w:ind w:firstLine="540"/>
        <w:jc w:val="both"/>
      </w:pPr>
      <w:r>
        <w:rPr>
          <w:sz w:val="20"/>
        </w:rPr>
        <w:t xml:space="preserve">10. Модернизация птицефабрики "Боровская" в Тюменском районе. Объем инвестиций - 2,9 млрд рублей, количество рабочих мест - 150.</w:t>
      </w:r>
    </w:p>
    <w:p>
      <w:pPr>
        <w:pStyle w:val="0"/>
        <w:spacing w:before="200" w:line-rule="auto"/>
        <w:ind w:firstLine="540"/>
        <w:jc w:val="both"/>
      </w:pPr>
      <w:r>
        <w:rPr>
          <w:sz w:val="20"/>
        </w:rPr>
        <w:t xml:space="preserve">11. Организация фармацевтического производства компанией "Фармасинтез-Тюмень" в городе Тюмени. Объем инвестиций - 3,7 млрд рублей, количество рабочих мест - 485.</w:t>
      </w:r>
    </w:p>
    <w:p>
      <w:pPr>
        <w:pStyle w:val="0"/>
        <w:spacing w:before="200" w:line-rule="auto"/>
        <w:ind w:firstLine="540"/>
        <w:jc w:val="both"/>
      </w:pPr>
      <w:r>
        <w:rPr>
          <w:sz w:val="20"/>
        </w:rPr>
        <w:t xml:space="preserve">12. Строительство центра исследования пластовых систем ООО "Газпромнефть НТЦ" в городе Тюмени. Объем инвестиций - 5 млрд рублей, количество рабочих мест - 114.</w:t>
      </w:r>
    </w:p>
    <w:p>
      <w:pPr>
        <w:pStyle w:val="0"/>
        <w:spacing w:before="200" w:line-rule="auto"/>
        <w:ind w:firstLine="540"/>
        <w:jc w:val="both"/>
      </w:pPr>
      <w:r>
        <w:rPr>
          <w:sz w:val="20"/>
        </w:rPr>
        <w:t xml:space="preserve">13. Модернизация с расширением производственных мощностей в АО "ПРОДО Тюменский бройлер" в Тюменском районе. Объем инвестиций - 2,8 млрд рублей, количество рабочих мест - 64.</w:t>
      </w:r>
    </w:p>
    <w:p>
      <w:pPr>
        <w:pStyle w:val="0"/>
        <w:spacing w:before="200" w:line-rule="auto"/>
        <w:ind w:firstLine="540"/>
        <w:jc w:val="both"/>
      </w:pPr>
      <w:r>
        <w:rPr>
          <w:sz w:val="20"/>
        </w:rPr>
        <w:t xml:space="preserve">14. Инвестиционный проект по утилизации твердых бытовых отходов на территории Тюменской области ООО "Тюменское экологическое объединение". Объем инвестиций - 2,5 млрд рублей, количество рабочих мест - 453.</w:t>
      </w:r>
    </w:p>
    <w:p>
      <w:pPr>
        <w:pStyle w:val="0"/>
        <w:spacing w:before="200" w:line-rule="auto"/>
        <w:ind w:firstLine="540"/>
        <w:jc w:val="both"/>
      </w:pPr>
      <w:r>
        <w:rPr>
          <w:sz w:val="20"/>
        </w:rPr>
        <w:t xml:space="preserve">15. Реконструкция птицефабрики "Пышминская" в Тюменском районе (ООО "Сибинтел Холдинг"). Объем инвестиций - 2,3 млрд рублей, количество рабочих мест - 150.</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4371" w:name="P4371"/>
    <w:bookmarkEnd w:id="4371"/>
    <w:p>
      <w:pPr>
        <w:pStyle w:val="2"/>
        <w:jc w:val="center"/>
      </w:pPr>
      <w:r>
        <w:rPr>
          <w:sz w:val="20"/>
        </w:rPr>
        <w:t xml:space="preserve">ИНВЕСТИЦИОННЫЕ ПРОЕКТЫ</w:t>
      </w:r>
    </w:p>
    <w:p>
      <w:pPr>
        <w:pStyle w:val="2"/>
        <w:jc w:val="center"/>
      </w:pPr>
      <w:r>
        <w:rPr>
          <w:sz w:val="20"/>
        </w:rPr>
        <w:t xml:space="preserve">ТЮМЕНСКОЙ ОБЛАСТИ (ПО СОСТОЯНИЮ НА 17.01.2020, ИСТОЧНИК</w:t>
      </w:r>
    </w:p>
    <w:p>
      <w:pPr>
        <w:pStyle w:val="2"/>
        <w:jc w:val="center"/>
      </w:pPr>
      <w:r>
        <w:rPr>
          <w:sz w:val="20"/>
        </w:rPr>
        <w:t xml:space="preserve">ИНФОРМАЦИИ - РЕЕСТР ИНВЕСТИЦИОННЫХ, ИННОВАЦИОННЫХ ПРОЕКТОВ</w:t>
      </w:r>
    </w:p>
    <w:p>
      <w:pPr>
        <w:pStyle w:val="2"/>
        <w:jc w:val="center"/>
      </w:pPr>
      <w:r>
        <w:rPr>
          <w:sz w:val="20"/>
        </w:rPr>
        <w:t xml:space="preserve">И ИНФРАСТРУКТУРНЫХ ПЛОЩАДОК ТЮМЕНСКОЙ ОБЛАСТИ, ЗАКЛЮЧЕННЫЕ</w:t>
      </w:r>
    </w:p>
    <w:p>
      <w:pPr>
        <w:pStyle w:val="2"/>
        <w:jc w:val="center"/>
      </w:pPr>
      <w:r>
        <w:rPr>
          <w:sz w:val="20"/>
        </w:rPr>
        <w:t xml:space="preserve">КОНЦЕССИОННЫЕ СОГЛАШЕНИЯ)</w:t>
      </w:r>
    </w:p>
    <w:p>
      <w:pPr>
        <w:pStyle w:val="0"/>
        <w:jc w:val="both"/>
      </w:pPr>
      <w:r>
        <w:rPr>
          <w:sz w:val="20"/>
        </w:rPr>
      </w:r>
    </w:p>
    <w:p>
      <w:pPr>
        <w:pStyle w:val="2"/>
        <w:outlineLvl w:val="2"/>
        <w:ind w:firstLine="540"/>
        <w:jc w:val="both"/>
      </w:pPr>
      <w:r>
        <w:rPr>
          <w:sz w:val="20"/>
        </w:rPr>
        <w:t xml:space="preserve">Таблица 1 - Проекты в стадии реализации (с объемами инвестиций более 100 млн рублей)</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99"/>
        <w:gridCol w:w="1587"/>
        <w:gridCol w:w="2324"/>
        <w:gridCol w:w="1474"/>
        <w:gridCol w:w="1474"/>
      </w:tblGrid>
      <w:tr>
        <w:tc>
          <w:tcPr>
            <w:tcW w:w="3499" w:type="dxa"/>
          </w:tcPr>
          <w:p>
            <w:pPr>
              <w:pStyle w:val="0"/>
              <w:jc w:val="center"/>
            </w:pPr>
            <w:r>
              <w:rPr>
                <w:sz w:val="20"/>
              </w:rPr>
              <w:t xml:space="preserve">Наименование проекта</w:t>
            </w:r>
          </w:p>
        </w:tc>
        <w:tc>
          <w:tcPr>
            <w:tcW w:w="1587" w:type="dxa"/>
          </w:tcPr>
          <w:p>
            <w:pPr>
              <w:pStyle w:val="0"/>
              <w:jc w:val="center"/>
            </w:pPr>
            <w:r>
              <w:rPr>
                <w:sz w:val="20"/>
              </w:rPr>
              <w:t xml:space="preserve">Срок реализации, годы</w:t>
            </w:r>
          </w:p>
        </w:tc>
        <w:tc>
          <w:tcPr>
            <w:tcW w:w="2324" w:type="dxa"/>
          </w:tcPr>
          <w:p>
            <w:pPr>
              <w:pStyle w:val="0"/>
              <w:jc w:val="center"/>
            </w:pPr>
            <w:r>
              <w:rPr>
                <w:sz w:val="20"/>
              </w:rPr>
              <w:t xml:space="preserve">Инвесторы проекта</w:t>
            </w:r>
          </w:p>
        </w:tc>
        <w:tc>
          <w:tcPr>
            <w:tcW w:w="1474" w:type="dxa"/>
          </w:tcPr>
          <w:p>
            <w:pPr>
              <w:pStyle w:val="0"/>
              <w:jc w:val="center"/>
            </w:pPr>
            <w:r>
              <w:rPr>
                <w:sz w:val="20"/>
              </w:rPr>
              <w:t xml:space="preserve">Объем инвестиций, млн рублей</w:t>
            </w:r>
          </w:p>
        </w:tc>
        <w:tc>
          <w:tcPr>
            <w:tcW w:w="1474" w:type="dxa"/>
          </w:tcPr>
          <w:p>
            <w:pPr>
              <w:pStyle w:val="0"/>
              <w:jc w:val="center"/>
            </w:pPr>
            <w:r>
              <w:rPr>
                <w:sz w:val="20"/>
              </w:rPr>
              <w:t xml:space="preserve">Количество создаваемых рабочих мест, человек</w:t>
            </w:r>
          </w:p>
        </w:tc>
      </w:tr>
      <w:tr>
        <w:tc>
          <w:tcPr>
            <w:gridSpan w:val="5"/>
            <w:tcW w:w="10358" w:type="dxa"/>
          </w:tcPr>
          <w:p>
            <w:pPr>
              <w:pStyle w:val="0"/>
              <w:outlineLvl w:val="3"/>
              <w:jc w:val="center"/>
            </w:pPr>
            <w:r>
              <w:rPr>
                <w:sz w:val="20"/>
              </w:rPr>
              <w:t xml:space="preserve">Нефтедобыча</w:t>
            </w:r>
          </w:p>
        </w:tc>
      </w:tr>
      <w:tr>
        <w:tc>
          <w:tcPr>
            <w:tcW w:w="3499" w:type="dxa"/>
          </w:tcPr>
          <w:p>
            <w:pPr>
              <w:pStyle w:val="0"/>
            </w:pPr>
            <w:r>
              <w:rPr>
                <w:sz w:val="20"/>
              </w:rPr>
              <w:t xml:space="preserve">Развитие нефтедобывающей инфраструктуры в Уватском районе</w:t>
            </w:r>
          </w:p>
        </w:tc>
        <w:tc>
          <w:tcPr>
            <w:tcW w:w="1587" w:type="dxa"/>
          </w:tcPr>
          <w:p>
            <w:pPr>
              <w:pStyle w:val="0"/>
              <w:jc w:val="center"/>
            </w:pPr>
            <w:r>
              <w:rPr>
                <w:sz w:val="20"/>
              </w:rPr>
              <w:t xml:space="preserve">2004 - 2023</w:t>
            </w:r>
          </w:p>
        </w:tc>
        <w:tc>
          <w:tcPr>
            <w:tcW w:w="2324" w:type="dxa"/>
          </w:tcPr>
          <w:p>
            <w:pPr>
              <w:pStyle w:val="0"/>
              <w:jc w:val="center"/>
            </w:pPr>
            <w:r>
              <w:rPr>
                <w:sz w:val="20"/>
              </w:rPr>
              <w:t xml:space="preserve">ПАО "НК "Роснефть"</w:t>
            </w:r>
          </w:p>
        </w:tc>
        <w:tc>
          <w:tcPr>
            <w:tcW w:w="1474" w:type="dxa"/>
          </w:tcPr>
          <w:p>
            <w:pPr>
              <w:pStyle w:val="0"/>
              <w:jc w:val="center"/>
            </w:pPr>
            <w:r>
              <w:rPr>
                <w:sz w:val="20"/>
              </w:rPr>
              <w:t xml:space="preserve">860 000</w:t>
            </w:r>
          </w:p>
        </w:tc>
        <w:tc>
          <w:tcPr>
            <w:tcW w:w="1474" w:type="dxa"/>
          </w:tcPr>
          <w:p>
            <w:pPr>
              <w:pStyle w:val="0"/>
              <w:jc w:val="center"/>
            </w:pPr>
            <w:r>
              <w:rPr>
                <w:sz w:val="20"/>
              </w:rPr>
              <w:t xml:space="preserve">2 000</w:t>
            </w:r>
          </w:p>
        </w:tc>
      </w:tr>
      <w:tr>
        <w:tc>
          <w:tcPr>
            <w:tcW w:w="3499" w:type="dxa"/>
          </w:tcPr>
          <w:p>
            <w:pPr>
              <w:pStyle w:val="0"/>
            </w:pPr>
            <w:r>
              <w:rPr>
                <w:sz w:val="20"/>
              </w:rPr>
              <w:t xml:space="preserve">Вовлечение в разработку новых месторождений углеводородного сырья в Уватском районе</w:t>
            </w:r>
          </w:p>
        </w:tc>
        <w:tc>
          <w:tcPr>
            <w:tcW w:w="1587" w:type="dxa"/>
          </w:tcPr>
          <w:p>
            <w:pPr>
              <w:pStyle w:val="0"/>
              <w:jc w:val="center"/>
            </w:pPr>
            <w:r>
              <w:rPr>
                <w:sz w:val="20"/>
              </w:rPr>
              <w:t xml:space="preserve">В период</w:t>
            </w:r>
          </w:p>
          <w:p>
            <w:pPr>
              <w:pStyle w:val="0"/>
              <w:jc w:val="center"/>
            </w:pPr>
            <w:r>
              <w:rPr>
                <w:sz w:val="20"/>
              </w:rPr>
              <w:t xml:space="preserve">2014 - 2025</w:t>
            </w:r>
          </w:p>
        </w:tc>
        <w:tc>
          <w:tcPr>
            <w:tcW w:w="2324" w:type="dxa"/>
          </w:tcPr>
          <w:p>
            <w:pPr>
              <w:pStyle w:val="0"/>
              <w:jc w:val="center"/>
            </w:pPr>
            <w:r>
              <w:rPr>
                <w:sz w:val="20"/>
              </w:rPr>
              <w:t xml:space="preserve">ПАО "Сургутнефтегаз"</w:t>
            </w:r>
          </w:p>
        </w:tc>
        <w:tc>
          <w:tcPr>
            <w:tcW w:w="1474" w:type="dxa"/>
          </w:tcPr>
          <w:p>
            <w:pPr>
              <w:pStyle w:val="0"/>
              <w:jc w:val="center"/>
            </w:pPr>
            <w:r>
              <w:rPr>
                <w:sz w:val="20"/>
              </w:rPr>
              <w:t xml:space="preserve">62 139</w:t>
            </w:r>
          </w:p>
        </w:tc>
        <w:tc>
          <w:tcPr>
            <w:tcW w:w="1474" w:type="dxa"/>
          </w:tcPr>
          <w:p>
            <w:pPr>
              <w:pStyle w:val="0"/>
              <w:jc w:val="center"/>
            </w:pPr>
            <w:r>
              <w:rPr>
                <w:sz w:val="20"/>
              </w:rPr>
              <w:t xml:space="preserve">600</w:t>
            </w:r>
          </w:p>
        </w:tc>
      </w:tr>
      <w:tr>
        <w:tc>
          <w:tcPr>
            <w:gridSpan w:val="5"/>
            <w:tcW w:w="10358" w:type="dxa"/>
          </w:tcPr>
          <w:p>
            <w:pPr>
              <w:pStyle w:val="0"/>
              <w:outlineLvl w:val="3"/>
              <w:jc w:val="center"/>
            </w:pPr>
            <w:r>
              <w:rPr>
                <w:sz w:val="20"/>
              </w:rPr>
              <w:t xml:space="preserve">Нефтегазохимия</w:t>
            </w:r>
          </w:p>
        </w:tc>
      </w:tr>
      <w:tr>
        <w:tc>
          <w:tcPr>
            <w:tcW w:w="3499" w:type="dxa"/>
          </w:tcPr>
          <w:p>
            <w:pPr>
              <w:pStyle w:val="0"/>
            </w:pPr>
            <w:r>
              <w:rPr>
                <w:sz w:val="20"/>
              </w:rPr>
              <w:t xml:space="preserve">Строительство Западно-Сибирского комплекса глубокой переработки углеводородного сырья в полиолефины в городе Тобольске</w:t>
            </w:r>
          </w:p>
        </w:tc>
        <w:tc>
          <w:tcPr>
            <w:tcW w:w="1587" w:type="dxa"/>
          </w:tcPr>
          <w:p>
            <w:pPr>
              <w:pStyle w:val="0"/>
              <w:jc w:val="center"/>
            </w:pPr>
            <w:r>
              <w:rPr>
                <w:sz w:val="20"/>
              </w:rPr>
              <w:t xml:space="preserve">2013 - 2025 (ввод в эксплуатацию - 2020)</w:t>
            </w:r>
          </w:p>
        </w:tc>
        <w:tc>
          <w:tcPr>
            <w:tcW w:w="2324" w:type="dxa"/>
          </w:tcPr>
          <w:p>
            <w:pPr>
              <w:pStyle w:val="0"/>
              <w:jc w:val="center"/>
            </w:pPr>
            <w:r>
              <w:rPr>
                <w:sz w:val="20"/>
              </w:rPr>
              <w:t xml:space="preserve">ООО "Западно-Сибирский нефтехимический комбинат"</w:t>
            </w:r>
          </w:p>
        </w:tc>
        <w:tc>
          <w:tcPr>
            <w:tcW w:w="1474" w:type="dxa"/>
          </w:tcPr>
          <w:p>
            <w:pPr>
              <w:pStyle w:val="0"/>
              <w:jc w:val="center"/>
            </w:pPr>
            <w:r>
              <w:rPr>
                <w:sz w:val="20"/>
              </w:rPr>
              <w:t xml:space="preserve">406 108</w:t>
            </w:r>
          </w:p>
        </w:tc>
        <w:tc>
          <w:tcPr>
            <w:tcW w:w="1474" w:type="dxa"/>
          </w:tcPr>
          <w:p>
            <w:pPr>
              <w:pStyle w:val="0"/>
              <w:jc w:val="center"/>
            </w:pPr>
            <w:r>
              <w:rPr>
                <w:sz w:val="20"/>
              </w:rPr>
              <w:t xml:space="preserve">800</w:t>
            </w:r>
          </w:p>
        </w:tc>
      </w:tr>
      <w:tr>
        <w:tc>
          <w:tcPr>
            <w:tcW w:w="3499" w:type="dxa"/>
          </w:tcPr>
          <w:p>
            <w:pPr>
              <w:pStyle w:val="0"/>
            </w:pPr>
            <w:r>
              <w:rPr>
                <w:sz w:val="20"/>
              </w:rPr>
              <w:t xml:space="preserve">Организация производства малеинового ангидрида в городе Тобольске</w:t>
            </w:r>
          </w:p>
        </w:tc>
        <w:tc>
          <w:tcPr>
            <w:tcW w:w="1587" w:type="dxa"/>
          </w:tcPr>
          <w:p>
            <w:pPr>
              <w:pStyle w:val="0"/>
              <w:jc w:val="center"/>
            </w:pPr>
            <w:r>
              <w:rPr>
                <w:sz w:val="20"/>
              </w:rPr>
              <w:t xml:space="preserve">2018 - 2021</w:t>
            </w:r>
          </w:p>
        </w:tc>
        <w:tc>
          <w:tcPr>
            <w:tcW w:w="2324" w:type="dxa"/>
          </w:tcPr>
          <w:p>
            <w:pPr>
              <w:pStyle w:val="0"/>
              <w:jc w:val="center"/>
            </w:pPr>
            <w:r>
              <w:rPr>
                <w:sz w:val="20"/>
              </w:rPr>
              <w:t xml:space="preserve">ПАО "СИБУР Холдинг"</w:t>
            </w:r>
          </w:p>
        </w:tc>
        <w:tc>
          <w:tcPr>
            <w:tcW w:w="1474" w:type="dxa"/>
          </w:tcPr>
          <w:p>
            <w:pPr>
              <w:pStyle w:val="0"/>
              <w:jc w:val="center"/>
            </w:pPr>
            <w:r>
              <w:rPr>
                <w:sz w:val="20"/>
              </w:rPr>
              <w:t xml:space="preserve">15 800</w:t>
            </w:r>
          </w:p>
        </w:tc>
        <w:tc>
          <w:tcPr>
            <w:tcW w:w="1474" w:type="dxa"/>
          </w:tcPr>
          <w:p>
            <w:pPr>
              <w:pStyle w:val="0"/>
              <w:jc w:val="center"/>
            </w:pPr>
            <w:r>
              <w:rPr>
                <w:sz w:val="20"/>
              </w:rPr>
              <w:t xml:space="preserve">н/д</w:t>
            </w:r>
          </w:p>
        </w:tc>
      </w:tr>
      <w:tr>
        <w:tc>
          <w:tcPr>
            <w:gridSpan w:val="5"/>
            <w:tcW w:w="10358" w:type="dxa"/>
          </w:tcPr>
          <w:p>
            <w:pPr>
              <w:pStyle w:val="0"/>
              <w:outlineLvl w:val="3"/>
              <w:jc w:val="center"/>
            </w:pPr>
            <w:r>
              <w:rPr>
                <w:sz w:val="20"/>
              </w:rPr>
              <w:t xml:space="preserve">Производство резиновых и пластмассовых изделий (переработка полимеров)</w:t>
            </w:r>
          </w:p>
        </w:tc>
      </w:tr>
      <w:tr>
        <w:tc>
          <w:tcPr>
            <w:tcW w:w="3499" w:type="dxa"/>
          </w:tcPr>
          <w:p>
            <w:pPr>
              <w:pStyle w:val="0"/>
            </w:pPr>
            <w:r>
              <w:rPr>
                <w:sz w:val="20"/>
              </w:rPr>
              <w:t xml:space="preserve">Строительство завода по производству пленки в городе Тобольске</w:t>
            </w:r>
          </w:p>
        </w:tc>
        <w:tc>
          <w:tcPr>
            <w:tcW w:w="1587" w:type="dxa"/>
          </w:tcPr>
          <w:p>
            <w:pPr>
              <w:pStyle w:val="0"/>
              <w:jc w:val="center"/>
            </w:pPr>
            <w:r>
              <w:rPr>
                <w:sz w:val="20"/>
              </w:rPr>
              <w:t xml:space="preserve">2018 - 2020</w:t>
            </w:r>
          </w:p>
        </w:tc>
        <w:tc>
          <w:tcPr>
            <w:tcW w:w="2324" w:type="dxa"/>
          </w:tcPr>
          <w:p>
            <w:pPr>
              <w:pStyle w:val="0"/>
              <w:jc w:val="center"/>
            </w:pPr>
            <w:r>
              <w:rPr>
                <w:sz w:val="20"/>
              </w:rPr>
              <w:t xml:space="preserve">ООО "Камский завод полимерных материалов"</w:t>
            </w:r>
          </w:p>
        </w:tc>
        <w:tc>
          <w:tcPr>
            <w:tcW w:w="1474" w:type="dxa"/>
          </w:tcPr>
          <w:p>
            <w:pPr>
              <w:pStyle w:val="0"/>
              <w:jc w:val="center"/>
            </w:pPr>
            <w:r>
              <w:rPr>
                <w:sz w:val="20"/>
              </w:rPr>
              <w:t xml:space="preserve">700</w:t>
            </w:r>
          </w:p>
        </w:tc>
        <w:tc>
          <w:tcPr>
            <w:tcW w:w="1474" w:type="dxa"/>
          </w:tcPr>
          <w:p>
            <w:pPr>
              <w:pStyle w:val="0"/>
              <w:jc w:val="center"/>
            </w:pPr>
            <w:r>
              <w:rPr>
                <w:sz w:val="20"/>
              </w:rPr>
              <w:t xml:space="preserve">50</w:t>
            </w:r>
          </w:p>
        </w:tc>
      </w:tr>
      <w:tr>
        <w:tc>
          <w:tcPr>
            <w:gridSpan w:val="5"/>
            <w:tcW w:w="10358" w:type="dxa"/>
          </w:tcPr>
          <w:p>
            <w:pPr>
              <w:pStyle w:val="0"/>
              <w:outlineLvl w:val="3"/>
              <w:jc w:val="center"/>
            </w:pPr>
            <w:r>
              <w:rPr>
                <w:sz w:val="20"/>
              </w:rPr>
              <w:t xml:space="preserve">Машиностроение и металлообработка</w:t>
            </w:r>
          </w:p>
        </w:tc>
      </w:tr>
      <w:tr>
        <w:tc>
          <w:tcPr>
            <w:tcW w:w="3499" w:type="dxa"/>
          </w:tcPr>
          <w:p>
            <w:pPr>
              <w:pStyle w:val="0"/>
            </w:pPr>
            <w:r>
              <w:rPr>
                <w:sz w:val="20"/>
              </w:rPr>
              <w:t xml:space="preserve">Строительство технического центра по производству и сервису газовых электростанций в Тюменском районе</w:t>
            </w:r>
          </w:p>
        </w:tc>
        <w:tc>
          <w:tcPr>
            <w:tcW w:w="1587" w:type="dxa"/>
          </w:tcPr>
          <w:p>
            <w:pPr>
              <w:pStyle w:val="0"/>
              <w:jc w:val="center"/>
            </w:pPr>
            <w:r>
              <w:rPr>
                <w:sz w:val="20"/>
              </w:rPr>
              <w:t xml:space="preserve">2017 - 2019</w:t>
            </w:r>
          </w:p>
        </w:tc>
        <w:tc>
          <w:tcPr>
            <w:tcW w:w="2324" w:type="dxa"/>
          </w:tcPr>
          <w:p>
            <w:pPr>
              <w:pStyle w:val="0"/>
              <w:jc w:val="center"/>
            </w:pPr>
            <w:r>
              <w:rPr>
                <w:sz w:val="20"/>
              </w:rPr>
              <w:t xml:space="preserve">ООО "Энерготехсервис"</w:t>
            </w:r>
          </w:p>
        </w:tc>
        <w:tc>
          <w:tcPr>
            <w:tcW w:w="1474" w:type="dxa"/>
          </w:tcPr>
          <w:p>
            <w:pPr>
              <w:pStyle w:val="0"/>
              <w:jc w:val="center"/>
            </w:pPr>
            <w:r>
              <w:rPr>
                <w:sz w:val="20"/>
              </w:rPr>
              <w:t xml:space="preserve">1 450</w:t>
            </w:r>
          </w:p>
        </w:tc>
        <w:tc>
          <w:tcPr>
            <w:tcW w:w="1474" w:type="dxa"/>
          </w:tcPr>
          <w:p>
            <w:pPr>
              <w:pStyle w:val="0"/>
              <w:jc w:val="center"/>
            </w:pPr>
            <w:r>
              <w:rPr>
                <w:sz w:val="20"/>
              </w:rPr>
              <w:t xml:space="preserve">60</w:t>
            </w:r>
          </w:p>
        </w:tc>
      </w:tr>
      <w:tr>
        <w:tc>
          <w:tcPr>
            <w:tcW w:w="3499" w:type="dxa"/>
          </w:tcPr>
          <w:p>
            <w:pPr>
              <w:pStyle w:val="0"/>
            </w:pPr>
            <w:r>
              <w:rPr>
                <w:sz w:val="20"/>
              </w:rPr>
              <w:t xml:space="preserve">Строительство завода по производству ферросплавов в городе Тюмени</w:t>
            </w:r>
          </w:p>
        </w:tc>
        <w:tc>
          <w:tcPr>
            <w:tcW w:w="1587" w:type="dxa"/>
          </w:tcPr>
          <w:p>
            <w:pPr>
              <w:pStyle w:val="0"/>
              <w:jc w:val="center"/>
            </w:pPr>
            <w:r>
              <w:rPr>
                <w:sz w:val="20"/>
              </w:rPr>
              <w:t xml:space="preserve">2019 - 2021</w:t>
            </w:r>
          </w:p>
        </w:tc>
        <w:tc>
          <w:tcPr>
            <w:tcW w:w="2324" w:type="dxa"/>
          </w:tcPr>
          <w:p>
            <w:pPr>
              <w:pStyle w:val="0"/>
              <w:jc w:val="center"/>
            </w:pPr>
            <w:r>
              <w:rPr>
                <w:sz w:val="20"/>
              </w:rPr>
              <w:t xml:space="preserve">ООО "Тюменский завод ферросплавов"</w:t>
            </w:r>
          </w:p>
        </w:tc>
        <w:tc>
          <w:tcPr>
            <w:tcW w:w="1474" w:type="dxa"/>
          </w:tcPr>
          <w:p>
            <w:pPr>
              <w:pStyle w:val="0"/>
              <w:jc w:val="center"/>
            </w:pPr>
            <w:r>
              <w:rPr>
                <w:sz w:val="20"/>
              </w:rPr>
              <w:t xml:space="preserve">1 250</w:t>
            </w:r>
          </w:p>
        </w:tc>
        <w:tc>
          <w:tcPr>
            <w:tcW w:w="1474" w:type="dxa"/>
          </w:tcPr>
          <w:p>
            <w:pPr>
              <w:pStyle w:val="0"/>
              <w:jc w:val="center"/>
            </w:pPr>
            <w:r>
              <w:rPr>
                <w:sz w:val="20"/>
              </w:rPr>
              <w:t xml:space="preserve">300</w:t>
            </w:r>
          </w:p>
        </w:tc>
      </w:tr>
      <w:tr>
        <w:tc>
          <w:tcPr>
            <w:tcW w:w="3499" w:type="dxa"/>
          </w:tcPr>
          <w:p>
            <w:pPr>
              <w:pStyle w:val="0"/>
            </w:pPr>
            <w:r>
              <w:rPr>
                <w:sz w:val="20"/>
              </w:rPr>
              <w:t xml:space="preserve">Модернизация технологической системы металлообработки</w:t>
            </w:r>
          </w:p>
        </w:tc>
        <w:tc>
          <w:tcPr>
            <w:tcW w:w="1587" w:type="dxa"/>
          </w:tcPr>
          <w:p>
            <w:pPr>
              <w:pStyle w:val="0"/>
              <w:jc w:val="center"/>
            </w:pPr>
            <w:r>
              <w:rPr>
                <w:sz w:val="20"/>
              </w:rPr>
              <w:t xml:space="preserve">2016 - 2022</w:t>
            </w:r>
          </w:p>
        </w:tc>
        <w:tc>
          <w:tcPr>
            <w:tcW w:w="2324" w:type="dxa"/>
          </w:tcPr>
          <w:p>
            <w:pPr>
              <w:pStyle w:val="0"/>
              <w:jc w:val="center"/>
            </w:pPr>
            <w:r>
              <w:rPr>
                <w:sz w:val="20"/>
              </w:rPr>
              <w:t xml:space="preserve">АО "Завод Тюменьремдормаш"</w:t>
            </w:r>
          </w:p>
        </w:tc>
        <w:tc>
          <w:tcPr>
            <w:tcW w:w="1474" w:type="dxa"/>
          </w:tcPr>
          <w:p>
            <w:pPr>
              <w:pStyle w:val="0"/>
              <w:jc w:val="center"/>
            </w:pPr>
            <w:r>
              <w:rPr>
                <w:sz w:val="20"/>
              </w:rPr>
              <w:t xml:space="preserve">617</w:t>
            </w:r>
          </w:p>
        </w:tc>
        <w:tc>
          <w:tcPr>
            <w:tcW w:w="1474" w:type="dxa"/>
          </w:tcPr>
          <w:p>
            <w:pPr>
              <w:pStyle w:val="0"/>
              <w:jc w:val="center"/>
            </w:pPr>
            <w:r>
              <w:rPr>
                <w:sz w:val="20"/>
              </w:rPr>
              <w:t xml:space="preserve">40</w:t>
            </w:r>
          </w:p>
        </w:tc>
      </w:tr>
      <w:tr>
        <w:tc>
          <w:tcPr>
            <w:tcW w:w="3499" w:type="dxa"/>
          </w:tcPr>
          <w:p>
            <w:pPr>
              <w:pStyle w:val="0"/>
            </w:pPr>
            <w:r>
              <w:rPr>
                <w:sz w:val="20"/>
              </w:rPr>
              <w:t xml:space="preserve">Создание производства по выпуску нефтегазопромыслового оборудования, водонефтегазонабухающих пакеров в Тюменском районе</w:t>
            </w:r>
          </w:p>
        </w:tc>
        <w:tc>
          <w:tcPr>
            <w:tcW w:w="1587" w:type="dxa"/>
          </w:tcPr>
          <w:p>
            <w:pPr>
              <w:pStyle w:val="0"/>
              <w:jc w:val="center"/>
            </w:pPr>
            <w:r>
              <w:rPr>
                <w:sz w:val="20"/>
              </w:rPr>
              <w:t xml:space="preserve">2017 - 2019</w:t>
            </w:r>
          </w:p>
        </w:tc>
        <w:tc>
          <w:tcPr>
            <w:tcW w:w="2324" w:type="dxa"/>
          </w:tcPr>
          <w:p>
            <w:pPr>
              <w:pStyle w:val="0"/>
              <w:jc w:val="center"/>
            </w:pPr>
            <w:r>
              <w:rPr>
                <w:sz w:val="20"/>
              </w:rPr>
              <w:t xml:space="preserve">ООО НПО "СибБурМаш"</w:t>
            </w:r>
          </w:p>
        </w:tc>
        <w:tc>
          <w:tcPr>
            <w:tcW w:w="1474" w:type="dxa"/>
          </w:tcPr>
          <w:p>
            <w:pPr>
              <w:pStyle w:val="0"/>
              <w:jc w:val="center"/>
            </w:pPr>
            <w:r>
              <w:rPr>
                <w:sz w:val="20"/>
              </w:rPr>
              <w:t xml:space="preserve">110</w:t>
            </w:r>
          </w:p>
        </w:tc>
        <w:tc>
          <w:tcPr>
            <w:tcW w:w="1474" w:type="dxa"/>
          </w:tcPr>
          <w:p>
            <w:pPr>
              <w:pStyle w:val="0"/>
              <w:jc w:val="center"/>
            </w:pPr>
            <w:r>
              <w:rPr>
                <w:sz w:val="20"/>
              </w:rPr>
              <w:t xml:space="preserve">50</w:t>
            </w:r>
          </w:p>
        </w:tc>
      </w:tr>
      <w:tr>
        <w:tc>
          <w:tcPr>
            <w:tcW w:w="3499" w:type="dxa"/>
          </w:tcPr>
          <w:p>
            <w:pPr>
              <w:pStyle w:val="0"/>
            </w:pPr>
            <w:r>
              <w:rPr>
                <w:sz w:val="20"/>
              </w:rPr>
              <w:t xml:space="preserve">Строительство завода по изготовлению шкафов АСУ ТП и весоизмерительных систем для нужд нефтегазового комплекса компанией "Тюмень-прибор" в Тюменском районе</w:t>
            </w:r>
          </w:p>
        </w:tc>
        <w:tc>
          <w:tcPr>
            <w:tcW w:w="1587" w:type="dxa"/>
          </w:tcPr>
          <w:p>
            <w:pPr>
              <w:pStyle w:val="0"/>
              <w:jc w:val="center"/>
            </w:pPr>
            <w:r>
              <w:rPr>
                <w:sz w:val="20"/>
              </w:rPr>
              <w:t xml:space="preserve">2017 - 2019</w:t>
            </w:r>
          </w:p>
        </w:tc>
        <w:tc>
          <w:tcPr>
            <w:tcW w:w="2324" w:type="dxa"/>
          </w:tcPr>
          <w:p>
            <w:pPr>
              <w:pStyle w:val="0"/>
              <w:jc w:val="center"/>
            </w:pPr>
            <w:r>
              <w:rPr>
                <w:sz w:val="20"/>
              </w:rPr>
              <w:t xml:space="preserve">ООО "Тюмень Прибор"</w:t>
            </w:r>
          </w:p>
        </w:tc>
        <w:tc>
          <w:tcPr>
            <w:tcW w:w="1474" w:type="dxa"/>
          </w:tcPr>
          <w:p>
            <w:pPr>
              <w:pStyle w:val="0"/>
              <w:jc w:val="center"/>
            </w:pPr>
            <w:r>
              <w:rPr>
                <w:sz w:val="20"/>
              </w:rPr>
              <w:t xml:space="preserve">110</w:t>
            </w:r>
          </w:p>
        </w:tc>
        <w:tc>
          <w:tcPr>
            <w:tcW w:w="1474" w:type="dxa"/>
          </w:tcPr>
          <w:p>
            <w:pPr>
              <w:pStyle w:val="0"/>
              <w:jc w:val="center"/>
            </w:pPr>
            <w:r>
              <w:rPr>
                <w:sz w:val="20"/>
              </w:rPr>
              <w:t xml:space="preserve">55</w:t>
            </w:r>
          </w:p>
        </w:tc>
      </w:tr>
      <w:tr>
        <w:tc>
          <w:tcPr>
            <w:gridSpan w:val="5"/>
            <w:tcW w:w="10358" w:type="dxa"/>
          </w:tcPr>
          <w:p>
            <w:pPr>
              <w:pStyle w:val="0"/>
              <w:outlineLvl w:val="3"/>
              <w:jc w:val="center"/>
            </w:pPr>
            <w:r>
              <w:rPr>
                <w:sz w:val="20"/>
              </w:rPr>
              <w:t xml:space="preserve">Деревоперерабатывающая промышленность</w:t>
            </w:r>
          </w:p>
        </w:tc>
      </w:tr>
      <w:tr>
        <w:tc>
          <w:tcPr>
            <w:tcW w:w="3499" w:type="dxa"/>
          </w:tcPr>
          <w:p>
            <w:pPr>
              <w:pStyle w:val="0"/>
            </w:pPr>
            <w:r>
              <w:rPr>
                <w:sz w:val="20"/>
              </w:rPr>
              <w:t xml:space="preserve">Строительство новых цехов, складских площадей, приобретение лесовозной, лесозаготовительной техники, оборудования в Тюменском районе</w:t>
            </w:r>
          </w:p>
        </w:tc>
        <w:tc>
          <w:tcPr>
            <w:tcW w:w="1587" w:type="dxa"/>
          </w:tcPr>
          <w:p>
            <w:pPr>
              <w:pStyle w:val="0"/>
              <w:jc w:val="center"/>
            </w:pPr>
            <w:r>
              <w:rPr>
                <w:sz w:val="20"/>
              </w:rPr>
              <w:t xml:space="preserve">2019 - 2023</w:t>
            </w:r>
          </w:p>
        </w:tc>
        <w:tc>
          <w:tcPr>
            <w:tcW w:w="2324" w:type="dxa"/>
          </w:tcPr>
          <w:p>
            <w:pPr>
              <w:pStyle w:val="0"/>
              <w:jc w:val="center"/>
            </w:pPr>
            <w:r>
              <w:rPr>
                <w:sz w:val="20"/>
              </w:rPr>
              <w:t xml:space="preserve">ООО "Арго-ЛЕС"</w:t>
            </w:r>
          </w:p>
        </w:tc>
        <w:tc>
          <w:tcPr>
            <w:tcW w:w="1474" w:type="dxa"/>
          </w:tcPr>
          <w:p>
            <w:pPr>
              <w:pStyle w:val="0"/>
              <w:jc w:val="center"/>
            </w:pPr>
            <w:r>
              <w:rPr>
                <w:sz w:val="20"/>
              </w:rPr>
              <w:t xml:space="preserve">443</w:t>
            </w:r>
          </w:p>
        </w:tc>
        <w:tc>
          <w:tcPr>
            <w:tcW w:w="1474" w:type="dxa"/>
          </w:tcPr>
          <w:p>
            <w:pPr>
              <w:pStyle w:val="0"/>
              <w:jc w:val="center"/>
            </w:pPr>
            <w:r>
              <w:rPr>
                <w:sz w:val="20"/>
              </w:rPr>
              <w:t xml:space="preserve">100</w:t>
            </w:r>
          </w:p>
        </w:tc>
      </w:tr>
      <w:tr>
        <w:tc>
          <w:tcPr>
            <w:tcW w:w="3499" w:type="dxa"/>
          </w:tcPr>
          <w:p>
            <w:pPr>
              <w:pStyle w:val="0"/>
            </w:pPr>
            <w:r>
              <w:rPr>
                <w:sz w:val="20"/>
              </w:rPr>
              <w:t xml:space="preserve">Строительство производственного лесохозяйственного предприятия в Исетском районе</w:t>
            </w:r>
          </w:p>
        </w:tc>
        <w:tc>
          <w:tcPr>
            <w:tcW w:w="1587" w:type="dxa"/>
          </w:tcPr>
          <w:p>
            <w:pPr>
              <w:pStyle w:val="0"/>
              <w:jc w:val="center"/>
            </w:pPr>
            <w:r>
              <w:rPr>
                <w:sz w:val="20"/>
              </w:rPr>
              <w:t xml:space="preserve">2016 - 2021</w:t>
            </w:r>
          </w:p>
        </w:tc>
        <w:tc>
          <w:tcPr>
            <w:tcW w:w="2324" w:type="dxa"/>
          </w:tcPr>
          <w:p>
            <w:pPr>
              <w:pStyle w:val="0"/>
              <w:jc w:val="center"/>
            </w:pPr>
            <w:r>
              <w:rPr>
                <w:sz w:val="20"/>
              </w:rPr>
              <w:t xml:space="preserve">ООО "ТехноМодель"</w:t>
            </w:r>
          </w:p>
        </w:tc>
        <w:tc>
          <w:tcPr>
            <w:tcW w:w="1474" w:type="dxa"/>
          </w:tcPr>
          <w:p>
            <w:pPr>
              <w:pStyle w:val="0"/>
              <w:jc w:val="center"/>
            </w:pPr>
            <w:r>
              <w:rPr>
                <w:sz w:val="20"/>
              </w:rPr>
              <w:t xml:space="preserve">330</w:t>
            </w:r>
          </w:p>
        </w:tc>
        <w:tc>
          <w:tcPr>
            <w:tcW w:w="1474" w:type="dxa"/>
          </w:tcPr>
          <w:p>
            <w:pPr>
              <w:pStyle w:val="0"/>
              <w:jc w:val="center"/>
            </w:pPr>
            <w:r>
              <w:rPr>
                <w:sz w:val="20"/>
              </w:rPr>
              <w:t xml:space="preserve">260</w:t>
            </w:r>
          </w:p>
        </w:tc>
      </w:tr>
      <w:tr>
        <w:tc>
          <w:tcPr>
            <w:tcW w:w="3499" w:type="dxa"/>
          </w:tcPr>
          <w:p>
            <w:pPr>
              <w:pStyle w:val="0"/>
            </w:pPr>
            <w:r>
              <w:rPr>
                <w:sz w:val="20"/>
              </w:rPr>
              <w:t xml:space="preserve">Организация производства по заготовке и переработке древесины в Вагайском районе</w:t>
            </w:r>
          </w:p>
        </w:tc>
        <w:tc>
          <w:tcPr>
            <w:tcW w:w="1587" w:type="dxa"/>
          </w:tcPr>
          <w:p>
            <w:pPr>
              <w:pStyle w:val="0"/>
              <w:jc w:val="center"/>
            </w:pPr>
            <w:r>
              <w:rPr>
                <w:sz w:val="20"/>
              </w:rPr>
              <w:t xml:space="preserve">2016 - 2022</w:t>
            </w:r>
          </w:p>
        </w:tc>
        <w:tc>
          <w:tcPr>
            <w:tcW w:w="2324" w:type="dxa"/>
          </w:tcPr>
          <w:p>
            <w:pPr>
              <w:pStyle w:val="0"/>
              <w:jc w:val="center"/>
            </w:pPr>
            <w:r>
              <w:rPr>
                <w:sz w:val="20"/>
              </w:rPr>
              <w:t xml:space="preserve">ООО</w:t>
            </w:r>
          </w:p>
          <w:p>
            <w:pPr>
              <w:pStyle w:val="0"/>
              <w:jc w:val="center"/>
            </w:pPr>
            <w:r>
              <w:rPr>
                <w:sz w:val="20"/>
              </w:rPr>
              <w:t xml:space="preserve">"Строительно-монтажное</w:t>
            </w:r>
          </w:p>
          <w:p>
            <w:pPr>
              <w:pStyle w:val="0"/>
              <w:jc w:val="center"/>
            </w:pPr>
            <w:r>
              <w:rPr>
                <w:sz w:val="20"/>
              </w:rPr>
              <w:t xml:space="preserve">управление 9"</w:t>
            </w:r>
          </w:p>
        </w:tc>
        <w:tc>
          <w:tcPr>
            <w:tcW w:w="1474" w:type="dxa"/>
          </w:tcPr>
          <w:p>
            <w:pPr>
              <w:pStyle w:val="0"/>
              <w:jc w:val="center"/>
            </w:pPr>
            <w:r>
              <w:rPr>
                <w:sz w:val="20"/>
              </w:rPr>
              <w:t xml:space="preserve">234</w:t>
            </w:r>
          </w:p>
        </w:tc>
        <w:tc>
          <w:tcPr>
            <w:tcW w:w="1474" w:type="dxa"/>
          </w:tcPr>
          <w:p>
            <w:pPr>
              <w:pStyle w:val="0"/>
              <w:jc w:val="center"/>
            </w:pPr>
            <w:r>
              <w:rPr>
                <w:sz w:val="20"/>
              </w:rPr>
              <w:t xml:space="preserve">35</w:t>
            </w:r>
          </w:p>
        </w:tc>
      </w:tr>
      <w:tr>
        <w:tc>
          <w:tcPr>
            <w:tcW w:w="3499" w:type="dxa"/>
          </w:tcPr>
          <w:p>
            <w:pPr>
              <w:pStyle w:val="0"/>
            </w:pPr>
            <w:r>
              <w:rPr>
                <w:sz w:val="20"/>
              </w:rPr>
              <w:t xml:space="preserve">Создание деревообрабатывающего производства в Уватском районе</w:t>
            </w:r>
          </w:p>
        </w:tc>
        <w:tc>
          <w:tcPr>
            <w:tcW w:w="1587" w:type="dxa"/>
          </w:tcPr>
          <w:p>
            <w:pPr>
              <w:pStyle w:val="0"/>
              <w:jc w:val="center"/>
            </w:pPr>
            <w:r>
              <w:rPr>
                <w:sz w:val="20"/>
              </w:rPr>
              <w:t xml:space="preserve">2017 - 2020</w:t>
            </w:r>
          </w:p>
        </w:tc>
        <w:tc>
          <w:tcPr>
            <w:tcW w:w="2324" w:type="dxa"/>
          </w:tcPr>
          <w:p>
            <w:pPr>
              <w:pStyle w:val="0"/>
              <w:jc w:val="center"/>
            </w:pPr>
            <w:r>
              <w:rPr>
                <w:sz w:val="20"/>
              </w:rPr>
              <w:t xml:space="preserve">ООО "Ровиал"</w:t>
            </w:r>
          </w:p>
        </w:tc>
        <w:tc>
          <w:tcPr>
            <w:tcW w:w="1474" w:type="dxa"/>
          </w:tcPr>
          <w:p>
            <w:pPr>
              <w:pStyle w:val="0"/>
              <w:jc w:val="center"/>
            </w:pPr>
            <w:r>
              <w:rPr>
                <w:sz w:val="20"/>
              </w:rPr>
              <w:t xml:space="preserve">232,7</w:t>
            </w:r>
          </w:p>
        </w:tc>
        <w:tc>
          <w:tcPr>
            <w:tcW w:w="1474" w:type="dxa"/>
          </w:tcPr>
          <w:p>
            <w:pPr>
              <w:pStyle w:val="0"/>
              <w:jc w:val="center"/>
            </w:pPr>
            <w:r>
              <w:rPr>
                <w:sz w:val="20"/>
              </w:rPr>
              <w:t xml:space="preserve">60</w:t>
            </w:r>
          </w:p>
        </w:tc>
      </w:tr>
      <w:tr>
        <w:tc>
          <w:tcPr>
            <w:gridSpan w:val="5"/>
            <w:tcW w:w="10358" w:type="dxa"/>
          </w:tcPr>
          <w:p>
            <w:pPr>
              <w:pStyle w:val="0"/>
              <w:outlineLvl w:val="3"/>
              <w:jc w:val="center"/>
            </w:pPr>
            <w:r>
              <w:rPr>
                <w:sz w:val="20"/>
              </w:rPr>
              <w:t xml:space="preserve">Стройиндустрия</w:t>
            </w:r>
          </w:p>
        </w:tc>
      </w:tr>
      <w:tr>
        <w:tc>
          <w:tcPr>
            <w:tcW w:w="3499" w:type="dxa"/>
          </w:tcPr>
          <w:p>
            <w:pPr>
              <w:pStyle w:val="0"/>
            </w:pPr>
            <w:r>
              <w:rPr>
                <w:sz w:val="20"/>
              </w:rPr>
              <w:t xml:space="preserve">Создание производства тротуарной плитки и элементов благоустройства в городе Ялуторовске</w:t>
            </w:r>
          </w:p>
        </w:tc>
        <w:tc>
          <w:tcPr>
            <w:tcW w:w="1587" w:type="dxa"/>
          </w:tcPr>
          <w:p>
            <w:pPr>
              <w:pStyle w:val="0"/>
              <w:jc w:val="center"/>
            </w:pPr>
            <w:r>
              <w:rPr>
                <w:sz w:val="20"/>
              </w:rPr>
              <w:t xml:space="preserve">2019 - 2021</w:t>
            </w:r>
          </w:p>
        </w:tc>
        <w:tc>
          <w:tcPr>
            <w:tcW w:w="2324" w:type="dxa"/>
          </w:tcPr>
          <w:p>
            <w:pPr>
              <w:pStyle w:val="0"/>
              <w:jc w:val="center"/>
            </w:pPr>
            <w:r>
              <w:rPr>
                <w:sz w:val="20"/>
              </w:rPr>
              <w:t xml:space="preserve">ООО "Выбор КСМ"</w:t>
            </w:r>
          </w:p>
        </w:tc>
        <w:tc>
          <w:tcPr>
            <w:tcW w:w="1474" w:type="dxa"/>
          </w:tcPr>
          <w:p>
            <w:pPr>
              <w:pStyle w:val="0"/>
              <w:jc w:val="center"/>
            </w:pPr>
            <w:r>
              <w:rPr>
                <w:sz w:val="20"/>
              </w:rPr>
              <w:t xml:space="preserve">596</w:t>
            </w:r>
          </w:p>
        </w:tc>
        <w:tc>
          <w:tcPr>
            <w:tcW w:w="1474" w:type="dxa"/>
          </w:tcPr>
          <w:p>
            <w:pPr>
              <w:pStyle w:val="0"/>
              <w:jc w:val="center"/>
            </w:pPr>
            <w:r>
              <w:rPr>
                <w:sz w:val="20"/>
              </w:rPr>
              <w:t xml:space="preserve">50</w:t>
            </w:r>
          </w:p>
        </w:tc>
      </w:tr>
      <w:tr>
        <w:tc>
          <w:tcPr>
            <w:tcW w:w="3499" w:type="dxa"/>
          </w:tcPr>
          <w:p>
            <w:pPr>
              <w:pStyle w:val="0"/>
            </w:pPr>
            <w:r>
              <w:rPr>
                <w:sz w:val="20"/>
              </w:rPr>
              <w:t xml:space="preserve">Модернизация завода по производству минераловатного утеплителя в городе Тюмени</w:t>
            </w:r>
          </w:p>
        </w:tc>
        <w:tc>
          <w:tcPr>
            <w:tcW w:w="1587" w:type="dxa"/>
          </w:tcPr>
          <w:p>
            <w:pPr>
              <w:pStyle w:val="0"/>
              <w:jc w:val="center"/>
            </w:pPr>
            <w:r>
              <w:rPr>
                <w:sz w:val="20"/>
              </w:rPr>
              <w:t xml:space="preserve">2015 - 2020</w:t>
            </w:r>
          </w:p>
        </w:tc>
        <w:tc>
          <w:tcPr>
            <w:tcW w:w="2324" w:type="dxa"/>
          </w:tcPr>
          <w:p>
            <w:pPr>
              <w:pStyle w:val="0"/>
              <w:jc w:val="center"/>
            </w:pPr>
            <w:r>
              <w:rPr>
                <w:sz w:val="20"/>
              </w:rPr>
              <w:t xml:space="preserve">ООО "КНАУФ Инсулейшн Тюмень"</w:t>
            </w:r>
          </w:p>
        </w:tc>
        <w:tc>
          <w:tcPr>
            <w:tcW w:w="1474" w:type="dxa"/>
          </w:tcPr>
          <w:p>
            <w:pPr>
              <w:pStyle w:val="0"/>
              <w:jc w:val="center"/>
            </w:pPr>
            <w:r>
              <w:rPr>
                <w:sz w:val="20"/>
              </w:rPr>
              <w:t xml:space="preserve">594,5</w:t>
            </w:r>
          </w:p>
        </w:tc>
        <w:tc>
          <w:tcPr>
            <w:tcW w:w="1474" w:type="dxa"/>
          </w:tcPr>
          <w:p>
            <w:pPr>
              <w:pStyle w:val="0"/>
              <w:jc w:val="center"/>
            </w:pPr>
            <w:r>
              <w:rPr>
                <w:sz w:val="20"/>
              </w:rPr>
              <w:t xml:space="preserve">151</w:t>
            </w:r>
          </w:p>
        </w:tc>
      </w:tr>
      <w:tr>
        <w:tc>
          <w:tcPr>
            <w:tcW w:w="3499" w:type="dxa"/>
          </w:tcPr>
          <w:p>
            <w:pPr>
              <w:pStyle w:val="0"/>
            </w:pPr>
            <w:r>
              <w:rPr>
                <w:sz w:val="20"/>
              </w:rPr>
              <w:t xml:space="preserve">Модернизация производственных мощностей компании "Мостострой-11" в городе Тюмени</w:t>
            </w:r>
          </w:p>
        </w:tc>
        <w:tc>
          <w:tcPr>
            <w:tcW w:w="1587" w:type="dxa"/>
          </w:tcPr>
          <w:p>
            <w:pPr>
              <w:pStyle w:val="0"/>
              <w:jc w:val="center"/>
            </w:pPr>
            <w:r>
              <w:rPr>
                <w:sz w:val="20"/>
              </w:rPr>
              <w:t xml:space="preserve">2017 - 2020</w:t>
            </w:r>
          </w:p>
        </w:tc>
        <w:tc>
          <w:tcPr>
            <w:tcW w:w="2324" w:type="dxa"/>
          </w:tcPr>
          <w:p>
            <w:pPr>
              <w:pStyle w:val="0"/>
              <w:jc w:val="center"/>
            </w:pPr>
            <w:r>
              <w:rPr>
                <w:sz w:val="20"/>
              </w:rPr>
              <w:t xml:space="preserve">АО "Мостострой - 11"</w:t>
            </w:r>
          </w:p>
        </w:tc>
        <w:tc>
          <w:tcPr>
            <w:tcW w:w="1474" w:type="dxa"/>
          </w:tcPr>
          <w:p>
            <w:pPr>
              <w:pStyle w:val="0"/>
              <w:jc w:val="center"/>
            </w:pPr>
            <w:r>
              <w:rPr>
                <w:sz w:val="20"/>
              </w:rPr>
              <w:t xml:space="preserve">457,6</w:t>
            </w:r>
          </w:p>
        </w:tc>
        <w:tc>
          <w:tcPr>
            <w:tcW w:w="1474" w:type="dxa"/>
          </w:tcPr>
          <w:p>
            <w:pPr>
              <w:pStyle w:val="0"/>
              <w:jc w:val="center"/>
            </w:pPr>
            <w:r>
              <w:rPr>
                <w:sz w:val="20"/>
              </w:rPr>
              <w:t xml:space="preserve">132</w:t>
            </w:r>
          </w:p>
        </w:tc>
      </w:tr>
      <w:tr>
        <w:tc>
          <w:tcPr>
            <w:tcW w:w="3499" w:type="dxa"/>
          </w:tcPr>
          <w:p>
            <w:pPr>
              <w:pStyle w:val="0"/>
            </w:pPr>
            <w:r>
              <w:rPr>
                <w:sz w:val="20"/>
              </w:rPr>
              <w:t xml:space="preserve">Строительство цеха по производству железобетонных изделий в Тюменском районе</w:t>
            </w:r>
          </w:p>
        </w:tc>
        <w:tc>
          <w:tcPr>
            <w:tcW w:w="1587" w:type="dxa"/>
          </w:tcPr>
          <w:p>
            <w:pPr>
              <w:pStyle w:val="0"/>
              <w:jc w:val="center"/>
            </w:pPr>
            <w:r>
              <w:rPr>
                <w:sz w:val="20"/>
              </w:rPr>
              <w:t xml:space="preserve">2019 - 2021</w:t>
            </w:r>
          </w:p>
        </w:tc>
        <w:tc>
          <w:tcPr>
            <w:tcW w:w="2324" w:type="dxa"/>
          </w:tcPr>
          <w:p>
            <w:pPr>
              <w:pStyle w:val="0"/>
              <w:jc w:val="center"/>
            </w:pPr>
            <w:r>
              <w:rPr>
                <w:sz w:val="20"/>
              </w:rPr>
              <w:t xml:space="preserve">АО "Сибстройсервис"</w:t>
            </w:r>
          </w:p>
        </w:tc>
        <w:tc>
          <w:tcPr>
            <w:tcW w:w="1474" w:type="dxa"/>
          </w:tcPr>
          <w:p>
            <w:pPr>
              <w:pStyle w:val="0"/>
              <w:jc w:val="center"/>
            </w:pPr>
            <w:r>
              <w:rPr>
                <w:sz w:val="20"/>
              </w:rPr>
              <w:t xml:space="preserve">335</w:t>
            </w:r>
          </w:p>
        </w:tc>
        <w:tc>
          <w:tcPr>
            <w:tcW w:w="1474" w:type="dxa"/>
          </w:tcPr>
          <w:p>
            <w:pPr>
              <w:pStyle w:val="0"/>
              <w:jc w:val="center"/>
            </w:pPr>
            <w:r>
              <w:rPr>
                <w:sz w:val="20"/>
              </w:rPr>
              <w:t xml:space="preserve">35</w:t>
            </w:r>
          </w:p>
        </w:tc>
      </w:tr>
      <w:tr>
        <w:tc>
          <w:tcPr>
            <w:gridSpan w:val="5"/>
            <w:tcW w:w="10358" w:type="dxa"/>
          </w:tcPr>
          <w:p>
            <w:pPr>
              <w:pStyle w:val="0"/>
              <w:outlineLvl w:val="3"/>
              <w:jc w:val="center"/>
            </w:pPr>
            <w:r>
              <w:rPr>
                <w:sz w:val="20"/>
              </w:rPr>
              <w:t xml:space="preserve">Фармацевтика</w:t>
            </w:r>
          </w:p>
        </w:tc>
      </w:tr>
      <w:tr>
        <w:tc>
          <w:tcPr>
            <w:tcW w:w="3499" w:type="dxa"/>
          </w:tcPr>
          <w:p>
            <w:pPr>
              <w:pStyle w:val="0"/>
            </w:pPr>
            <w:r>
              <w:rPr>
                <w:sz w:val="20"/>
              </w:rPr>
              <w:t xml:space="preserve">Организация фармацевтического производства компанией "Фармасинтез-Тюмень" в городе Тюмени</w:t>
            </w:r>
          </w:p>
        </w:tc>
        <w:tc>
          <w:tcPr>
            <w:tcW w:w="1587" w:type="dxa"/>
          </w:tcPr>
          <w:p>
            <w:pPr>
              <w:pStyle w:val="0"/>
              <w:jc w:val="center"/>
            </w:pPr>
            <w:r>
              <w:rPr>
                <w:sz w:val="20"/>
              </w:rPr>
              <w:t xml:space="preserve">2015 - 2020</w:t>
            </w:r>
          </w:p>
        </w:tc>
        <w:tc>
          <w:tcPr>
            <w:tcW w:w="2324" w:type="dxa"/>
          </w:tcPr>
          <w:p>
            <w:pPr>
              <w:pStyle w:val="0"/>
              <w:jc w:val="center"/>
            </w:pPr>
            <w:r>
              <w:rPr>
                <w:sz w:val="20"/>
              </w:rPr>
              <w:t xml:space="preserve">ООО "Фармасинтез-Тюмень"</w:t>
            </w:r>
          </w:p>
        </w:tc>
        <w:tc>
          <w:tcPr>
            <w:tcW w:w="1474" w:type="dxa"/>
          </w:tcPr>
          <w:p>
            <w:pPr>
              <w:pStyle w:val="0"/>
              <w:jc w:val="center"/>
            </w:pPr>
            <w:r>
              <w:rPr>
                <w:sz w:val="20"/>
              </w:rPr>
              <w:t xml:space="preserve">3 700</w:t>
            </w:r>
          </w:p>
        </w:tc>
        <w:tc>
          <w:tcPr>
            <w:tcW w:w="1474" w:type="dxa"/>
          </w:tcPr>
          <w:p>
            <w:pPr>
              <w:pStyle w:val="0"/>
              <w:jc w:val="center"/>
            </w:pPr>
            <w:r>
              <w:rPr>
                <w:sz w:val="20"/>
              </w:rPr>
              <w:t xml:space="preserve">485</w:t>
            </w:r>
          </w:p>
        </w:tc>
      </w:tr>
      <w:tr>
        <w:tc>
          <w:tcPr>
            <w:tcW w:w="3499" w:type="dxa"/>
          </w:tcPr>
          <w:p>
            <w:pPr>
              <w:pStyle w:val="0"/>
            </w:pPr>
            <w:r>
              <w:rPr>
                <w:sz w:val="20"/>
              </w:rPr>
              <w:t xml:space="preserve">Модернизация ОАО "Тюменский химико-фармацевтический завод" в городе Тюмени</w:t>
            </w:r>
          </w:p>
        </w:tc>
        <w:tc>
          <w:tcPr>
            <w:tcW w:w="1587" w:type="dxa"/>
          </w:tcPr>
          <w:p>
            <w:pPr>
              <w:pStyle w:val="0"/>
              <w:jc w:val="center"/>
            </w:pPr>
            <w:r>
              <w:rPr>
                <w:sz w:val="20"/>
              </w:rPr>
              <w:t xml:space="preserve">2015 - 2020</w:t>
            </w:r>
          </w:p>
        </w:tc>
        <w:tc>
          <w:tcPr>
            <w:tcW w:w="2324" w:type="dxa"/>
          </w:tcPr>
          <w:p>
            <w:pPr>
              <w:pStyle w:val="0"/>
              <w:jc w:val="center"/>
            </w:pPr>
            <w:r>
              <w:rPr>
                <w:sz w:val="20"/>
              </w:rPr>
              <w:t xml:space="preserve">ОАО "Тюменский химико-фармацевтический завод"</w:t>
            </w:r>
          </w:p>
        </w:tc>
        <w:tc>
          <w:tcPr>
            <w:tcW w:w="1474" w:type="dxa"/>
          </w:tcPr>
          <w:p>
            <w:pPr>
              <w:pStyle w:val="0"/>
              <w:jc w:val="center"/>
            </w:pPr>
            <w:r>
              <w:rPr>
                <w:sz w:val="20"/>
              </w:rPr>
              <w:t xml:space="preserve">483</w:t>
            </w:r>
          </w:p>
        </w:tc>
        <w:tc>
          <w:tcPr>
            <w:tcW w:w="1474" w:type="dxa"/>
          </w:tcPr>
          <w:p>
            <w:pPr>
              <w:pStyle w:val="0"/>
              <w:jc w:val="center"/>
            </w:pPr>
            <w:r>
              <w:rPr>
                <w:sz w:val="20"/>
              </w:rPr>
              <w:t xml:space="preserve">50</w:t>
            </w:r>
          </w:p>
        </w:tc>
      </w:tr>
      <w:tr>
        <w:tc>
          <w:tcPr>
            <w:gridSpan w:val="5"/>
            <w:tcW w:w="10358" w:type="dxa"/>
          </w:tcPr>
          <w:p>
            <w:pPr>
              <w:pStyle w:val="0"/>
              <w:outlineLvl w:val="3"/>
              <w:jc w:val="center"/>
            </w:pPr>
            <w:r>
              <w:rPr>
                <w:sz w:val="20"/>
              </w:rPr>
              <w:t xml:space="preserve">Агропромышленный комплекс и пищевая промышленность</w:t>
            </w:r>
          </w:p>
        </w:tc>
      </w:tr>
      <w:tr>
        <w:tc>
          <w:tcPr>
            <w:tcW w:w="3499" w:type="dxa"/>
          </w:tcPr>
          <w:p>
            <w:pPr>
              <w:pStyle w:val="0"/>
            </w:pPr>
            <w:r>
              <w:rPr>
                <w:sz w:val="20"/>
              </w:rPr>
              <w:t xml:space="preserve">Строительство комплекса полного цикла по выращиванию и переработке бройлеров мощностью 40 тыс. тонн в год в Голышмановском городском округе и Юргинском муниципальном районе</w:t>
            </w:r>
          </w:p>
        </w:tc>
        <w:tc>
          <w:tcPr>
            <w:tcW w:w="1587" w:type="dxa"/>
          </w:tcPr>
          <w:p>
            <w:pPr>
              <w:pStyle w:val="0"/>
              <w:jc w:val="center"/>
            </w:pPr>
            <w:r>
              <w:rPr>
                <w:sz w:val="20"/>
              </w:rPr>
              <w:t xml:space="preserve">2019 - 2021</w:t>
            </w:r>
          </w:p>
        </w:tc>
        <w:tc>
          <w:tcPr>
            <w:tcW w:w="2324" w:type="dxa"/>
          </w:tcPr>
          <w:p>
            <w:pPr>
              <w:pStyle w:val="0"/>
              <w:jc w:val="center"/>
            </w:pPr>
            <w:r>
              <w:rPr>
                <w:sz w:val="20"/>
              </w:rPr>
              <w:t xml:space="preserve">ООО "РУСКОМ"</w:t>
            </w:r>
          </w:p>
        </w:tc>
        <w:tc>
          <w:tcPr>
            <w:tcW w:w="1474" w:type="dxa"/>
          </w:tcPr>
          <w:p>
            <w:pPr>
              <w:pStyle w:val="0"/>
              <w:jc w:val="center"/>
            </w:pPr>
            <w:r>
              <w:rPr>
                <w:sz w:val="20"/>
              </w:rPr>
              <w:t xml:space="preserve">6 900</w:t>
            </w:r>
          </w:p>
        </w:tc>
        <w:tc>
          <w:tcPr>
            <w:tcW w:w="1474" w:type="dxa"/>
          </w:tcPr>
          <w:p>
            <w:pPr>
              <w:pStyle w:val="0"/>
              <w:jc w:val="center"/>
            </w:pPr>
            <w:r>
              <w:rPr>
                <w:sz w:val="20"/>
              </w:rPr>
              <w:t xml:space="preserve">750</w:t>
            </w:r>
          </w:p>
        </w:tc>
      </w:tr>
      <w:tr>
        <w:tc>
          <w:tcPr>
            <w:tcW w:w="3499" w:type="dxa"/>
          </w:tcPr>
          <w:p>
            <w:pPr>
              <w:pStyle w:val="0"/>
            </w:pPr>
            <w:r>
              <w:rPr>
                <w:sz w:val="20"/>
              </w:rPr>
              <w:t xml:space="preserve">Строительство товарного молочного комплекса на 4600 фуражных коров Группы компаний "Дамате" в Голышмановском городском округе</w:t>
            </w:r>
          </w:p>
        </w:tc>
        <w:tc>
          <w:tcPr>
            <w:tcW w:w="1587" w:type="dxa"/>
          </w:tcPr>
          <w:p>
            <w:pPr>
              <w:pStyle w:val="0"/>
              <w:jc w:val="center"/>
            </w:pPr>
            <w:r>
              <w:rPr>
                <w:sz w:val="20"/>
              </w:rPr>
              <w:t xml:space="preserve">2015 - 2020</w:t>
            </w:r>
          </w:p>
        </w:tc>
        <w:tc>
          <w:tcPr>
            <w:tcW w:w="2324" w:type="dxa"/>
          </w:tcPr>
          <w:p>
            <w:pPr>
              <w:pStyle w:val="0"/>
              <w:jc w:val="center"/>
            </w:pPr>
            <w:r>
              <w:rPr>
                <w:sz w:val="20"/>
              </w:rPr>
              <w:t xml:space="preserve">ООО УК "Дамате"</w:t>
            </w:r>
          </w:p>
        </w:tc>
        <w:tc>
          <w:tcPr>
            <w:tcW w:w="1474" w:type="dxa"/>
          </w:tcPr>
          <w:p>
            <w:pPr>
              <w:pStyle w:val="0"/>
              <w:jc w:val="center"/>
            </w:pPr>
            <w:r>
              <w:rPr>
                <w:sz w:val="20"/>
              </w:rPr>
              <w:t xml:space="preserve">6 700</w:t>
            </w:r>
          </w:p>
        </w:tc>
        <w:tc>
          <w:tcPr>
            <w:tcW w:w="1474" w:type="dxa"/>
          </w:tcPr>
          <w:p>
            <w:pPr>
              <w:pStyle w:val="0"/>
              <w:jc w:val="center"/>
            </w:pPr>
            <w:r>
              <w:rPr>
                <w:sz w:val="20"/>
              </w:rPr>
              <w:t xml:space="preserve">317</w:t>
            </w:r>
          </w:p>
        </w:tc>
      </w:tr>
      <w:tr>
        <w:tc>
          <w:tcPr>
            <w:tcW w:w="3499" w:type="dxa"/>
          </w:tcPr>
          <w:p>
            <w:pPr>
              <w:pStyle w:val="0"/>
            </w:pPr>
            <w:r>
              <w:rPr>
                <w:sz w:val="20"/>
              </w:rPr>
              <w:t xml:space="preserve">Строительство третьей очереди тепличного комбината "ТК Тюмень-Агро" в Тюменском районе</w:t>
            </w:r>
          </w:p>
        </w:tc>
        <w:tc>
          <w:tcPr>
            <w:tcW w:w="1587" w:type="dxa"/>
          </w:tcPr>
          <w:p>
            <w:pPr>
              <w:pStyle w:val="0"/>
              <w:jc w:val="center"/>
            </w:pPr>
            <w:r>
              <w:rPr>
                <w:sz w:val="20"/>
              </w:rPr>
              <w:t xml:space="preserve">2018 - 2022</w:t>
            </w:r>
          </w:p>
        </w:tc>
        <w:tc>
          <w:tcPr>
            <w:tcW w:w="2324" w:type="dxa"/>
          </w:tcPr>
          <w:p>
            <w:pPr>
              <w:pStyle w:val="0"/>
              <w:jc w:val="center"/>
            </w:pPr>
            <w:r>
              <w:rPr>
                <w:sz w:val="20"/>
              </w:rPr>
              <w:t xml:space="preserve">ООО "ТК ТюменьАгро"</w:t>
            </w:r>
          </w:p>
        </w:tc>
        <w:tc>
          <w:tcPr>
            <w:tcW w:w="1474" w:type="dxa"/>
          </w:tcPr>
          <w:p>
            <w:pPr>
              <w:pStyle w:val="0"/>
              <w:jc w:val="center"/>
            </w:pPr>
            <w:r>
              <w:rPr>
                <w:sz w:val="20"/>
              </w:rPr>
              <w:t xml:space="preserve">5 117</w:t>
            </w:r>
          </w:p>
        </w:tc>
        <w:tc>
          <w:tcPr>
            <w:tcW w:w="1474" w:type="dxa"/>
          </w:tcPr>
          <w:p>
            <w:pPr>
              <w:pStyle w:val="0"/>
              <w:jc w:val="center"/>
            </w:pPr>
            <w:r>
              <w:rPr>
                <w:sz w:val="20"/>
              </w:rPr>
              <w:t xml:space="preserve">140</w:t>
            </w:r>
          </w:p>
        </w:tc>
      </w:tr>
      <w:tr>
        <w:tc>
          <w:tcPr>
            <w:tcW w:w="3499" w:type="dxa"/>
          </w:tcPr>
          <w:p>
            <w:pPr>
              <w:pStyle w:val="0"/>
            </w:pPr>
            <w:r>
              <w:rPr>
                <w:sz w:val="20"/>
              </w:rPr>
              <w:t xml:space="preserve">Модернизация птицефабрики "Боровская" в Тюменском районе</w:t>
            </w:r>
          </w:p>
        </w:tc>
        <w:tc>
          <w:tcPr>
            <w:tcW w:w="1587" w:type="dxa"/>
          </w:tcPr>
          <w:p>
            <w:pPr>
              <w:pStyle w:val="0"/>
              <w:jc w:val="center"/>
            </w:pPr>
            <w:r>
              <w:rPr>
                <w:sz w:val="20"/>
              </w:rPr>
              <w:t xml:space="preserve">2017 - 2020</w:t>
            </w:r>
          </w:p>
        </w:tc>
        <w:tc>
          <w:tcPr>
            <w:tcW w:w="2324" w:type="dxa"/>
          </w:tcPr>
          <w:p>
            <w:pPr>
              <w:pStyle w:val="0"/>
              <w:jc w:val="center"/>
            </w:pPr>
            <w:r>
              <w:rPr>
                <w:sz w:val="20"/>
              </w:rPr>
              <w:t xml:space="preserve">ПАО "Птицефабрика "Боровская"</w:t>
            </w:r>
          </w:p>
        </w:tc>
        <w:tc>
          <w:tcPr>
            <w:tcW w:w="1474" w:type="dxa"/>
          </w:tcPr>
          <w:p>
            <w:pPr>
              <w:pStyle w:val="0"/>
              <w:jc w:val="center"/>
            </w:pPr>
            <w:r>
              <w:rPr>
                <w:sz w:val="20"/>
              </w:rPr>
              <w:t xml:space="preserve">2 931</w:t>
            </w:r>
          </w:p>
        </w:tc>
        <w:tc>
          <w:tcPr>
            <w:tcW w:w="1474" w:type="dxa"/>
          </w:tcPr>
          <w:p>
            <w:pPr>
              <w:pStyle w:val="0"/>
              <w:jc w:val="center"/>
            </w:pPr>
            <w:r>
              <w:rPr>
                <w:sz w:val="20"/>
              </w:rPr>
              <w:t xml:space="preserve">150</w:t>
            </w:r>
          </w:p>
        </w:tc>
      </w:tr>
      <w:tr>
        <w:tc>
          <w:tcPr>
            <w:tcW w:w="3499" w:type="dxa"/>
          </w:tcPr>
          <w:p>
            <w:pPr>
              <w:pStyle w:val="0"/>
            </w:pPr>
            <w:r>
              <w:rPr>
                <w:sz w:val="20"/>
              </w:rPr>
              <w:t xml:space="preserve">Модернизация с расширением производственных мощностей в АО "ПРОДО Тюменский бройлер" в Тюменском районе</w:t>
            </w:r>
          </w:p>
        </w:tc>
        <w:tc>
          <w:tcPr>
            <w:tcW w:w="1587" w:type="dxa"/>
          </w:tcPr>
          <w:p>
            <w:pPr>
              <w:pStyle w:val="0"/>
              <w:jc w:val="center"/>
            </w:pPr>
            <w:r>
              <w:rPr>
                <w:sz w:val="20"/>
              </w:rPr>
              <w:t xml:space="preserve">2018 - 2023</w:t>
            </w:r>
          </w:p>
        </w:tc>
        <w:tc>
          <w:tcPr>
            <w:tcW w:w="2324" w:type="dxa"/>
          </w:tcPr>
          <w:p>
            <w:pPr>
              <w:pStyle w:val="0"/>
              <w:jc w:val="center"/>
            </w:pPr>
            <w:r>
              <w:rPr>
                <w:sz w:val="20"/>
              </w:rPr>
              <w:t xml:space="preserve">АО "ПРОДО Тюменский бройлер"</w:t>
            </w:r>
          </w:p>
        </w:tc>
        <w:tc>
          <w:tcPr>
            <w:tcW w:w="1474" w:type="dxa"/>
          </w:tcPr>
          <w:p>
            <w:pPr>
              <w:pStyle w:val="0"/>
              <w:jc w:val="center"/>
            </w:pPr>
            <w:r>
              <w:rPr>
                <w:sz w:val="20"/>
              </w:rPr>
              <w:t xml:space="preserve">2 788</w:t>
            </w:r>
          </w:p>
        </w:tc>
        <w:tc>
          <w:tcPr>
            <w:tcW w:w="1474" w:type="dxa"/>
          </w:tcPr>
          <w:p>
            <w:pPr>
              <w:pStyle w:val="0"/>
              <w:jc w:val="center"/>
            </w:pPr>
            <w:r>
              <w:rPr>
                <w:sz w:val="20"/>
              </w:rPr>
              <w:t xml:space="preserve">64</w:t>
            </w:r>
          </w:p>
        </w:tc>
      </w:tr>
      <w:tr>
        <w:tc>
          <w:tcPr>
            <w:tcW w:w="3499" w:type="dxa"/>
          </w:tcPr>
          <w:p>
            <w:pPr>
              <w:pStyle w:val="0"/>
            </w:pPr>
            <w:r>
              <w:rPr>
                <w:sz w:val="20"/>
              </w:rPr>
              <w:t xml:space="preserve">Реконструкция птицефабрики "Пышминская" в Тюменском районе</w:t>
            </w:r>
          </w:p>
        </w:tc>
        <w:tc>
          <w:tcPr>
            <w:tcW w:w="1587" w:type="dxa"/>
          </w:tcPr>
          <w:p>
            <w:pPr>
              <w:pStyle w:val="0"/>
              <w:jc w:val="center"/>
            </w:pPr>
            <w:r>
              <w:rPr>
                <w:sz w:val="20"/>
              </w:rPr>
              <w:t xml:space="preserve">2015 - 2020</w:t>
            </w:r>
          </w:p>
        </w:tc>
        <w:tc>
          <w:tcPr>
            <w:tcW w:w="2324" w:type="dxa"/>
          </w:tcPr>
          <w:p>
            <w:pPr>
              <w:pStyle w:val="0"/>
              <w:jc w:val="center"/>
            </w:pPr>
            <w:r>
              <w:rPr>
                <w:sz w:val="20"/>
              </w:rPr>
              <w:t xml:space="preserve">ООО "Сибинтел Холдинг"</w:t>
            </w:r>
          </w:p>
        </w:tc>
        <w:tc>
          <w:tcPr>
            <w:tcW w:w="1474" w:type="dxa"/>
          </w:tcPr>
          <w:p>
            <w:pPr>
              <w:pStyle w:val="0"/>
              <w:jc w:val="center"/>
            </w:pPr>
            <w:r>
              <w:rPr>
                <w:sz w:val="20"/>
              </w:rPr>
              <w:t xml:space="preserve">2 300</w:t>
            </w:r>
          </w:p>
        </w:tc>
        <w:tc>
          <w:tcPr>
            <w:tcW w:w="1474" w:type="dxa"/>
          </w:tcPr>
          <w:p>
            <w:pPr>
              <w:pStyle w:val="0"/>
              <w:jc w:val="center"/>
            </w:pPr>
            <w:r>
              <w:rPr>
                <w:sz w:val="20"/>
              </w:rPr>
              <w:t xml:space="preserve">150</w:t>
            </w:r>
          </w:p>
        </w:tc>
      </w:tr>
      <w:tr>
        <w:tc>
          <w:tcPr>
            <w:tcW w:w="3499" w:type="dxa"/>
          </w:tcPr>
          <w:p>
            <w:pPr>
              <w:pStyle w:val="0"/>
            </w:pPr>
            <w:r>
              <w:rPr>
                <w:sz w:val="20"/>
              </w:rPr>
              <w:t xml:space="preserve">Строительство агрофирмой "Междуречье" молочного комплекса на 1800 голов дойного стада в Ярковском районе</w:t>
            </w:r>
          </w:p>
        </w:tc>
        <w:tc>
          <w:tcPr>
            <w:tcW w:w="1587" w:type="dxa"/>
          </w:tcPr>
          <w:p>
            <w:pPr>
              <w:pStyle w:val="0"/>
              <w:jc w:val="center"/>
            </w:pPr>
            <w:r>
              <w:rPr>
                <w:sz w:val="20"/>
              </w:rPr>
              <w:t xml:space="preserve">2013 - 2020</w:t>
            </w:r>
          </w:p>
        </w:tc>
        <w:tc>
          <w:tcPr>
            <w:tcW w:w="2324" w:type="dxa"/>
          </w:tcPr>
          <w:p>
            <w:pPr>
              <w:pStyle w:val="0"/>
              <w:jc w:val="center"/>
            </w:pPr>
            <w:r>
              <w:rPr>
                <w:sz w:val="20"/>
              </w:rPr>
              <w:t xml:space="preserve">ООО "ЭкоНива - АПК Холдинг"</w:t>
            </w:r>
          </w:p>
        </w:tc>
        <w:tc>
          <w:tcPr>
            <w:tcW w:w="1474" w:type="dxa"/>
          </w:tcPr>
          <w:p>
            <w:pPr>
              <w:pStyle w:val="0"/>
              <w:jc w:val="center"/>
            </w:pPr>
            <w:r>
              <w:rPr>
                <w:sz w:val="20"/>
              </w:rPr>
              <w:t xml:space="preserve">1 328</w:t>
            </w:r>
          </w:p>
        </w:tc>
        <w:tc>
          <w:tcPr>
            <w:tcW w:w="1474" w:type="dxa"/>
          </w:tcPr>
          <w:p>
            <w:pPr>
              <w:pStyle w:val="0"/>
              <w:jc w:val="center"/>
            </w:pPr>
            <w:r>
              <w:rPr>
                <w:sz w:val="20"/>
              </w:rPr>
              <w:t xml:space="preserve">59</w:t>
            </w:r>
          </w:p>
        </w:tc>
      </w:tr>
      <w:tr>
        <w:tc>
          <w:tcPr>
            <w:tcW w:w="3499" w:type="dxa"/>
          </w:tcPr>
          <w:p>
            <w:pPr>
              <w:pStyle w:val="0"/>
            </w:pPr>
            <w:r>
              <w:rPr>
                <w:sz w:val="20"/>
              </w:rPr>
              <w:t xml:space="preserve">Строительство кондитерской фабрики в городе Ишиме</w:t>
            </w:r>
          </w:p>
        </w:tc>
        <w:tc>
          <w:tcPr>
            <w:tcW w:w="1587" w:type="dxa"/>
          </w:tcPr>
          <w:p>
            <w:pPr>
              <w:pStyle w:val="0"/>
              <w:jc w:val="center"/>
            </w:pPr>
            <w:r>
              <w:rPr>
                <w:sz w:val="20"/>
              </w:rPr>
              <w:t xml:space="preserve">2017 - 2022</w:t>
            </w:r>
          </w:p>
        </w:tc>
        <w:tc>
          <w:tcPr>
            <w:tcW w:w="2324" w:type="dxa"/>
          </w:tcPr>
          <w:p>
            <w:pPr>
              <w:pStyle w:val="0"/>
              <w:jc w:val="center"/>
            </w:pPr>
            <w:r>
              <w:rPr>
                <w:sz w:val="20"/>
              </w:rPr>
              <w:t xml:space="preserve">ООО ПК "Слада"</w:t>
            </w:r>
          </w:p>
        </w:tc>
        <w:tc>
          <w:tcPr>
            <w:tcW w:w="1474" w:type="dxa"/>
          </w:tcPr>
          <w:p>
            <w:pPr>
              <w:pStyle w:val="0"/>
              <w:jc w:val="center"/>
            </w:pPr>
            <w:r>
              <w:rPr>
                <w:sz w:val="20"/>
              </w:rPr>
              <w:t xml:space="preserve">1 075</w:t>
            </w:r>
          </w:p>
        </w:tc>
        <w:tc>
          <w:tcPr>
            <w:tcW w:w="1474" w:type="dxa"/>
          </w:tcPr>
          <w:p>
            <w:pPr>
              <w:pStyle w:val="0"/>
              <w:jc w:val="center"/>
            </w:pPr>
            <w:r>
              <w:rPr>
                <w:sz w:val="20"/>
              </w:rPr>
              <w:t xml:space="preserve">200</w:t>
            </w:r>
          </w:p>
        </w:tc>
      </w:tr>
      <w:tr>
        <w:tc>
          <w:tcPr>
            <w:tcW w:w="3499" w:type="dxa"/>
          </w:tcPr>
          <w:p>
            <w:pPr>
              <w:pStyle w:val="0"/>
            </w:pPr>
            <w:r>
              <w:rPr>
                <w:sz w:val="20"/>
              </w:rPr>
              <w:t xml:space="preserve">Увеличение производственных мощностей свинокомплекса ООО "Согласие" в Заводоуковском районе</w:t>
            </w:r>
          </w:p>
        </w:tc>
        <w:tc>
          <w:tcPr>
            <w:tcW w:w="1587" w:type="dxa"/>
          </w:tcPr>
          <w:p>
            <w:pPr>
              <w:pStyle w:val="0"/>
              <w:jc w:val="center"/>
            </w:pPr>
            <w:r>
              <w:rPr>
                <w:sz w:val="20"/>
              </w:rPr>
              <w:t xml:space="preserve">2017 - 2025</w:t>
            </w:r>
          </w:p>
        </w:tc>
        <w:tc>
          <w:tcPr>
            <w:tcW w:w="2324" w:type="dxa"/>
          </w:tcPr>
          <w:p>
            <w:pPr>
              <w:pStyle w:val="0"/>
              <w:jc w:val="center"/>
            </w:pPr>
            <w:r>
              <w:rPr>
                <w:sz w:val="20"/>
              </w:rPr>
              <w:t xml:space="preserve">ООО "Согласие"</w:t>
            </w:r>
          </w:p>
        </w:tc>
        <w:tc>
          <w:tcPr>
            <w:tcW w:w="1474" w:type="dxa"/>
          </w:tcPr>
          <w:p>
            <w:pPr>
              <w:pStyle w:val="0"/>
              <w:jc w:val="center"/>
            </w:pPr>
            <w:r>
              <w:rPr>
                <w:sz w:val="20"/>
              </w:rPr>
              <w:t xml:space="preserve">770</w:t>
            </w:r>
          </w:p>
        </w:tc>
        <w:tc>
          <w:tcPr>
            <w:tcW w:w="1474" w:type="dxa"/>
          </w:tcPr>
          <w:p>
            <w:pPr>
              <w:pStyle w:val="0"/>
              <w:jc w:val="center"/>
            </w:pPr>
            <w:r>
              <w:rPr>
                <w:sz w:val="20"/>
              </w:rPr>
              <w:t xml:space="preserve">150</w:t>
            </w:r>
          </w:p>
        </w:tc>
      </w:tr>
      <w:tr>
        <w:tc>
          <w:tcPr>
            <w:tcW w:w="3499" w:type="dxa"/>
          </w:tcPr>
          <w:p>
            <w:pPr>
              <w:pStyle w:val="0"/>
            </w:pPr>
            <w:r>
              <w:rPr>
                <w:sz w:val="20"/>
              </w:rPr>
              <w:t xml:space="preserve">Создание племенного овцеводческого хозяйства в Казанском районе</w:t>
            </w:r>
          </w:p>
        </w:tc>
        <w:tc>
          <w:tcPr>
            <w:tcW w:w="1587" w:type="dxa"/>
          </w:tcPr>
          <w:p>
            <w:pPr>
              <w:pStyle w:val="0"/>
              <w:jc w:val="center"/>
            </w:pPr>
            <w:r>
              <w:rPr>
                <w:sz w:val="20"/>
              </w:rPr>
              <w:t xml:space="preserve">2018 - 2022</w:t>
            </w:r>
          </w:p>
        </w:tc>
        <w:tc>
          <w:tcPr>
            <w:tcW w:w="2324" w:type="dxa"/>
          </w:tcPr>
          <w:p>
            <w:pPr>
              <w:pStyle w:val="0"/>
              <w:jc w:val="center"/>
            </w:pPr>
            <w:r>
              <w:rPr>
                <w:sz w:val="20"/>
              </w:rPr>
              <w:t xml:space="preserve">ООО "Племенной завод "Сибирь"</w:t>
            </w:r>
          </w:p>
        </w:tc>
        <w:tc>
          <w:tcPr>
            <w:tcW w:w="1474" w:type="dxa"/>
          </w:tcPr>
          <w:p>
            <w:pPr>
              <w:pStyle w:val="0"/>
              <w:jc w:val="center"/>
            </w:pPr>
            <w:r>
              <w:rPr>
                <w:sz w:val="20"/>
              </w:rPr>
              <w:t xml:space="preserve">550</w:t>
            </w:r>
          </w:p>
        </w:tc>
        <w:tc>
          <w:tcPr>
            <w:tcW w:w="1474" w:type="dxa"/>
          </w:tcPr>
          <w:p>
            <w:pPr>
              <w:pStyle w:val="0"/>
              <w:jc w:val="center"/>
            </w:pPr>
            <w:r>
              <w:rPr>
                <w:sz w:val="20"/>
              </w:rPr>
              <w:t xml:space="preserve">60</w:t>
            </w:r>
          </w:p>
        </w:tc>
      </w:tr>
      <w:tr>
        <w:tc>
          <w:tcPr>
            <w:tcW w:w="3499" w:type="dxa"/>
          </w:tcPr>
          <w:p>
            <w:pPr>
              <w:pStyle w:val="0"/>
            </w:pPr>
            <w:r>
              <w:rPr>
                <w:sz w:val="20"/>
              </w:rPr>
              <w:t xml:space="preserve">Строительство компанией "ПК "Молоко" третьей очереди животноводческого комплекса КРС в Нижнетавдинском районе</w:t>
            </w:r>
          </w:p>
        </w:tc>
        <w:tc>
          <w:tcPr>
            <w:tcW w:w="1587" w:type="dxa"/>
          </w:tcPr>
          <w:p>
            <w:pPr>
              <w:pStyle w:val="0"/>
              <w:jc w:val="center"/>
            </w:pPr>
            <w:r>
              <w:rPr>
                <w:sz w:val="20"/>
              </w:rPr>
              <w:t xml:space="preserve">2015 - 2020</w:t>
            </w:r>
          </w:p>
        </w:tc>
        <w:tc>
          <w:tcPr>
            <w:tcW w:w="2324" w:type="dxa"/>
          </w:tcPr>
          <w:p>
            <w:pPr>
              <w:pStyle w:val="0"/>
              <w:jc w:val="center"/>
            </w:pPr>
            <w:r>
              <w:rPr>
                <w:sz w:val="20"/>
              </w:rPr>
              <w:t xml:space="preserve">ООО ПК "Молоко"</w:t>
            </w:r>
          </w:p>
        </w:tc>
        <w:tc>
          <w:tcPr>
            <w:tcW w:w="1474" w:type="dxa"/>
          </w:tcPr>
          <w:p>
            <w:pPr>
              <w:pStyle w:val="0"/>
              <w:jc w:val="center"/>
            </w:pPr>
            <w:r>
              <w:rPr>
                <w:sz w:val="20"/>
              </w:rPr>
              <w:t xml:space="preserve">459</w:t>
            </w:r>
          </w:p>
        </w:tc>
        <w:tc>
          <w:tcPr>
            <w:tcW w:w="1474" w:type="dxa"/>
          </w:tcPr>
          <w:p>
            <w:pPr>
              <w:pStyle w:val="0"/>
              <w:jc w:val="center"/>
            </w:pPr>
            <w:r>
              <w:rPr>
                <w:sz w:val="20"/>
              </w:rPr>
              <w:t xml:space="preserve">12</w:t>
            </w:r>
          </w:p>
        </w:tc>
      </w:tr>
      <w:tr>
        <w:tc>
          <w:tcPr>
            <w:tcW w:w="3499" w:type="dxa"/>
          </w:tcPr>
          <w:p>
            <w:pPr>
              <w:pStyle w:val="0"/>
            </w:pPr>
            <w:r>
              <w:rPr>
                <w:sz w:val="20"/>
              </w:rPr>
              <w:t xml:space="preserve">Модернизация цеха по производству сухого молока в городе Ялуторовске</w:t>
            </w:r>
          </w:p>
        </w:tc>
        <w:tc>
          <w:tcPr>
            <w:tcW w:w="1587" w:type="dxa"/>
          </w:tcPr>
          <w:p>
            <w:pPr>
              <w:pStyle w:val="0"/>
              <w:jc w:val="center"/>
            </w:pPr>
            <w:r>
              <w:rPr>
                <w:sz w:val="20"/>
              </w:rPr>
              <w:t xml:space="preserve">2019 - 2020</w:t>
            </w:r>
          </w:p>
        </w:tc>
        <w:tc>
          <w:tcPr>
            <w:tcW w:w="2324" w:type="dxa"/>
          </w:tcPr>
          <w:p>
            <w:pPr>
              <w:pStyle w:val="0"/>
              <w:jc w:val="center"/>
            </w:pPr>
            <w:r>
              <w:rPr>
                <w:sz w:val="20"/>
              </w:rPr>
              <w:t xml:space="preserve">"Молочный комбинат "Ялуторовский" АО "Данон Россия"</w:t>
            </w:r>
          </w:p>
        </w:tc>
        <w:tc>
          <w:tcPr>
            <w:tcW w:w="1474" w:type="dxa"/>
          </w:tcPr>
          <w:p>
            <w:pPr>
              <w:pStyle w:val="0"/>
              <w:jc w:val="center"/>
            </w:pPr>
            <w:r>
              <w:rPr>
                <w:sz w:val="20"/>
              </w:rPr>
              <w:t xml:space="preserve">453</w:t>
            </w:r>
          </w:p>
        </w:tc>
        <w:tc>
          <w:tcPr>
            <w:tcW w:w="1474" w:type="dxa"/>
          </w:tcPr>
          <w:p>
            <w:pPr>
              <w:pStyle w:val="0"/>
              <w:jc w:val="center"/>
            </w:pPr>
            <w:r>
              <w:rPr>
                <w:sz w:val="20"/>
              </w:rPr>
              <w:t xml:space="preserve">18</w:t>
            </w:r>
          </w:p>
        </w:tc>
      </w:tr>
      <w:tr>
        <w:tc>
          <w:tcPr>
            <w:gridSpan w:val="5"/>
            <w:tcW w:w="10358" w:type="dxa"/>
          </w:tcPr>
          <w:p>
            <w:pPr>
              <w:pStyle w:val="0"/>
              <w:outlineLvl w:val="3"/>
              <w:jc w:val="center"/>
            </w:pPr>
            <w:r>
              <w:rPr>
                <w:sz w:val="20"/>
              </w:rPr>
              <w:t xml:space="preserve">Гостиничный бизнес и туристическая индустрия, девелопмент</w:t>
            </w:r>
          </w:p>
        </w:tc>
      </w:tr>
      <w:tr>
        <w:tc>
          <w:tcPr>
            <w:tcW w:w="3499" w:type="dxa"/>
          </w:tcPr>
          <w:p>
            <w:pPr>
              <w:pStyle w:val="0"/>
            </w:pPr>
            <w:r>
              <w:rPr>
                <w:sz w:val="20"/>
              </w:rPr>
              <w:t xml:space="preserve">Строительство водно-термального оздоровительного комплекса с аквапарком в городе Тюмени</w:t>
            </w:r>
          </w:p>
        </w:tc>
        <w:tc>
          <w:tcPr>
            <w:tcW w:w="1587" w:type="dxa"/>
          </w:tcPr>
          <w:p>
            <w:pPr>
              <w:pStyle w:val="0"/>
              <w:jc w:val="center"/>
            </w:pPr>
            <w:r>
              <w:rPr>
                <w:sz w:val="20"/>
              </w:rPr>
              <w:t xml:space="preserve">2015 - 2025</w:t>
            </w:r>
          </w:p>
        </w:tc>
        <w:tc>
          <w:tcPr>
            <w:tcW w:w="2324" w:type="dxa"/>
          </w:tcPr>
          <w:p>
            <w:pPr>
              <w:pStyle w:val="0"/>
              <w:jc w:val="center"/>
            </w:pPr>
            <w:r>
              <w:rPr>
                <w:sz w:val="20"/>
              </w:rPr>
              <w:t xml:space="preserve">ООО "МФК "Аквамолл"</w:t>
            </w:r>
          </w:p>
        </w:tc>
        <w:tc>
          <w:tcPr>
            <w:tcW w:w="1474" w:type="dxa"/>
          </w:tcPr>
          <w:p>
            <w:pPr>
              <w:pStyle w:val="0"/>
              <w:jc w:val="center"/>
            </w:pPr>
            <w:r>
              <w:rPr>
                <w:sz w:val="20"/>
              </w:rPr>
              <w:t xml:space="preserve">4 273</w:t>
            </w:r>
          </w:p>
        </w:tc>
        <w:tc>
          <w:tcPr>
            <w:tcW w:w="1474" w:type="dxa"/>
          </w:tcPr>
          <w:p>
            <w:pPr>
              <w:pStyle w:val="0"/>
              <w:jc w:val="center"/>
            </w:pPr>
            <w:r>
              <w:rPr>
                <w:sz w:val="20"/>
              </w:rPr>
              <w:t xml:space="preserve">366</w:t>
            </w:r>
          </w:p>
        </w:tc>
      </w:tr>
      <w:tr>
        <w:tc>
          <w:tcPr>
            <w:tcW w:w="3499" w:type="dxa"/>
          </w:tcPr>
          <w:p>
            <w:pPr>
              <w:pStyle w:val="0"/>
            </w:pPr>
            <w:r>
              <w:rPr>
                <w:sz w:val="20"/>
              </w:rPr>
              <w:t xml:space="preserve">Строительство гостиницы с многофункциональным спортивным комплексом и дайвинг-центром в городе Тюмени</w:t>
            </w:r>
          </w:p>
        </w:tc>
        <w:tc>
          <w:tcPr>
            <w:tcW w:w="1587" w:type="dxa"/>
          </w:tcPr>
          <w:p>
            <w:pPr>
              <w:pStyle w:val="0"/>
              <w:jc w:val="center"/>
            </w:pPr>
            <w:r>
              <w:rPr>
                <w:sz w:val="20"/>
              </w:rPr>
              <w:t xml:space="preserve">2014 - 2023</w:t>
            </w:r>
          </w:p>
        </w:tc>
        <w:tc>
          <w:tcPr>
            <w:tcW w:w="2324" w:type="dxa"/>
          </w:tcPr>
          <w:p>
            <w:pPr>
              <w:pStyle w:val="0"/>
              <w:jc w:val="center"/>
            </w:pPr>
            <w:r>
              <w:rPr>
                <w:sz w:val="20"/>
              </w:rPr>
              <w:t xml:space="preserve">АО "Сибстройсервис"</w:t>
            </w:r>
          </w:p>
        </w:tc>
        <w:tc>
          <w:tcPr>
            <w:tcW w:w="1474" w:type="dxa"/>
          </w:tcPr>
          <w:p>
            <w:pPr>
              <w:pStyle w:val="0"/>
              <w:jc w:val="center"/>
            </w:pPr>
            <w:r>
              <w:rPr>
                <w:sz w:val="20"/>
              </w:rPr>
              <w:t xml:space="preserve">1 100</w:t>
            </w:r>
          </w:p>
        </w:tc>
        <w:tc>
          <w:tcPr>
            <w:tcW w:w="1474" w:type="dxa"/>
          </w:tcPr>
          <w:p>
            <w:pPr>
              <w:pStyle w:val="0"/>
              <w:jc w:val="center"/>
            </w:pPr>
            <w:r>
              <w:rPr>
                <w:sz w:val="20"/>
              </w:rPr>
              <w:t xml:space="preserve">192</w:t>
            </w:r>
          </w:p>
        </w:tc>
      </w:tr>
      <w:tr>
        <w:tc>
          <w:tcPr>
            <w:tcW w:w="3499" w:type="dxa"/>
          </w:tcPr>
          <w:p>
            <w:pPr>
              <w:pStyle w:val="0"/>
            </w:pPr>
            <w:r>
              <w:rPr>
                <w:sz w:val="20"/>
              </w:rPr>
              <w:t xml:space="preserve">Строительство рекреационно-оздоровительного комплекса с термальным парком "Фешенель" в Ялуторовском районе</w:t>
            </w:r>
          </w:p>
        </w:tc>
        <w:tc>
          <w:tcPr>
            <w:tcW w:w="1587" w:type="dxa"/>
          </w:tcPr>
          <w:p>
            <w:pPr>
              <w:pStyle w:val="0"/>
              <w:jc w:val="center"/>
            </w:pPr>
            <w:r>
              <w:rPr>
                <w:sz w:val="20"/>
              </w:rPr>
              <w:t xml:space="preserve">2014 - 2020</w:t>
            </w:r>
          </w:p>
        </w:tc>
        <w:tc>
          <w:tcPr>
            <w:tcW w:w="2324" w:type="dxa"/>
          </w:tcPr>
          <w:p>
            <w:pPr>
              <w:pStyle w:val="0"/>
              <w:jc w:val="center"/>
            </w:pPr>
            <w:r>
              <w:rPr>
                <w:sz w:val="20"/>
              </w:rPr>
              <w:t xml:space="preserve">ООО "Долина Карабаш"</w:t>
            </w:r>
          </w:p>
        </w:tc>
        <w:tc>
          <w:tcPr>
            <w:tcW w:w="1474" w:type="dxa"/>
          </w:tcPr>
          <w:p>
            <w:pPr>
              <w:pStyle w:val="0"/>
              <w:jc w:val="center"/>
            </w:pPr>
            <w:r>
              <w:rPr>
                <w:sz w:val="20"/>
              </w:rPr>
              <w:t xml:space="preserve">500</w:t>
            </w:r>
          </w:p>
        </w:tc>
        <w:tc>
          <w:tcPr>
            <w:tcW w:w="1474" w:type="dxa"/>
          </w:tcPr>
          <w:p>
            <w:pPr>
              <w:pStyle w:val="0"/>
              <w:jc w:val="center"/>
            </w:pPr>
            <w:r>
              <w:rPr>
                <w:sz w:val="20"/>
              </w:rPr>
              <w:t xml:space="preserve">150</w:t>
            </w:r>
          </w:p>
        </w:tc>
      </w:tr>
      <w:tr>
        <w:tc>
          <w:tcPr>
            <w:tcW w:w="3499" w:type="dxa"/>
          </w:tcPr>
          <w:p>
            <w:pPr>
              <w:pStyle w:val="0"/>
            </w:pPr>
            <w:r>
              <w:rPr>
                <w:sz w:val="20"/>
              </w:rPr>
              <w:t xml:space="preserve">Строительство специализированной гостиницы для спортсменов в городе Тюмени</w:t>
            </w:r>
          </w:p>
        </w:tc>
        <w:tc>
          <w:tcPr>
            <w:tcW w:w="1587" w:type="dxa"/>
          </w:tcPr>
          <w:p>
            <w:pPr>
              <w:pStyle w:val="0"/>
              <w:jc w:val="center"/>
            </w:pPr>
            <w:r>
              <w:rPr>
                <w:sz w:val="20"/>
              </w:rPr>
              <w:t xml:space="preserve">2011 - 2020</w:t>
            </w:r>
          </w:p>
        </w:tc>
        <w:tc>
          <w:tcPr>
            <w:tcW w:w="2324" w:type="dxa"/>
          </w:tcPr>
          <w:p>
            <w:pPr>
              <w:pStyle w:val="0"/>
              <w:jc w:val="center"/>
            </w:pPr>
            <w:r>
              <w:rPr>
                <w:sz w:val="20"/>
              </w:rPr>
              <w:t xml:space="preserve">ООО "ТюменьСпорт"</w:t>
            </w:r>
          </w:p>
        </w:tc>
        <w:tc>
          <w:tcPr>
            <w:tcW w:w="1474" w:type="dxa"/>
          </w:tcPr>
          <w:p>
            <w:pPr>
              <w:pStyle w:val="0"/>
              <w:jc w:val="center"/>
            </w:pPr>
            <w:r>
              <w:rPr>
                <w:sz w:val="20"/>
              </w:rPr>
              <w:t xml:space="preserve">500</w:t>
            </w:r>
          </w:p>
        </w:tc>
        <w:tc>
          <w:tcPr>
            <w:tcW w:w="1474" w:type="dxa"/>
          </w:tcPr>
          <w:p>
            <w:pPr>
              <w:pStyle w:val="0"/>
              <w:jc w:val="center"/>
            </w:pPr>
            <w:r>
              <w:rPr>
                <w:sz w:val="20"/>
              </w:rPr>
              <w:t xml:space="preserve">50</w:t>
            </w:r>
          </w:p>
        </w:tc>
      </w:tr>
      <w:tr>
        <w:tc>
          <w:tcPr>
            <w:tcW w:w="3499" w:type="dxa"/>
          </w:tcPr>
          <w:p>
            <w:pPr>
              <w:pStyle w:val="0"/>
            </w:pPr>
            <w:r>
              <w:rPr>
                <w:sz w:val="20"/>
              </w:rPr>
              <w:t xml:space="preserve">Создание туристического объекта "Эко-парк "Деревенька" в Тюменском районе</w:t>
            </w:r>
          </w:p>
        </w:tc>
        <w:tc>
          <w:tcPr>
            <w:tcW w:w="1587" w:type="dxa"/>
          </w:tcPr>
          <w:p>
            <w:pPr>
              <w:pStyle w:val="0"/>
              <w:jc w:val="center"/>
            </w:pPr>
            <w:r>
              <w:rPr>
                <w:sz w:val="20"/>
              </w:rPr>
              <w:t xml:space="preserve">2017 - 2021</w:t>
            </w:r>
          </w:p>
        </w:tc>
        <w:tc>
          <w:tcPr>
            <w:tcW w:w="2324" w:type="dxa"/>
          </w:tcPr>
          <w:p>
            <w:pPr>
              <w:pStyle w:val="0"/>
              <w:jc w:val="center"/>
            </w:pPr>
            <w:r>
              <w:rPr>
                <w:sz w:val="20"/>
              </w:rPr>
              <w:t xml:space="preserve">ООО "УДАЧА"</w:t>
            </w:r>
          </w:p>
        </w:tc>
        <w:tc>
          <w:tcPr>
            <w:tcW w:w="1474" w:type="dxa"/>
          </w:tcPr>
          <w:p>
            <w:pPr>
              <w:pStyle w:val="0"/>
              <w:jc w:val="center"/>
            </w:pPr>
            <w:r>
              <w:rPr>
                <w:sz w:val="20"/>
              </w:rPr>
              <w:t xml:space="preserve">150</w:t>
            </w:r>
          </w:p>
        </w:tc>
        <w:tc>
          <w:tcPr>
            <w:tcW w:w="1474" w:type="dxa"/>
          </w:tcPr>
          <w:p>
            <w:pPr>
              <w:pStyle w:val="0"/>
              <w:jc w:val="center"/>
            </w:pPr>
            <w:r>
              <w:rPr>
                <w:sz w:val="20"/>
              </w:rPr>
              <w:t xml:space="preserve">70</w:t>
            </w:r>
          </w:p>
        </w:tc>
      </w:tr>
      <w:tr>
        <w:tc>
          <w:tcPr>
            <w:gridSpan w:val="5"/>
            <w:tcW w:w="10358" w:type="dxa"/>
          </w:tcPr>
          <w:p>
            <w:pPr>
              <w:pStyle w:val="0"/>
              <w:outlineLvl w:val="3"/>
              <w:jc w:val="center"/>
            </w:pPr>
            <w:r>
              <w:rPr>
                <w:sz w:val="20"/>
              </w:rPr>
              <w:t xml:space="preserve">Медицинские услуги</w:t>
            </w:r>
          </w:p>
        </w:tc>
      </w:tr>
      <w:tr>
        <w:tc>
          <w:tcPr>
            <w:tcW w:w="3499" w:type="dxa"/>
          </w:tcPr>
          <w:p>
            <w:pPr>
              <w:pStyle w:val="0"/>
            </w:pPr>
            <w:r>
              <w:rPr>
                <w:sz w:val="20"/>
              </w:rPr>
              <w:t xml:space="preserve">Строительство многопрофильного медицинского центра с круглосуточным стационаром в городе Тюмени</w:t>
            </w:r>
          </w:p>
        </w:tc>
        <w:tc>
          <w:tcPr>
            <w:tcW w:w="1587" w:type="dxa"/>
          </w:tcPr>
          <w:p>
            <w:pPr>
              <w:pStyle w:val="0"/>
              <w:jc w:val="center"/>
            </w:pPr>
            <w:r>
              <w:rPr>
                <w:sz w:val="20"/>
              </w:rPr>
              <w:t xml:space="preserve">2017 - 2022</w:t>
            </w:r>
          </w:p>
        </w:tc>
        <w:tc>
          <w:tcPr>
            <w:tcW w:w="2324" w:type="dxa"/>
          </w:tcPr>
          <w:p>
            <w:pPr>
              <w:pStyle w:val="0"/>
              <w:jc w:val="center"/>
            </w:pPr>
            <w:r>
              <w:rPr>
                <w:sz w:val="20"/>
              </w:rPr>
              <w:t xml:space="preserve">ООО "ЮниМед"</w:t>
            </w:r>
          </w:p>
        </w:tc>
        <w:tc>
          <w:tcPr>
            <w:tcW w:w="1474" w:type="dxa"/>
          </w:tcPr>
          <w:p>
            <w:pPr>
              <w:pStyle w:val="0"/>
              <w:jc w:val="center"/>
            </w:pPr>
            <w:r>
              <w:rPr>
                <w:sz w:val="20"/>
              </w:rPr>
              <w:t xml:space="preserve">376,5</w:t>
            </w:r>
          </w:p>
        </w:tc>
        <w:tc>
          <w:tcPr>
            <w:tcW w:w="1474" w:type="dxa"/>
          </w:tcPr>
          <w:p>
            <w:pPr>
              <w:pStyle w:val="0"/>
              <w:jc w:val="center"/>
            </w:pPr>
            <w:r>
              <w:rPr>
                <w:sz w:val="20"/>
              </w:rPr>
              <w:t xml:space="preserve">68</w:t>
            </w:r>
          </w:p>
        </w:tc>
      </w:tr>
      <w:tr>
        <w:tc>
          <w:tcPr>
            <w:gridSpan w:val="5"/>
            <w:tcW w:w="10358" w:type="dxa"/>
          </w:tcPr>
          <w:p>
            <w:pPr>
              <w:pStyle w:val="0"/>
              <w:outlineLvl w:val="3"/>
              <w:jc w:val="center"/>
            </w:pPr>
            <w:r>
              <w:rPr>
                <w:sz w:val="20"/>
              </w:rPr>
              <w:t xml:space="preserve">ЖКХ</w:t>
            </w:r>
          </w:p>
        </w:tc>
      </w:tr>
      <w:tr>
        <w:tc>
          <w:tcPr>
            <w:tcW w:w="3499" w:type="dxa"/>
          </w:tcPr>
          <w:p>
            <w:pPr>
              <w:pStyle w:val="0"/>
            </w:pPr>
            <w:r>
              <w:rPr>
                <w:sz w:val="20"/>
              </w:rPr>
              <w:t xml:space="preserve">Строительство (реконструкция, модернизация) объектов централизованных систем холодного водоснабжения и водоотведения муниципального образования городской округ город Тюмень (концессионное соглашение)</w:t>
            </w:r>
          </w:p>
        </w:tc>
        <w:tc>
          <w:tcPr>
            <w:tcW w:w="1587" w:type="dxa"/>
          </w:tcPr>
          <w:p>
            <w:pPr>
              <w:pStyle w:val="0"/>
              <w:jc w:val="center"/>
            </w:pPr>
            <w:r>
              <w:rPr>
                <w:sz w:val="20"/>
              </w:rPr>
              <w:t xml:space="preserve">2017 - 2031</w:t>
            </w:r>
          </w:p>
        </w:tc>
        <w:tc>
          <w:tcPr>
            <w:tcW w:w="2324" w:type="dxa"/>
          </w:tcPr>
          <w:p>
            <w:pPr>
              <w:pStyle w:val="0"/>
              <w:jc w:val="center"/>
            </w:pPr>
            <w:r>
              <w:rPr>
                <w:sz w:val="20"/>
              </w:rPr>
              <w:t xml:space="preserve">ООО "Тюмень Водоканал"</w:t>
            </w:r>
          </w:p>
        </w:tc>
        <w:tc>
          <w:tcPr>
            <w:tcW w:w="1474" w:type="dxa"/>
          </w:tcPr>
          <w:p>
            <w:pPr>
              <w:pStyle w:val="0"/>
              <w:jc w:val="center"/>
            </w:pPr>
            <w:r>
              <w:rPr>
                <w:sz w:val="20"/>
              </w:rPr>
              <w:t xml:space="preserve">26 109</w:t>
            </w:r>
          </w:p>
        </w:tc>
        <w:tc>
          <w:tcPr>
            <w:tcW w:w="1474" w:type="dxa"/>
          </w:tcPr>
          <w:p>
            <w:pPr>
              <w:pStyle w:val="0"/>
              <w:jc w:val="center"/>
            </w:pPr>
            <w:r>
              <w:rPr>
                <w:sz w:val="20"/>
              </w:rPr>
              <w:t xml:space="preserve">-</w:t>
            </w:r>
          </w:p>
        </w:tc>
      </w:tr>
      <w:tr>
        <w:tc>
          <w:tcPr>
            <w:tcW w:w="3499" w:type="dxa"/>
          </w:tcPr>
          <w:p>
            <w:pPr>
              <w:pStyle w:val="0"/>
            </w:pPr>
            <w:r>
              <w:rPr>
                <w:sz w:val="20"/>
              </w:rPr>
              <w:t xml:space="preserve">Создание, реконструкция (модернизация) объектов централизованных систем холодного водоснабжения и водоотведения муниципального образования Тюменский муниципальный район (концессионное соглашение)</w:t>
            </w:r>
          </w:p>
        </w:tc>
        <w:tc>
          <w:tcPr>
            <w:tcW w:w="1587" w:type="dxa"/>
          </w:tcPr>
          <w:p>
            <w:pPr>
              <w:pStyle w:val="0"/>
              <w:jc w:val="center"/>
            </w:pPr>
            <w:r>
              <w:rPr>
                <w:sz w:val="20"/>
              </w:rPr>
              <w:t xml:space="preserve">2019 - 2024</w:t>
            </w:r>
          </w:p>
        </w:tc>
        <w:tc>
          <w:tcPr>
            <w:tcW w:w="2324" w:type="dxa"/>
          </w:tcPr>
          <w:p>
            <w:pPr>
              <w:pStyle w:val="0"/>
              <w:jc w:val="center"/>
            </w:pPr>
            <w:r>
              <w:rPr>
                <w:sz w:val="20"/>
              </w:rPr>
              <w:t xml:space="preserve">ООО "Тюмень Водоканал"</w:t>
            </w:r>
          </w:p>
        </w:tc>
        <w:tc>
          <w:tcPr>
            <w:tcW w:w="1474" w:type="dxa"/>
          </w:tcPr>
          <w:p>
            <w:pPr>
              <w:pStyle w:val="0"/>
              <w:jc w:val="center"/>
            </w:pPr>
            <w:r>
              <w:rPr>
                <w:sz w:val="20"/>
              </w:rPr>
              <w:t xml:space="preserve">4 386</w:t>
            </w:r>
          </w:p>
        </w:tc>
        <w:tc>
          <w:tcPr>
            <w:tcW w:w="1474" w:type="dxa"/>
          </w:tcPr>
          <w:p>
            <w:pPr>
              <w:pStyle w:val="0"/>
              <w:jc w:val="center"/>
            </w:pPr>
            <w:r>
              <w:rPr>
                <w:sz w:val="20"/>
              </w:rPr>
              <w:t xml:space="preserve">-</w:t>
            </w:r>
          </w:p>
        </w:tc>
      </w:tr>
      <w:tr>
        <w:tc>
          <w:tcPr>
            <w:tcW w:w="3499" w:type="dxa"/>
          </w:tcPr>
          <w:p>
            <w:pPr>
              <w:pStyle w:val="0"/>
            </w:pPr>
            <w:r>
              <w:rPr>
                <w:sz w:val="20"/>
              </w:rPr>
              <w:t xml:space="preserve">Инвестиционный проект по созданию и эксплуатации объектов, используемых для обработки и размещения (захоронения) твердых коммунальных отходов на территории Тюменской области (концессионное соглашение)</w:t>
            </w:r>
          </w:p>
        </w:tc>
        <w:tc>
          <w:tcPr>
            <w:tcW w:w="1587" w:type="dxa"/>
          </w:tcPr>
          <w:p>
            <w:pPr>
              <w:pStyle w:val="0"/>
              <w:jc w:val="center"/>
            </w:pPr>
            <w:r>
              <w:rPr>
                <w:sz w:val="20"/>
              </w:rPr>
              <w:t xml:space="preserve">2014 - 2020</w:t>
            </w:r>
          </w:p>
        </w:tc>
        <w:tc>
          <w:tcPr>
            <w:tcW w:w="2324" w:type="dxa"/>
          </w:tcPr>
          <w:p>
            <w:pPr>
              <w:pStyle w:val="0"/>
              <w:jc w:val="center"/>
            </w:pPr>
            <w:r>
              <w:rPr>
                <w:sz w:val="20"/>
              </w:rPr>
              <w:t xml:space="preserve">ООО "Тюменское экологическое объединение"</w:t>
            </w:r>
          </w:p>
        </w:tc>
        <w:tc>
          <w:tcPr>
            <w:tcW w:w="1474" w:type="dxa"/>
          </w:tcPr>
          <w:p>
            <w:pPr>
              <w:pStyle w:val="0"/>
              <w:jc w:val="center"/>
            </w:pPr>
            <w:r>
              <w:rPr>
                <w:sz w:val="20"/>
              </w:rPr>
              <w:t xml:space="preserve">2 500</w:t>
            </w:r>
          </w:p>
        </w:tc>
        <w:tc>
          <w:tcPr>
            <w:tcW w:w="1474" w:type="dxa"/>
          </w:tcPr>
          <w:p>
            <w:pPr>
              <w:pStyle w:val="0"/>
              <w:jc w:val="center"/>
            </w:pPr>
            <w:r>
              <w:rPr>
                <w:sz w:val="20"/>
              </w:rPr>
              <w:t xml:space="preserve">453</w:t>
            </w:r>
          </w:p>
        </w:tc>
      </w:tr>
      <w:tr>
        <w:tc>
          <w:tcPr>
            <w:tcW w:w="3499" w:type="dxa"/>
          </w:tcPr>
          <w:p>
            <w:pPr>
              <w:pStyle w:val="0"/>
            </w:pPr>
            <w:r>
              <w:rPr>
                <w:sz w:val="20"/>
              </w:rPr>
              <w:t xml:space="preserve">Реконструкция объектов централизованной системы холодного водоснабжения, горячего водоснабжения (закрытая система) и водоотведения города Заводоуковска (концессионное соглашение)</w:t>
            </w:r>
          </w:p>
        </w:tc>
        <w:tc>
          <w:tcPr>
            <w:tcW w:w="1587" w:type="dxa"/>
          </w:tcPr>
          <w:p>
            <w:pPr>
              <w:pStyle w:val="0"/>
              <w:jc w:val="center"/>
            </w:pPr>
            <w:r>
              <w:rPr>
                <w:sz w:val="20"/>
              </w:rPr>
              <w:t xml:space="preserve">2016 - 2025</w:t>
            </w:r>
          </w:p>
        </w:tc>
        <w:tc>
          <w:tcPr>
            <w:tcW w:w="2324" w:type="dxa"/>
          </w:tcPr>
          <w:p>
            <w:pPr>
              <w:pStyle w:val="0"/>
              <w:jc w:val="center"/>
            </w:pPr>
            <w:r>
              <w:rPr>
                <w:sz w:val="20"/>
              </w:rPr>
              <w:t xml:space="preserve">ПАО "СУЭНКО"</w:t>
            </w:r>
          </w:p>
        </w:tc>
        <w:tc>
          <w:tcPr>
            <w:tcW w:w="1474" w:type="dxa"/>
          </w:tcPr>
          <w:p>
            <w:pPr>
              <w:pStyle w:val="0"/>
              <w:jc w:val="center"/>
            </w:pPr>
            <w:r>
              <w:rPr>
                <w:sz w:val="20"/>
              </w:rPr>
              <w:t xml:space="preserve">413</w:t>
            </w:r>
          </w:p>
        </w:tc>
        <w:tc>
          <w:tcPr>
            <w:tcW w:w="1474" w:type="dxa"/>
          </w:tcPr>
          <w:p>
            <w:pPr>
              <w:pStyle w:val="0"/>
              <w:jc w:val="center"/>
            </w:pPr>
            <w:r>
              <w:rPr>
                <w:sz w:val="20"/>
              </w:rPr>
              <w:t xml:space="preserve">-</w:t>
            </w:r>
          </w:p>
        </w:tc>
      </w:tr>
      <w:tr>
        <w:tc>
          <w:tcPr>
            <w:tcW w:w="3499" w:type="dxa"/>
          </w:tcPr>
          <w:p>
            <w:pPr>
              <w:pStyle w:val="0"/>
            </w:pPr>
            <w:r>
              <w:rPr>
                <w:sz w:val="20"/>
              </w:rPr>
              <w:t xml:space="preserve">Реконструкция объектов централизованной системы теплоснабжения города Заводоуковска (концессионное соглашение)</w:t>
            </w:r>
          </w:p>
        </w:tc>
        <w:tc>
          <w:tcPr>
            <w:tcW w:w="1587" w:type="dxa"/>
          </w:tcPr>
          <w:p>
            <w:pPr>
              <w:pStyle w:val="0"/>
              <w:jc w:val="center"/>
            </w:pPr>
            <w:r>
              <w:rPr>
                <w:sz w:val="20"/>
              </w:rPr>
              <w:t xml:space="preserve">2016 - 2025</w:t>
            </w:r>
          </w:p>
        </w:tc>
        <w:tc>
          <w:tcPr>
            <w:tcW w:w="2324" w:type="dxa"/>
          </w:tcPr>
          <w:p>
            <w:pPr>
              <w:pStyle w:val="0"/>
              <w:jc w:val="center"/>
            </w:pPr>
            <w:r>
              <w:rPr>
                <w:sz w:val="20"/>
              </w:rPr>
              <w:t xml:space="preserve">ПАО "СУЭНКО"</w:t>
            </w:r>
          </w:p>
        </w:tc>
        <w:tc>
          <w:tcPr>
            <w:tcW w:w="1474" w:type="dxa"/>
          </w:tcPr>
          <w:p>
            <w:pPr>
              <w:pStyle w:val="0"/>
              <w:jc w:val="center"/>
            </w:pPr>
            <w:r>
              <w:rPr>
                <w:sz w:val="20"/>
              </w:rPr>
              <w:t xml:space="preserve">409</w:t>
            </w:r>
          </w:p>
        </w:tc>
        <w:tc>
          <w:tcPr>
            <w:tcW w:w="1474" w:type="dxa"/>
          </w:tcPr>
          <w:p>
            <w:pPr>
              <w:pStyle w:val="0"/>
              <w:jc w:val="center"/>
            </w:pPr>
            <w:r>
              <w:rPr>
                <w:sz w:val="20"/>
              </w:rPr>
              <w:t xml:space="preserve">-</w:t>
            </w:r>
          </w:p>
        </w:tc>
      </w:tr>
      <w:tr>
        <w:tc>
          <w:tcPr>
            <w:tcW w:w="3499" w:type="dxa"/>
          </w:tcPr>
          <w:p>
            <w:pPr>
              <w:pStyle w:val="0"/>
            </w:pPr>
            <w:r>
              <w:rPr>
                <w:sz w:val="20"/>
              </w:rPr>
              <w:t xml:space="preserve">Реконструкция объектов централизованной системы теплоснабжения города Ишима (концессионное соглашение)</w:t>
            </w:r>
          </w:p>
        </w:tc>
        <w:tc>
          <w:tcPr>
            <w:tcW w:w="1587" w:type="dxa"/>
          </w:tcPr>
          <w:p>
            <w:pPr>
              <w:pStyle w:val="0"/>
              <w:jc w:val="center"/>
            </w:pPr>
            <w:r>
              <w:rPr>
                <w:sz w:val="20"/>
              </w:rPr>
              <w:t xml:space="preserve">2016 - 2020</w:t>
            </w:r>
          </w:p>
        </w:tc>
        <w:tc>
          <w:tcPr>
            <w:tcW w:w="2324" w:type="dxa"/>
          </w:tcPr>
          <w:p>
            <w:pPr>
              <w:pStyle w:val="0"/>
              <w:jc w:val="center"/>
            </w:pPr>
            <w:r>
              <w:rPr>
                <w:sz w:val="20"/>
              </w:rPr>
              <w:t xml:space="preserve">ПАО "СУЭНКО"</w:t>
            </w:r>
          </w:p>
        </w:tc>
        <w:tc>
          <w:tcPr>
            <w:tcW w:w="1474" w:type="dxa"/>
          </w:tcPr>
          <w:p>
            <w:pPr>
              <w:pStyle w:val="0"/>
              <w:jc w:val="center"/>
            </w:pPr>
            <w:r>
              <w:rPr>
                <w:sz w:val="20"/>
              </w:rPr>
              <w:t xml:space="preserve">225</w:t>
            </w:r>
          </w:p>
        </w:tc>
        <w:tc>
          <w:tcPr>
            <w:tcW w:w="1474" w:type="dxa"/>
          </w:tcPr>
          <w:p>
            <w:pPr>
              <w:pStyle w:val="0"/>
              <w:jc w:val="center"/>
            </w:pPr>
            <w:r>
              <w:rPr>
                <w:sz w:val="20"/>
              </w:rPr>
              <w:t xml:space="preserve">-</w:t>
            </w:r>
          </w:p>
        </w:tc>
      </w:tr>
      <w:tr>
        <w:tc>
          <w:tcPr>
            <w:gridSpan w:val="5"/>
            <w:tcW w:w="10358" w:type="dxa"/>
          </w:tcPr>
          <w:p>
            <w:pPr>
              <w:pStyle w:val="0"/>
              <w:outlineLvl w:val="3"/>
              <w:jc w:val="center"/>
            </w:pPr>
            <w:r>
              <w:rPr>
                <w:sz w:val="20"/>
              </w:rPr>
              <w:t xml:space="preserve">Научные исследования и разработки</w:t>
            </w:r>
          </w:p>
        </w:tc>
      </w:tr>
      <w:tr>
        <w:tc>
          <w:tcPr>
            <w:tcW w:w="3499" w:type="dxa"/>
          </w:tcPr>
          <w:p>
            <w:pPr>
              <w:pStyle w:val="0"/>
            </w:pPr>
            <w:r>
              <w:rPr>
                <w:sz w:val="20"/>
              </w:rPr>
              <w:t xml:space="preserve">Строительство центра исследования пластовых систем в городе Тюмени</w:t>
            </w:r>
          </w:p>
        </w:tc>
        <w:tc>
          <w:tcPr>
            <w:tcW w:w="1587" w:type="dxa"/>
          </w:tcPr>
          <w:p>
            <w:pPr>
              <w:pStyle w:val="0"/>
              <w:jc w:val="center"/>
            </w:pPr>
            <w:r>
              <w:rPr>
                <w:sz w:val="20"/>
              </w:rPr>
              <w:t xml:space="preserve">2018 - 2022</w:t>
            </w:r>
          </w:p>
        </w:tc>
        <w:tc>
          <w:tcPr>
            <w:tcW w:w="2324" w:type="dxa"/>
          </w:tcPr>
          <w:p>
            <w:pPr>
              <w:pStyle w:val="0"/>
              <w:jc w:val="center"/>
            </w:pPr>
            <w:r>
              <w:rPr>
                <w:sz w:val="20"/>
              </w:rPr>
              <w:t xml:space="preserve">ООО "Газпромнефть НТЦ"</w:t>
            </w:r>
          </w:p>
        </w:tc>
        <w:tc>
          <w:tcPr>
            <w:tcW w:w="1474" w:type="dxa"/>
          </w:tcPr>
          <w:p>
            <w:pPr>
              <w:pStyle w:val="0"/>
              <w:jc w:val="center"/>
            </w:pPr>
            <w:r>
              <w:rPr>
                <w:sz w:val="20"/>
              </w:rPr>
              <w:t xml:space="preserve">5 000</w:t>
            </w:r>
          </w:p>
        </w:tc>
        <w:tc>
          <w:tcPr>
            <w:tcW w:w="1474" w:type="dxa"/>
          </w:tcPr>
          <w:p>
            <w:pPr>
              <w:pStyle w:val="0"/>
              <w:jc w:val="center"/>
            </w:pPr>
            <w:r>
              <w:rPr>
                <w:sz w:val="20"/>
              </w:rPr>
              <w:t xml:space="preserve">114</w:t>
            </w:r>
          </w:p>
        </w:tc>
      </w:tr>
      <w:tr>
        <w:tc>
          <w:tcPr>
            <w:tcW w:w="3499" w:type="dxa"/>
          </w:tcPr>
          <w:p>
            <w:pPr>
              <w:pStyle w:val="0"/>
            </w:pPr>
            <w:r>
              <w:rPr>
                <w:sz w:val="20"/>
              </w:rPr>
              <w:t xml:space="preserve">Строительство научно-технического центра в городе Тюмени</w:t>
            </w:r>
          </w:p>
        </w:tc>
        <w:tc>
          <w:tcPr>
            <w:tcW w:w="1587" w:type="dxa"/>
          </w:tcPr>
          <w:p>
            <w:pPr>
              <w:pStyle w:val="0"/>
              <w:jc w:val="center"/>
            </w:pPr>
            <w:r>
              <w:rPr>
                <w:sz w:val="20"/>
              </w:rPr>
              <w:t xml:space="preserve">2018 - 2023</w:t>
            </w:r>
          </w:p>
        </w:tc>
        <w:tc>
          <w:tcPr>
            <w:tcW w:w="2324" w:type="dxa"/>
          </w:tcPr>
          <w:p>
            <w:pPr>
              <w:pStyle w:val="0"/>
              <w:jc w:val="center"/>
            </w:pPr>
            <w:r>
              <w:rPr>
                <w:sz w:val="20"/>
              </w:rPr>
              <w:t xml:space="preserve">ООО "НОВАТЭК НТЦ"</w:t>
            </w:r>
          </w:p>
        </w:tc>
        <w:tc>
          <w:tcPr>
            <w:tcW w:w="1474" w:type="dxa"/>
          </w:tcPr>
          <w:p>
            <w:pPr>
              <w:pStyle w:val="0"/>
              <w:jc w:val="center"/>
            </w:pPr>
            <w:r>
              <w:rPr>
                <w:sz w:val="20"/>
              </w:rPr>
              <w:t xml:space="preserve">2 331</w:t>
            </w:r>
          </w:p>
        </w:tc>
        <w:tc>
          <w:tcPr>
            <w:tcW w:w="1474" w:type="dxa"/>
          </w:tcPr>
          <w:p>
            <w:pPr>
              <w:pStyle w:val="0"/>
              <w:jc w:val="center"/>
            </w:pPr>
            <w:r>
              <w:rPr>
                <w:sz w:val="20"/>
              </w:rPr>
              <w:t xml:space="preserve">730</w:t>
            </w:r>
          </w:p>
        </w:tc>
      </w:tr>
      <w:tr>
        <w:tc>
          <w:tcPr>
            <w:gridSpan w:val="5"/>
            <w:tcW w:w="10358" w:type="dxa"/>
          </w:tcPr>
          <w:p>
            <w:pPr>
              <w:pStyle w:val="0"/>
              <w:outlineLvl w:val="3"/>
              <w:jc w:val="center"/>
            </w:pPr>
            <w:r>
              <w:rPr>
                <w:sz w:val="20"/>
              </w:rPr>
              <w:t xml:space="preserve">Логистика</w:t>
            </w:r>
          </w:p>
        </w:tc>
      </w:tr>
      <w:tr>
        <w:tc>
          <w:tcPr>
            <w:tcW w:w="3499" w:type="dxa"/>
          </w:tcPr>
          <w:p>
            <w:pPr>
              <w:pStyle w:val="0"/>
            </w:pPr>
            <w:r>
              <w:rPr>
                <w:sz w:val="20"/>
              </w:rPr>
              <w:t xml:space="preserve">Строительство логистического комплекса, включающего объекты складирования и промышленной обработки текстиля в Тюменском районе</w:t>
            </w:r>
          </w:p>
        </w:tc>
        <w:tc>
          <w:tcPr>
            <w:tcW w:w="1587" w:type="dxa"/>
          </w:tcPr>
          <w:p>
            <w:pPr>
              <w:pStyle w:val="0"/>
              <w:jc w:val="center"/>
            </w:pPr>
            <w:r>
              <w:rPr>
                <w:sz w:val="20"/>
              </w:rPr>
              <w:t xml:space="preserve">2018 - 2020</w:t>
            </w:r>
          </w:p>
        </w:tc>
        <w:tc>
          <w:tcPr>
            <w:tcW w:w="2324" w:type="dxa"/>
          </w:tcPr>
          <w:p>
            <w:pPr>
              <w:pStyle w:val="0"/>
              <w:jc w:val="center"/>
            </w:pPr>
            <w:r>
              <w:rPr>
                <w:sz w:val="20"/>
              </w:rPr>
              <w:t xml:space="preserve">ООО "Коттон Вэй Медикл"</w:t>
            </w:r>
          </w:p>
        </w:tc>
        <w:tc>
          <w:tcPr>
            <w:tcW w:w="1474" w:type="dxa"/>
          </w:tcPr>
          <w:p>
            <w:pPr>
              <w:pStyle w:val="0"/>
              <w:jc w:val="center"/>
            </w:pPr>
            <w:r>
              <w:rPr>
                <w:sz w:val="20"/>
              </w:rPr>
              <w:t xml:space="preserve">740</w:t>
            </w:r>
          </w:p>
        </w:tc>
        <w:tc>
          <w:tcPr>
            <w:tcW w:w="1474" w:type="dxa"/>
          </w:tcPr>
          <w:p>
            <w:pPr>
              <w:pStyle w:val="0"/>
              <w:jc w:val="center"/>
            </w:pPr>
            <w:r>
              <w:rPr>
                <w:sz w:val="20"/>
              </w:rPr>
              <w:t xml:space="preserve">200</w:t>
            </w:r>
          </w:p>
        </w:tc>
      </w:tr>
      <w:tr>
        <w:tc>
          <w:tcPr>
            <w:gridSpan w:val="5"/>
            <w:tcW w:w="10358" w:type="dxa"/>
          </w:tcPr>
          <w:p>
            <w:pPr>
              <w:pStyle w:val="0"/>
              <w:outlineLvl w:val="3"/>
              <w:jc w:val="center"/>
            </w:pPr>
            <w:r>
              <w:rPr>
                <w:sz w:val="20"/>
              </w:rPr>
              <w:t xml:space="preserve">Транспорт</w:t>
            </w:r>
          </w:p>
        </w:tc>
      </w:tr>
      <w:tr>
        <w:tc>
          <w:tcPr>
            <w:tcW w:w="3499" w:type="dxa"/>
          </w:tcPr>
          <w:p>
            <w:pPr>
              <w:pStyle w:val="0"/>
            </w:pPr>
            <w:r>
              <w:rPr>
                <w:sz w:val="20"/>
              </w:rPr>
              <w:t xml:space="preserve">Строительство аэропорта в городе Тобольске</w:t>
            </w:r>
          </w:p>
        </w:tc>
        <w:tc>
          <w:tcPr>
            <w:tcW w:w="1587" w:type="dxa"/>
          </w:tcPr>
          <w:p>
            <w:pPr>
              <w:pStyle w:val="0"/>
              <w:jc w:val="center"/>
            </w:pPr>
            <w:r>
              <w:rPr>
                <w:sz w:val="20"/>
              </w:rPr>
              <w:t xml:space="preserve">2018 - 2023</w:t>
            </w:r>
          </w:p>
        </w:tc>
        <w:tc>
          <w:tcPr>
            <w:tcW w:w="2324" w:type="dxa"/>
          </w:tcPr>
          <w:p>
            <w:pPr>
              <w:pStyle w:val="0"/>
              <w:jc w:val="center"/>
            </w:pPr>
            <w:r>
              <w:rPr>
                <w:sz w:val="20"/>
              </w:rPr>
              <w:t xml:space="preserve">ООО "ЗапСибНефтехим"</w:t>
            </w:r>
          </w:p>
        </w:tc>
        <w:tc>
          <w:tcPr>
            <w:tcW w:w="1474" w:type="dxa"/>
          </w:tcPr>
          <w:p>
            <w:pPr>
              <w:pStyle w:val="0"/>
              <w:jc w:val="center"/>
            </w:pPr>
            <w:r>
              <w:rPr>
                <w:sz w:val="20"/>
              </w:rPr>
              <w:t xml:space="preserve">8 871</w:t>
            </w:r>
          </w:p>
        </w:tc>
        <w:tc>
          <w:tcPr>
            <w:tcW w:w="1474" w:type="dxa"/>
          </w:tcPr>
          <w:p>
            <w:pPr>
              <w:pStyle w:val="0"/>
              <w:jc w:val="center"/>
            </w:pPr>
            <w:r>
              <w:rPr>
                <w:sz w:val="20"/>
              </w:rPr>
              <w:t xml:space="preserve">210</w:t>
            </w:r>
          </w:p>
        </w:tc>
      </w:tr>
    </w:tbl>
    <w:p>
      <w:pPr>
        <w:pStyle w:val="0"/>
        <w:jc w:val="both"/>
      </w:pPr>
      <w:r>
        <w:rPr>
          <w:sz w:val="20"/>
        </w:rPr>
      </w:r>
    </w:p>
    <w:p>
      <w:pPr>
        <w:pStyle w:val="2"/>
        <w:outlineLvl w:val="2"/>
        <w:ind w:firstLine="540"/>
        <w:jc w:val="both"/>
      </w:pPr>
      <w:r>
        <w:rPr>
          <w:sz w:val="20"/>
        </w:rPr>
        <w:t xml:space="preserve">Таблица 2 - Планируемые к реализации и перспективные проекты (с объемами инвестиций более 100 млн рублей)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99"/>
        <w:gridCol w:w="1587"/>
        <w:gridCol w:w="2324"/>
        <w:gridCol w:w="1474"/>
        <w:gridCol w:w="1474"/>
      </w:tblGrid>
      <w:tr>
        <w:tc>
          <w:tcPr>
            <w:tcW w:w="3499" w:type="dxa"/>
          </w:tcPr>
          <w:p>
            <w:pPr>
              <w:pStyle w:val="0"/>
              <w:jc w:val="center"/>
            </w:pPr>
            <w:r>
              <w:rPr>
                <w:sz w:val="20"/>
              </w:rPr>
              <w:t xml:space="preserve">Наименование проекта</w:t>
            </w:r>
          </w:p>
        </w:tc>
        <w:tc>
          <w:tcPr>
            <w:tcW w:w="1587" w:type="dxa"/>
          </w:tcPr>
          <w:p>
            <w:pPr>
              <w:pStyle w:val="0"/>
              <w:jc w:val="center"/>
            </w:pPr>
            <w:r>
              <w:rPr>
                <w:sz w:val="20"/>
              </w:rPr>
              <w:t xml:space="preserve">Срок реализации, годы</w:t>
            </w:r>
          </w:p>
        </w:tc>
        <w:tc>
          <w:tcPr>
            <w:tcW w:w="2324" w:type="dxa"/>
          </w:tcPr>
          <w:p>
            <w:pPr>
              <w:pStyle w:val="0"/>
              <w:jc w:val="center"/>
            </w:pPr>
            <w:r>
              <w:rPr>
                <w:sz w:val="20"/>
              </w:rPr>
              <w:t xml:space="preserve">Инвесторы проекта</w:t>
            </w:r>
          </w:p>
        </w:tc>
        <w:tc>
          <w:tcPr>
            <w:tcW w:w="1474" w:type="dxa"/>
          </w:tcPr>
          <w:p>
            <w:pPr>
              <w:pStyle w:val="0"/>
              <w:jc w:val="center"/>
            </w:pPr>
            <w:r>
              <w:rPr>
                <w:sz w:val="20"/>
              </w:rPr>
              <w:t xml:space="preserve">Объем инвестиций (млн рублей)</w:t>
            </w:r>
          </w:p>
        </w:tc>
        <w:tc>
          <w:tcPr>
            <w:tcW w:w="1474" w:type="dxa"/>
          </w:tcPr>
          <w:p>
            <w:pPr>
              <w:pStyle w:val="0"/>
              <w:jc w:val="center"/>
            </w:pPr>
            <w:r>
              <w:rPr>
                <w:sz w:val="20"/>
              </w:rPr>
              <w:t xml:space="preserve">Количество создаваемых рабочих мест</w:t>
            </w:r>
          </w:p>
        </w:tc>
      </w:tr>
      <w:tr>
        <w:tc>
          <w:tcPr>
            <w:gridSpan w:val="5"/>
            <w:tcW w:w="10358" w:type="dxa"/>
          </w:tcPr>
          <w:p>
            <w:pPr>
              <w:pStyle w:val="0"/>
              <w:outlineLvl w:val="3"/>
              <w:jc w:val="center"/>
            </w:pPr>
            <w:r>
              <w:rPr>
                <w:sz w:val="20"/>
              </w:rPr>
              <w:t xml:space="preserve">Нефтепереработка, химия и нефтегазохимия, нефтедобыча</w:t>
            </w:r>
          </w:p>
        </w:tc>
      </w:tr>
      <w:tr>
        <w:tc>
          <w:tcPr>
            <w:tcW w:w="3499" w:type="dxa"/>
          </w:tcPr>
          <w:p>
            <w:pPr>
              <w:pStyle w:val="0"/>
            </w:pPr>
            <w:r>
              <w:rPr>
                <w:sz w:val="20"/>
              </w:rPr>
              <w:t xml:space="preserve">Создание производства концентрата технического углерода (КТУ) в</w:t>
            </w:r>
          </w:p>
          <w:p>
            <w:pPr>
              <w:pStyle w:val="0"/>
            </w:pPr>
            <w:r>
              <w:rPr>
                <w:sz w:val="20"/>
              </w:rPr>
              <w:t xml:space="preserve">городе Тюмени</w:t>
            </w:r>
          </w:p>
        </w:tc>
        <w:tc>
          <w:tcPr>
            <w:tcW w:w="1587" w:type="dxa"/>
          </w:tcPr>
          <w:p>
            <w:pPr>
              <w:pStyle w:val="0"/>
              <w:jc w:val="center"/>
            </w:pPr>
            <w:r>
              <w:rPr>
                <w:sz w:val="20"/>
              </w:rPr>
              <w:t xml:space="preserve">2020 - 2022</w:t>
            </w:r>
          </w:p>
        </w:tc>
        <w:tc>
          <w:tcPr>
            <w:tcW w:w="2324" w:type="dxa"/>
          </w:tcPr>
          <w:p>
            <w:pPr>
              <w:pStyle w:val="0"/>
              <w:jc w:val="center"/>
            </w:pPr>
            <w:r>
              <w:rPr>
                <w:sz w:val="20"/>
              </w:rPr>
              <w:t xml:space="preserve">Группа "ПОЛИПЛАСТИК"</w:t>
            </w:r>
          </w:p>
        </w:tc>
        <w:tc>
          <w:tcPr>
            <w:tcW w:w="1474" w:type="dxa"/>
          </w:tcPr>
          <w:p>
            <w:pPr>
              <w:pStyle w:val="0"/>
              <w:jc w:val="center"/>
            </w:pPr>
            <w:r>
              <w:rPr>
                <w:sz w:val="20"/>
              </w:rPr>
              <w:t xml:space="preserve">1 000</w:t>
            </w:r>
          </w:p>
        </w:tc>
        <w:tc>
          <w:tcPr>
            <w:tcW w:w="1474" w:type="dxa"/>
          </w:tcPr>
          <w:p>
            <w:pPr>
              <w:pStyle w:val="0"/>
              <w:jc w:val="center"/>
            </w:pPr>
            <w:r>
              <w:rPr>
                <w:sz w:val="20"/>
              </w:rPr>
              <w:t xml:space="preserve">60</w:t>
            </w:r>
          </w:p>
        </w:tc>
      </w:tr>
      <w:tr>
        <w:tc>
          <w:tcPr>
            <w:gridSpan w:val="5"/>
            <w:tcW w:w="10358" w:type="dxa"/>
          </w:tcPr>
          <w:p>
            <w:pPr>
              <w:pStyle w:val="0"/>
              <w:outlineLvl w:val="3"/>
              <w:jc w:val="center"/>
            </w:pPr>
            <w:r>
              <w:rPr>
                <w:sz w:val="20"/>
              </w:rPr>
              <w:t xml:space="preserve">Деревоперерабатывающая промышленность</w:t>
            </w:r>
          </w:p>
        </w:tc>
      </w:tr>
      <w:tr>
        <w:tc>
          <w:tcPr>
            <w:tcW w:w="3499" w:type="dxa"/>
          </w:tcPr>
          <w:p>
            <w:pPr>
              <w:pStyle w:val="0"/>
            </w:pPr>
            <w:r>
              <w:rPr>
                <w:sz w:val="20"/>
              </w:rPr>
              <w:t xml:space="preserve">Строительство завода по производству фанеры мощностью 108 тыс. куб. м в год в Уватском районе</w:t>
            </w:r>
          </w:p>
        </w:tc>
        <w:tc>
          <w:tcPr>
            <w:tcW w:w="1587" w:type="dxa"/>
          </w:tcPr>
          <w:p>
            <w:pPr>
              <w:pStyle w:val="0"/>
              <w:jc w:val="center"/>
            </w:pPr>
            <w:r>
              <w:rPr>
                <w:sz w:val="20"/>
              </w:rPr>
              <w:t xml:space="preserve">2019 - 2023</w:t>
            </w:r>
          </w:p>
        </w:tc>
        <w:tc>
          <w:tcPr>
            <w:tcW w:w="2324" w:type="dxa"/>
          </w:tcPr>
          <w:p>
            <w:pPr>
              <w:pStyle w:val="0"/>
              <w:jc w:val="center"/>
            </w:pPr>
            <w:r>
              <w:rPr>
                <w:sz w:val="20"/>
              </w:rPr>
              <w:t xml:space="preserve">ООО "Тюменский лесопромышленный комплекс"</w:t>
            </w:r>
          </w:p>
        </w:tc>
        <w:tc>
          <w:tcPr>
            <w:tcW w:w="1474" w:type="dxa"/>
          </w:tcPr>
          <w:p>
            <w:pPr>
              <w:pStyle w:val="0"/>
              <w:jc w:val="center"/>
            </w:pPr>
            <w:r>
              <w:rPr>
                <w:sz w:val="20"/>
              </w:rPr>
              <w:t xml:space="preserve">9 038</w:t>
            </w:r>
          </w:p>
        </w:tc>
        <w:tc>
          <w:tcPr>
            <w:tcW w:w="1474" w:type="dxa"/>
          </w:tcPr>
          <w:p>
            <w:pPr>
              <w:pStyle w:val="0"/>
              <w:jc w:val="center"/>
            </w:pPr>
            <w:r>
              <w:rPr>
                <w:sz w:val="20"/>
              </w:rPr>
              <w:t xml:space="preserve">934</w:t>
            </w:r>
          </w:p>
        </w:tc>
      </w:tr>
      <w:tr>
        <w:tc>
          <w:tcPr>
            <w:gridSpan w:val="5"/>
            <w:tcW w:w="10358" w:type="dxa"/>
          </w:tcPr>
          <w:p>
            <w:pPr>
              <w:pStyle w:val="0"/>
              <w:outlineLvl w:val="3"/>
              <w:jc w:val="center"/>
            </w:pPr>
            <w:r>
              <w:rPr>
                <w:sz w:val="20"/>
              </w:rPr>
              <w:t xml:space="preserve">АПК (сельское хозяйство, рыбоводство и пищевая промышленность)</w:t>
            </w:r>
          </w:p>
        </w:tc>
      </w:tr>
      <w:tr>
        <w:tc>
          <w:tcPr>
            <w:tcW w:w="3499" w:type="dxa"/>
          </w:tcPr>
          <w:p>
            <w:pPr>
              <w:pStyle w:val="0"/>
            </w:pPr>
            <w:r>
              <w:rPr>
                <w:sz w:val="20"/>
              </w:rPr>
              <w:t xml:space="preserve">Строительство свинокомплекса для содержания 100 тыс. голов в Юргинском районе</w:t>
            </w:r>
          </w:p>
        </w:tc>
        <w:tc>
          <w:tcPr>
            <w:tcW w:w="1587" w:type="dxa"/>
          </w:tcPr>
          <w:p>
            <w:pPr>
              <w:pStyle w:val="0"/>
              <w:jc w:val="center"/>
            </w:pPr>
            <w:r>
              <w:rPr>
                <w:sz w:val="20"/>
              </w:rPr>
              <w:t xml:space="preserve">2019 - 2021</w:t>
            </w:r>
          </w:p>
        </w:tc>
        <w:tc>
          <w:tcPr>
            <w:tcW w:w="2324" w:type="dxa"/>
          </w:tcPr>
          <w:p>
            <w:pPr>
              <w:pStyle w:val="0"/>
              <w:jc w:val="center"/>
            </w:pPr>
            <w:r>
              <w:rPr>
                <w:sz w:val="20"/>
              </w:rPr>
              <w:t xml:space="preserve">ООО СК "Юргинское" ("АРСИБ Холдинг")</w:t>
            </w:r>
          </w:p>
        </w:tc>
        <w:tc>
          <w:tcPr>
            <w:tcW w:w="1474" w:type="dxa"/>
          </w:tcPr>
          <w:p>
            <w:pPr>
              <w:pStyle w:val="0"/>
              <w:jc w:val="center"/>
            </w:pPr>
            <w:r>
              <w:rPr>
                <w:sz w:val="20"/>
              </w:rPr>
              <w:t xml:space="preserve">1 790</w:t>
            </w:r>
          </w:p>
        </w:tc>
        <w:tc>
          <w:tcPr>
            <w:tcW w:w="1474" w:type="dxa"/>
          </w:tcPr>
          <w:p>
            <w:pPr>
              <w:pStyle w:val="0"/>
              <w:jc w:val="center"/>
            </w:pPr>
            <w:r>
              <w:rPr>
                <w:sz w:val="20"/>
              </w:rPr>
              <w:t xml:space="preserve">115</w:t>
            </w:r>
          </w:p>
        </w:tc>
      </w:tr>
      <w:tr>
        <w:tc>
          <w:tcPr>
            <w:tcW w:w="3499" w:type="dxa"/>
          </w:tcPr>
          <w:p>
            <w:pPr>
              <w:pStyle w:val="0"/>
            </w:pPr>
            <w:r>
              <w:rPr>
                <w:sz w:val="20"/>
              </w:rPr>
              <w:t xml:space="preserve">Строительство молочной товарной фермы для содержания 1800 голов КРС в Ялуторовском районе</w:t>
            </w:r>
          </w:p>
        </w:tc>
        <w:tc>
          <w:tcPr>
            <w:tcW w:w="1587" w:type="dxa"/>
          </w:tcPr>
          <w:p>
            <w:pPr>
              <w:pStyle w:val="0"/>
              <w:jc w:val="center"/>
            </w:pPr>
            <w:r>
              <w:rPr>
                <w:sz w:val="20"/>
              </w:rPr>
              <w:t xml:space="preserve">2019 - 2021</w:t>
            </w:r>
          </w:p>
        </w:tc>
        <w:tc>
          <w:tcPr>
            <w:tcW w:w="2324" w:type="dxa"/>
          </w:tcPr>
          <w:p>
            <w:pPr>
              <w:pStyle w:val="0"/>
              <w:jc w:val="center"/>
            </w:pPr>
            <w:r>
              <w:rPr>
                <w:sz w:val="20"/>
              </w:rPr>
              <w:t xml:space="preserve">ООО "Партнер - Агро" ("АРСИБ Холдинг")</w:t>
            </w:r>
          </w:p>
        </w:tc>
        <w:tc>
          <w:tcPr>
            <w:tcW w:w="1474" w:type="dxa"/>
          </w:tcPr>
          <w:p>
            <w:pPr>
              <w:pStyle w:val="0"/>
              <w:jc w:val="center"/>
            </w:pPr>
            <w:r>
              <w:rPr>
                <w:sz w:val="20"/>
              </w:rPr>
              <w:t xml:space="preserve">1 722</w:t>
            </w:r>
          </w:p>
        </w:tc>
        <w:tc>
          <w:tcPr>
            <w:tcW w:w="1474" w:type="dxa"/>
          </w:tcPr>
          <w:p>
            <w:pPr>
              <w:pStyle w:val="0"/>
              <w:jc w:val="center"/>
            </w:pPr>
            <w:r>
              <w:rPr>
                <w:sz w:val="20"/>
              </w:rPr>
              <w:t xml:space="preserve">60</w:t>
            </w:r>
          </w:p>
        </w:tc>
      </w:tr>
      <w:tr>
        <w:tc>
          <w:tcPr>
            <w:gridSpan w:val="5"/>
            <w:tcW w:w="10358" w:type="dxa"/>
          </w:tcPr>
          <w:p>
            <w:pPr>
              <w:pStyle w:val="0"/>
              <w:outlineLvl w:val="3"/>
              <w:jc w:val="center"/>
            </w:pPr>
            <w:r>
              <w:rPr>
                <w:sz w:val="20"/>
              </w:rPr>
              <w:t xml:space="preserve">Гостиничный бизнес и туристическая индустрия, девелопмент, медицинские услуги</w:t>
            </w:r>
          </w:p>
        </w:tc>
      </w:tr>
      <w:tr>
        <w:tc>
          <w:tcPr>
            <w:tcW w:w="3499" w:type="dxa"/>
          </w:tcPr>
          <w:p>
            <w:pPr>
              <w:pStyle w:val="0"/>
            </w:pPr>
            <w:r>
              <w:rPr>
                <w:sz w:val="20"/>
              </w:rPr>
              <w:t xml:space="preserve">Строительство онкологического центра в городе Тюмени</w:t>
            </w:r>
          </w:p>
        </w:tc>
        <w:tc>
          <w:tcPr>
            <w:tcW w:w="1587" w:type="dxa"/>
          </w:tcPr>
          <w:p>
            <w:pPr>
              <w:pStyle w:val="0"/>
              <w:jc w:val="center"/>
            </w:pPr>
            <w:r>
              <w:rPr>
                <w:sz w:val="20"/>
              </w:rPr>
              <w:t xml:space="preserve">2019 - 2021</w:t>
            </w:r>
          </w:p>
        </w:tc>
        <w:tc>
          <w:tcPr>
            <w:tcW w:w="2324" w:type="dxa"/>
          </w:tcPr>
          <w:p>
            <w:pPr>
              <w:pStyle w:val="0"/>
              <w:jc w:val="center"/>
            </w:pPr>
            <w:r>
              <w:rPr>
                <w:sz w:val="20"/>
              </w:rPr>
              <w:t xml:space="preserve">н/д</w:t>
            </w:r>
          </w:p>
        </w:tc>
        <w:tc>
          <w:tcPr>
            <w:tcW w:w="1474" w:type="dxa"/>
          </w:tcPr>
          <w:p>
            <w:pPr>
              <w:pStyle w:val="0"/>
              <w:jc w:val="center"/>
            </w:pPr>
            <w:r>
              <w:rPr>
                <w:sz w:val="20"/>
              </w:rPr>
              <w:t xml:space="preserve">9 370</w:t>
            </w:r>
          </w:p>
        </w:tc>
        <w:tc>
          <w:tcPr>
            <w:tcW w:w="1474" w:type="dxa"/>
          </w:tcPr>
          <w:p>
            <w:pPr>
              <w:pStyle w:val="0"/>
              <w:jc w:val="center"/>
            </w:pPr>
            <w:r>
              <w:rPr>
                <w:sz w:val="20"/>
              </w:rPr>
              <w:t xml:space="preserve">н/д</w:t>
            </w:r>
          </w:p>
        </w:tc>
      </w:tr>
      <w:tr>
        <w:tc>
          <w:tcPr>
            <w:tcW w:w="3499" w:type="dxa"/>
          </w:tcPr>
          <w:p>
            <w:pPr>
              <w:pStyle w:val="0"/>
            </w:pPr>
            <w:r>
              <w:rPr>
                <w:sz w:val="20"/>
              </w:rPr>
              <w:t xml:space="preserve">Создание "Парка отдыха и развлечений "Ершов Град" (в том числе строительство гостевых домов) в Тюменском районе</w:t>
            </w:r>
          </w:p>
        </w:tc>
        <w:tc>
          <w:tcPr>
            <w:tcW w:w="1587" w:type="dxa"/>
          </w:tcPr>
          <w:p>
            <w:pPr>
              <w:pStyle w:val="0"/>
              <w:jc w:val="center"/>
            </w:pPr>
            <w:r>
              <w:rPr>
                <w:sz w:val="20"/>
              </w:rPr>
              <w:t xml:space="preserve">2020 - 2023</w:t>
            </w:r>
          </w:p>
        </w:tc>
        <w:tc>
          <w:tcPr>
            <w:tcW w:w="2324" w:type="dxa"/>
          </w:tcPr>
          <w:p>
            <w:pPr>
              <w:pStyle w:val="0"/>
              <w:jc w:val="center"/>
            </w:pPr>
            <w:r>
              <w:rPr>
                <w:sz w:val="20"/>
              </w:rPr>
              <w:t xml:space="preserve">н/д</w:t>
            </w:r>
          </w:p>
        </w:tc>
        <w:tc>
          <w:tcPr>
            <w:tcW w:w="1474" w:type="dxa"/>
          </w:tcPr>
          <w:p>
            <w:pPr>
              <w:pStyle w:val="0"/>
              <w:jc w:val="center"/>
            </w:pPr>
            <w:r>
              <w:rPr>
                <w:sz w:val="20"/>
              </w:rPr>
              <w:t xml:space="preserve">2 240</w:t>
            </w:r>
          </w:p>
        </w:tc>
        <w:tc>
          <w:tcPr>
            <w:tcW w:w="1474" w:type="dxa"/>
          </w:tcPr>
          <w:p>
            <w:pPr>
              <w:pStyle w:val="0"/>
              <w:jc w:val="center"/>
            </w:pPr>
            <w:r>
              <w:rPr>
                <w:sz w:val="20"/>
              </w:rPr>
              <w:t xml:space="preserve">н/д</w:t>
            </w:r>
          </w:p>
        </w:tc>
      </w:tr>
      <w:tr>
        <w:tc>
          <w:tcPr>
            <w:tcW w:w="3499" w:type="dxa"/>
          </w:tcPr>
          <w:p>
            <w:pPr>
              <w:pStyle w:val="0"/>
            </w:pPr>
            <w:r>
              <w:rPr>
                <w:sz w:val="20"/>
              </w:rPr>
              <w:t xml:space="preserve">Строительство гостиничного комплекса вблизи аэропорта "Рощино" в городе Тюмени</w:t>
            </w:r>
          </w:p>
        </w:tc>
        <w:tc>
          <w:tcPr>
            <w:tcW w:w="1587" w:type="dxa"/>
          </w:tcPr>
          <w:p>
            <w:pPr>
              <w:pStyle w:val="0"/>
              <w:jc w:val="center"/>
            </w:pPr>
            <w:r>
              <w:rPr>
                <w:sz w:val="20"/>
              </w:rPr>
              <w:t xml:space="preserve">2019 - 2021</w:t>
            </w:r>
          </w:p>
        </w:tc>
        <w:tc>
          <w:tcPr>
            <w:tcW w:w="2324" w:type="dxa"/>
          </w:tcPr>
          <w:p>
            <w:pPr>
              <w:pStyle w:val="0"/>
              <w:jc w:val="center"/>
            </w:pPr>
            <w:r>
              <w:rPr>
                <w:sz w:val="20"/>
              </w:rPr>
              <w:t xml:space="preserve">АО "Аэропорт Рощино"</w:t>
            </w:r>
          </w:p>
        </w:tc>
        <w:tc>
          <w:tcPr>
            <w:tcW w:w="1474" w:type="dxa"/>
          </w:tcPr>
          <w:p>
            <w:pPr>
              <w:pStyle w:val="0"/>
              <w:jc w:val="center"/>
            </w:pPr>
            <w:r>
              <w:rPr>
                <w:sz w:val="20"/>
              </w:rPr>
              <w:t xml:space="preserve">700</w:t>
            </w:r>
          </w:p>
        </w:tc>
        <w:tc>
          <w:tcPr>
            <w:tcW w:w="1474" w:type="dxa"/>
          </w:tcPr>
          <w:p>
            <w:pPr>
              <w:pStyle w:val="0"/>
              <w:jc w:val="center"/>
            </w:pPr>
            <w:r>
              <w:rPr>
                <w:sz w:val="20"/>
              </w:rPr>
              <w:t xml:space="preserve">50</w:t>
            </w:r>
          </w:p>
        </w:tc>
      </w:tr>
      <w:tr>
        <w:tc>
          <w:tcPr>
            <w:gridSpan w:val="5"/>
            <w:tcW w:w="10358" w:type="dxa"/>
          </w:tcPr>
          <w:p>
            <w:pPr>
              <w:pStyle w:val="0"/>
              <w:outlineLvl w:val="3"/>
              <w:jc w:val="center"/>
            </w:pPr>
            <w:r>
              <w:rPr>
                <w:sz w:val="20"/>
              </w:rPr>
              <w:t xml:space="preserve">Транспорт</w:t>
            </w:r>
          </w:p>
        </w:tc>
      </w:tr>
      <w:tr>
        <w:tc>
          <w:tcPr>
            <w:tcW w:w="3499" w:type="dxa"/>
          </w:tcPr>
          <w:p>
            <w:pPr>
              <w:pStyle w:val="0"/>
            </w:pPr>
            <w:r>
              <w:rPr>
                <w:sz w:val="20"/>
              </w:rPr>
              <w:t xml:space="preserve">Реконструкция международного аэропорта "Рощино"</w:t>
            </w:r>
          </w:p>
        </w:tc>
        <w:tc>
          <w:tcPr>
            <w:tcW w:w="1587" w:type="dxa"/>
          </w:tcPr>
          <w:p>
            <w:pPr>
              <w:pStyle w:val="0"/>
              <w:jc w:val="center"/>
            </w:pPr>
            <w:r>
              <w:rPr>
                <w:sz w:val="20"/>
              </w:rPr>
              <w:t xml:space="preserve">2020 - 2023</w:t>
            </w:r>
          </w:p>
        </w:tc>
        <w:tc>
          <w:tcPr>
            <w:tcW w:w="2324" w:type="dxa"/>
          </w:tcPr>
          <w:p>
            <w:pPr>
              <w:pStyle w:val="0"/>
              <w:jc w:val="center"/>
            </w:pPr>
            <w:r>
              <w:rPr>
                <w:sz w:val="20"/>
              </w:rPr>
              <w:t xml:space="preserve">ООО "Новапорт Холдинг"</w:t>
            </w:r>
          </w:p>
        </w:tc>
        <w:tc>
          <w:tcPr>
            <w:tcW w:w="1474" w:type="dxa"/>
          </w:tcPr>
          <w:p>
            <w:pPr>
              <w:pStyle w:val="0"/>
              <w:jc w:val="center"/>
            </w:pPr>
            <w:r>
              <w:rPr>
                <w:sz w:val="20"/>
              </w:rPr>
              <w:t xml:space="preserve">6 200</w:t>
            </w:r>
          </w:p>
        </w:tc>
        <w:tc>
          <w:tcPr>
            <w:tcW w:w="1474" w:type="dxa"/>
          </w:tcPr>
          <w:p>
            <w:pPr>
              <w:pStyle w:val="0"/>
              <w:jc w:val="center"/>
            </w:pPr>
            <w:r>
              <w:rPr>
                <w:sz w:val="20"/>
              </w:rPr>
              <w:t xml:space="preserve">н/д</w:t>
            </w:r>
          </w:p>
        </w:tc>
      </w:tr>
      <w:tr>
        <w:tc>
          <w:tcPr>
            <w:tcW w:w="3499" w:type="dxa"/>
          </w:tcPr>
          <w:p>
            <w:pPr>
              <w:pStyle w:val="0"/>
            </w:pPr>
            <w:r>
              <w:rPr>
                <w:sz w:val="20"/>
              </w:rPr>
              <w:t xml:space="preserve">Реконструкция взлетно-посадочной полосы N 1 (ВПП-1) аэропорта "Рощино"</w:t>
            </w:r>
          </w:p>
        </w:tc>
        <w:tc>
          <w:tcPr>
            <w:tcW w:w="1587" w:type="dxa"/>
          </w:tcPr>
          <w:p>
            <w:pPr>
              <w:pStyle w:val="0"/>
              <w:jc w:val="center"/>
            </w:pPr>
            <w:r>
              <w:rPr>
                <w:sz w:val="20"/>
              </w:rPr>
              <w:t xml:space="preserve">2021 - 2023</w:t>
            </w:r>
          </w:p>
        </w:tc>
        <w:tc>
          <w:tcPr>
            <w:tcW w:w="2324" w:type="dxa"/>
          </w:tcPr>
          <w:p>
            <w:pPr>
              <w:pStyle w:val="0"/>
              <w:jc w:val="center"/>
            </w:pPr>
            <w:r>
              <w:rPr>
                <w:sz w:val="20"/>
              </w:rPr>
              <w:t xml:space="preserve">Правительство Тюменской области</w:t>
            </w:r>
          </w:p>
        </w:tc>
        <w:tc>
          <w:tcPr>
            <w:tcW w:w="1474" w:type="dxa"/>
          </w:tcPr>
          <w:p>
            <w:pPr>
              <w:pStyle w:val="0"/>
              <w:jc w:val="center"/>
            </w:pPr>
            <w:r>
              <w:rPr>
                <w:sz w:val="20"/>
              </w:rPr>
              <w:t xml:space="preserve">3 800</w:t>
            </w:r>
          </w:p>
        </w:tc>
        <w:tc>
          <w:tcPr>
            <w:tcW w:w="1474" w:type="dxa"/>
          </w:tcPr>
          <w:p>
            <w:pPr>
              <w:pStyle w:val="0"/>
              <w:jc w:val="center"/>
            </w:pPr>
            <w:r>
              <w:rPr>
                <w:sz w:val="20"/>
              </w:rPr>
              <w:t xml:space="preserve">н/д</w:t>
            </w:r>
          </w:p>
        </w:tc>
      </w:tr>
      <w:tr>
        <w:tc>
          <w:tcPr>
            <w:tcW w:w="3499" w:type="dxa"/>
          </w:tcPr>
          <w:p>
            <w:pPr>
              <w:pStyle w:val="0"/>
            </w:pPr>
            <w:r>
              <w:rPr>
                <w:sz w:val="20"/>
              </w:rPr>
              <w:t xml:space="preserve">Строительство третьего электрифицированного железнодорожного пути дороги Екатеринбург - Тюмень на участке Богданович - Тюмень</w:t>
            </w:r>
          </w:p>
        </w:tc>
        <w:tc>
          <w:tcPr>
            <w:tcW w:w="1587" w:type="dxa"/>
          </w:tcPr>
          <w:p>
            <w:pPr>
              <w:pStyle w:val="0"/>
              <w:jc w:val="center"/>
            </w:pPr>
            <w:r>
              <w:rPr>
                <w:sz w:val="20"/>
              </w:rPr>
              <w:t xml:space="preserve">2021 - 2030</w:t>
            </w:r>
          </w:p>
        </w:tc>
        <w:tc>
          <w:tcPr>
            <w:tcW w:w="2324" w:type="dxa"/>
          </w:tcPr>
          <w:p>
            <w:pPr>
              <w:pStyle w:val="0"/>
              <w:jc w:val="center"/>
            </w:pPr>
            <w:r>
              <w:rPr>
                <w:sz w:val="20"/>
              </w:rPr>
              <w:t xml:space="preserve">ОАО "РЖД"</w:t>
            </w:r>
          </w:p>
        </w:tc>
        <w:tc>
          <w:tcPr>
            <w:tcW w:w="1474" w:type="dxa"/>
          </w:tcPr>
          <w:p>
            <w:pPr>
              <w:pStyle w:val="0"/>
              <w:jc w:val="center"/>
            </w:pPr>
            <w:r>
              <w:rPr>
                <w:sz w:val="20"/>
              </w:rPr>
              <w:t xml:space="preserve">н/д</w:t>
            </w:r>
          </w:p>
        </w:tc>
        <w:tc>
          <w:tcPr>
            <w:tcW w:w="1474" w:type="dxa"/>
          </w:tcPr>
          <w:p>
            <w:pPr>
              <w:pStyle w:val="0"/>
              <w:jc w:val="center"/>
            </w:pPr>
            <w:r>
              <w:rPr>
                <w:sz w:val="20"/>
              </w:rPr>
              <w:t xml:space="preserve">н/д</w:t>
            </w:r>
          </w:p>
        </w:tc>
      </w:tr>
      <w:tr>
        <w:tc>
          <w:tcPr>
            <w:tcW w:w="3499" w:type="dxa"/>
          </w:tcPr>
          <w:p>
            <w:pPr>
              <w:pStyle w:val="0"/>
            </w:pPr>
            <w:r>
              <w:rPr>
                <w:sz w:val="20"/>
              </w:rPr>
              <w:t xml:space="preserve">Развитие Тюменского железнодорожного узла</w:t>
            </w:r>
          </w:p>
        </w:tc>
        <w:tc>
          <w:tcPr>
            <w:tcW w:w="1587" w:type="dxa"/>
          </w:tcPr>
          <w:p>
            <w:pPr>
              <w:pStyle w:val="0"/>
              <w:jc w:val="center"/>
            </w:pPr>
            <w:r>
              <w:rPr>
                <w:sz w:val="20"/>
              </w:rPr>
              <w:t xml:space="preserve">2023 - 2031</w:t>
            </w:r>
          </w:p>
        </w:tc>
        <w:tc>
          <w:tcPr>
            <w:tcW w:w="2324" w:type="dxa"/>
          </w:tcPr>
          <w:p>
            <w:pPr>
              <w:pStyle w:val="0"/>
              <w:jc w:val="center"/>
            </w:pPr>
            <w:r>
              <w:rPr>
                <w:sz w:val="20"/>
              </w:rPr>
              <w:t xml:space="preserve">ОАО "РЖД"</w:t>
            </w:r>
          </w:p>
        </w:tc>
        <w:tc>
          <w:tcPr>
            <w:tcW w:w="1474" w:type="dxa"/>
          </w:tcPr>
          <w:p>
            <w:pPr>
              <w:pStyle w:val="0"/>
              <w:jc w:val="center"/>
            </w:pPr>
            <w:r>
              <w:rPr>
                <w:sz w:val="20"/>
              </w:rPr>
              <w:t xml:space="preserve">22 100</w:t>
            </w:r>
          </w:p>
        </w:tc>
        <w:tc>
          <w:tcPr>
            <w:tcW w:w="1474" w:type="dxa"/>
          </w:tcPr>
          <w:p>
            <w:pPr>
              <w:pStyle w:val="0"/>
              <w:jc w:val="center"/>
            </w:pPr>
            <w:r>
              <w:rPr>
                <w:sz w:val="20"/>
              </w:rPr>
              <w:t xml:space="preserve">н/д</w:t>
            </w:r>
          </w:p>
        </w:tc>
      </w:tr>
    </w:tbl>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bookmarkStart w:id="4717" w:name="P4717"/>
    <w:bookmarkEnd w:id="4717"/>
    <w:p>
      <w:pPr>
        <w:pStyle w:val="2"/>
        <w:jc w:val="center"/>
      </w:pPr>
      <w:r>
        <w:rPr>
          <w:sz w:val="20"/>
        </w:rPr>
        <w:t xml:space="preserve">СТРАТЕГИЯ</w:t>
      </w:r>
    </w:p>
    <w:p>
      <w:pPr>
        <w:pStyle w:val="2"/>
        <w:jc w:val="center"/>
      </w:pPr>
      <w:r>
        <w:rPr>
          <w:sz w:val="20"/>
        </w:rPr>
        <w:t xml:space="preserve">В ОБЛАСТИ ОБЕСПЕЧЕНИЯ БЛАГОПРИЯТНЫХ УСЛОВИЙ</w:t>
      </w:r>
    </w:p>
    <w:p>
      <w:pPr>
        <w:pStyle w:val="2"/>
        <w:jc w:val="center"/>
      </w:pPr>
      <w:r>
        <w:rPr>
          <w:sz w:val="20"/>
        </w:rPr>
        <w:t xml:space="preserve">ДЛЯ ВЕДЕНИЯ ЭКСПОРТНОЙ ДЕЯТЕЛЬНОСТИ</w:t>
      </w:r>
    </w:p>
    <w:p>
      <w:pPr>
        <w:pStyle w:val="0"/>
        <w:jc w:val="both"/>
      </w:pPr>
      <w:r>
        <w:rPr>
          <w:sz w:val="20"/>
        </w:rPr>
      </w:r>
    </w:p>
    <w:p>
      <w:pPr>
        <w:pStyle w:val="0"/>
        <w:ind w:firstLine="540"/>
        <w:jc w:val="both"/>
      </w:pPr>
      <w:r>
        <w:rPr>
          <w:sz w:val="20"/>
        </w:rPr>
        <w:t xml:space="preserve">Стратегия по обеспечению благоприятных условий для развития экспортной деятельности в Тюменской области разработана с учетом долгосрочных задач социально-экономического развития Российской Федерации и Тюменской области, а также задач, определенных национальным </w:t>
      </w:r>
      <w:hyperlink w:history="0" r:id="rId67" w:tooltip="&quot;Паспорт национального проекта (программы) &quot;Международная кооперация и экспорт&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проектом</w:t>
        </w:r>
      </w:hyperlink>
      <w:r>
        <w:rPr>
          <w:sz w:val="20"/>
        </w:rPr>
        <w:t xml:space="preserve"> "Международная кооперация и экспорт", утвержденным 24.12.2018 президиумом Совета при Президенте Российской Федерации по стратегическому развитию и национальным проектам.</w:t>
      </w:r>
    </w:p>
    <w:p>
      <w:pPr>
        <w:pStyle w:val="0"/>
        <w:spacing w:before="200" w:line-rule="auto"/>
        <w:ind w:firstLine="540"/>
        <w:jc w:val="both"/>
      </w:pPr>
      <w:r>
        <w:rPr>
          <w:sz w:val="20"/>
        </w:rPr>
        <w:t xml:space="preserve">Развитие межрегиональных и внешнеэкономических связей является одним из важнейших факторов экономического роста региона. Модернизация предприятий региона, ориентация на ускоренный рост и структурные изменения, связанные с выходом на новые рынки и повышением уровня конкурентоспособности, усиливают в перспективе роль экспортной деятельности. Возрастает спрос на иностранный капитал, технологии и рабочую силу для целей модернизации и структурной перестройки хозяйственного комплекса. Появляется необходимость выхода на новые рынки и в общем увеличении экспортного предложения. Интенсификация интеграционных взаимодействий предполагает достижение нескольких важнейших целей в ряде направлений.</w:t>
      </w:r>
    </w:p>
    <w:p>
      <w:pPr>
        <w:pStyle w:val="0"/>
        <w:jc w:val="both"/>
      </w:pPr>
      <w:r>
        <w:rPr>
          <w:sz w:val="20"/>
        </w:rPr>
      </w:r>
    </w:p>
    <w:p>
      <w:pPr>
        <w:pStyle w:val="2"/>
        <w:outlineLvl w:val="2"/>
        <w:jc w:val="center"/>
      </w:pPr>
      <w:r>
        <w:rPr>
          <w:sz w:val="20"/>
        </w:rPr>
        <w:t xml:space="preserve">1. Текущее состояние экспортной деятельности</w:t>
      </w:r>
    </w:p>
    <w:p>
      <w:pPr>
        <w:pStyle w:val="0"/>
        <w:jc w:val="both"/>
      </w:pPr>
      <w:r>
        <w:rPr>
          <w:sz w:val="20"/>
        </w:rPr>
      </w:r>
    </w:p>
    <w:p>
      <w:pPr>
        <w:pStyle w:val="0"/>
        <w:ind w:firstLine="540"/>
        <w:jc w:val="both"/>
      </w:pPr>
      <w:r>
        <w:rPr>
          <w:sz w:val="20"/>
        </w:rPr>
        <w:t xml:space="preserve">Внешнеторговый оборот Тюменской области (без автономных округов) с учетом взаимной торговли со странами ЕАЭС в 2015 - 2018 годах представлен в таблице 1.</w:t>
      </w:r>
    </w:p>
    <w:p>
      <w:pPr>
        <w:pStyle w:val="0"/>
        <w:jc w:val="both"/>
      </w:pPr>
      <w:r>
        <w:rPr>
          <w:sz w:val="20"/>
        </w:rPr>
      </w:r>
    </w:p>
    <w:p>
      <w:pPr>
        <w:pStyle w:val="2"/>
        <w:outlineLvl w:val="3"/>
        <w:ind w:firstLine="540"/>
        <w:jc w:val="both"/>
      </w:pPr>
      <w:r>
        <w:rPr>
          <w:sz w:val="20"/>
        </w:rPr>
        <w:t xml:space="preserve">Таблица 1 - Внешнеторговый оборот и объем экспорта Тюменской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1218"/>
        <w:gridCol w:w="1082"/>
        <w:gridCol w:w="1053"/>
        <w:gridCol w:w="1149"/>
      </w:tblGrid>
      <w:tr>
        <w:tc>
          <w:tcPr>
            <w:tcW w:w="4535" w:type="dxa"/>
            <w:vMerge w:val="restart"/>
          </w:tcPr>
          <w:p>
            <w:pPr>
              <w:pStyle w:val="0"/>
              <w:jc w:val="center"/>
            </w:pPr>
            <w:r>
              <w:rPr>
                <w:sz w:val="20"/>
              </w:rPr>
              <w:t xml:space="preserve">Наименование показателя</w:t>
            </w:r>
          </w:p>
        </w:tc>
        <w:tc>
          <w:tcPr>
            <w:gridSpan w:val="4"/>
            <w:tcW w:w="4502" w:type="dxa"/>
          </w:tcPr>
          <w:p>
            <w:pPr>
              <w:pStyle w:val="0"/>
              <w:jc w:val="center"/>
            </w:pPr>
            <w:r>
              <w:rPr>
                <w:sz w:val="20"/>
              </w:rPr>
              <w:t xml:space="preserve">Годы</w:t>
            </w:r>
          </w:p>
        </w:tc>
      </w:tr>
      <w:tr>
        <w:tc>
          <w:tcPr>
            <w:vMerge w:val="continue"/>
          </w:tcPr>
          <w:p/>
        </w:tc>
        <w:tc>
          <w:tcPr>
            <w:tcW w:w="1218" w:type="dxa"/>
          </w:tcPr>
          <w:p>
            <w:pPr>
              <w:pStyle w:val="0"/>
              <w:jc w:val="center"/>
            </w:pPr>
            <w:r>
              <w:rPr>
                <w:sz w:val="20"/>
              </w:rPr>
              <w:t xml:space="preserve">2015</w:t>
            </w:r>
          </w:p>
        </w:tc>
        <w:tc>
          <w:tcPr>
            <w:tcW w:w="1082" w:type="dxa"/>
          </w:tcPr>
          <w:p>
            <w:pPr>
              <w:pStyle w:val="0"/>
              <w:jc w:val="center"/>
            </w:pPr>
            <w:r>
              <w:rPr>
                <w:sz w:val="20"/>
              </w:rPr>
              <w:t xml:space="preserve">2016</w:t>
            </w:r>
          </w:p>
        </w:tc>
        <w:tc>
          <w:tcPr>
            <w:tcW w:w="1053" w:type="dxa"/>
          </w:tcPr>
          <w:p>
            <w:pPr>
              <w:pStyle w:val="0"/>
              <w:jc w:val="center"/>
            </w:pPr>
            <w:r>
              <w:rPr>
                <w:sz w:val="20"/>
              </w:rPr>
              <w:t xml:space="preserve">2017</w:t>
            </w:r>
          </w:p>
        </w:tc>
        <w:tc>
          <w:tcPr>
            <w:tcW w:w="1149" w:type="dxa"/>
          </w:tcPr>
          <w:p>
            <w:pPr>
              <w:pStyle w:val="0"/>
              <w:jc w:val="center"/>
            </w:pPr>
            <w:r>
              <w:rPr>
                <w:sz w:val="20"/>
              </w:rPr>
              <w:t xml:space="preserve">2018</w:t>
            </w:r>
          </w:p>
        </w:tc>
      </w:tr>
      <w:tr>
        <w:tc>
          <w:tcPr>
            <w:tcW w:w="4535" w:type="dxa"/>
            <w:vAlign w:val="center"/>
          </w:tcPr>
          <w:p>
            <w:pPr>
              <w:pStyle w:val="0"/>
            </w:pPr>
            <w:r>
              <w:rPr>
                <w:sz w:val="20"/>
              </w:rPr>
              <w:t xml:space="preserve">Объем внешнеторгового оборота, млн долл. США</w:t>
            </w:r>
          </w:p>
        </w:tc>
        <w:tc>
          <w:tcPr>
            <w:tcW w:w="1218" w:type="dxa"/>
            <w:vAlign w:val="center"/>
          </w:tcPr>
          <w:p>
            <w:pPr>
              <w:pStyle w:val="0"/>
              <w:jc w:val="center"/>
            </w:pPr>
            <w:r>
              <w:rPr>
                <w:sz w:val="20"/>
              </w:rPr>
              <w:t xml:space="preserve">2 555,1</w:t>
            </w:r>
          </w:p>
        </w:tc>
        <w:tc>
          <w:tcPr>
            <w:tcW w:w="1082" w:type="dxa"/>
            <w:vAlign w:val="center"/>
          </w:tcPr>
          <w:p>
            <w:pPr>
              <w:pStyle w:val="0"/>
              <w:jc w:val="center"/>
            </w:pPr>
            <w:r>
              <w:rPr>
                <w:sz w:val="20"/>
              </w:rPr>
              <w:t xml:space="preserve">2 590,1</w:t>
            </w:r>
          </w:p>
        </w:tc>
        <w:tc>
          <w:tcPr>
            <w:tcW w:w="1053" w:type="dxa"/>
            <w:vAlign w:val="center"/>
          </w:tcPr>
          <w:p>
            <w:pPr>
              <w:pStyle w:val="0"/>
              <w:jc w:val="center"/>
            </w:pPr>
            <w:r>
              <w:rPr>
                <w:sz w:val="20"/>
              </w:rPr>
              <w:t xml:space="preserve">4 769,4</w:t>
            </w:r>
          </w:p>
        </w:tc>
        <w:tc>
          <w:tcPr>
            <w:tcW w:w="1149" w:type="dxa"/>
            <w:vAlign w:val="center"/>
          </w:tcPr>
          <w:p>
            <w:pPr>
              <w:pStyle w:val="0"/>
              <w:jc w:val="center"/>
            </w:pPr>
            <w:r>
              <w:rPr>
                <w:sz w:val="20"/>
              </w:rPr>
              <w:t xml:space="preserve">5 279,7</w:t>
            </w:r>
          </w:p>
        </w:tc>
      </w:tr>
      <w:tr>
        <w:tc>
          <w:tcPr>
            <w:tcW w:w="4535" w:type="dxa"/>
            <w:vAlign w:val="center"/>
          </w:tcPr>
          <w:p>
            <w:pPr>
              <w:pStyle w:val="0"/>
            </w:pPr>
            <w:r>
              <w:rPr>
                <w:sz w:val="20"/>
              </w:rPr>
              <w:t xml:space="preserve">Объем экспорта, млн долл. США</w:t>
            </w:r>
          </w:p>
        </w:tc>
        <w:tc>
          <w:tcPr>
            <w:tcW w:w="1218" w:type="dxa"/>
            <w:vAlign w:val="center"/>
          </w:tcPr>
          <w:p>
            <w:pPr>
              <w:pStyle w:val="0"/>
              <w:jc w:val="center"/>
            </w:pPr>
            <w:r>
              <w:rPr>
                <w:sz w:val="20"/>
              </w:rPr>
              <w:t xml:space="preserve">2 128,4</w:t>
            </w:r>
          </w:p>
        </w:tc>
        <w:tc>
          <w:tcPr>
            <w:tcW w:w="1082" w:type="dxa"/>
            <w:vAlign w:val="center"/>
          </w:tcPr>
          <w:p>
            <w:pPr>
              <w:pStyle w:val="0"/>
              <w:jc w:val="center"/>
            </w:pPr>
            <w:r>
              <w:rPr>
                <w:sz w:val="20"/>
              </w:rPr>
              <w:t xml:space="preserve">2 052,5</w:t>
            </w:r>
          </w:p>
        </w:tc>
        <w:tc>
          <w:tcPr>
            <w:tcW w:w="1053" w:type="dxa"/>
            <w:vAlign w:val="center"/>
          </w:tcPr>
          <w:p>
            <w:pPr>
              <w:pStyle w:val="0"/>
              <w:jc w:val="center"/>
            </w:pPr>
            <w:r>
              <w:rPr>
                <w:sz w:val="20"/>
              </w:rPr>
              <w:t xml:space="preserve">2 940,3</w:t>
            </w:r>
          </w:p>
        </w:tc>
        <w:tc>
          <w:tcPr>
            <w:tcW w:w="1149" w:type="dxa"/>
            <w:vAlign w:val="center"/>
          </w:tcPr>
          <w:p>
            <w:pPr>
              <w:pStyle w:val="0"/>
              <w:jc w:val="center"/>
            </w:pPr>
            <w:r>
              <w:rPr>
                <w:sz w:val="20"/>
              </w:rPr>
              <w:t xml:space="preserve">3 761,5</w:t>
            </w:r>
          </w:p>
        </w:tc>
      </w:tr>
    </w:tbl>
    <w:p>
      <w:pPr>
        <w:pStyle w:val="0"/>
        <w:jc w:val="both"/>
      </w:pPr>
      <w:r>
        <w:rPr>
          <w:sz w:val="20"/>
        </w:rPr>
      </w:r>
    </w:p>
    <w:p>
      <w:pPr>
        <w:pStyle w:val="0"/>
        <w:ind w:firstLine="540"/>
        <w:jc w:val="both"/>
      </w:pPr>
      <w:r>
        <w:rPr>
          <w:sz w:val="20"/>
        </w:rPr>
        <w:t xml:space="preserve">Развитию экспортной деятельности способствует фактор выгодного географического расположения Тюменской области между восточными и западными регионами страны, нефтегазовым Севером и промышленным Уралом; кроме этого, большую роль играет соседство с Казахстаном, относительная близость к Центрально-Азиатскому региону и Китаю.</w:t>
      </w:r>
    </w:p>
    <w:p>
      <w:pPr>
        <w:pStyle w:val="0"/>
        <w:spacing w:before="200" w:line-rule="auto"/>
        <w:ind w:firstLine="540"/>
        <w:jc w:val="both"/>
      </w:pPr>
      <w:r>
        <w:rPr>
          <w:sz w:val="20"/>
        </w:rPr>
        <w:t xml:space="preserve">Лидирующие позиции в структуре экспорта Тюменской области на протяжении последних лет занимают товары топливно-энергетического комплекса и продукция химической промышленности.</w:t>
      </w:r>
    </w:p>
    <w:p>
      <w:pPr>
        <w:pStyle w:val="0"/>
        <w:spacing w:before="200" w:line-rule="auto"/>
        <w:ind w:firstLine="540"/>
        <w:jc w:val="both"/>
      </w:pPr>
      <w:r>
        <w:rPr>
          <w:sz w:val="20"/>
        </w:rPr>
        <w:t xml:space="preserve">Так, товары топливно-энергетического комплекса - нефть и нефтепродукты (в основном дизельное топливо, сжиженные углеводородные газы) в 2018 году в стоимостном выражении составили 2534,7 млн долл. США (67,4% от общего объема экспорта), в 2017 году - 2004,0 млн долл. США (68,2%), в 2016 году - 1256,4 млн долл. США (61,2%), в 2015 году - 1309,4 млн долл. США (61,5%).</w:t>
      </w:r>
    </w:p>
    <w:p>
      <w:pPr>
        <w:pStyle w:val="0"/>
        <w:spacing w:before="200" w:line-rule="auto"/>
        <w:ind w:firstLine="540"/>
        <w:jc w:val="both"/>
      </w:pPr>
      <w:r>
        <w:rPr>
          <w:sz w:val="20"/>
        </w:rPr>
        <w:t xml:space="preserve">На втором месте - продукция химической промышленности (прежде всего органические химические соединения и полипропилен). В 2018 году этой продукции экспортировано на сумму 1102,6 млн долл. США (29,3% от всего экспорта), в 2017 году - 828,5 млн долл. США (28,2%), в 2016 году - 683,1 млн долл. США (33,3%), в 2015 году - 642,6 млн долл. США (30,2%).</w:t>
      </w:r>
    </w:p>
    <w:p>
      <w:pPr>
        <w:pStyle w:val="0"/>
        <w:spacing w:before="200" w:line-rule="auto"/>
        <w:ind w:firstLine="540"/>
        <w:jc w:val="both"/>
      </w:pPr>
      <w:r>
        <w:rPr>
          <w:sz w:val="20"/>
        </w:rPr>
        <w:t xml:space="preserve">Доля экспорта продукции деревообработки, машин, оборудования и транспортных средств, а также металлов и изделий из них составляет менее 5% от общего объема.</w:t>
      </w:r>
    </w:p>
    <w:p>
      <w:pPr>
        <w:pStyle w:val="0"/>
        <w:jc w:val="both"/>
      </w:pPr>
      <w:r>
        <w:rPr>
          <w:sz w:val="20"/>
        </w:rPr>
      </w:r>
    </w:p>
    <w:p>
      <w:pPr>
        <w:pStyle w:val="2"/>
        <w:outlineLvl w:val="3"/>
        <w:ind w:firstLine="540"/>
        <w:jc w:val="both"/>
      </w:pPr>
      <w:r>
        <w:rPr>
          <w:sz w:val="20"/>
        </w:rPr>
        <w:t xml:space="preserve">Таблица 2 - Объем экспорта Тюменской области, млн долл. США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44"/>
        <w:gridCol w:w="3855"/>
        <w:gridCol w:w="973"/>
        <w:gridCol w:w="976"/>
        <w:gridCol w:w="947"/>
        <w:gridCol w:w="850"/>
      </w:tblGrid>
      <w:tr>
        <w:tc>
          <w:tcPr>
            <w:tcW w:w="1444" w:type="dxa"/>
            <w:vMerge w:val="restart"/>
          </w:tcPr>
          <w:p>
            <w:pPr>
              <w:pStyle w:val="0"/>
              <w:jc w:val="center"/>
            </w:pPr>
            <w:r>
              <w:rPr>
                <w:sz w:val="20"/>
              </w:rPr>
              <w:t xml:space="preserve">Коды</w:t>
            </w:r>
          </w:p>
          <w:p>
            <w:pPr>
              <w:pStyle w:val="0"/>
              <w:jc w:val="center"/>
            </w:pPr>
            <w:r>
              <w:rPr>
                <w:sz w:val="20"/>
              </w:rPr>
              <w:t xml:space="preserve">ТН ВЭД</w:t>
            </w:r>
          </w:p>
        </w:tc>
        <w:tc>
          <w:tcPr>
            <w:tcW w:w="3855" w:type="dxa"/>
            <w:vMerge w:val="restart"/>
          </w:tcPr>
          <w:p>
            <w:pPr>
              <w:pStyle w:val="0"/>
              <w:jc w:val="center"/>
            </w:pPr>
            <w:r>
              <w:rPr>
                <w:sz w:val="20"/>
              </w:rPr>
              <w:t xml:space="preserve">Наименование товарной группы</w:t>
            </w:r>
          </w:p>
        </w:tc>
        <w:tc>
          <w:tcPr>
            <w:gridSpan w:val="4"/>
            <w:tcW w:w="3746" w:type="dxa"/>
          </w:tcPr>
          <w:p>
            <w:pPr>
              <w:pStyle w:val="0"/>
              <w:jc w:val="center"/>
            </w:pPr>
            <w:r>
              <w:rPr>
                <w:sz w:val="20"/>
              </w:rPr>
              <w:t xml:space="preserve">Годы</w:t>
            </w:r>
          </w:p>
        </w:tc>
      </w:tr>
      <w:tr>
        <w:tc>
          <w:tcPr>
            <w:vMerge w:val="continue"/>
          </w:tcPr>
          <w:p/>
        </w:tc>
        <w:tc>
          <w:tcPr>
            <w:vMerge w:val="continue"/>
          </w:tcPr>
          <w:p/>
        </w:tc>
        <w:tc>
          <w:tcPr>
            <w:tcW w:w="973" w:type="dxa"/>
          </w:tcPr>
          <w:p>
            <w:pPr>
              <w:pStyle w:val="0"/>
              <w:jc w:val="center"/>
            </w:pPr>
            <w:r>
              <w:rPr>
                <w:sz w:val="20"/>
              </w:rPr>
              <w:t xml:space="preserve">2015</w:t>
            </w:r>
          </w:p>
        </w:tc>
        <w:tc>
          <w:tcPr>
            <w:tcW w:w="976" w:type="dxa"/>
          </w:tcPr>
          <w:p>
            <w:pPr>
              <w:pStyle w:val="0"/>
              <w:jc w:val="center"/>
            </w:pPr>
            <w:r>
              <w:rPr>
                <w:sz w:val="20"/>
              </w:rPr>
              <w:t xml:space="preserve">2016</w:t>
            </w:r>
          </w:p>
        </w:tc>
        <w:tc>
          <w:tcPr>
            <w:tcW w:w="947" w:type="dxa"/>
          </w:tcPr>
          <w:p>
            <w:pPr>
              <w:pStyle w:val="0"/>
              <w:jc w:val="center"/>
            </w:pPr>
            <w:r>
              <w:rPr>
                <w:sz w:val="20"/>
              </w:rPr>
              <w:t xml:space="preserve">2017</w:t>
            </w:r>
          </w:p>
        </w:tc>
        <w:tc>
          <w:tcPr>
            <w:tcW w:w="850" w:type="dxa"/>
          </w:tcPr>
          <w:p>
            <w:pPr>
              <w:pStyle w:val="0"/>
              <w:jc w:val="center"/>
            </w:pPr>
            <w:r>
              <w:rPr>
                <w:sz w:val="20"/>
              </w:rPr>
              <w:t xml:space="preserve">2018</w:t>
            </w:r>
          </w:p>
        </w:tc>
      </w:tr>
      <w:tr>
        <w:tc>
          <w:tcPr>
            <w:tcW w:w="1444" w:type="dxa"/>
          </w:tcPr>
          <w:p>
            <w:pPr>
              <w:pStyle w:val="0"/>
            </w:pPr>
            <w:r>
              <w:rPr>
                <w:sz w:val="20"/>
              </w:rPr>
              <w:t xml:space="preserve">01-24</w:t>
            </w:r>
          </w:p>
        </w:tc>
        <w:tc>
          <w:tcPr>
            <w:tcW w:w="3855" w:type="dxa"/>
          </w:tcPr>
          <w:p>
            <w:pPr>
              <w:pStyle w:val="0"/>
            </w:pPr>
            <w:r>
              <w:rPr>
                <w:sz w:val="20"/>
              </w:rPr>
              <w:t xml:space="preserve">Продовольственные товары и сельскохозяйственное сырье (кроме текстильного)</w:t>
            </w:r>
          </w:p>
        </w:tc>
        <w:tc>
          <w:tcPr>
            <w:tcW w:w="973" w:type="dxa"/>
          </w:tcPr>
          <w:p>
            <w:pPr>
              <w:pStyle w:val="0"/>
              <w:jc w:val="center"/>
            </w:pPr>
            <w:r>
              <w:rPr>
                <w:sz w:val="20"/>
              </w:rPr>
              <w:t xml:space="preserve">20,5</w:t>
            </w:r>
          </w:p>
        </w:tc>
        <w:tc>
          <w:tcPr>
            <w:tcW w:w="976" w:type="dxa"/>
          </w:tcPr>
          <w:p>
            <w:pPr>
              <w:pStyle w:val="0"/>
              <w:jc w:val="center"/>
            </w:pPr>
            <w:r>
              <w:rPr>
                <w:sz w:val="20"/>
              </w:rPr>
              <w:t xml:space="preserve">18,3</w:t>
            </w:r>
          </w:p>
        </w:tc>
        <w:tc>
          <w:tcPr>
            <w:tcW w:w="947" w:type="dxa"/>
          </w:tcPr>
          <w:p>
            <w:pPr>
              <w:pStyle w:val="0"/>
              <w:jc w:val="center"/>
            </w:pPr>
            <w:r>
              <w:rPr>
                <w:sz w:val="20"/>
              </w:rPr>
              <w:t xml:space="preserve">20,3</w:t>
            </w:r>
          </w:p>
        </w:tc>
        <w:tc>
          <w:tcPr>
            <w:tcW w:w="850" w:type="dxa"/>
          </w:tcPr>
          <w:p>
            <w:pPr>
              <w:pStyle w:val="0"/>
              <w:jc w:val="center"/>
            </w:pPr>
            <w:r>
              <w:rPr>
                <w:sz w:val="20"/>
              </w:rPr>
              <w:t xml:space="preserve">14,9</w:t>
            </w:r>
          </w:p>
        </w:tc>
      </w:tr>
      <w:tr>
        <w:tc>
          <w:tcPr>
            <w:tcW w:w="1444" w:type="dxa"/>
          </w:tcPr>
          <w:p>
            <w:pPr>
              <w:pStyle w:val="0"/>
            </w:pPr>
            <w:r>
              <w:rPr>
                <w:sz w:val="20"/>
              </w:rPr>
              <w:t xml:space="preserve">25-27</w:t>
            </w:r>
          </w:p>
        </w:tc>
        <w:tc>
          <w:tcPr>
            <w:tcW w:w="3855" w:type="dxa"/>
          </w:tcPr>
          <w:p>
            <w:pPr>
              <w:pStyle w:val="0"/>
            </w:pPr>
            <w:r>
              <w:rPr>
                <w:sz w:val="20"/>
              </w:rPr>
              <w:t xml:space="preserve">Минеральные продукты, в том числе:</w:t>
            </w:r>
          </w:p>
        </w:tc>
        <w:tc>
          <w:tcPr>
            <w:tcW w:w="973" w:type="dxa"/>
          </w:tcPr>
          <w:p>
            <w:pPr>
              <w:pStyle w:val="0"/>
              <w:jc w:val="center"/>
            </w:pPr>
            <w:r>
              <w:rPr>
                <w:sz w:val="20"/>
              </w:rPr>
              <w:t xml:space="preserve">1309,4</w:t>
            </w:r>
          </w:p>
        </w:tc>
        <w:tc>
          <w:tcPr>
            <w:tcW w:w="976" w:type="dxa"/>
          </w:tcPr>
          <w:p>
            <w:pPr>
              <w:pStyle w:val="0"/>
              <w:jc w:val="center"/>
            </w:pPr>
            <w:r>
              <w:rPr>
                <w:sz w:val="20"/>
              </w:rPr>
              <w:t xml:space="preserve">1256,4</w:t>
            </w:r>
          </w:p>
        </w:tc>
        <w:tc>
          <w:tcPr>
            <w:tcW w:w="947" w:type="dxa"/>
          </w:tcPr>
          <w:p>
            <w:pPr>
              <w:pStyle w:val="0"/>
              <w:jc w:val="center"/>
            </w:pPr>
            <w:r>
              <w:rPr>
                <w:sz w:val="20"/>
              </w:rPr>
              <w:t xml:space="preserve">2004,3</w:t>
            </w:r>
          </w:p>
        </w:tc>
        <w:tc>
          <w:tcPr>
            <w:tcW w:w="850" w:type="dxa"/>
          </w:tcPr>
          <w:p>
            <w:pPr>
              <w:pStyle w:val="0"/>
              <w:jc w:val="center"/>
            </w:pPr>
            <w:r>
              <w:rPr>
                <w:sz w:val="20"/>
              </w:rPr>
              <w:t xml:space="preserve">2535,6</w:t>
            </w:r>
          </w:p>
        </w:tc>
      </w:tr>
      <w:tr>
        <w:tc>
          <w:tcPr>
            <w:tcW w:w="1444" w:type="dxa"/>
          </w:tcPr>
          <w:p>
            <w:pPr>
              <w:pStyle w:val="0"/>
            </w:pPr>
            <w:r>
              <w:rPr>
                <w:sz w:val="20"/>
              </w:rPr>
              <w:t xml:space="preserve">27</w:t>
            </w:r>
          </w:p>
        </w:tc>
        <w:tc>
          <w:tcPr>
            <w:tcW w:w="3855" w:type="dxa"/>
          </w:tcPr>
          <w:p>
            <w:pPr>
              <w:pStyle w:val="0"/>
            </w:pPr>
            <w:r>
              <w:rPr>
                <w:sz w:val="20"/>
              </w:rPr>
              <w:t xml:space="preserve">топливно-энергетические товары</w:t>
            </w:r>
          </w:p>
        </w:tc>
        <w:tc>
          <w:tcPr>
            <w:tcW w:w="973" w:type="dxa"/>
          </w:tcPr>
          <w:p>
            <w:pPr>
              <w:pStyle w:val="0"/>
              <w:jc w:val="center"/>
            </w:pPr>
            <w:r>
              <w:rPr>
                <w:sz w:val="20"/>
              </w:rPr>
              <w:t xml:space="preserve">1309,4</w:t>
            </w:r>
          </w:p>
        </w:tc>
        <w:tc>
          <w:tcPr>
            <w:tcW w:w="976" w:type="dxa"/>
          </w:tcPr>
          <w:p>
            <w:pPr>
              <w:pStyle w:val="0"/>
              <w:jc w:val="center"/>
            </w:pPr>
            <w:r>
              <w:rPr>
                <w:sz w:val="20"/>
              </w:rPr>
              <w:t xml:space="preserve">1256,4</w:t>
            </w:r>
          </w:p>
        </w:tc>
        <w:tc>
          <w:tcPr>
            <w:tcW w:w="947" w:type="dxa"/>
          </w:tcPr>
          <w:p>
            <w:pPr>
              <w:pStyle w:val="0"/>
              <w:jc w:val="center"/>
            </w:pPr>
            <w:r>
              <w:rPr>
                <w:sz w:val="20"/>
              </w:rPr>
              <w:t xml:space="preserve">2004,0</w:t>
            </w:r>
          </w:p>
        </w:tc>
        <w:tc>
          <w:tcPr>
            <w:tcW w:w="850" w:type="dxa"/>
          </w:tcPr>
          <w:p>
            <w:pPr>
              <w:pStyle w:val="0"/>
              <w:jc w:val="center"/>
            </w:pPr>
            <w:r>
              <w:rPr>
                <w:sz w:val="20"/>
              </w:rPr>
              <w:t xml:space="preserve">2534,7</w:t>
            </w:r>
          </w:p>
        </w:tc>
      </w:tr>
      <w:tr>
        <w:tc>
          <w:tcPr>
            <w:tcW w:w="1444" w:type="dxa"/>
          </w:tcPr>
          <w:p>
            <w:pPr>
              <w:pStyle w:val="0"/>
            </w:pPr>
            <w:r>
              <w:rPr>
                <w:sz w:val="20"/>
              </w:rPr>
              <w:t xml:space="preserve">28-40</w:t>
            </w:r>
          </w:p>
        </w:tc>
        <w:tc>
          <w:tcPr>
            <w:tcW w:w="3855" w:type="dxa"/>
          </w:tcPr>
          <w:p>
            <w:pPr>
              <w:pStyle w:val="0"/>
            </w:pPr>
            <w:r>
              <w:rPr>
                <w:sz w:val="20"/>
              </w:rPr>
              <w:t xml:space="preserve">Продукция химической промышленности, каучук</w:t>
            </w:r>
          </w:p>
        </w:tc>
        <w:tc>
          <w:tcPr>
            <w:tcW w:w="973" w:type="dxa"/>
          </w:tcPr>
          <w:p>
            <w:pPr>
              <w:pStyle w:val="0"/>
              <w:jc w:val="center"/>
            </w:pPr>
            <w:r>
              <w:rPr>
                <w:sz w:val="20"/>
              </w:rPr>
              <w:t xml:space="preserve">642,6</w:t>
            </w:r>
          </w:p>
        </w:tc>
        <w:tc>
          <w:tcPr>
            <w:tcW w:w="976" w:type="dxa"/>
          </w:tcPr>
          <w:p>
            <w:pPr>
              <w:pStyle w:val="0"/>
              <w:jc w:val="center"/>
            </w:pPr>
            <w:r>
              <w:rPr>
                <w:sz w:val="20"/>
              </w:rPr>
              <w:t xml:space="preserve">683,1</w:t>
            </w:r>
          </w:p>
        </w:tc>
        <w:tc>
          <w:tcPr>
            <w:tcW w:w="947" w:type="dxa"/>
          </w:tcPr>
          <w:p>
            <w:pPr>
              <w:pStyle w:val="0"/>
              <w:jc w:val="center"/>
            </w:pPr>
            <w:r>
              <w:rPr>
                <w:sz w:val="20"/>
              </w:rPr>
              <w:t xml:space="preserve">828,4</w:t>
            </w:r>
          </w:p>
        </w:tc>
        <w:tc>
          <w:tcPr>
            <w:tcW w:w="850" w:type="dxa"/>
          </w:tcPr>
          <w:p>
            <w:pPr>
              <w:pStyle w:val="0"/>
              <w:jc w:val="center"/>
            </w:pPr>
            <w:r>
              <w:rPr>
                <w:sz w:val="20"/>
              </w:rPr>
              <w:t xml:space="preserve">1102,6</w:t>
            </w:r>
          </w:p>
        </w:tc>
      </w:tr>
      <w:tr>
        <w:tc>
          <w:tcPr>
            <w:tcW w:w="1444" w:type="dxa"/>
          </w:tcPr>
          <w:p>
            <w:pPr>
              <w:pStyle w:val="0"/>
            </w:pPr>
            <w:r>
              <w:rPr>
                <w:sz w:val="20"/>
              </w:rPr>
              <w:t xml:space="preserve">41-43</w:t>
            </w:r>
          </w:p>
        </w:tc>
        <w:tc>
          <w:tcPr>
            <w:tcW w:w="3855" w:type="dxa"/>
          </w:tcPr>
          <w:p>
            <w:pPr>
              <w:pStyle w:val="0"/>
            </w:pPr>
            <w:r>
              <w:rPr>
                <w:sz w:val="20"/>
              </w:rPr>
              <w:t xml:space="preserve">Кожевенное сырье, пушнина и изделия из них</w:t>
            </w:r>
          </w:p>
        </w:tc>
        <w:tc>
          <w:tcPr>
            <w:tcW w:w="973" w:type="dxa"/>
          </w:tcPr>
          <w:p>
            <w:pPr>
              <w:pStyle w:val="0"/>
              <w:jc w:val="center"/>
            </w:pPr>
            <w:r>
              <w:rPr>
                <w:sz w:val="20"/>
              </w:rPr>
              <w:t xml:space="preserve">-</w:t>
            </w:r>
          </w:p>
        </w:tc>
        <w:tc>
          <w:tcPr>
            <w:tcW w:w="976" w:type="dxa"/>
          </w:tcPr>
          <w:p>
            <w:pPr>
              <w:pStyle w:val="0"/>
              <w:jc w:val="center"/>
            </w:pPr>
            <w:r>
              <w:rPr>
                <w:sz w:val="20"/>
              </w:rPr>
              <w:t xml:space="preserve">0,02</w:t>
            </w:r>
          </w:p>
        </w:tc>
        <w:tc>
          <w:tcPr>
            <w:tcW w:w="947" w:type="dxa"/>
          </w:tcPr>
          <w:p>
            <w:pPr>
              <w:pStyle w:val="0"/>
              <w:jc w:val="center"/>
            </w:pPr>
            <w:r>
              <w:rPr>
                <w:sz w:val="20"/>
              </w:rPr>
              <w:t xml:space="preserve">0,01</w:t>
            </w:r>
          </w:p>
        </w:tc>
        <w:tc>
          <w:tcPr>
            <w:tcW w:w="850" w:type="dxa"/>
          </w:tcPr>
          <w:p>
            <w:pPr>
              <w:pStyle w:val="0"/>
              <w:jc w:val="center"/>
            </w:pPr>
            <w:r>
              <w:rPr>
                <w:sz w:val="20"/>
              </w:rPr>
              <w:t xml:space="preserve">0,002</w:t>
            </w:r>
          </w:p>
        </w:tc>
      </w:tr>
      <w:tr>
        <w:tc>
          <w:tcPr>
            <w:tcW w:w="1444" w:type="dxa"/>
          </w:tcPr>
          <w:p>
            <w:pPr>
              <w:pStyle w:val="0"/>
            </w:pPr>
            <w:r>
              <w:rPr>
                <w:sz w:val="20"/>
              </w:rPr>
              <w:t xml:space="preserve">44-49</w:t>
            </w:r>
          </w:p>
        </w:tc>
        <w:tc>
          <w:tcPr>
            <w:tcW w:w="3855" w:type="dxa"/>
          </w:tcPr>
          <w:p>
            <w:pPr>
              <w:pStyle w:val="0"/>
            </w:pPr>
            <w:r>
              <w:rPr>
                <w:sz w:val="20"/>
              </w:rPr>
              <w:t xml:space="preserve">Древесина и целлюлозно-бумажные изделия</w:t>
            </w:r>
          </w:p>
        </w:tc>
        <w:tc>
          <w:tcPr>
            <w:tcW w:w="973" w:type="dxa"/>
          </w:tcPr>
          <w:p>
            <w:pPr>
              <w:pStyle w:val="0"/>
              <w:jc w:val="center"/>
            </w:pPr>
            <w:r>
              <w:rPr>
                <w:sz w:val="20"/>
              </w:rPr>
              <w:t xml:space="preserve">31,6</w:t>
            </w:r>
          </w:p>
        </w:tc>
        <w:tc>
          <w:tcPr>
            <w:tcW w:w="976" w:type="dxa"/>
          </w:tcPr>
          <w:p>
            <w:pPr>
              <w:pStyle w:val="0"/>
              <w:jc w:val="center"/>
            </w:pPr>
            <w:r>
              <w:rPr>
                <w:sz w:val="20"/>
              </w:rPr>
              <w:t xml:space="preserve">35,8</w:t>
            </w:r>
          </w:p>
        </w:tc>
        <w:tc>
          <w:tcPr>
            <w:tcW w:w="947" w:type="dxa"/>
          </w:tcPr>
          <w:p>
            <w:pPr>
              <w:pStyle w:val="0"/>
              <w:jc w:val="center"/>
            </w:pPr>
            <w:r>
              <w:rPr>
                <w:sz w:val="20"/>
              </w:rPr>
              <w:t xml:space="preserve">48,1</w:t>
            </w:r>
          </w:p>
        </w:tc>
        <w:tc>
          <w:tcPr>
            <w:tcW w:w="850" w:type="dxa"/>
          </w:tcPr>
          <w:p>
            <w:pPr>
              <w:pStyle w:val="0"/>
              <w:jc w:val="center"/>
            </w:pPr>
            <w:r>
              <w:rPr>
                <w:sz w:val="20"/>
              </w:rPr>
              <w:t xml:space="preserve">46,5</w:t>
            </w:r>
          </w:p>
        </w:tc>
      </w:tr>
      <w:tr>
        <w:tc>
          <w:tcPr>
            <w:tcW w:w="1444" w:type="dxa"/>
          </w:tcPr>
          <w:p>
            <w:pPr>
              <w:pStyle w:val="0"/>
            </w:pPr>
            <w:r>
              <w:rPr>
                <w:sz w:val="20"/>
              </w:rPr>
              <w:t xml:space="preserve">50-67</w:t>
            </w:r>
          </w:p>
        </w:tc>
        <w:tc>
          <w:tcPr>
            <w:tcW w:w="3855" w:type="dxa"/>
          </w:tcPr>
          <w:p>
            <w:pPr>
              <w:pStyle w:val="0"/>
            </w:pPr>
            <w:r>
              <w:rPr>
                <w:sz w:val="20"/>
              </w:rPr>
              <w:t xml:space="preserve">Текстиль, текстильные изделия и обувь</w:t>
            </w:r>
          </w:p>
        </w:tc>
        <w:tc>
          <w:tcPr>
            <w:tcW w:w="973" w:type="dxa"/>
          </w:tcPr>
          <w:p>
            <w:pPr>
              <w:pStyle w:val="0"/>
              <w:jc w:val="center"/>
            </w:pPr>
            <w:r>
              <w:rPr>
                <w:sz w:val="20"/>
              </w:rPr>
              <w:t xml:space="preserve">0,002</w:t>
            </w:r>
          </w:p>
        </w:tc>
        <w:tc>
          <w:tcPr>
            <w:tcW w:w="976" w:type="dxa"/>
          </w:tcPr>
          <w:p>
            <w:pPr>
              <w:pStyle w:val="0"/>
              <w:jc w:val="center"/>
            </w:pPr>
            <w:r>
              <w:rPr>
                <w:sz w:val="20"/>
              </w:rPr>
              <w:t xml:space="preserve">0,2</w:t>
            </w:r>
          </w:p>
        </w:tc>
        <w:tc>
          <w:tcPr>
            <w:tcW w:w="947" w:type="dxa"/>
          </w:tcPr>
          <w:p>
            <w:pPr>
              <w:pStyle w:val="0"/>
              <w:jc w:val="center"/>
            </w:pPr>
            <w:r>
              <w:rPr>
                <w:sz w:val="20"/>
              </w:rPr>
              <w:t xml:space="preserve">0,4</w:t>
            </w:r>
          </w:p>
        </w:tc>
        <w:tc>
          <w:tcPr>
            <w:tcW w:w="850" w:type="dxa"/>
          </w:tcPr>
          <w:p>
            <w:pPr>
              <w:pStyle w:val="0"/>
              <w:jc w:val="center"/>
            </w:pPr>
            <w:r>
              <w:rPr>
                <w:sz w:val="20"/>
              </w:rPr>
              <w:t xml:space="preserve">0,4</w:t>
            </w:r>
          </w:p>
        </w:tc>
      </w:tr>
      <w:tr>
        <w:tc>
          <w:tcPr>
            <w:tcW w:w="1444" w:type="dxa"/>
          </w:tcPr>
          <w:p>
            <w:pPr>
              <w:pStyle w:val="0"/>
            </w:pPr>
            <w:r>
              <w:rPr>
                <w:sz w:val="20"/>
              </w:rPr>
              <w:t xml:space="preserve">72-83</w:t>
            </w:r>
          </w:p>
        </w:tc>
        <w:tc>
          <w:tcPr>
            <w:tcW w:w="3855" w:type="dxa"/>
          </w:tcPr>
          <w:p>
            <w:pPr>
              <w:pStyle w:val="0"/>
            </w:pPr>
            <w:r>
              <w:rPr>
                <w:sz w:val="20"/>
              </w:rPr>
              <w:t xml:space="preserve">Металлы и изделия из них</w:t>
            </w:r>
          </w:p>
        </w:tc>
        <w:tc>
          <w:tcPr>
            <w:tcW w:w="973" w:type="dxa"/>
          </w:tcPr>
          <w:p>
            <w:pPr>
              <w:pStyle w:val="0"/>
              <w:jc w:val="center"/>
            </w:pPr>
            <w:r>
              <w:rPr>
                <w:sz w:val="20"/>
              </w:rPr>
              <w:t xml:space="preserve">63,9</w:t>
            </w:r>
          </w:p>
        </w:tc>
        <w:tc>
          <w:tcPr>
            <w:tcW w:w="976" w:type="dxa"/>
          </w:tcPr>
          <w:p>
            <w:pPr>
              <w:pStyle w:val="0"/>
              <w:jc w:val="center"/>
            </w:pPr>
            <w:r>
              <w:rPr>
                <w:sz w:val="20"/>
              </w:rPr>
              <w:t xml:space="preserve">19,1</w:t>
            </w:r>
          </w:p>
        </w:tc>
        <w:tc>
          <w:tcPr>
            <w:tcW w:w="947" w:type="dxa"/>
          </w:tcPr>
          <w:p>
            <w:pPr>
              <w:pStyle w:val="0"/>
              <w:jc w:val="center"/>
            </w:pPr>
            <w:r>
              <w:rPr>
                <w:sz w:val="20"/>
              </w:rPr>
              <w:t xml:space="preserve">6,5</w:t>
            </w:r>
          </w:p>
        </w:tc>
        <w:tc>
          <w:tcPr>
            <w:tcW w:w="850" w:type="dxa"/>
          </w:tcPr>
          <w:p>
            <w:pPr>
              <w:pStyle w:val="0"/>
              <w:jc w:val="center"/>
            </w:pPr>
            <w:r>
              <w:rPr>
                <w:sz w:val="20"/>
              </w:rPr>
              <w:t xml:space="preserve">8,7</w:t>
            </w:r>
          </w:p>
        </w:tc>
      </w:tr>
      <w:tr>
        <w:tc>
          <w:tcPr>
            <w:tcW w:w="1444" w:type="dxa"/>
          </w:tcPr>
          <w:p>
            <w:pPr>
              <w:pStyle w:val="0"/>
            </w:pPr>
            <w:r>
              <w:rPr>
                <w:sz w:val="20"/>
              </w:rPr>
              <w:t xml:space="preserve">84-90</w:t>
            </w:r>
          </w:p>
        </w:tc>
        <w:tc>
          <w:tcPr>
            <w:tcW w:w="3855" w:type="dxa"/>
          </w:tcPr>
          <w:p>
            <w:pPr>
              <w:pStyle w:val="0"/>
            </w:pPr>
            <w:r>
              <w:rPr>
                <w:sz w:val="20"/>
              </w:rPr>
              <w:t xml:space="preserve">Машины, оборудование и транспортные средства</w:t>
            </w:r>
          </w:p>
        </w:tc>
        <w:tc>
          <w:tcPr>
            <w:tcW w:w="973" w:type="dxa"/>
          </w:tcPr>
          <w:p>
            <w:pPr>
              <w:pStyle w:val="0"/>
              <w:jc w:val="center"/>
            </w:pPr>
            <w:r>
              <w:rPr>
                <w:sz w:val="20"/>
              </w:rPr>
              <w:t xml:space="preserve">44,3</w:t>
            </w:r>
          </w:p>
        </w:tc>
        <w:tc>
          <w:tcPr>
            <w:tcW w:w="976" w:type="dxa"/>
          </w:tcPr>
          <w:p>
            <w:pPr>
              <w:pStyle w:val="0"/>
              <w:jc w:val="center"/>
            </w:pPr>
            <w:r>
              <w:rPr>
                <w:sz w:val="20"/>
              </w:rPr>
              <w:t xml:space="preserve">26,2</w:t>
            </w:r>
          </w:p>
        </w:tc>
        <w:tc>
          <w:tcPr>
            <w:tcW w:w="947" w:type="dxa"/>
          </w:tcPr>
          <w:p>
            <w:pPr>
              <w:pStyle w:val="0"/>
              <w:jc w:val="center"/>
            </w:pPr>
            <w:r>
              <w:rPr>
                <w:sz w:val="20"/>
              </w:rPr>
              <w:t xml:space="preserve">23,7</w:t>
            </w:r>
          </w:p>
        </w:tc>
        <w:tc>
          <w:tcPr>
            <w:tcW w:w="850" w:type="dxa"/>
          </w:tcPr>
          <w:p>
            <w:pPr>
              <w:pStyle w:val="0"/>
              <w:jc w:val="center"/>
            </w:pPr>
            <w:r>
              <w:rPr>
                <w:sz w:val="20"/>
              </w:rPr>
              <w:t xml:space="preserve">46,1</w:t>
            </w:r>
          </w:p>
        </w:tc>
      </w:tr>
      <w:tr>
        <w:tc>
          <w:tcPr>
            <w:tcW w:w="1444" w:type="dxa"/>
          </w:tcPr>
          <w:p>
            <w:pPr>
              <w:pStyle w:val="0"/>
            </w:pPr>
            <w:r>
              <w:rPr>
                <w:sz w:val="20"/>
              </w:rPr>
              <w:t xml:space="preserve">68-71, 91-97</w:t>
            </w:r>
          </w:p>
        </w:tc>
        <w:tc>
          <w:tcPr>
            <w:tcW w:w="3855" w:type="dxa"/>
          </w:tcPr>
          <w:p>
            <w:pPr>
              <w:pStyle w:val="0"/>
            </w:pPr>
            <w:r>
              <w:rPr>
                <w:sz w:val="20"/>
              </w:rPr>
              <w:t xml:space="preserve">Другие товары</w:t>
            </w:r>
          </w:p>
        </w:tc>
        <w:tc>
          <w:tcPr>
            <w:tcW w:w="973" w:type="dxa"/>
          </w:tcPr>
          <w:p>
            <w:pPr>
              <w:pStyle w:val="0"/>
              <w:jc w:val="center"/>
            </w:pPr>
            <w:r>
              <w:rPr>
                <w:sz w:val="20"/>
              </w:rPr>
              <w:t xml:space="preserve">15,7</w:t>
            </w:r>
          </w:p>
        </w:tc>
        <w:tc>
          <w:tcPr>
            <w:tcW w:w="976" w:type="dxa"/>
          </w:tcPr>
          <w:p>
            <w:pPr>
              <w:pStyle w:val="0"/>
              <w:jc w:val="center"/>
            </w:pPr>
            <w:r>
              <w:rPr>
                <w:sz w:val="20"/>
              </w:rPr>
              <w:t xml:space="preserve">13,3</w:t>
            </w:r>
          </w:p>
        </w:tc>
        <w:tc>
          <w:tcPr>
            <w:tcW w:w="947" w:type="dxa"/>
          </w:tcPr>
          <w:p>
            <w:pPr>
              <w:pStyle w:val="0"/>
              <w:jc w:val="center"/>
            </w:pPr>
            <w:r>
              <w:rPr>
                <w:sz w:val="20"/>
              </w:rPr>
              <w:t xml:space="preserve">8,3</w:t>
            </w:r>
          </w:p>
        </w:tc>
        <w:tc>
          <w:tcPr>
            <w:tcW w:w="850" w:type="dxa"/>
          </w:tcPr>
          <w:p>
            <w:pPr>
              <w:pStyle w:val="0"/>
              <w:jc w:val="center"/>
            </w:pPr>
            <w:r>
              <w:rPr>
                <w:sz w:val="20"/>
              </w:rPr>
              <w:t xml:space="preserve">6,7</w:t>
            </w:r>
          </w:p>
        </w:tc>
      </w:tr>
      <w:tr>
        <w:tc>
          <w:tcPr>
            <w:tcW w:w="1444" w:type="dxa"/>
          </w:tcPr>
          <w:p>
            <w:pPr>
              <w:pStyle w:val="0"/>
            </w:pPr>
            <w:r>
              <w:rPr>
                <w:sz w:val="20"/>
              </w:rPr>
            </w:r>
          </w:p>
        </w:tc>
        <w:tc>
          <w:tcPr>
            <w:tcW w:w="3855" w:type="dxa"/>
          </w:tcPr>
          <w:p>
            <w:pPr>
              <w:pStyle w:val="0"/>
            </w:pPr>
            <w:r>
              <w:rPr>
                <w:sz w:val="20"/>
              </w:rPr>
              <w:t xml:space="preserve">Всего</w:t>
            </w:r>
          </w:p>
        </w:tc>
        <w:tc>
          <w:tcPr>
            <w:tcW w:w="973" w:type="dxa"/>
          </w:tcPr>
          <w:p>
            <w:pPr>
              <w:pStyle w:val="0"/>
              <w:jc w:val="center"/>
            </w:pPr>
            <w:r>
              <w:rPr>
                <w:sz w:val="20"/>
              </w:rPr>
              <w:t xml:space="preserve">2128,4</w:t>
            </w:r>
          </w:p>
        </w:tc>
        <w:tc>
          <w:tcPr>
            <w:tcW w:w="976" w:type="dxa"/>
          </w:tcPr>
          <w:p>
            <w:pPr>
              <w:pStyle w:val="0"/>
              <w:jc w:val="center"/>
            </w:pPr>
            <w:r>
              <w:rPr>
                <w:sz w:val="20"/>
              </w:rPr>
              <w:t xml:space="preserve">2052,5</w:t>
            </w:r>
          </w:p>
        </w:tc>
        <w:tc>
          <w:tcPr>
            <w:tcW w:w="947" w:type="dxa"/>
          </w:tcPr>
          <w:p>
            <w:pPr>
              <w:pStyle w:val="0"/>
              <w:jc w:val="center"/>
            </w:pPr>
            <w:r>
              <w:rPr>
                <w:sz w:val="20"/>
              </w:rPr>
              <w:t xml:space="preserve">2940,2</w:t>
            </w:r>
          </w:p>
        </w:tc>
        <w:tc>
          <w:tcPr>
            <w:tcW w:w="850" w:type="dxa"/>
          </w:tcPr>
          <w:p>
            <w:pPr>
              <w:pStyle w:val="0"/>
              <w:jc w:val="center"/>
            </w:pPr>
            <w:r>
              <w:rPr>
                <w:sz w:val="20"/>
              </w:rPr>
              <w:t xml:space="preserve">3761,5</w:t>
            </w:r>
          </w:p>
        </w:tc>
      </w:tr>
    </w:tbl>
    <w:p>
      <w:pPr>
        <w:pStyle w:val="0"/>
        <w:jc w:val="both"/>
      </w:pPr>
      <w:r>
        <w:rPr>
          <w:sz w:val="20"/>
        </w:rPr>
      </w:r>
    </w:p>
    <w:p>
      <w:pPr>
        <w:pStyle w:val="0"/>
        <w:ind w:firstLine="540"/>
        <w:jc w:val="both"/>
      </w:pPr>
      <w:r>
        <w:rPr>
          <w:sz w:val="20"/>
        </w:rPr>
        <w:t xml:space="preserve">В 2015 году хозяйствующие субъекты Тюменской области осуществляли экспортные поставки товаров в 77 стран мира, основными из которых являлись Нидерланды - 839,7 млн долл. США, Бельгия - 218,3 млн долл. США, Турция - 164,5 млн долл. США, Германия - 158,6 млн долл. США, Финляндия - 124,5 млн долл. США, Узбекистан - 95,7 млн долл. США, Китай - 78,8 млн долл. США, Великобритания - 62,6 млн долл. США.</w:t>
      </w:r>
    </w:p>
    <w:p>
      <w:pPr>
        <w:pStyle w:val="0"/>
        <w:spacing w:before="200" w:line-rule="auto"/>
        <w:ind w:firstLine="540"/>
        <w:jc w:val="both"/>
      </w:pPr>
      <w:r>
        <w:rPr>
          <w:sz w:val="20"/>
        </w:rPr>
        <w:t xml:space="preserve">В 2016 году экспортные поставки товаров осуществлялись в 85 стран. Основные страны-контрагенты: Нидерланды - 615,4 млн долл. США, Великобритания - 192,4 млн долл. США, Бельгия - 173,8 млн долл. США, Турция - 139,7 млн долл. США, Финляндия - 137,9 млн долл. США, Швеция - 132,5 млн долл. США, Франция - 125,3 млн долл. США, Германия - 102,7 млн долл. США, Польша - 85,3 млн долл. США, Казахстан - 65,5 млн долл. США.</w:t>
      </w:r>
    </w:p>
    <w:p>
      <w:pPr>
        <w:pStyle w:val="0"/>
        <w:spacing w:before="200" w:line-rule="auto"/>
        <w:ind w:firstLine="540"/>
        <w:jc w:val="both"/>
      </w:pPr>
      <w:r>
        <w:rPr>
          <w:sz w:val="20"/>
        </w:rPr>
        <w:t xml:space="preserve">В 2017 году основные экспортные поставки товаров осуществлялись в 76 стран ближнего и дальнего зарубежья. Основные страны-контрагенты: Нидерланды - 817,2 млн долл. США, Бельгия - 354,8 млн долл. США, Франция - 264,9 млн долл. США, Великобритания - 213,5 млн долл. США, Швеция - 178,3 млн долл. США, Латвия - 155,9 млн долл. США, Белоруссия - 143,2 млн долл. США, Финляндия - 117,1 млн долл. США, Турция - 99,2 млн долл. США, Германия - 92,5 млн долл. США, Казахстан - 86,4 млн долл. США.</w:t>
      </w:r>
    </w:p>
    <w:p>
      <w:pPr>
        <w:pStyle w:val="0"/>
        <w:spacing w:before="200" w:line-rule="auto"/>
        <w:ind w:firstLine="540"/>
        <w:jc w:val="both"/>
      </w:pPr>
      <w:r>
        <w:rPr>
          <w:sz w:val="20"/>
        </w:rPr>
        <w:t xml:space="preserve">В 2018 году основные экспортные поставки товаров осуществлялись в более чем 90 стран ближнего и дальнего зарубежья. Основные страны-контрагенты: Нидерланды - 882,7 млн долл. США, Франция - 500,6 млн долл. США, Великобритания - 327,3 млн долл. США, Швеция - 320,0 млн долл. США, Польша - 270,8 млн долл. США, Бельгия - 231,8 млн долл. США, Финляндия - 194,6 млн долл. США, Германия - 178,8 млн долл. США, Белоруссия - 161,8 млн долл. США, США - 140,8 млн долл. США, Латвия - 123,9 млн долл. США, Казахстан - 81,9 млн долл. США, Турция - 52,7 млн долл. США.</w:t>
      </w:r>
    </w:p>
    <w:p>
      <w:pPr>
        <w:pStyle w:val="0"/>
        <w:jc w:val="both"/>
      </w:pPr>
      <w:r>
        <w:rPr>
          <w:sz w:val="20"/>
        </w:rPr>
      </w:r>
    </w:p>
    <w:p>
      <w:pPr>
        <w:pStyle w:val="2"/>
        <w:outlineLvl w:val="3"/>
        <w:ind w:firstLine="540"/>
        <w:jc w:val="both"/>
      </w:pPr>
      <w:r>
        <w:rPr>
          <w:sz w:val="20"/>
        </w:rPr>
        <w:t xml:space="preserve">Таблица 3 - Основные торговые партнеры в экспорте Тюменской области, % от общего объема экспорта за соответствующий год</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624"/>
        <w:gridCol w:w="1928"/>
        <w:gridCol w:w="624"/>
        <w:gridCol w:w="1928"/>
        <w:gridCol w:w="624"/>
        <w:gridCol w:w="1928"/>
        <w:gridCol w:w="624"/>
      </w:tblGrid>
      <w:tr>
        <w:tc>
          <w:tcPr>
            <w:tcW w:w="1928" w:type="dxa"/>
            <w:vAlign w:val="center"/>
          </w:tcPr>
          <w:p>
            <w:pPr>
              <w:pStyle w:val="0"/>
              <w:jc w:val="center"/>
            </w:pPr>
            <w:r>
              <w:rPr>
                <w:sz w:val="20"/>
              </w:rPr>
              <w:t xml:space="preserve">2015 год</w:t>
            </w:r>
          </w:p>
        </w:tc>
        <w:tc>
          <w:tcPr>
            <w:tcW w:w="624" w:type="dxa"/>
            <w:vAlign w:val="center"/>
          </w:tcPr>
          <w:p>
            <w:pPr>
              <w:pStyle w:val="0"/>
              <w:jc w:val="center"/>
            </w:pPr>
            <w:r>
              <w:rPr>
                <w:sz w:val="20"/>
              </w:rPr>
              <w:t xml:space="preserve">%</w:t>
            </w:r>
          </w:p>
        </w:tc>
        <w:tc>
          <w:tcPr>
            <w:tcW w:w="1928" w:type="dxa"/>
            <w:vAlign w:val="center"/>
          </w:tcPr>
          <w:p>
            <w:pPr>
              <w:pStyle w:val="0"/>
              <w:jc w:val="center"/>
            </w:pPr>
            <w:r>
              <w:rPr>
                <w:sz w:val="20"/>
              </w:rPr>
              <w:t xml:space="preserve">2016</w:t>
            </w:r>
          </w:p>
        </w:tc>
        <w:tc>
          <w:tcPr>
            <w:tcW w:w="624" w:type="dxa"/>
            <w:vAlign w:val="center"/>
          </w:tcPr>
          <w:p>
            <w:pPr>
              <w:pStyle w:val="0"/>
              <w:jc w:val="center"/>
            </w:pPr>
            <w:r>
              <w:rPr>
                <w:sz w:val="20"/>
              </w:rPr>
              <w:t xml:space="preserve">%</w:t>
            </w:r>
          </w:p>
        </w:tc>
        <w:tc>
          <w:tcPr>
            <w:tcW w:w="1928" w:type="dxa"/>
            <w:vAlign w:val="center"/>
          </w:tcPr>
          <w:p>
            <w:pPr>
              <w:pStyle w:val="0"/>
              <w:jc w:val="center"/>
            </w:pPr>
            <w:r>
              <w:rPr>
                <w:sz w:val="20"/>
              </w:rPr>
              <w:t xml:space="preserve">2017</w:t>
            </w:r>
          </w:p>
        </w:tc>
        <w:tc>
          <w:tcPr>
            <w:tcW w:w="624" w:type="dxa"/>
            <w:vAlign w:val="center"/>
          </w:tcPr>
          <w:p>
            <w:pPr>
              <w:pStyle w:val="0"/>
              <w:jc w:val="center"/>
            </w:pPr>
            <w:r>
              <w:rPr>
                <w:sz w:val="20"/>
              </w:rPr>
              <w:t xml:space="preserve">%</w:t>
            </w:r>
          </w:p>
        </w:tc>
        <w:tc>
          <w:tcPr>
            <w:tcW w:w="1928" w:type="dxa"/>
            <w:vAlign w:val="center"/>
          </w:tcPr>
          <w:p>
            <w:pPr>
              <w:pStyle w:val="0"/>
              <w:jc w:val="center"/>
            </w:pPr>
            <w:r>
              <w:rPr>
                <w:sz w:val="20"/>
              </w:rPr>
              <w:t xml:space="preserve">2018</w:t>
            </w:r>
          </w:p>
        </w:tc>
        <w:tc>
          <w:tcPr>
            <w:tcW w:w="624" w:type="dxa"/>
            <w:vAlign w:val="center"/>
          </w:tcPr>
          <w:p>
            <w:pPr>
              <w:pStyle w:val="0"/>
              <w:jc w:val="center"/>
            </w:pPr>
            <w:r>
              <w:rPr>
                <w:sz w:val="20"/>
              </w:rPr>
              <w:t xml:space="preserve">%</w:t>
            </w:r>
          </w:p>
        </w:tc>
      </w:tr>
      <w:tr>
        <w:tc>
          <w:tcPr>
            <w:tcW w:w="1928" w:type="dxa"/>
            <w:vAlign w:val="center"/>
          </w:tcPr>
          <w:p>
            <w:pPr>
              <w:pStyle w:val="0"/>
            </w:pPr>
            <w:r>
              <w:rPr>
                <w:sz w:val="20"/>
              </w:rPr>
              <w:t xml:space="preserve">Нидерланды</w:t>
            </w:r>
          </w:p>
        </w:tc>
        <w:tc>
          <w:tcPr>
            <w:tcW w:w="624" w:type="dxa"/>
            <w:vAlign w:val="center"/>
          </w:tcPr>
          <w:p>
            <w:pPr>
              <w:pStyle w:val="0"/>
              <w:jc w:val="center"/>
            </w:pPr>
            <w:r>
              <w:rPr>
                <w:sz w:val="20"/>
              </w:rPr>
              <w:t xml:space="preserve">41,8</w:t>
            </w:r>
          </w:p>
        </w:tc>
        <w:tc>
          <w:tcPr>
            <w:tcW w:w="1928" w:type="dxa"/>
            <w:vAlign w:val="center"/>
          </w:tcPr>
          <w:p>
            <w:pPr>
              <w:pStyle w:val="0"/>
            </w:pPr>
            <w:r>
              <w:rPr>
                <w:sz w:val="20"/>
              </w:rPr>
              <w:t xml:space="preserve">Нидерланды</w:t>
            </w:r>
          </w:p>
        </w:tc>
        <w:tc>
          <w:tcPr>
            <w:tcW w:w="624" w:type="dxa"/>
            <w:vAlign w:val="center"/>
          </w:tcPr>
          <w:p>
            <w:pPr>
              <w:pStyle w:val="0"/>
              <w:jc w:val="center"/>
            </w:pPr>
            <w:r>
              <w:rPr>
                <w:sz w:val="20"/>
              </w:rPr>
              <w:t xml:space="preserve">30,0</w:t>
            </w:r>
          </w:p>
        </w:tc>
        <w:tc>
          <w:tcPr>
            <w:tcW w:w="1928" w:type="dxa"/>
            <w:vAlign w:val="center"/>
          </w:tcPr>
          <w:p>
            <w:pPr>
              <w:pStyle w:val="0"/>
            </w:pPr>
            <w:r>
              <w:rPr>
                <w:sz w:val="20"/>
              </w:rPr>
              <w:t xml:space="preserve">Нидерланды</w:t>
            </w:r>
          </w:p>
        </w:tc>
        <w:tc>
          <w:tcPr>
            <w:tcW w:w="624" w:type="dxa"/>
            <w:vAlign w:val="center"/>
          </w:tcPr>
          <w:p>
            <w:pPr>
              <w:pStyle w:val="0"/>
              <w:jc w:val="center"/>
            </w:pPr>
            <w:r>
              <w:rPr>
                <w:sz w:val="20"/>
              </w:rPr>
              <w:t xml:space="preserve">27,8</w:t>
            </w:r>
          </w:p>
        </w:tc>
        <w:tc>
          <w:tcPr>
            <w:tcW w:w="1928" w:type="dxa"/>
            <w:vAlign w:val="center"/>
          </w:tcPr>
          <w:p>
            <w:pPr>
              <w:pStyle w:val="0"/>
            </w:pPr>
            <w:r>
              <w:rPr>
                <w:sz w:val="20"/>
              </w:rPr>
              <w:t xml:space="preserve">Нидерланды</w:t>
            </w:r>
          </w:p>
        </w:tc>
        <w:tc>
          <w:tcPr>
            <w:tcW w:w="624" w:type="dxa"/>
            <w:vAlign w:val="center"/>
          </w:tcPr>
          <w:p>
            <w:pPr>
              <w:pStyle w:val="0"/>
              <w:jc w:val="center"/>
            </w:pPr>
            <w:r>
              <w:rPr>
                <w:sz w:val="20"/>
              </w:rPr>
              <w:t xml:space="preserve">23,5</w:t>
            </w:r>
          </w:p>
        </w:tc>
      </w:tr>
      <w:tr>
        <w:tc>
          <w:tcPr>
            <w:tcW w:w="1928" w:type="dxa"/>
            <w:vAlign w:val="center"/>
          </w:tcPr>
          <w:p>
            <w:pPr>
              <w:pStyle w:val="0"/>
            </w:pPr>
            <w:r>
              <w:rPr>
                <w:sz w:val="20"/>
              </w:rPr>
              <w:t xml:space="preserve">Бельгия</w:t>
            </w:r>
          </w:p>
        </w:tc>
        <w:tc>
          <w:tcPr>
            <w:tcW w:w="624" w:type="dxa"/>
            <w:vAlign w:val="center"/>
          </w:tcPr>
          <w:p>
            <w:pPr>
              <w:pStyle w:val="0"/>
              <w:jc w:val="center"/>
            </w:pPr>
            <w:r>
              <w:rPr>
                <w:sz w:val="20"/>
              </w:rPr>
              <w:t xml:space="preserve">10,9</w:t>
            </w:r>
          </w:p>
        </w:tc>
        <w:tc>
          <w:tcPr>
            <w:tcW w:w="1928" w:type="dxa"/>
            <w:vAlign w:val="center"/>
          </w:tcPr>
          <w:p>
            <w:pPr>
              <w:pStyle w:val="0"/>
            </w:pPr>
            <w:r>
              <w:rPr>
                <w:sz w:val="20"/>
              </w:rPr>
              <w:t xml:space="preserve">Великобритания</w:t>
            </w:r>
          </w:p>
        </w:tc>
        <w:tc>
          <w:tcPr>
            <w:tcW w:w="624" w:type="dxa"/>
            <w:vAlign w:val="center"/>
          </w:tcPr>
          <w:p>
            <w:pPr>
              <w:pStyle w:val="0"/>
              <w:jc w:val="center"/>
            </w:pPr>
            <w:r>
              <w:rPr>
                <w:sz w:val="20"/>
              </w:rPr>
              <w:t xml:space="preserve">9,4</w:t>
            </w:r>
          </w:p>
        </w:tc>
        <w:tc>
          <w:tcPr>
            <w:tcW w:w="1928" w:type="dxa"/>
            <w:vAlign w:val="center"/>
          </w:tcPr>
          <w:p>
            <w:pPr>
              <w:pStyle w:val="0"/>
            </w:pPr>
            <w:r>
              <w:rPr>
                <w:sz w:val="20"/>
              </w:rPr>
              <w:t xml:space="preserve">Бельгия</w:t>
            </w:r>
          </w:p>
        </w:tc>
        <w:tc>
          <w:tcPr>
            <w:tcW w:w="624" w:type="dxa"/>
            <w:vAlign w:val="center"/>
          </w:tcPr>
          <w:p>
            <w:pPr>
              <w:pStyle w:val="0"/>
              <w:jc w:val="center"/>
            </w:pPr>
            <w:r>
              <w:rPr>
                <w:sz w:val="20"/>
              </w:rPr>
              <w:t xml:space="preserve">12,1</w:t>
            </w:r>
          </w:p>
        </w:tc>
        <w:tc>
          <w:tcPr>
            <w:tcW w:w="1928" w:type="dxa"/>
            <w:vAlign w:val="center"/>
          </w:tcPr>
          <w:p>
            <w:pPr>
              <w:pStyle w:val="0"/>
            </w:pPr>
            <w:r>
              <w:rPr>
                <w:sz w:val="20"/>
              </w:rPr>
              <w:t xml:space="preserve">Франция</w:t>
            </w:r>
          </w:p>
        </w:tc>
        <w:tc>
          <w:tcPr>
            <w:tcW w:w="624" w:type="dxa"/>
            <w:vAlign w:val="center"/>
          </w:tcPr>
          <w:p>
            <w:pPr>
              <w:pStyle w:val="0"/>
              <w:jc w:val="center"/>
            </w:pPr>
            <w:r>
              <w:rPr>
                <w:sz w:val="20"/>
              </w:rPr>
              <w:t xml:space="preserve">13,3</w:t>
            </w:r>
          </w:p>
        </w:tc>
      </w:tr>
      <w:tr>
        <w:tc>
          <w:tcPr>
            <w:tcW w:w="1928" w:type="dxa"/>
            <w:vAlign w:val="center"/>
          </w:tcPr>
          <w:p>
            <w:pPr>
              <w:pStyle w:val="0"/>
            </w:pPr>
            <w:r>
              <w:rPr>
                <w:sz w:val="20"/>
              </w:rPr>
              <w:t xml:space="preserve">Турция</w:t>
            </w:r>
          </w:p>
        </w:tc>
        <w:tc>
          <w:tcPr>
            <w:tcW w:w="624" w:type="dxa"/>
            <w:vAlign w:val="center"/>
          </w:tcPr>
          <w:p>
            <w:pPr>
              <w:pStyle w:val="0"/>
              <w:jc w:val="center"/>
            </w:pPr>
            <w:r>
              <w:rPr>
                <w:sz w:val="20"/>
              </w:rPr>
              <w:t xml:space="preserve">8,2</w:t>
            </w:r>
          </w:p>
        </w:tc>
        <w:tc>
          <w:tcPr>
            <w:tcW w:w="1928" w:type="dxa"/>
            <w:vAlign w:val="center"/>
          </w:tcPr>
          <w:p>
            <w:pPr>
              <w:pStyle w:val="0"/>
            </w:pPr>
            <w:r>
              <w:rPr>
                <w:sz w:val="20"/>
              </w:rPr>
              <w:t xml:space="preserve">Бельгия</w:t>
            </w:r>
          </w:p>
        </w:tc>
        <w:tc>
          <w:tcPr>
            <w:tcW w:w="624" w:type="dxa"/>
            <w:vAlign w:val="center"/>
          </w:tcPr>
          <w:p>
            <w:pPr>
              <w:pStyle w:val="0"/>
              <w:jc w:val="center"/>
            </w:pPr>
            <w:r>
              <w:rPr>
                <w:sz w:val="20"/>
              </w:rPr>
              <w:t xml:space="preserve">8,5</w:t>
            </w:r>
          </w:p>
        </w:tc>
        <w:tc>
          <w:tcPr>
            <w:tcW w:w="1928" w:type="dxa"/>
            <w:vAlign w:val="center"/>
          </w:tcPr>
          <w:p>
            <w:pPr>
              <w:pStyle w:val="0"/>
            </w:pPr>
            <w:r>
              <w:rPr>
                <w:sz w:val="20"/>
              </w:rPr>
              <w:t xml:space="preserve">Франция</w:t>
            </w:r>
          </w:p>
        </w:tc>
        <w:tc>
          <w:tcPr>
            <w:tcW w:w="624" w:type="dxa"/>
            <w:vAlign w:val="center"/>
          </w:tcPr>
          <w:p>
            <w:pPr>
              <w:pStyle w:val="0"/>
              <w:jc w:val="center"/>
            </w:pPr>
            <w:r>
              <w:rPr>
                <w:sz w:val="20"/>
              </w:rPr>
              <w:t xml:space="preserve">9,0</w:t>
            </w:r>
          </w:p>
        </w:tc>
        <w:tc>
          <w:tcPr>
            <w:tcW w:w="1928" w:type="dxa"/>
            <w:vAlign w:val="center"/>
          </w:tcPr>
          <w:p>
            <w:pPr>
              <w:pStyle w:val="0"/>
            </w:pPr>
            <w:r>
              <w:rPr>
                <w:sz w:val="20"/>
              </w:rPr>
              <w:t xml:space="preserve">Великобритания</w:t>
            </w:r>
          </w:p>
        </w:tc>
        <w:tc>
          <w:tcPr>
            <w:tcW w:w="624" w:type="dxa"/>
            <w:vAlign w:val="center"/>
          </w:tcPr>
          <w:p>
            <w:pPr>
              <w:pStyle w:val="0"/>
              <w:jc w:val="center"/>
            </w:pPr>
            <w:r>
              <w:rPr>
                <w:sz w:val="20"/>
              </w:rPr>
              <w:t xml:space="preserve">8,7</w:t>
            </w:r>
          </w:p>
        </w:tc>
      </w:tr>
      <w:tr>
        <w:tc>
          <w:tcPr>
            <w:tcW w:w="1928" w:type="dxa"/>
            <w:vAlign w:val="center"/>
          </w:tcPr>
          <w:p>
            <w:pPr>
              <w:pStyle w:val="0"/>
            </w:pPr>
            <w:r>
              <w:rPr>
                <w:sz w:val="20"/>
              </w:rPr>
              <w:t xml:space="preserve">Германия</w:t>
            </w:r>
          </w:p>
        </w:tc>
        <w:tc>
          <w:tcPr>
            <w:tcW w:w="624" w:type="dxa"/>
            <w:vAlign w:val="center"/>
          </w:tcPr>
          <w:p>
            <w:pPr>
              <w:pStyle w:val="0"/>
              <w:jc w:val="center"/>
            </w:pPr>
            <w:r>
              <w:rPr>
                <w:sz w:val="20"/>
              </w:rPr>
              <w:t xml:space="preserve">7,9</w:t>
            </w:r>
          </w:p>
        </w:tc>
        <w:tc>
          <w:tcPr>
            <w:tcW w:w="1928" w:type="dxa"/>
            <w:vAlign w:val="center"/>
          </w:tcPr>
          <w:p>
            <w:pPr>
              <w:pStyle w:val="0"/>
            </w:pPr>
            <w:r>
              <w:rPr>
                <w:sz w:val="20"/>
              </w:rPr>
              <w:t xml:space="preserve">Турция</w:t>
            </w:r>
          </w:p>
        </w:tc>
        <w:tc>
          <w:tcPr>
            <w:tcW w:w="624" w:type="dxa"/>
            <w:vAlign w:val="center"/>
          </w:tcPr>
          <w:p>
            <w:pPr>
              <w:pStyle w:val="0"/>
              <w:jc w:val="center"/>
            </w:pPr>
            <w:r>
              <w:rPr>
                <w:sz w:val="20"/>
              </w:rPr>
              <w:t xml:space="preserve">6,8</w:t>
            </w:r>
          </w:p>
        </w:tc>
        <w:tc>
          <w:tcPr>
            <w:tcW w:w="1928" w:type="dxa"/>
            <w:vAlign w:val="center"/>
          </w:tcPr>
          <w:p>
            <w:pPr>
              <w:pStyle w:val="0"/>
            </w:pPr>
            <w:r>
              <w:rPr>
                <w:sz w:val="20"/>
              </w:rPr>
              <w:t xml:space="preserve">Великобритания</w:t>
            </w:r>
          </w:p>
        </w:tc>
        <w:tc>
          <w:tcPr>
            <w:tcW w:w="624" w:type="dxa"/>
            <w:vAlign w:val="center"/>
          </w:tcPr>
          <w:p>
            <w:pPr>
              <w:pStyle w:val="0"/>
              <w:jc w:val="center"/>
            </w:pPr>
            <w:r>
              <w:rPr>
                <w:sz w:val="20"/>
              </w:rPr>
              <w:t xml:space="preserve">7,3</w:t>
            </w:r>
          </w:p>
        </w:tc>
        <w:tc>
          <w:tcPr>
            <w:tcW w:w="1928" w:type="dxa"/>
            <w:vAlign w:val="center"/>
          </w:tcPr>
          <w:p>
            <w:pPr>
              <w:pStyle w:val="0"/>
            </w:pPr>
            <w:r>
              <w:rPr>
                <w:sz w:val="20"/>
              </w:rPr>
              <w:t xml:space="preserve">Швеция</w:t>
            </w:r>
          </w:p>
        </w:tc>
        <w:tc>
          <w:tcPr>
            <w:tcW w:w="624" w:type="dxa"/>
            <w:vAlign w:val="center"/>
          </w:tcPr>
          <w:p>
            <w:pPr>
              <w:pStyle w:val="0"/>
              <w:jc w:val="center"/>
            </w:pPr>
            <w:r>
              <w:rPr>
                <w:sz w:val="20"/>
              </w:rPr>
              <w:t xml:space="preserve">8,5</w:t>
            </w:r>
          </w:p>
        </w:tc>
      </w:tr>
      <w:tr>
        <w:tc>
          <w:tcPr>
            <w:tcW w:w="1928" w:type="dxa"/>
            <w:vAlign w:val="center"/>
          </w:tcPr>
          <w:p>
            <w:pPr>
              <w:pStyle w:val="0"/>
            </w:pPr>
            <w:r>
              <w:rPr>
                <w:sz w:val="20"/>
              </w:rPr>
              <w:t xml:space="preserve">Финляндия</w:t>
            </w:r>
          </w:p>
        </w:tc>
        <w:tc>
          <w:tcPr>
            <w:tcW w:w="624" w:type="dxa"/>
            <w:vAlign w:val="center"/>
          </w:tcPr>
          <w:p>
            <w:pPr>
              <w:pStyle w:val="0"/>
              <w:jc w:val="center"/>
            </w:pPr>
            <w:r>
              <w:rPr>
                <w:sz w:val="20"/>
              </w:rPr>
              <w:t xml:space="preserve">6,2</w:t>
            </w:r>
          </w:p>
        </w:tc>
        <w:tc>
          <w:tcPr>
            <w:tcW w:w="1928" w:type="dxa"/>
            <w:vAlign w:val="center"/>
          </w:tcPr>
          <w:p>
            <w:pPr>
              <w:pStyle w:val="0"/>
            </w:pPr>
            <w:r>
              <w:rPr>
                <w:sz w:val="20"/>
              </w:rPr>
              <w:t xml:space="preserve">Финляндия</w:t>
            </w:r>
          </w:p>
        </w:tc>
        <w:tc>
          <w:tcPr>
            <w:tcW w:w="624" w:type="dxa"/>
            <w:vAlign w:val="center"/>
          </w:tcPr>
          <w:p>
            <w:pPr>
              <w:pStyle w:val="0"/>
              <w:jc w:val="center"/>
            </w:pPr>
            <w:r>
              <w:rPr>
                <w:sz w:val="20"/>
              </w:rPr>
              <w:t xml:space="preserve">6,7</w:t>
            </w:r>
          </w:p>
        </w:tc>
        <w:tc>
          <w:tcPr>
            <w:tcW w:w="1928" w:type="dxa"/>
            <w:vAlign w:val="center"/>
          </w:tcPr>
          <w:p>
            <w:pPr>
              <w:pStyle w:val="0"/>
            </w:pPr>
            <w:r>
              <w:rPr>
                <w:sz w:val="20"/>
              </w:rPr>
              <w:t xml:space="preserve">Швеция</w:t>
            </w:r>
          </w:p>
        </w:tc>
        <w:tc>
          <w:tcPr>
            <w:tcW w:w="624" w:type="dxa"/>
            <w:vAlign w:val="center"/>
          </w:tcPr>
          <w:p>
            <w:pPr>
              <w:pStyle w:val="0"/>
              <w:jc w:val="center"/>
            </w:pPr>
            <w:r>
              <w:rPr>
                <w:sz w:val="20"/>
              </w:rPr>
              <w:t xml:space="preserve">6,1</w:t>
            </w:r>
          </w:p>
        </w:tc>
        <w:tc>
          <w:tcPr>
            <w:tcW w:w="1928" w:type="dxa"/>
            <w:vAlign w:val="center"/>
          </w:tcPr>
          <w:p>
            <w:pPr>
              <w:pStyle w:val="0"/>
            </w:pPr>
            <w:r>
              <w:rPr>
                <w:sz w:val="20"/>
              </w:rPr>
              <w:t xml:space="preserve">Польша</w:t>
            </w:r>
          </w:p>
        </w:tc>
        <w:tc>
          <w:tcPr>
            <w:tcW w:w="624" w:type="dxa"/>
            <w:vAlign w:val="center"/>
          </w:tcPr>
          <w:p>
            <w:pPr>
              <w:pStyle w:val="0"/>
              <w:jc w:val="center"/>
            </w:pPr>
            <w:r>
              <w:rPr>
                <w:sz w:val="20"/>
              </w:rPr>
              <w:t xml:space="preserve">7,2</w:t>
            </w:r>
          </w:p>
        </w:tc>
      </w:tr>
      <w:tr>
        <w:tc>
          <w:tcPr>
            <w:tcW w:w="1928" w:type="dxa"/>
            <w:vAlign w:val="center"/>
          </w:tcPr>
          <w:p>
            <w:pPr>
              <w:pStyle w:val="0"/>
            </w:pPr>
            <w:r>
              <w:rPr>
                <w:sz w:val="20"/>
              </w:rPr>
              <w:t xml:space="preserve">Узбекистан</w:t>
            </w:r>
          </w:p>
        </w:tc>
        <w:tc>
          <w:tcPr>
            <w:tcW w:w="624" w:type="dxa"/>
            <w:vAlign w:val="center"/>
          </w:tcPr>
          <w:p>
            <w:pPr>
              <w:pStyle w:val="0"/>
              <w:jc w:val="center"/>
            </w:pPr>
            <w:r>
              <w:rPr>
                <w:sz w:val="20"/>
              </w:rPr>
              <w:t xml:space="preserve">4,8</w:t>
            </w:r>
          </w:p>
        </w:tc>
        <w:tc>
          <w:tcPr>
            <w:tcW w:w="1928" w:type="dxa"/>
            <w:vAlign w:val="center"/>
          </w:tcPr>
          <w:p>
            <w:pPr>
              <w:pStyle w:val="0"/>
            </w:pPr>
            <w:r>
              <w:rPr>
                <w:sz w:val="20"/>
              </w:rPr>
              <w:t xml:space="preserve">Швеция</w:t>
            </w:r>
          </w:p>
        </w:tc>
        <w:tc>
          <w:tcPr>
            <w:tcW w:w="624" w:type="dxa"/>
            <w:vAlign w:val="center"/>
          </w:tcPr>
          <w:p>
            <w:pPr>
              <w:pStyle w:val="0"/>
              <w:jc w:val="center"/>
            </w:pPr>
            <w:r>
              <w:rPr>
                <w:sz w:val="20"/>
              </w:rPr>
              <w:t xml:space="preserve">6,5</w:t>
            </w:r>
          </w:p>
        </w:tc>
        <w:tc>
          <w:tcPr>
            <w:tcW w:w="1928" w:type="dxa"/>
            <w:vAlign w:val="center"/>
          </w:tcPr>
          <w:p>
            <w:pPr>
              <w:pStyle w:val="0"/>
            </w:pPr>
            <w:r>
              <w:rPr>
                <w:sz w:val="20"/>
              </w:rPr>
              <w:t xml:space="preserve">Латвия</w:t>
            </w:r>
          </w:p>
        </w:tc>
        <w:tc>
          <w:tcPr>
            <w:tcW w:w="624" w:type="dxa"/>
            <w:vAlign w:val="center"/>
          </w:tcPr>
          <w:p>
            <w:pPr>
              <w:pStyle w:val="0"/>
              <w:jc w:val="center"/>
            </w:pPr>
            <w:r>
              <w:rPr>
                <w:sz w:val="20"/>
              </w:rPr>
              <w:t xml:space="preserve">5,3</w:t>
            </w:r>
          </w:p>
        </w:tc>
        <w:tc>
          <w:tcPr>
            <w:tcW w:w="1928" w:type="dxa"/>
            <w:vAlign w:val="center"/>
          </w:tcPr>
          <w:p>
            <w:pPr>
              <w:pStyle w:val="0"/>
            </w:pPr>
            <w:r>
              <w:rPr>
                <w:sz w:val="20"/>
              </w:rPr>
              <w:t xml:space="preserve">Бельгия</w:t>
            </w:r>
          </w:p>
        </w:tc>
        <w:tc>
          <w:tcPr>
            <w:tcW w:w="624" w:type="dxa"/>
            <w:vAlign w:val="center"/>
          </w:tcPr>
          <w:p>
            <w:pPr>
              <w:pStyle w:val="0"/>
              <w:jc w:val="center"/>
            </w:pPr>
            <w:r>
              <w:rPr>
                <w:sz w:val="20"/>
              </w:rPr>
              <w:t xml:space="preserve">6,2</w:t>
            </w:r>
          </w:p>
        </w:tc>
      </w:tr>
      <w:tr>
        <w:tc>
          <w:tcPr>
            <w:tcW w:w="1928" w:type="dxa"/>
            <w:vAlign w:val="center"/>
          </w:tcPr>
          <w:p>
            <w:pPr>
              <w:pStyle w:val="0"/>
            </w:pPr>
            <w:r>
              <w:rPr>
                <w:sz w:val="20"/>
              </w:rPr>
              <w:t xml:space="preserve">Китай</w:t>
            </w:r>
          </w:p>
        </w:tc>
        <w:tc>
          <w:tcPr>
            <w:tcW w:w="624" w:type="dxa"/>
            <w:vAlign w:val="center"/>
          </w:tcPr>
          <w:p>
            <w:pPr>
              <w:pStyle w:val="0"/>
              <w:jc w:val="center"/>
            </w:pPr>
            <w:r>
              <w:rPr>
                <w:sz w:val="20"/>
              </w:rPr>
              <w:t xml:space="preserve">3,9</w:t>
            </w:r>
          </w:p>
        </w:tc>
        <w:tc>
          <w:tcPr>
            <w:tcW w:w="1928" w:type="dxa"/>
            <w:vAlign w:val="center"/>
          </w:tcPr>
          <w:p>
            <w:pPr>
              <w:pStyle w:val="0"/>
            </w:pPr>
            <w:r>
              <w:rPr>
                <w:sz w:val="20"/>
              </w:rPr>
              <w:t xml:space="preserve">Франция</w:t>
            </w:r>
          </w:p>
        </w:tc>
        <w:tc>
          <w:tcPr>
            <w:tcW w:w="624" w:type="dxa"/>
            <w:vAlign w:val="center"/>
          </w:tcPr>
          <w:p>
            <w:pPr>
              <w:pStyle w:val="0"/>
              <w:jc w:val="center"/>
            </w:pPr>
            <w:r>
              <w:rPr>
                <w:sz w:val="20"/>
              </w:rPr>
              <w:t xml:space="preserve">6,1</w:t>
            </w:r>
          </w:p>
        </w:tc>
        <w:tc>
          <w:tcPr>
            <w:tcW w:w="1928" w:type="dxa"/>
            <w:vAlign w:val="center"/>
          </w:tcPr>
          <w:p>
            <w:pPr>
              <w:pStyle w:val="0"/>
            </w:pPr>
            <w:r>
              <w:rPr>
                <w:sz w:val="20"/>
              </w:rPr>
              <w:t xml:space="preserve">Белоруссия</w:t>
            </w:r>
          </w:p>
        </w:tc>
        <w:tc>
          <w:tcPr>
            <w:tcW w:w="624" w:type="dxa"/>
            <w:vAlign w:val="center"/>
          </w:tcPr>
          <w:p>
            <w:pPr>
              <w:pStyle w:val="0"/>
              <w:jc w:val="center"/>
            </w:pPr>
            <w:r>
              <w:rPr>
                <w:sz w:val="20"/>
              </w:rPr>
              <w:t xml:space="preserve">4,9</w:t>
            </w:r>
          </w:p>
        </w:tc>
        <w:tc>
          <w:tcPr>
            <w:tcW w:w="1928" w:type="dxa"/>
            <w:vAlign w:val="center"/>
          </w:tcPr>
          <w:p>
            <w:pPr>
              <w:pStyle w:val="0"/>
            </w:pPr>
            <w:r>
              <w:rPr>
                <w:sz w:val="20"/>
              </w:rPr>
              <w:t xml:space="preserve">Финляндия</w:t>
            </w:r>
          </w:p>
        </w:tc>
        <w:tc>
          <w:tcPr>
            <w:tcW w:w="624" w:type="dxa"/>
            <w:vAlign w:val="center"/>
          </w:tcPr>
          <w:p>
            <w:pPr>
              <w:pStyle w:val="0"/>
              <w:jc w:val="center"/>
            </w:pPr>
            <w:r>
              <w:rPr>
                <w:sz w:val="20"/>
              </w:rPr>
              <w:t xml:space="preserve">5,2</w:t>
            </w:r>
          </w:p>
        </w:tc>
      </w:tr>
      <w:tr>
        <w:tc>
          <w:tcPr>
            <w:tcW w:w="1928" w:type="dxa"/>
            <w:vAlign w:val="center"/>
          </w:tcPr>
          <w:p>
            <w:pPr>
              <w:pStyle w:val="0"/>
            </w:pPr>
            <w:r>
              <w:rPr>
                <w:sz w:val="20"/>
              </w:rPr>
              <w:t xml:space="preserve">Великобритания</w:t>
            </w:r>
          </w:p>
        </w:tc>
        <w:tc>
          <w:tcPr>
            <w:tcW w:w="624" w:type="dxa"/>
            <w:vAlign w:val="center"/>
          </w:tcPr>
          <w:p>
            <w:pPr>
              <w:pStyle w:val="0"/>
              <w:jc w:val="center"/>
            </w:pPr>
            <w:r>
              <w:rPr>
                <w:sz w:val="20"/>
              </w:rPr>
              <w:t xml:space="preserve">3,1</w:t>
            </w:r>
          </w:p>
        </w:tc>
        <w:tc>
          <w:tcPr>
            <w:tcW w:w="1928" w:type="dxa"/>
            <w:vAlign w:val="center"/>
          </w:tcPr>
          <w:p>
            <w:pPr>
              <w:pStyle w:val="0"/>
            </w:pPr>
            <w:r>
              <w:rPr>
                <w:sz w:val="20"/>
              </w:rPr>
              <w:t xml:space="preserve">Германия</w:t>
            </w:r>
          </w:p>
        </w:tc>
        <w:tc>
          <w:tcPr>
            <w:tcW w:w="624" w:type="dxa"/>
            <w:vAlign w:val="center"/>
          </w:tcPr>
          <w:p>
            <w:pPr>
              <w:pStyle w:val="0"/>
              <w:jc w:val="center"/>
            </w:pPr>
            <w:r>
              <w:rPr>
                <w:sz w:val="20"/>
              </w:rPr>
              <w:t xml:space="preserve">5,0</w:t>
            </w:r>
          </w:p>
        </w:tc>
        <w:tc>
          <w:tcPr>
            <w:tcW w:w="1928" w:type="dxa"/>
            <w:vAlign w:val="center"/>
          </w:tcPr>
          <w:p>
            <w:pPr>
              <w:pStyle w:val="0"/>
            </w:pPr>
            <w:r>
              <w:rPr>
                <w:sz w:val="20"/>
              </w:rPr>
              <w:t xml:space="preserve">Финляндия</w:t>
            </w:r>
          </w:p>
        </w:tc>
        <w:tc>
          <w:tcPr>
            <w:tcW w:w="624" w:type="dxa"/>
            <w:vAlign w:val="center"/>
          </w:tcPr>
          <w:p>
            <w:pPr>
              <w:pStyle w:val="0"/>
              <w:jc w:val="center"/>
            </w:pPr>
            <w:r>
              <w:rPr>
                <w:sz w:val="20"/>
              </w:rPr>
              <w:t xml:space="preserve">4,0</w:t>
            </w:r>
          </w:p>
        </w:tc>
        <w:tc>
          <w:tcPr>
            <w:tcW w:w="1928" w:type="dxa"/>
            <w:vAlign w:val="center"/>
          </w:tcPr>
          <w:p>
            <w:pPr>
              <w:pStyle w:val="0"/>
            </w:pPr>
            <w:r>
              <w:rPr>
                <w:sz w:val="20"/>
              </w:rPr>
              <w:t xml:space="preserve">Германия</w:t>
            </w:r>
          </w:p>
        </w:tc>
        <w:tc>
          <w:tcPr>
            <w:tcW w:w="624" w:type="dxa"/>
            <w:vAlign w:val="center"/>
          </w:tcPr>
          <w:p>
            <w:pPr>
              <w:pStyle w:val="0"/>
              <w:jc w:val="center"/>
            </w:pPr>
            <w:r>
              <w:rPr>
                <w:sz w:val="20"/>
              </w:rPr>
              <w:t xml:space="preserve">4,8</w:t>
            </w:r>
          </w:p>
        </w:tc>
      </w:tr>
    </w:tbl>
    <w:p>
      <w:pPr>
        <w:sectPr>
          <w:headerReference w:type="default" r:id="rId37"/>
          <w:headerReference w:type="first" r:id="rId37"/>
          <w:footerReference w:type="default" r:id="rId38"/>
          <w:footerReference w:type="first" r:id="rId3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Перспективы внешнеэкономической деятельности Тюменской области связаны с укреплением имеющегося экономического потенциала и развитием отношений с государствами - участниками Евразийского экономического союза (ЕАЭС) и другими странами СНГ, БРИКС, ШОС и ЕС. Важную роль в развитии сотрудничества играет фактор высокой стабильности региона.</w:t>
      </w:r>
    </w:p>
    <w:p>
      <w:pPr>
        <w:pStyle w:val="0"/>
        <w:jc w:val="both"/>
      </w:pPr>
      <w:r>
        <w:rPr>
          <w:sz w:val="20"/>
        </w:rPr>
      </w:r>
    </w:p>
    <w:p>
      <w:pPr>
        <w:pStyle w:val="2"/>
        <w:outlineLvl w:val="2"/>
        <w:jc w:val="center"/>
      </w:pPr>
      <w:r>
        <w:rPr>
          <w:sz w:val="20"/>
        </w:rPr>
        <w:t xml:space="preserve">2. Анализ потенциально-перспективных экспортных направлений</w:t>
      </w:r>
    </w:p>
    <w:p>
      <w:pPr>
        <w:pStyle w:val="2"/>
        <w:jc w:val="center"/>
      </w:pPr>
      <w:r>
        <w:rPr>
          <w:sz w:val="20"/>
        </w:rPr>
        <w:t xml:space="preserve">региона и зарубежных экспортных рынков</w:t>
      </w:r>
    </w:p>
    <w:p>
      <w:pPr>
        <w:pStyle w:val="0"/>
        <w:jc w:val="both"/>
      </w:pPr>
      <w:r>
        <w:rPr>
          <w:sz w:val="20"/>
        </w:rPr>
      </w:r>
    </w:p>
    <w:p>
      <w:pPr>
        <w:pStyle w:val="0"/>
        <w:ind w:firstLine="540"/>
        <w:jc w:val="both"/>
      </w:pPr>
      <w:r>
        <w:rPr>
          <w:sz w:val="20"/>
        </w:rPr>
        <w:t xml:space="preserve">В 2016 - 2017 годах в Тюменской области проведена работа по определению приоритетных для региона экспортных направлений, сформирован реестр потенциальных предприятий-экспортеров, с которыми проводится комплексная работа по выходу на зарубежные рынки.</w:t>
      </w:r>
    </w:p>
    <w:p>
      <w:pPr>
        <w:pStyle w:val="0"/>
        <w:spacing w:before="200" w:line-rule="auto"/>
        <w:ind w:firstLine="540"/>
        <w:jc w:val="both"/>
      </w:pPr>
      <w:r>
        <w:rPr>
          <w:sz w:val="20"/>
        </w:rPr>
        <w:t xml:space="preserve">В качестве приоритетных выделены следующие направления:</w:t>
      </w:r>
    </w:p>
    <w:p>
      <w:pPr>
        <w:pStyle w:val="0"/>
        <w:spacing w:before="200" w:line-rule="auto"/>
        <w:ind w:firstLine="540"/>
        <w:jc w:val="both"/>
      </w:pPr>
      <w:r>
        <w:rPr>
          <w:sz w:val="20"/>
        </w:rPr>
        <w:t xml:space="preserve">деревообрабатывающая промышленность;</w:t>
      </w:r>
    </w:p>
    <w:p>
      <w:pPr>
        <w:pStyle w:val="0"/>
        <w:spacing w:before="200" w:line-rule="auto"/>
        <w:ind w:firstLine="540"/>
        <w:jc w:val="both"/>
      </w:pPr>
      <w:r>
        <w:rPr>
          <w:sz w:val="20"/>
        </w:rPr>
        <w:t xml:space="preserve">пищевая промышленность и продукция агропромышленного комплекса;</w:t>
      </w:r>
    </w:p>
    <w:p>
      <w:pPr>
        <w:pStyle w:val="0"/>
        <w:spacing w:before="200" w:line-rule="auto"/>
        <w:ind w:firstLine="540"/>
        <w:jc w:val="both"/>
      </w:pPr>
      <w:r>
        <w:rPr>
          <w:sz w:val="20"/>
        </w:rPr>
        <w:t xml:space="preserve">химическая промышленность (производство изделий из синтетических материалов);</w:t>
      </w:r>
    </w:p>
    <w:p>
      <w:pPr>
        <w:pStyle w:val="0"/>
        <w:spacing w:before="200" w:line-rule="auto"/>
        <w:ind w:firstLine="540"/>
        <w:jc w:val="both"/>
      </w:pPr>
      <w:r>
        <w:rPr>
          <w:sz w:val="20"/>
        </w:rPr>
        <w:t xml:space="preserve">нефтегазовое машиностроение;</w:t>
      </w:r>
    </w:p>
    <w:p>
      <w:pPr>
        <w:pStyle w:val="0"/>
        <w:spacing w:before="200" w:line-rule="auto"/>
        <w:ind w:firstLine="540"/>
        <w:jc w:val="both"/>
      </w:pPr>
      <w:r>
        <w:rPr>
          <w:sz w:val="20"/>
        </w:rPr>
        <w:t xml:space="preserve">образовательные и ИТ-услуги.</w:t>
      </w:r>
    </w:p>
    <w:p>
      <w:pPr>
        <w:pStyle w:val="0"/>
        <w:spacing w:before="200" w:line-rule="auto"/>
        <w:ind w:firstLine="540"/>
        <w:jc w:val="both"/>
      </w:pPr>
      <w:r>
        <w:rPr>
          <w:sz w:val="20"/>
        </w:rPr>
        <w:t xml:space="preserve">По каждой отрасли состоялись рабочие встречи с предпринимателями, проводилась работа по разработке дорожных карт по выводу предприятия на зарубежный рынок, в том числе: маркетинговые исследования по направлению, экономические расчеты, международные контакты, необходимые документы. Для предприятий разработана пошаговая инструкция по экспорту с учетом отраслевой принадлежности товара и страны назначения. По трем отраслям (деревообработка, пищевая промышленность и агропромышленный комплекс, изделия из синтетических материалов) разработано 189 дорожных карт по 27 товарным позициям в разрезе 7 стран.</w:t>
      </w:r>
    </w:p>
    <w:p>
      <w:pPr>
        <w:pStyle w:val="0"/>
        <w:spacing w:before="200" w:line-rule="auto"/>
        <w:ind w:firstLine="540"/>
        <w:jc w:val="both"/>
      </w:pPr>
      <w:r>
        <w:rPr>
          <w:sz w:val="20"/>
        </w:rPr>
        <w:t xml:space="preserve">В качестве приоритетных стран для экспорта Тюменских товаров определены среди стран СНГ Казахстан, Азербайджан, Узбекистан, Туркменистан, Таджикистан, Киргизия, Грузия, среди стран дальнего зарубежья - США, Германия, Польша, Италия, Швеция, Финляндия, Китай, Вьетнам, Япония, Иран, Оман, Саудовская Аравия.</w:t>
      </w:r>
    </w:p>
    <w:p>
      <w:pPr>
        <w:pStyle w:val="0"/>
        <w:spacing w:before="200" w:line-rule="auto"/>
        <w:ind w:firstLine="540"/>
        <w:jc w:val="both"/>
      </w:pPr>
      <w:r>
        <w:rPr>
          <w:sz w:val="20"/>
        </w:rPr>
        <w:t xml:space="preserve">В целях географической и товарной диверсификации экспорта необходимо реализовать комплекс мер, включая:</w:t>
      </w:r>
    </w:p>
    <w:p>
      <w:pPr>
        <w:pStyle w:val="0"/>
        <w:spacing w:before="200" w:line-rule="auto"/>
        <w:ind w:firstLine="540"/>
        <w:jc w:val="both"/>
      </w:pPr>
      <w:r>
        <w:rPr>
          <w:sz w:val="20"/>
        </w:rPr>
        <w:t xml:space="preserve">поддержку инвестиционного процесса, направленного на создание на территории региона новых экспортно ориентированных предприятий;</w:t>
      </w:r>
    </w:p>
    <w:p>
      <w:pPr>
        <w:pStyle w:val="0"/>
        <w:spacing w:before="200" w:line-rule="auto"/>
        <w:ind w:firstLine="540"/>
        <w:jc w:val="both"/>
      </w:pPr>
      <w:r>
        <w:rPr>
          <w:sz w:val="20"/>
        </w:rPr>
        <w:t xml:space="preserve">формирование региональной системы государственной поддержки экспорта с участием группы Российского экспортного центра;</w:t>
      </w:r>
    </w:p>
    <w:p>
      <w:pPr>
        <w:pStyle w:val="0"/>
        <w:spacing w:before="200" w:line-rule="auto"/>
        <w:ind w:firstLine="540"/>
        <w:jc w:val="both"/>
      </w:pPr>
      <w:r>
        <w:rPr>
          <w:sz w:val="20"/>
        </w:rPr>
        <w:t xml:space="preserve">создание ассоциаций и объединений экспортеров с целью формирования единой ценовой политики и защиты своих интересов;</w:t>
      </w:r>
    </w:p>
    <w:p>
      <w:pPr>
        <w:pStyle w:val="0"/>
        <w:spacing w:before="200" w:line-rule="auto"/>
        <w:ind w:firstLine="540"/>
        <w:jc w:val="both"/>
      </w:pPr>
      <w:r>
        <w:rPr>
          <w:sz w:val="20"/>
        </w:rPr>
        <w:t xml:space="preserve">развитие электронной торговли посредством создания специализированных электронных площадок и выхода на международные товарные электронные площадки;</w:t>
      </w:r>
    </w:p>
    <w:p>
      <w:pPr>
        <w:pStyle w:val="0"/>
        <w:spacing w:before="200" w:line-rule="auto"/>
        <w:ind w:firstLine="540"/>
        <w:jc w:val="both"/>
      </w:pPr>
      <w:r>
        <w:rPr>
          <w:sz w:val="20"/>
        </w:rPr>
        <w:t xml:space="preserve">более активное вовлечение экспортно ориентированных предприятий малого и среднего бизнеса в систему поддержки экспорта;</w:t>
      </w:r>
    </w:p>
    <w:p>
      <w:pPr>
        <w:pStyle w:val="0"/>
        <w:spacing w:before="200" w:line-rule="auto"/>
        <w:ind w:firstLine="540"/>
        <w:jc w:val="both"/>
      </w:pPr>
      <w:r>
        <w:rPr>
          <w:sz w:val="20"/>
        </w:rPr>
        <w:t xml:space="preserve">продвижение регионального бренда на внешних рынках.</w:t>
      </w:r>
    </w:p>
    <w:p>
      <w:pPr>
        <w:pStyle w:val="0"/>
        <w:spacing w:before="200" w:line-rule="auto"/>
        <w:ind w:firstLine="540"/>
        <w:jc w:val="both"/>
      </w:pPr>
      <w:r>
        <w:rPr>
          <w:sz w:val="20"/>
        </w:rPr>
        <w:t xml:space="preserve">Учитывая широкое представительство региона на зарубежных рынках, одной из основных задач становится удержание существующих позиций Тюменской области на внешних рынках посредством сохранения (и/или увеличения) объемов экспорта традиционных для региона видов продукции (нефтепродукты, продукция химической промышленности, пиломатериалы, оборудование), последовательного наращивания объемов несырьевого, высокотехнологического экспорта, а также расширение географии поставок.</w:t>
      </w:r>
    </w:p>
    <w:p>
      <w:pPr>
        <w:pStyle w:val="0"/>
        <w:spacing w:before="200" w:line-rule="auto"/>
        <w:ind w:firstLine="540"/>
        <w:jc w:val="both"/>
      </w:pPr>
      <w:r>
        <w:rPr>
          <w:sz w:val="20"/>
        </w:rPr>
        <w:t xml:space="preserve">Основные плановые показатели представлены в </w:t>
      </w:r>
      <w:hyperlink w:history="0" w:anchor="P5089" w:tooltip="8. Ожидаемые результаты в части обеспечения благоприятных">
        <w:r>
          <w:rPr>
            <w:sz w:val="20"/>
            <w:color w:val="0000ff"/>
          </w:rPr>
          <w:t xml:space="preserve">разделе 8</w:t>
        </w:r>
      </w:hyperlink>
      <w:r>
        <w:rPr>
          <w:sz w:val="20"/>
        </w:rPr>
        <w:t xml:space="preserve"> "Ожидаемые результаты в части обеспечения благоприятных условий для ведения экспортной деятельности к 2030 году".</w:t>
      </w:r>
    </w:p>
    <w:p>
      <w:pPr>
        <w:pStyle w:val="0"/>
        <w:jc w:val="both"/>
      </w:pPr>
      <w:r>
        <w:rPr>
          <w:sz w:val="20"/>
        </w:rPr>
      </w:r>
    </w:p>
    <w:p>
      <w:pPr>
        <w:pStyle w:val="2"/>
        <w:outlineLvl w:val="2"/>
        <w:jc w:val="center"/>
      </w:pPr>
      <w:r>
        <w:rPr>
          <w:sz w:val="20"/>
        </w:rPr>
        <w:t xml:space="preserve">3. Анализ основных внутренних и внешних барьеров, с которыми</w:t>
      </w:r>
    </w:p>
    <w:p>
      <w:pPr>
        <w:pStyle w:val="2"/>
        <w:jc w:val="center"/>
      </w:pPr>
      <w:r>
        <w:rPr>
          <w:sz w:val="20"/>
        </w:rPr>
        <w:t xml:space="preserve">сталкиваются экспортеры. Мероприятия по устранению</w:t>
      </w:r>
    </w:p>
    <w:p>
      <w:pPr>
        <w:pStyle w:val="2"/>
        <w:jc w:val="center"/>
      </w:pPr>
      <w:r>
        <w:rPr>
          <w:sz w:val="20"/>
        </w:rPr>
        <w:t xml:space="preserve">выявленных барьеров</w:t>
      </w:r>
    </w:p>
    <w:p>
      <w:pPr>
        <w:pStyle w:val="0"/>
        <w:jc w:val="both"/>
      </w:pPr>
      <w:r>
        <w:rPr>
          <w:sz w:val="20"/>
        </w:rPr>
      </w:r>
    </w:p>
    <w:p>
      <w:pPr>
        <w:pStyle w:val="0"/>
        <w:ind w:firstLine="540"/>
        <w:jc w:val="both"/>
      </w:pPr>
      <w:r>
        <w:rPr>
          <w:sz w:val="20"/>
        </w:rPr>
        <w:t xml:space="preserve">В целях определения основных внутренних и внешних барьеров, с которыми сталкиваются экспортеры, ежегодно проводится выборочный опрос предприятий-экспортеров, а также открытое обсуждение в рамках рабочих встреч с предпринимателями. Выявлены следующие барьеры, оказывающие негативное влияние на осуществление экспортной деятельности:</w:t>
      </w:r>
    </w:p>
    <w:p>
      <w:pPr>
        <w:pStyle w:val="0"/>
        <w:spacing w:before="200" w:line-rule="auto"/>
        <w:ind w:firstLine="540"/>
        <w:jc w:val="both"/>
      </w:pPr>
      <w:r>
        <w:rPr>
          <w:sz w:val="20"/>
        </w:rPr>
        <w:t xml:space="preserve">низкий уровень деловой активности предпринимателей, отсутствие необходимых компетенций для реализации экспортной деятельности;</w:t>
      </w:r>
    </w:p>
    <w:p>
      <w:pPr>
        <w:pStyle w:val="0"/>
        <w:spacing w:before="200" w:line-rule="auto"/>
        <w:ind w:firstLine="540"/>
        <w:jc w:val="both"/>
      </w:pPr>
      <w:r>
        <w:rPr>
          <w:sz w:val="20"/>
        </w:rPr>
        <w:t xml:space="preserve">недостаточно развитая транспортная инфраструктура;</w:t>
      </w:r>
    </w:p>
    <w:p>
      <w:pPr>
        <w:pStyle w:val="0"/>
        <w:spacing w:before="200" w:line-rule="auto"/>
        <w:ind w:firstLine="540"/>
        <w:jc w:val="both"/>
      </w:pPr>
      <w:r>
        <w:rPr>
          <w:sz w:val="20"/>
        </w:rPr>
        <w:t xml:space="preserve">недостаточное информирование мирового сообщества об экспортных возможностях Тюменской области в части несырьевой продукции;</w:t>
      </w:r>
    </w:p>
    <w:p>
      <w:pPr>
        <w:pStyle w:val="0"/>
        <w:spacing w:before="200" w:line-rule="auto"/>
        <w:ind w:firstLine="540"/>
        <w:jc w:val="both"/>
      </w:pPr>
      <w:r>
        <w:rPr>
          <w:sz w:val="20"/>
        </w:rPr>
        <w:t xml:space="preserve">низкая конкурентоспособность отечественной продукции, низкий уровень развития технологий, а также ценовая конкуренция со стороны производителей иных стран;</w:t>
      </w:r>
    </w:p>
    <w:p>
      <w:pPr>
        <w:pStyle w:val="0"/>
        <w:spacing w:before="200" w:line-rule="auto"/>
        <w:ind w:firstLine="540"/>
        <w:jc w:val="both"/>
      </w:pPr>
      <w:r>
        <w:rPr>
          <w:sz w:val="20"/>
        </w:rPr>
        <w:t xml:space="preserve">избыточная административная нагрузка при осуществлении внешнеэкономической деятельности;</w:t>
      </w:r>
    </w:p>
    <w:p>
      <w:pPr>
        <w:pStyle w:val="0"/>
        <w:spacing w:before="200" w:line-rule="auto"/>
        <w:ind w:firstLine="540"/>
        <w:jc w:val="both"/>
      </w:pPr>
      <w:r>
        <w:rPr>
          <w:sz w:val="20"/>
        </w:rPr>
        <w:t xml:space="preserve">несовершенство валютного и таможенного законодательства Российской Федерации;</w:t>
      </w:r>
    </w:p>
    <w:p>
      <w:pPr>
        <w:pStyle w:val="0"/>
        <w:spacing w:before="200" w:line-rule="auto"/>
        <w:ind w:firstLine="540"/>
        <w:jc w:val="both"/>
      </w:pPr>
      <w:r>
        <w:rPr>
          <w:sz w:val="20"/>
        </w:rPr>
        <w:t xml:space="preserve">нестабильная обстановка в мировой политике, введение экономических санкций;</w:t>
      </w:r>
    </w:p>
    <w:p>
      <w:pPr>
        <w:pStyle w:val="0"/>
        <w:spacing w:before="200" w:line-rule="auto"/>
        <w:ind w:firstLine="540"/>
        <w:jc w:val="both"/>
      </w:pPr>
      <w:r>
        <w:rPr>
          <w:sz w:val="20"/>
        </w:rPr>
        <w:t xml:space="preserve">высокие затраты на продвижение продукции (участие в выставках, рекламные мероприятия, выпуск образцов для исследований и демонстраций, проведение маркетинговых исследований);</w:t>
      </w:r>
    </w:p>
    <w:p>
      <w:pPr>
        <w:pStyle w:val="0"/>
        <w:spacing w:before="200" w:line-rule="auto"/>
        <w:ind w:firstLine="540"/>
        <w:jc w:val="both"/>
      </w:pPr>
      <w:r>
        <w:rPr>
          <w:sz w:val="20"/>
        </w:rPr>
        <w:t xml:space="preserve">высокие удельные затраты на омологацию и сертификацию продукции, их необходимость для каждого конкретного рынка сбыта;</w:t>
      </w:r>
    </w:p>
    <w:p>
      <w:pPr>
        <w:pStyle w:val="0"/>
        <w:spacing w:before="200" w:line-rule="auto"/>
        <w:ind w:firstLine="540"/>
        <w:jc w:val="both"/>
      </w:pPr>
      <w:r>
        <w:rPr>
          <w:sz w:val="20"/>
        </w:rPr>
        <w:t xml:space="preserve">высокие затраты на транспортировку продукции до конечного потребителя.</w:t>
      </w:r>
    </w:p>
    <w:p>
      <w:pPr>
        <w:pStyle w:val="0"/>
        <w:spacing w:before="200" w:line-rule="auto"/>
        <w:ind w:firstLine="540"/>
        <w:jc w:val="both"/>
      </w:pPr>
      <w:r>
        <w:rPr>
          <w:sz w:val="20"/>
        </w:rPr>
        <w:t xml:space="preserve">Стратегия предусматривает мероприятия по устранению барьеров либо минимизации их последствий.</w:t>
      </w:r>
    </w:p>
    <w:p>
      <w:pPr>
        <w:pStyle w:val="0"/>
        <w:spacing w:before="200" w:line-rule="auto"/>
        <w:ind w:firstLine="540"/>
        <w:jc w:val="both"/>
      </w:pPr>
      <w:r>
        <w:rPr>
          <w:sz w:val="20"/>
        </w:rPr>
        <w:t xml:space="preserve">Большое значение придается повышению уровня знаний и компетенций предпринимателей-участников внешнеэкономической деятельности, в последние несколько лет на регулярной основе проводились мероприятия образовательного и информационного характера.</w:t>
      </w:r>
    </w:p>
    <w:p>
      <w:pPr>
        <w:pStyle w:val="0"/>
        <w:spacing w:before="200" w:line-rule="auto"/>
        <w:ind w:firstLine="540"/>
        <w:jc w:val="both"/>
      </w:pPr>
      <w:r>
        <w:rPr>
          <w:sz w:val="20"/>
        </w:rPr>
        <w:t xml:space="preserve">Тюменской областью 29.12.2016 подписано соглашение о сотрудничестве с Российским экспортным центром (РЭЦ).</w:t>
      </w:r>
    </w:p>
    <w:p>
      <w:pPr>
        <w:pStyle w:val="0"/>
        <w:spacing w:before="200" w:line-rule="auto"/>
        <w:ind w:firstLine="540"/>
        <w:jc w:val="both"/>
      </w:pPr>
      <w:r>
        <w:rPr>
          <w:sz w:val="20"/>
        </w:rPr>
        <w:t xml:space="preserve">Совместно с РЭЦ (на основе Соглашения о реализации образовательного проекта АО "Российский экспортный центр" в Тюменской области от 31.01.2017) в регионе реализуется образовательная программа для предпринимателей Тюменской области по ведению экспортной деятельности. Оператором проекта является Торгово-промышленная палата Тюменской области. Образовательный курс доступен безвозмездно для всех экспортно ориентированных субъектов предпринимательства Тюменской области, включая муниципальные образования.</w:t>
      </w:r>
    </w:p>
    <w:p>
      <w:pPr>
        <w:pStyle w:val="0"/>
        <w:spacing w:before="200" w:line-rule="auto"/>
        <w:ind w:firstLine="540"/>
        <w:jc w:val="both"/>
      </w:pPr>
      <w:r>
        <w:rPr>
          <w:sz w:val="20"/>
        </w:rPr>
        <w:t xml:space="preserve">Для субъектов МСП организована школа иностранного языка.</w:t>
      </w:r>
    </w:p>
    <w:p>
      <w:pPr>
        <w:pStyle w:val="0"/>
        <w:spacing w:before="200" w:line-rule="auto"/>
        <w:ind w:firstLine="540"/>
        <w:jc w:val="both"/>
      </w:pPr>
      <w:r>
        <w:rPr>
          <w:sz w:val="20"/>
        </w:rPr>
        <w:t xml:space="preserve">В Тюменской области проводится работа по развитию транспортно-логистической инфраструктуры региона. В начале 2017 года завершена масштабная реконструкция аэровокзального комплекса аэропорта "Рощино", которая позволила существенно улучшить качество обслуживания пассажиров, открыть новые маршруты, повысить инвестиционную привлекательность региона.</w:t>
      </w:r>
    </w:p>
    <w:p>
      <w:pPr>
        <w:pStyle w:val="0"/>
        <w:spacing w:before="200" w:line-rule="auto"/>
        <w:ind w:firstLine="540"/>
        <w:jc w:val="both"/>
      </w:pPr>
      <w:r>
        <w:rPr>
          <w:sz w:val="20"/>
        </w:rPr>
        <w:t xml:space="preserve">Одним из направлений комплексной работы с экспортно ориентированными предприятиями является продвижение информации об экспортных возможностях Тюменской области, создание условий и площадок для установления новых контактов, проведения деловых переговоров с потенциальными партнерами и презентации своей продукции.</w:t>
      </w:r>
    </w:p>
    <w:p>
      <w:pPr>
        <w:pStyle w:val="0"/>
        <w:spacing w:before="200" w:line-rule="auto"/>
        <w:ind w:firstLine="540"/>
        <w:jc w:val="both"/>
      </w:pPr>
      <w:r>
        <w:rPr>
          <w:sz w:val="20"/>
        </w:rPr>
        <w:t xml:space="preserve">Для этого в Тюменской области регулярно проводятся деловые форумы, конференции и биржи контактов. Так, в 2017 - 2018 годах для тюменских предпринимателей организованы биржи контактов с участием белорусских, казахских, французских, венгерских, бельгийских, немецких, итальянских, китайских и японских компаний. В дальнейшем планируется проведение не менее трех крупных международных мероприятий в Тюменской области ежегодно и организация не менее шести площадок для переговоров b2b ("бизнес для бизнеса"), организованных в субъекте и за его пределами ежегодно.</w:t>
      </w:r>
    </w:p>
    <w:p>
      <w:pPr>
        <w:pStyle w:val="0"/>
        <w:spacing w:before="200" w:line-rule="auto"/>
        <w:ind w:firstLine="540"/>
        <w:jc w:val="both"/>
      </w:pPr>
      <w:r>
        <w:rPr>
          <w:sz w:val="20"/>
        </w:rPr>
        <w:t xml:space="preserve">С целью популяризации экспортной деятельности и поощрения активных субъектов предпринимательства, осуществляющих экспортную деятельность с 2017 года проводится конкурс "Лучший экспортер Тюменской области" среди предприятий-экспортеров по различным номинациям. Мероприятия такого характера планируется проводить ежегодно.</w:t>
      </w:r>
    </w:p>
    <w:p>
      <w:pPr>
        <w:pStyle w:val="0"/>
        <w:spacing w:before="200" w:line-rule="auto"/>
        <w:ind w:firstLine="540"/>
        <w:jc w:val="both"/>
      </w:pPr>
      <w:r>
        <w:rPr>
          <w:sz w:val="20"/>
        </w:rPr>
        <w:t xml:space="preserve">Центр поддержки экспорта Тюменской области и Торгово-промышленная палата Тюменской области организуют бизнес-миссии тюменских предпринимателей в иностранные государства, в том числе для участия в международных экономических выставках.</w:t>
      </w:r>
    </w:p>
    <w:p>
      <w:pPr>
        <w:pStyle w:val="0"/>
        <w:spacing w:before="200" w:line-rule="auto"/>
        <w:ind w:firstLine="540"/>
        <w:jc w:val="both"/>
      </w:pPr>
      <w:r>
        <w:rPr>
          <w:sz w:val="20"/>
        </w:rPr>
        <w:t xml:space="preserve">При содействии Центра поддержки экспорта Тюменской области предприятиями малого и среднего бизнеса было заключено в 2015 году 11 контрактов, в 2016 году - 18 контрактов, в 2017 году - 31 контракт, в 2018 году - 66 экспортных контрактов.</w:t>
      </w:r>
    </w:p>
    <w:p>
      <w:pPr>
        <w:pStyle w:val="0"/>
        <w:spacing w:before="200" w:line-rule="auto"/>
        <w:ind w:firstLine="540"/>
        <w:jc w:val="both"/>
      </w:pPr>
      <w:r>
        <w:rPr>
          <w:sz w:val="20"/>
        </w:rPr>
        <w:t xml:space="preserve">С целью продвижения региональных компаний создан экспортный каталог товаров, произведенных на территории Тюменской области, на русском и английском языках. Каталог распространяется во время визитов делегаций, участия в международных выставках и через систему торговых представительств Российской Федерации.</w:t>
      </w:r>
    </w:p>
    <w:p>
      <w:pPr>
        <w:pStyle w:val="0"/>
        <w:spacing w:before="200" w:line-rule="auto"/>
        <w:ind w:firstLine="540"/>
        <w:jc w:val="both"/>
      </w:pPr>
      <w:r>
        <w:rPr>
          <w:sz w:val="20"/>
        </w:rPr>
        <w:t xml:space="preserve">В целях снижения влияния внутренних и внешних барьеров, с которыми сталкиваются экспортеры, планируется реализация следующих мероприятий:</w:t>
      </w:r>
    </w:p>
    <w:p>
      <w:pPr>
        <w:pStyle w:val="0"/>
        <w:spacing w:before="200" w:line-rule="auto"/>
        <w:ind w:firstLine="540"/>
        <w:jc w:val="both"/>
      </w:pPr>
      <w:r>
        <w:rPr>
          <w:sz w:val="20"/>
        </w:rPr>
        <w:t xml:space="preserve">обучение начинающих и действующих предприятий-экспортеров. Подготовка специалистов по продажам для работы на предприятиях, ориентированных на экспорт;</w:t>
      </w:r>
    </w:p>
    <w:p>
      <w:pPr>
        <w:pStyle w:val="0"/>
        <w:spacing w:before="200" w:line-rule="auto"/>
        <w:ind w:firstLine="540"/>
        <w:jc w:val="both"/>
      </w:pPr>
      <w:r>
        <w:rPr>
          <w:sz w:val="20"/>
        </w:rPr>
        <w:t xml:space="preserve">в целях совершенствования транспортной инфраструктуры - анализ и разработка наиболее оптимальных логистических систем доставки продукции тюменских товаропроизводителей в иностранные государства, внедрение высоких перевозочных технологий, увеличение складских мощностей для консолидации экспортных партий до уровня, позволяющего обеспечить достижение необходимого объема продукции;</w:t>
      </w:r>
    </w:p>
    <w:p>
      <w:pPr>
        <w:pStyle w:val="0"/>
        <w:spacing w:before="200" w:line-rule="auto"/>
        <w:ind w:firstLine="540"/>
        <w:jc w:val="both"/>
      </w:pPr>
      <w:r>
        <w:rPr>
          <w:sz w:val="20"/>
        </w:rPr>
        <w:t xml:space="preserve">регулярное участие тюменских товаропроизводителей в бизнес-миссиях и выставках за рубежом будет способствовать продвижению товаров на иностранных рынках;</w:t>
      </w:r>
    </w:p>
    <w:p>
      <w:pPr>
        <w:pStyle w:val="0"/>
        <w:spacing w:before="200" w:line-rule="auto"/>
        <w:ind w:firstLine="540"/>
        <w:jc w:val="both"/>
      </w:pPr>
      <w:r>
        <w:rPr>
          <w:sz w:val="20"/>
        </w:rPr>
        <w:t xml:space="preserve">в части снижения избыточной административной нагрузки на предприятия - взаимодействие с федеральными органами власти Российской Федерации в целях усовершенствования таможенных процедур, в том числе формирование и направление на рассмотрение в федеральные органы исполнительной власти предложений по упрощению налоговых, таможенных и иных административных процедур;</w:t>
      </w:r>
    </w:p>
    <w:p>
      <w:pPr>
        <w:pStyle w:val="0"/>
        <w:spacing w:before="200" w:line-rule="auto"/>
        <w:ind w:firstLine="540"/>
        <w:jc w:val="both"/>
      </w:pPr>
      <w:r>
        <w:rPr>
          <w:sz w:val="20"/>
        </w:rPr>
        <w:t xml:space="preserve">в целях упрощения административных процедур на региональном уровне - продолжить практику проведения рабочих встреч экспортно ориентированных субъектов предпринимательства с исполнительными органами государственной власти, представителями таможенных и налоговых служб Тюменской области. Снижение в Тюменской области избыточных административных барьеров, возникающих в международной и внешнеэкономической деятельности, оптимизация налоговых и таможенных процедур будут способствовать сокращению временных и материальных затрат на экспорт, что поможет сделать отечественную продукцию более конкурентоспособной на мировом рынке;</w:t>
      </w:r>
    </w:p>
    <w:p>
      <w:pPr>
        <w:pStyle w:val="0"/>
        <w:spacing w:before="200" w:line-rule="auto"/>
        <w:ind w:firstLine="540"/>
        <w:jc w:val="both"/>
      </w:pPr>
      <w:r>
        <w:rPr>
          <w:sz w:val="20"/>
        </w:rPr>
        <w:t xml:space="preserve">для снижения затрат на продвижение продукции на внешних рынках будет проведен анализ существующих мер государственной поддержки и разработаны механизмы поддержки для добросовестных участников внешнеэкономической деятельности;</w:t>
      </w:r>
    </w:p>
    <w:p>
      <w:pPr>
        <w:pStyle w:val="0"/>
        <w:spacing w:before="200" w:line-rule="auto"/>
        <w:ind w:firstLine="540"/>
        <w:jc w:val="both"/>
      </w:pPr>
      <w:r>
        <w:rPr>
          <w:sz w:val="20"/>
        </w:rPr>
        <w:t xml:space="preserve">Реализация указанных мер позволит повысить экспортный потенциал региона к 2030 году и достичь следующих показателей:</w:t>
      </w:r>
    </w:p>
    <w:p>
      <w:pPr>
        <w:pStyle w:val="0"/>
        <w:spacing w:before="200" w:line-rule="auto"/>
        <w:ind w:firstLine="540"/>
        <w:jc w:val="both"/>
      </w:pPr>
      <w:r>
        <w:rPr>
          <w:sz w:val="20"/>
        </w:rPr>
        <w:t xml:space="preserve">увеличение числа предприятий-экспортеров из числа МСП до 315 (в 2018 году - 121);</w:t>
      </w:r>
    </w:p>
    <w:p>
      <w:pPr>
        <w:pStyle w:val="0"/>
        <w:spacing w:before="200" w:line-rule="auto"/>
        <w:ind w:firstLine="540"/>
        <w:jc w:val="both"/>
      </w:pPr>
      <w:r>
        <w:rPr>
          <w:sz w:val="20"/>
        </w:rPr>
        <w:t xml:space="preserve">средний срок вывоза экспортируемых товаров, в отношении которых государственными контролирующими органами не выявлено рисков нарушения законодательства, от момента отгрузки со склада отправителя до фактического пересечения таможенной границы Таможенного союза (государственной границы Российской Федерации при экспорте в страны Таможенного союза) без учета времени, необходимого на проведение действий государственными контролирующими органами, не более 10 дней;</w:t>
      </w:r>
    </w:p>
    <w:p>
      <w:pPr>
        <w:pStyle w:val="0"/>
        <w:spacing w:before="200" w:line-rule="auto"/>
        <w:ind w:firstLine="540"/>
        <w:jc w:val="both"/>
      </w:pPr>
      <w:r>
        <w:rPr>
          <w:sz w:val="20"/>
        </w:rPr>
        <w:t xml:space="preserve">доля транспортных издержек в себестоимости экспортируемой продукции - не более 10%.</w:t>
      </w:r>
    </w:p>
    <w:p>
      <w:pPr>
        <w:pStyle w:val="0"/>
        <w:jc w:val="both"/>
      </w:pPr>
      <w:r>
        <w:rPr>
          <w:sz w:val="20"/>
        </w:rPr>
      </w:r>
    </w:p>
    <w:p>
      <w:pPr>
        <w:pStyle w:val="2"/>
        <w:outlineLvl w:val="2"/>
        <w:jc w:val="center"/>
      </w:pPr>
      <w:r>
        <w:rPr>
          <w:sz w:val="20"/>
        </w:rPr>
        <w:t xml:space="preserve">4. Цель и задачи в части развития экспорта</w:t>
      </w:r>
    </w:p>
    <w:p>
      <w:pPr>
        <w:pStyle w:val="0"/>
        <w:jc w:val="both"/>
      </w:pPr>
      <w:r>
        <w:rPr>
          <w:sz w:val="20"/>
        </w:rPr>
      </w:r>
    </w:p>
    <w:p>
      <w:pPr>
        <w:pStyle w:val="0"/>
        <w:ind w:firstLine="540"/>
        <w:jc w:val="both"/>
      </w:pPr>
      <w:r>
        <w:rPr>
          <w:sz w:val="20"/>
        </w:rPr>
        <w:t xml:space="preserve">Цель - развитие экономики Тюменской области через увеличение объема сбыта товаров, работ и услуг тюменских производителей на международных рынках.</w:t>
      </w:r>
    </w:p>
    <w:p>
      <w:pPr>
        <w:pStyle w:val="0"/>
        <w:spacing w:before="200" w:line-rule="auto"/>
        <w:ind w:firstLine="540"/>
        <w:jc w:val="both"/>
      </w:pPr>
      <w:r>
        <w:rPr>
          <w:sz w:val="20"/>
        </w:rPr>
        <w:t xml:space="preserve">Для достижения данной цели потребуется выполнение следующих задач:</w:t>
      </w:r>
    </w:p>
    <w:p>
      <w:pPr>
        <w:pStyle w:val="0"/>
        <w:spacing w:before="200" w:line-rule="auto"/>
        <w:ind w:firstLine="540"/>
        <w:jc w:val="both"/>
      </w:pPr>
      <w:r>
        <w:rPr>
          <w:sz w:val="20"/>
        </w:rPr>
        <w:t xml:space="preserve">выстраивание системы долгосрочных механизмов и инструментов развития экспорта в Тюменской области;</w:t>
      </w:r>
    </w:p>
    <w:p>
      <w:pPr>
        <w:pStyle w:val="0"/>
        <w:spacing w:before="200" w:line-rule="auto"/>
        <w:ind w:firstLine="540"/>
        <w:jc w:val="both"/>
      </w:pPr>
      <w:r>
        <w:rPr>
          <w:sz w:val="20"/>
        </w:rPr>
        <w:t xml:space="preserve">дальнейшее развитие и совершенствование административных процедур в сфере экспортной и предпринимательской деятельности;</w:t>
      </w:r>
    </w:p>
    <w:p>
      <w:pPr>
        <w:pStyle w:val="0"/>
        <w:spacing w:before="200" w:line-rule="auto"/>
        <w:ind w:firstLine="540"/>
        <w:jc w:val="both"/>
      </w:pPr>
      <w:r>
        <w:rPr>
          <w:sz w:val="20"/>
        </w:rPr>
        <w:t xml:space="preserve">совершенствование финансовых механизмов государственной поддержки предпринимательства;</w:t>
      </w:r>
    </w:p>
    <w:p>
      <w:pPr>
        <w:pStyle w:val="0"/>
        <w:spacing w:before="200" w:line-rule="auto"/>
        <w:ind w:firstLine="540"/>
        <w:jc w:val="both"/>
      </w:pPr>
      <w:r>
        <w:rPr>
          <w:sz w:val="20"/>
        </w:rPr>
        <w:t xml:space="preserve">создание условий для повышения экспортной активности хозяйствующих субъектов;</w:t>
      </w:r>
    </w:p>
    <w:p>
      <w:pPr>
        <w:pStyle w:val="0"/>
        <w:spacing w:before="200" w:line-rule="auto"/>
        <w:ind w:firstLine="540"/>
        <w:jc w:val="both"/>
      </w:pPr>
      <w:r>
        <w:rPr>
          <w:sz w:val="20"/>
        </w:rPr>
        <w:t xml:space="preserve">развитие кадрового потенциала и совершенствование системы подготовки специалистов с ориентацией на экспортную деятельность.</w:t>
      </w:r>
    </w:p>
    <w:p>
      <w:pPr>
        <w:pStyle w:val="0"/>
        <w:spacing w:before="200" w:line-rule="auto"/>
        <w:ind w:firstLine="540"/>
        <w:jc w:val="both"/>
      </w:pPr>
      <w:r>
        <w:rPr>
          <w:sz w:val="20"/>
        </w:rPr>
        <w:t xml:space="preserve">В результате реализации указанных задач, мероприятий и механизмов объем несырьевого неэнергетического экспорта относительно уровня 2018 года увеличится к 2030 году. Основные плановые показатели представлены в </w:t>
      </w:r>
      <w:hyperlink w:history="0" w:anchor="P5089" w:tooltip="8. Ожидаемые результаты в части обеспечения благоприятных">
        <w:r>
          <w:rPr>
            <w:sz w:val="20"/>
            <w:color w:val="0000ff"/>
          </w:rPr>
          <w:t xml:space="preserve">разделе 8</w:t>
        </w:r>
      </w:hyperlink>
      <w:r>
        <w:rPr>
          <w:sz w:val="20"/>
        </w:rPr>
        <w:t xml:space="preserve"> "Ожидаемые результаты в части обеспечения благоприятных условий для ведения экспортной деятельности к 2030 году".</w:t>
      </w:r>
    </w:p>
    <w:p>
      <w:pPr>
        <w:pStyle w:val="0"/>
        <w:jc w:val="both"/>
      </w:pPr>
      <w:r>
        <w:rPr>
          <w:sz w:val="20"/>
        </w:rPr>
      </w:r>
    </w:p>
    <w:p>
      <w:pPr>
        <w:pStyle w:val="2"/>
        <w:outlineLvl w:val="2"/>
        <w:jc w:val="center"/>
      </w:pPr>
      <w:r>
        <w:rPr>
          <w:sz w:val="20"/>
        </w:rPr>
        <w:t xml:space="preserve">5. Формат и принцип взаимодействия органов исполнительной</w:t>
      </w:r>
    </w:p>
    <w:p>
      <w:pPr>
        <w:pStyle w:val="2"/>
        <w:jc w:val="center"/>
      </w:pPr>
      <w:r>
        <w:rPr>
          <w:sz w:val="20"/>
        </w:rPr>
        <w:t xml:space="preserve">власти с экспортерами региона, отраслевыми ассоциациями</w:t>
      </w:r>
    </w:p>
    <w:p>
      <w:pPr>
        <w:pStyle w:val="2"/>
        <w:jc w:val="center"/>
      </w:pPr>
      <w:r>
        <w:rPr>
          <w:sz w:val="20"/>
        </w:rPr>
        <w:t xml:space="preserve">экспортеров</w:t>
      </w:r>
    </w:p>
    <w:p>
      <w:pPr>
        <w:pStyle w:val="0"/>
        <w:jc w:val="both"/>
      </w:pPr>
      <w:r>
        <w:rPr>
          <w:sz w:val="20"/>
        </w:rPr>
      </w:r>
    </w:p>
    <w:p>
      <w:pPr>
        <w:pStyle w:val="0"/>
        <w:ind w:firstLine="540"/>
        <w:jc w:val="both"/>
      </w:pPr>
      <w:r>
        <w:rPr>
          <w:sz w:val="20"/>
        </w:rPr>
        <w:t xml:space="preserve">В Тюменской области создана комплексная инфраструктура поддержки предприятий, ориентированных на экспорт, субъектами которой являются Департамент инвестиционной политики и государственной поддержки предпринимательства Тюменской области, Торгово-промышленная палата Тюменской области, Региональный центр поддержки экспорта.</w:t>
      </w:r>
    </w:p>
    <w:p>
      <w:pPr>
        <w:pStyle w:val="0"/>
        <w:spacing w:before="200" w:line-rule="auto"/>
        <w:ind w:firstLine="540"/>
        <w:jc w:val="both"/>
      </w:pPr>
      <w:r>
        <w:rPr>
          <w:sz w:val="20"/>
        </w:rPr>
        <w:t xml:space="preserve">В регионе формируются следующие принципы взаимодействия органов исполнительной власти с экспортерами:</w:t>
      </w:r>
    </w:p>
    <w:p>
      <w:pPr>
        <w:pStyle w:val="0"/>
        <w:spacing w:before="200" w:line-rule="auto"/>
        <w:ind w:firstLine="540"/>
        <w:jc w:val="both"/>
      </w:pPr>
      <w:r>
        <w:rPr>
          <w:sz w:val="20"/>
        </w:rPr>
        <w:t xml:space="preserve">повышение самодостаточности и устойчивости функционирования каждого предприятия, ориентированного на экспорт, в том числе за счет повышения квалификации сотрудников, модернизации производства, улучшения качества продукции/услуги;</w:t>
      </w:r>
    </w:p>
    <w:p>
      <w:pPr>
        <w:pStyle w:val="0"/>
        <w:spacing w:before="200" w:line-rule="auto"/>
        <w:ind w:firstLine="540"/>
        <w:jc w:val="both"/>
      </w:pPr>
      <w:r>
        <w:rPr>
          <w:sz w:val="20"/>
        </w:rPr>
        <w:t xml:space="preserve">осуществление планомерного продвижения интересов Тюменской области для достижения устойчивой конкурентоспособности тюменской продукции на внутреннем и внешних рынках;</w:t>
      </w:r>
    </w:p>
    <w:p>
      <w:pPr>
        <w:pStyle w:val="0"/>
        <w:spacing w:before="200" w:line-rule="auto"/>
        <w:ind w:firstLine="540"/>
        <w:jc w:val="both"/>
      </w:pPr>
      <w:r>
        <w:rPr>
          <w:sz w:val="20"/>
        </w:rPr>
        <w:t xml:space="preserve">создание перспективных технологических решений для развития экспортного потенциала региона.</w:t>
      </w:r>
    </w:p>
    <w:p>
      <w:pPr>
        <w:pStyle w:val="0"/>
        <w:spacing w:before="200" w:line-rule="auto"/>
        <w:ind w:firstLine="540"/>
        <w:jc w:val="both"/>
      </w:pPr>
      <w:r>
        <w:rPr>
          <w:sz w:val="20"/>
        </w:rPr>
        <w:t xml:space="preserve">В перспективе планируется развитие существующей инфраструктуры поддержки экспорта, в том числе по следующим направлениям:</w:t>
      </w:r>
    </w:p>
    <w:p>
      <w:pPr>
        <w:pStyle w:val="0"/>
        <w:spacing w:before="200" w:line-rule="auto"/>
        <w:ind w:firstLine="540"/>
        <w:jc w:val="both"/>
      </w:pPr>
      <w:r>
        <w:rPr>
          <w:sz w:val="20"/>
        </w:rPr>
        <w:t xml:space="preserve">усиление роли организационной структуры управления экспортом в регионе - Регионального центра поддержки экспорта. Региональный центр поддержки экспорта призван выполнять функцию "единого окна" для предпринимателей, оказывая комплекс услуг от первичного консультирования до сопровождения экспортного контракта;</w:t>
      </w:r>
    </w:p>
    <w:p>
      <w:pPr>
        <w:pStyle w:val="0"/>
        <w:spacing w:before="200" w:line-rule="auto"/>
        <w:ind w:firstLine="540"/>
        <w:jc w:val="both"/>
      </w:pPr>
      <w:r>
        <w:rPr>
          <w:sz w:val="20"/>
        </w:rPr>
        <w:t xml:space="preserve">комплексное сопровождение экспортных проектов: оказание услуг/ содействие предприятиям-экспортерам в процессе реализации продукции, поиске партнеров, оформлении экспортных сделок в соответствии с </w:t>
      </w:r>
      <w:hyperlink w:history="0" r:id="rId68" w:tooltip="Постановление Правительства Тюменской области от 05.06.2018 N 200-п (ред. от 20.07.2020) &quot;Об утверждении Регламента комплексного сопровождения экспортных проектов в Тюменской области&quot; {КонсультантПлюс}">
        <w:r>
          <w:rPr>
            <w:sz w:val="20"/>
            <w:color w:val="0000ff"/>
          </w:rPr>
          <w:t xml:space="preserve">Постановлением</w:t>
        </w:r>
      </w:hyperlink>
      <w:r>
        <w:rPr>
          <w:sz w:val="20"/>
        </w:rPr>
        <w:t xml:space="preserve"> Правительства Тюменской области от 05.06.2018 N 200-п "Об утверждении Регламента комплексного сопровождения экспортных проектов в Тюменской области";</w:t>
      </w:r>
    </w:p>
    <w:p>
      <w:pPr>
        <w:pStyle w:val="0"/>
        <w:spacing w:before="200" w:line-rule="auto"/>
        <w:ind w:firstLine="540"/>
        <w:jc w:val="both"/>
      </w:pPr>
      <w:r>
        <w:rPr>
          <w:sz w:val="20"/>
        </w:rPr>
        <w:t xml:space="preserve">продолжение работы по исследованию рынков, перспективных для сбыта продукции тюменских предприятий. Формирование экспертных сообществ по итогам исследований и комплексная работа с предприятиями-производителями продукции по выходу на экспорт. Создание ассоциаций и объединений экспортеров с целью формирования единой ценовой политики и защиты своих интересов за рубежом;</w:t>
      </w:r>
    </w:p>
    <w:p>
      <w:pPr>
        <w:pStyle w:val="0"/>
        <w:spacing w:before="200" w:line-rule="auto"/>
        <w:ind w:firstLine="540"/>
        <w:jc w:val="both"/>
      </w:pPr>
      <w:r>
        <w:rPr>
          <w:sz w:val="20"/>
        </w:rPr>
        <w:t xml:space="preserve">разработка новых "дорожных карт" для каждого предприятия на основе аналитических и маркетинговых исследований. Формирование индивидуального плана для предприятия по сбыту продукции на внешних рынках, исходя из потребностей предприятия в доработке продукта, упаковки, маркировки, сертификации и так далее;</w:t>
      </w:r>
    </w:p>
    <w:p>
      <w:pPr>
        <w:pStyle w:val="0"/>
        <w:spacing w:before="200" w:line-rule="auto"/>
        <w:ind w:firstLine="540"/>
        <w:jc w:val="both"/>
      </w:pPr>
      <w:r>
        <w:rPr>
          <w:sz w:val="20"/>
        </w:rPr>
        <w:t xml:space="preserve">организация бизнес-миссий в иностранные государства и в пределах Российской Федерации. Формирование плана выездных мероприятий в соответствии с аналитическим исследованием приоритетных страновых и отраслевых рынков. По итогам выездных мероприятий будет проводиться мониторинг ключевых показателей эффективности (количество экспортных контрактов, рост выручки) в разрезе каждого предприятия;</w:t>
      </w:r>
    </w:p>
    <w:p>
      <w:pPr>
        <w:pStyle w:val="0"/>
        <w:spacing w:before="200" w:line-rule="auto"/>
        <w:ind w:firstLine="540"/>
        <w:jc w:val="both"/>
      </w:pPr>
      <w:r>
        <w:rPr>
          <w:sz w:val="20"/>
        </w:rPr>
        <w:t xml:space="preserve">развитие товаропроводящих сетей. Создание электронной торговой площадки.</w:t>
      </w:r>
    </w:p>
    <w:p>
      <w:pPr>
        <w:pStyle w:val="0"/>
        <w:spacing w:before="200" w:line-rule="auto"/>
        <w:ind w:firstLine="540"/>
        <w:jc w:val="both"/>
      </w:pPr>
      <w:r>
        <w:rPr>
          <w:sz w:val="20"/>
        </w:rPr>
        <w:t xml:space="preserve">создание ассоциации экспортеров (экспортного клуба). Цель ассоциации (клуба) - создание коммуникативной площадки, которая объединит представителей российского и иностранного бизнеса, руководителей профильных институтов развития, банков, специалистов в сфере внешнеэкономической деятельности и других заинтересованных участников. Ассоциация (клуб) создается как инструмент повышения узнаваемости тюменской продукции за рубежом, формирования наиболее эффективных методов экспортной деятельности, продвижения и закрепления позиций на внешних рынках, обмен опытом действующих экспортеров и, как следствие, увеличения в целом объема экспорта.</w:t>
      </w:r>
    </w:p>
    <w:p>
      <w:pPr>
        <w:pStyle w:val="0"/>
        <w:jc w:val="both"/>
      </w:pPr>
      <w:r>
        <w:rPr>
          <w:sz w:val="20"/>
        </w:rPr>
      </w:r>
    </w:p>
    <w:p>
      <w:pPr>
        <w:pStyle w:val="2"/>
        <w:outlineLvl w:val="2"/>
        <w:jc w:val="center"/>
      </w:pPr>
      <w:r>
        <w:rPr>
          <w:sz w:val="20"/>
        </w:rPr>
        <w:t xml:space="preserve">6. Механизм реализации политики в области обеспечения</w:t>
      </w:r>
    </w:p>
    <w:p>
      <w:pPr>
        <w:pStyle w:val="2"/>
        <w:jc w:val="center"/>
      </w:pPr>
      <w:r>
        <w:rPr>
          <w:sz w:val="20"/>
        </w:rPr>
        <w:t xml:space="preserve">благоприятных условий для ведения экспортной деятельности</w:t>
      </w:r>
    </w:p>
    <w:p>
      <w:pPr>
        <w:pStyle w:val="0"/>
        <w:jc w:val="both"/>
      </w:pPr>
      <w:r>
        <w:rPr>
          <w:sz w:val="20"/>
        </w:rPr>
      </w:r>
    </w:p>
    <w:p>
      <w:pPr>
        <w:pStyle w:val="0"/>
        <w:ind w:firstLine="540"/>
        <w:jc w:val="both"/>
      </w:pPr>
      <w:r>
        <w:rPr>
          <w:sz w:val="20"/>
        </w:rPr>
        <w:t xml:space="preserve">Деятельность Экспортного совета при Губернаторе Тюменской области</w:t>
      </w:r>
    </w:p>
    <w:p>
      <w:pPr>
        <w:pStyle w:val="0"/>
        <w:spacing w:before="200" w:line-rule="auto"/>
        <w:ind w:firstLine="540"/>
        <w:jc w:val="both"/>
      </w:pPr>
      <w:r>
        <w:rPr>
          <w:sz w:val="20"/>
        </w:rPr>
        <w:t xml:space="preserve">В целях создания благоприятных условий для осуществления экспортной деятельности в Тюменской области в декабре 2017 года утвержден состав Экспортного совета при Губернаторе Тюменской области. Экспортный совет при Губернаторе Тюменской области сформирован в целях содействия созданию благоприятного климата для развития экспортной деятельности, формирования эффективной инфраструктуры поддержки экспорта, развития сотрудничества Тюменской области с регионами иностранных государств, решения проблем, возникающих в деятельности предприятий-экспортеров. В состав совета включены представители исполнительных органов власти Тюменской области, институтов развития, субъектов инфраструктуры поддержки предпринимательства, руководитель Регионального центра поддержки экспорта, представители общественных организаций и объединений предпринимателей, представители Российского экспортного центра.</w:t>
      </w:r>
    </w:p>
    <w:p>
      <w:pPr>
        <w:pStyle w:val="0"/>
        <w:spacing w:before="200" w:line-rule="auto"/>
        <w:ind w:firstLine="540"/>
        <w:jc w:val="both"/>
      </w:pPr>
      <w:r>
        <w:rPr>
          <w:sz w:val="20"/>
        </w:rPr>
        <w:t xml:space="preserve">Информация о деятельности Совета размещена на Деловом портале Правительства Тюменской области www.tyumen-region.ru.</w:t>
      </w:r>
    </w:p>
    <w:p>
      <w:pPr>
        <w:pStyle w:val="0"/>
        <w:spacing w:before="200" w:line-rule="auto"/>
        <w:ind w:firstLine="540"/>
        <w:jc w:val="both"/>
      </w:pPr>
      <w:r>
        <w:rPr>
          <w:sz w:val="20"/>
        </w:rPr>
        <w:t xml:space="preserve">Деятельность Регионального центра поддержки экспорта</w:t>
      </w:r>
    </w:p>
    <w:p>
      <w:pPr>
        <w:pStyle w:val="0"/>
        <w:spacing w:before="200" w:line-rule="auto"/>
        <w:ind w:firstLine="540"/>
        <w:jc w:val="both"/>
      </w:pPr>
      <w:r>
        <w:rPr>
          <w:sz w:val="20"/>
        </w:rPr>
        <w:t xml:space="preserve">Региональный центр поддержки экспорта осуществляет свою деятельность с 2011 года. К сфере деятельности Регионального центра поддержки экспорта относятся: постоянный мониторинг целевых рынков, сбор статистических данных, анализ рынка и формирование соответствующих рекомендаций в отношении отобранных групп товаров по объему рынка, стоимости продукции на целевом рынке в оптовом и розничном сегментах, конкурентной активности, по существующим на рынке таможенным барьерам, соответствию продукции стандартам контролирующих органов и ожиданиям конечного потребителя, реализации продукции экспортно ориентированных предприятий Тюменской области.</w:t>
      </w:r>
    </w:p>
    <w:p>
      <w:pPr>
        <w:pStyle w:val="0"/>
        <w:spacing w:before="200" w:line-rule="auto"/>
        <w:ind w:firstLine="540"/>
        <w:jc w:val="both"/>
      </w:pPr>
      <w:r>
        <w:rPr>
          <w:sz w:val="20"/>
        </w:rPr>
        <w:t xml:space="preserve">Центр ежегодно проводит конкурс "Лучший экспортер Тюменской области", стимулируя предприятия региона к развитию экспортной деятельности.</w:t>
      </w:r>
    </w:p>
    <w:p>
      <w:pPr>
        <w:pStyle w:val="0"/>
        <w:spacing w:before="200" w:line-rule="auto"/>
        <w:ind w:firstLine="540"/>
        <w:jc w:val="both"/>
      </w:pPr>
      <w:r>
        <w:rPr>
          <w:sz w:val="20"/>
        </w:rPr>
        <w:t xml:space="preserve">В начале 2018 года подписано Соглашение о предоставлении статуса партнерской "точки присутствия" Группы РЭЦ в Тюменской области. В Группу РЭЦ интегрированы Российское агентство по страхованию экспортных кредитов и инвестиций (АО "ЭКСАР") и Государственный специализированный Российский экспортно-импортный банк (АО "РОСЭКСИМБАНК").</w:t>
      </w:r>
    </w:p>
    <w:p>
      <w:pPr>
        <w:pStyle w:val="0"/>
        <w:spacing w:before="200" w:line-rule="auto"/>
        <w:ind w:firstLine="540"/>
        <w:jc w:val="both"/>
      </w:pPr>
      <w:r>
        <w:rPr>
          <w:sz w:val="20"/>
        </w:rPr>
        <w:t xml:space="preserve">В целях достижения наилучших результатов необходимо усилить роль Регионального центра поддержки экспорта в регионе и увеличить штатную численность сотрудников.</w:t>
      </w:r>
    </w:p>
    <w:p>
      <w:pPr>
        <w:pStyle w:val="0"/>
        <w:spacing w:before="200" w:line-rule="auto"/>
        <w:ind w:firstLine="540"/>
        <w:jc w:val="both"/>
      </w:pPr>
      <w:r>
        <w:rPr>
          <w:sz w:val="20"/>
        </w:rPr>
        <w:t xml:space="preserve">Организация официальных и деловых визитов делегаций Тюменской области</w:t>
      </w:r>
    </w:p>
    <w:p>
      <w:pPr>
        <w:pStyle w:val="0"/>
        <w:spacing w:before="200" w:line-rule="auto"/>
        <w:ind w:firstLine="540"/>
        <w:jc w:val="both"/>
      </w:pPr>
      <w:r>
        <w:rPr>
          <w:sz w:val="20"/>
        </w:rPr>
        <w:t xml:space="preserve">Правительством Тюменской области в 2018 году организовано 75 международных мероприятий: 41 выездное мероприятие и 34 визита иностранных делегаций в Тюменскую область, включая деловые делегации с участием предпринимательских ассоциаций, торгово-промышленных палат, союзов и руководителей предприятий и делегации официальных лиц - послов, генконсулов, уполномоченных сотрудников посольств и генеральных консульств, руководителей и уполномоченных официальных представителей правительств регионов, глав и представителей администраций муниципальных образований, в том числе стран-партнеров: Швейцарии, Франции, Германии, Бельгии, Финляндии, Болгарии, Катара, Египта, Омана, Монголии, Китая, Вьетнама, Индии, Кореи, Азербайджана, Узбекистана, Казахстана, Киргизии.</w:t>
      </w:r>
    </w:p>
    <w:p>
      <w:pPr>
        <w:pStyle w:val="0"/>
        <w:spacing w:before="200" w:line-rule="auto"/>
        <w:ind w:firstLine="540"/>
        <w:jc w:val="both"/>
      </w:pPr>
      <w:r>
        <w:rPr>
          <w:sz w:val="20"/>
        </w:rPr>
        <w:t xml:space="preserve">При подготовке визита следует проводить работу по определению наиболее перспективных отраслей экспорта на рынок страны посещения с учетом принятой Стратегии. Проработка барьеров, с которыми сталкиваются региональные экспортеры на рынке страны визита, позволит увеличить результативность визита.</w:t>
      </w:r>
    </w:p>
    <w:p>
      <w:pPr>
        <w:pStyle w:val="0"/>
        <w:spacing w:before="200" w:line-rule="auto"/>
        <w:ind w:firstLine="540"/>
        <w:jc w:val="both"/>
      </w:pPr>
      <w:r>
        <w:rPr>
          <w:sz w:val="20"/>
        </w:rPr>
        <w:t xml:space="preserve">По итогам визита необходимо внедрить систему проведения анализа достижения результатов (количество заключенных экспортных контрактов, увеличение товарооборота и другое).</w:t>
      </w:r>
    </w:p>
    <w:p>
      <w:pPr>
        <w:pStyle w:val="0"/>
        <w:spacing w:before="200" w:line-rule="auto"/>
        <w:ind w:firstLine="540"/>
        <w:jc w:val="both"/>
      </w:pPr>
      <w:r>
        <w:rPr>
          <w:sz w:val="20"/>
        </w:rPr>
        <w:t xml:space="preserve">В перспективе развития экспортной деятельности планируется организация бизнес-миссий в следующие страны: страны СНГ - Казахстан, Азербайджан, Узбекистан, Туркменистан, Таджикистан, Киргизия, Грузия; страны дальнего зарубежья - Китай, Вьетнам, США, Германия, Польша, Италия, Швеция, Финляндия, Япония, Иран, Саудовская Аравия, Катар, Оман, Египет.</w:t>
      </w:r>
    </w:p>
    <w:p>
      <w:pPr>
        <w:pStyle w:val="0"/>
        <w:spacing w:before="200" w:line-rule="auto"/>
        <w:ind w:firstLine="540"/>
        <w:jc w:val="both"/>
      </w:pPr>
      <w:r>
        <w:rPr>
          <w:sz w:val="20"/>
        </w:rPr>
        <w:t xml:space="preserve">Организация дней международного бизнеса в Тюменской области</w:t>
      </w:r>
    </w:p>
    <w:p>
      <w:pPr>
        <w:pStyle w:val="0"/>
        <w:spacing w:before="200" w:line-rule="auto"/>
        <w:ind w:firstLine="540"/>
        <w:jc w:val="both"/>
      </w:pPr>
      <w:r>
        <w:rPr>
          <w:sz w:val="20"/>
        </w:rPr>
        <w:t xml:space="preserve">В 2017 году состоялся "День экспортера" на тему "Бизнес в современных условиях: мнение зарубежных экспертов". В рамках мероприятия были организованы встречи тюменских предпринимателей с представителями бизнес-сообщества, в том числе из США, Германии, Кипра, Китая, Франции и Республики Беларусь.</w:t>
      </w:r>
    </w:p>
    <w:p>
      <w:pPr>
        <w:pStyle w:val="0"/>
        <w:spacing w:before="200" w:line-rule="auto"/>
        <w:ind w:firstLine="540"/>
        <w:jc w:val="both"/>
      </w:pPr>
      <w:r>
        <w:rPr>
          <w:sz w:val="20"/>
        </w:rPr>
        <w:t xml:space="preserve">В 2018 году в рамках форума "День предпринимателя - 2018. Продаем тюменское!" успешно прошла работа секции "Экспортируй тюменское!", в которой приняли участие в качестве экспертов-спикеров представители генеральных консульств США, Китая, предприниматели Великобритании, Казахстана, Армении, Китая.</w:t>
      </w:r>
    </w:p>
    <w:p>
      <w:pPr>
        <w:pStyle w:val="0"/>
        <w:spacing w:before="200" w:line-rule="auto"/>
        <w:ind w:firstLine="540"/>
        <w:jc w:val="both"/>
      </w:pPr>
      <w:r>
        <w:rPr>
          <w:sz w:val="20"/>
        </w:rPr>
        <w:t xml:space="preserve">Планируется ежегодно проводить Дни международного бизнеса в регионе и увеличивать количество реверсных бизнес-миссий с целью ознакомления потенциальных покупателей с производимой продукцией в регионе.</w:t>
      </w:r>
    </w:p>
    <w:p>
      <w:pPr>
        <w:pStyle w:val="0"/>
        <w:spacing w:before="200" w:line-rule="auto"/>
        <w:ind w:firstLine="540"/>
        <w:jc w:val="both"/>
      </w:pPr>
      <w:r>
        <w:rPr>
          <w:sz w:val="20"/>
        </w:rPr>
        <w:t xml:space="preserve">Создание и продвижение регионального бренда на внешних рынках</w:t>
      </w:r>
    </w:p>
    <w:p>
      <w:pPr>
        <w:pStyle w:val="0"/>
        <w:spacing w:before="200" w:line-rule="auto"/>
        <w:ind w:firstLine="540"/>
        <w:jc w:val="both"/>
      </w:pPr>
      <w:r>
        <w:rPr>
          <w:sz w:val="20"/>
        </w:rPr>
        <w:t xml:space="preserve">В целях сбыта готовой продукции в Тюменской области реализуется комплекс мероприятий, направленных на поддержку компаний и поиск партнеров. В регионе реализуется проект "Продаем тюменское", который нацелен на продвижение продукции местных товаропроизводителей на внутреннем и внешних рынках, а также на увеличение уровня продаж.</w:t>
      </w:r>
    </w:p>
    <w:p>
      <w:pPr>
        <w:pStyle w:val="0"/>
        <w:spacing w:before="200" w:line-rule="auto"/>
        <w:ind w:firstLine="540"/>
        <w:jc w:val="both"/>
      </w:pPr>
      <w:r>
        <w:rPr>
          <w:sz w:val="20"/>
        </w:rPr>
        <w:t xml:space="preserve">Продвижение данного бренда будет способствовать реализации продукции как на территории России, так и за рубежом.</w:t>
      </w:r>
    </w:p>
    <w:p>
      <w:pPr>
        <w:pStyle w:val="0"/>
        <w:spacing w:before="200" w:line-rule="auto"/>
        <w:ind w:firstLine="540"/>
        <w:jc w:val="both"/>
      </w:pPr>
      <w:r>
        <w:rPr>
          <w:sz w:val="20"/>
        </w:rPr>
        <w:t xml:space="preserve">Ведение реестра экспортеров Тюменской области</w:t>
      </w:r>
    </w:p>
    <w:p>
      <w:pPr>
        <w:pStyle w:val="0"/>
        <w:spacing w:before="200" w:line-rule="auto"/>
        <w:ind w:firstLine="540"/>
        <w:jc w:val="both"/>
      </w:pPr>
      <w:r>
        <w:rPr>
          <w:sz w:val="20"/>
        </w:rPr>
        <w:t xml:space="preserve">В Тюменской области разработан и ежеквартально обновляется электронный реестр экспортеров, который включает наименование, контактные данные компаний, ранжирование по отраслям, деятельности компаний, по кодам ТН ВЭД, странам экспорта, а также стадии развития экспортной деятельности и проблемные вопросы.</w:t>
      </w:r>
    </w:p>
    <w:p>
      <w:pPr>
        <w:pStyle w:val="0"/>
        <w:spacing w:before="200" w:line-rule="auto"/>
        <w:ind w:firstLine="540"/>
        <w:jc w:val="both"/>
      </w:pPr>
      <w:r>
        <w:rPr>
          <w:sz w:val="20"/>
        </w:rPr>
        <w:t xml:space="preserve">В целях продвижения продукции тюменских товаропроизводителей формируется каталог экспортных товаров Тюменской области, который содержит информацию о наименовании, контактных данных компаний, ранжирование по отраслям и описание предлагаемой на экспорт продукции. Каталог имеет публичный доступ, выполнен на русском и английском языках, размещен на Деловом портале Правительства Тюменской области www.tyumen-region.ru. Во время организации визитов делегаций Тюменской области каталог представляется на бумажном носителе.</w:t>
      </w:r>
    </w:p>
    <w:p>
      <w:pPr>
        <w:pStyle w:val="0"/>
        <w:spacing w:before="200" w:line-rule="auto"/>
        <w:ind w:firstLine="540"/>
        <w:jc w:val="both"/>
      </w:pPr>
      <w:r>
        <w:rPr>
          <w:sz w:val="20"/>
        </w:rPr>
        <w:t xml:space="preserve">Каталог должен обновляться не реже одного раза в год.</w:t>
      </w:r>
    </w:p>
    <w:p>
      <w:pPr>
        <w:pStyle w:val="0"/>
        <w:spacing w:before="200" w:line-rule="auto"/>
        <w:ind w:firstLine="540"/>
        <w:jc w:val="both"/>
      </w:pPr>
      <w:r>
        <w:rPr>
          <w:sz w:val="20"/>
        </w:rPr>
        <w:t xml:space="preserve">Создание информационного ресурса, посвященного экспортной деятельности</w:t>
      </w:r>
    </w:p>
    <w:p>
      <w:pPr>
        <w:pStyle w:val="0"/>
        <w:spacing w:before="200" w:line-rule="auto"/>
        <w:ind w:firstLine="540"/>
        <w:jc w:val="both"/>
      </w:pPr>
      <w:r>
        <w:rPr>
          <w:sz w:val="20"/>
        </w:rPr>
        <w:t xml:space="preserve">В настоящее время на Деловом портале Правительства Тюменской области www.tyumen-region.ru создан раздел "Внешнеэкономическая деятельность".</w:t>
      </w:r>
    </w:p>
    <w:p>
      <w:pPr>
        <w:pStyle w:val="0"/>
        <w:spacing w:before="200" w:line-rule="auto"/>
        <w:ind w:firstLine="540"/>
        <w:jc w:val="both"/>
      </w:pPr>
      <w:r>
        <w:rPr>
          <w:sz w:val="20"/>
        </w:rPr>
        <w:t xml:space="preserve">На интернет-портале размещена следующая информация:</w:t>
      </w:r>
    </w:p>
    <w:p>
      <w:pPr>
        <w:pStyle w:val="0"/>
        <w:spacing w:before="200" w:line-rule="auto"/>
        <w:ind w:firstLine="540"/>
        <w:jc w:val="both"/>
      </w:pPr>
      <w:r>
        <w:rPr>
          <w:sz w:val="20"/>
        </w:rPr>
        <w:t xml:space="preserve">экспортная стратегия региона;</w:t>
      </w:r>
    </w:p>
    <w:p>
      <w:pPr>
        <w:pStyle w:val="0"/>
        <w:spacing w:before="200" w:line-rule="auto"/>
        <w:ind w:firstLine="540"/>
        <w:jc w:val="both"/>
      </w:pPr>
      <w:r>
        <w:rPr>
          <w:sz w:val="20"/>
        </w:rPr>
        <w:t xml:space="preserve">планы и итоги по развитию экспортной деятельности;</w:t>
      </w:r>
    </w:p>
    <w:p>
      <w:pPr>
        <w:pStyle w:val="0"/>
        <w:spacing w:before="200" w:line-rule="auto"/>
        <w:ind w:firstLine="540"/>
        <w:jc w:val="both"/>
      </w:pPr>
      <w:r>
        <w:rPr>
          <w:sz w:val="20"/>
        </w:rPr>
        <w:t xml:space="preserve">контактные данные и функции региональных и федеральных подразделений, деятельность которых направлена на развитие экспорта;</w:t>
      </w:r>
    </w:p>
    <w:p>
      <w:pPr>
        <w:pStyle w:val="0"/>
        <w:spacing w:before="200" w:line-rule="auto"/>
        <w:ind w:firstLine="540"/>
        <w:jc w:val="both"/>
      </w:pPr>
      <w:r>
        <w:rPr>
          <w:sz w:val="20"/>
        </w:rPr>
        <w:t xml:space="preserve">существующие меры поддержки экспорта и условия их получения;</w:t>
      </w:r>
    </w:p>
    <w:p>
      <w:pPr>
        <w:pStyle w:val="0"/>
        <w:spacing w:before="200" w:line-rule="auto"/>
        <w:ind w:firstLine="540"/>
        <w:jc w:val="both"/>
      </w:pPr>
      <w:r>
        <w:rPr>
          <w:sz w:val="20"/>
        </w:rPr>
        <w:t xml:space="preserve">аналитические данные по развитию экспорта.</w:t>
      </w:r>
    </w:p>
    <w:p>
      <w:pPr>
        <w:pStyle w:val="0"/>
        <w:spacing w:before="200" w:line-rule="auto"/>
        <w:ind w:firstLine="540"/>
        <w:jc w:val="both"/>
      </w:pPr>
      <w:r>
        <w:rPr>
          <w:sz w:val="20"/>
        </w:rPr>
        <w:t xml:space="preserve">В рамках интернет-портала планируется разработать раздел "Линия прямых обращений" для онлайн-консультации предпринимателей.</w:t>
      </w:r>
    </w:p>
    <w:p>
      <w:pPr>
        <w:pStyle w:val="0"/>
        <w:spacing w:before="200" w:line-rule="auto"/>
        <w:ind w:firstLine="540"/>
        <w:jc w:val="both"/>
      </w:pPr>
      <w:r>
        <w:rPr>
          <w:sz w:val="20"/>
        </w:rPr>
        <w:t xml:space="preserve">Следует также разработать специализированный интернет-портал, посвященный экспортной деятельности.</w:t>
      </w:r>
    </w:p>
    <w:p>
      <w:pPr>
        <w:pStyle w:val="0"/>
        <w:spacing w:before="200" w:line-rule="auto"/>
        <w:ind w:firstLine="540"/>
        <w:jc w:val="both"/>
      </w:pPr>
      <w:r>
        <w:rPr>
          <w:sz w:val="20"/>
        </w:rPr>
        <w:t xml:space="preserve">Обучение начинающих экспортеров</w:t>
      </w:r>
    </w:p>
    <w:p>
      <w:pPr>
        <w:pStyle w:val="0"/>
        <w:spacing w:before="200" w:line-rule="auto"/>
        <w:ind w:firstLine="540"/>
        <w:jc w:val="both"/>
      </w:pPr>
      <w:r>
        <w:rPr>
          <w:sz w:val="20"/>
        </w:rPr>
        <w:t xml:space="preserve">Планируется продолжать программу по обучению начинающих экспортеров, а также выстроить систему трехуровневого обучения в регионе:</w:t>
      </w:r>
    </w:p>
    <w:p>
      <w:pPr>
        <w:pStyle w:val="0"/>
        <w:spacing w:before="200" w:line-rule="auto"/>
        <w:ind w:firstLine="540"/>
        <w:jc w:val="both"/>
      </w:pPr>
      <w:r>
        <w:rPr>
          <w:sz w:val="20"/>
        </w:rPr>
        <w:t xml:space="preserve">высшее образование - создание кафедры коммерции и экспорта, кафедры внутренних и внешних рынков на базе Тюменского государственного университета;</w:t>
      </w:r>
    </w:p>
    <w:p>
      <w:pPr>
        <w:pStyle w:val="0"/>
        <w:spacing w:before="200" w:line-rule="auto"/>
        <w:ind w:firstLine="540"/>
        <w:jc w:val="both"/>
      </w:pPr>
      <w:r>
        <w:rPr>
          <w:sz w:val="20"/>
        </w:rPr>
        <w:t xml:space="preserve">среднее профессиональное образование - включение в программы обучения по экономическим направлениям темы "экспортный менеджмент";</w:t>
      </w:r>
    </w:p>
    <w:p>
      <w:pPr>
        <w:pStyle w:val="0"/>
        <w:spacing w:before="200" w:line-rule="auto"/>
        <w:ind w:firstLine="540"/>
        <w:jc w:val="both"/>
      </w:pPr>
      <w:r>
        <w:rPr>
          <w:sz w:val="20"/>
        </w:rPr>
        <w:t xml:space="preserve">краткосрочные курсы:</w:t>
      </w:r>
    </w:p>
    <w:p>
      <w:pPr>
        <w:pStyle w:val="0"/>
        <w:spacing w:before="200" w:line-rule="auto"/>
        <w:ind w:firstLine="540"/>
        <w:jc w:val="both"/>
      </w:pPr>
      <w:r>
        <w:rPr>
          <w:sz w:val="20"/>
        </w:rPr>
        <w:t xml:space="preserve">проведение тренингов по продажам для действующих и потенциальных экспортеров;</w:t>
      </w:r>
    </w:p>
    <w:p>
      <w:pPr>
        <w:pStyle w:val="0"/>
        <w:spacing w:before="200" w:line-rule="auto"/>
        <w:ind w:firstLine="540"/>
        <w:jc w:val="both"/>
      </w:pPr>
      <w:r>
        <w:rPr>
          <w:sz w:val="20"/>
        </w:rPr>
        <w:t xml:space="preserve">участие в образовательном проекте АО "РЭЦ";</w:t>
      </w:r>
    </w:p>
    <w:p>
      <w:pPr>
        <w:pStyle w:val="0"/>
        <w:spacing w:before="200" w:line-rule="auto"/>
        <w:ind w:firstLine="540"/>
        <w:jc w:val="both"/>
      </w:pPr>
      <w:r>
        <w:rPr>
          <w:sz w:val="20"/>
        </w:rPr>
        <w:t xml:space="preserve">привлечение внешних экспертов-практиков к процессу обучения;</w:t>
      </w:r>
    </w:p>
    <w:p>
      <w:pPr>
        <w:pStyle w:val="0"/>
        <w:spacing w:before="200" w:line-rule="auto"/>
        <w:ind w:firstLine="540"/>
        <w:jc w:val="both"/>
      </w:pPr>
      <w:r>
        <w:rPr>
          <w:sz w:val="20"/>
        </w:rPr>
        <w:t xml:space="preserve">создание единой базы данных для индивидуального обучения.</w:t>
      </w:r>
    </w:p>
    <w:p>
      <w:pPr>
        <w:pStyle w:val="0"/>
        <w:spacing w:before="200" w:line-rule="auto"/>
        <w:ind w:firstLine="540"/>
        <w:jc w:val="both"/>
      </w:pPr>
      <w:r>
        <w:rPr>
          <w:sz w:val="20"/>
        </w:rPr>
        <w:t xml:space="preserve">Германия занимает одно из ведущих мест в мировой экономике и входит в тройку крупнейших стран-экспортеров товаров на мировые рынки. Планируется организовать обмен опытом с немецкими учебными заведениями, которые занимаются подготовкой экспортных менеджеров.</w:t>
      </w:r>
    </w:p>
    <w:p>
      <w:pPr>
        <w:pStyle w:val="0"/>
        <w:spacing w:before="200" w:line-rule="auto"/>
        <w:ind w:firstLine="540"/>
        <w:jc w:val="both"/>
      </w:pPr>
      <w:r>
        <w:rPr>
          <w:sz w:val="20"/>
        </w:rPr>
        <w:t xml:space="preserve">Развитие экспорта услуг</w:t>
      </w:r>
    </w:p>
    <w:p>
      <w:pPr>
        <w:pStyle w:val="0"/>
        <w:spacing w:before="200" w:line-rule="auto"/>
        <w:ind w:firstLine="540"/>
        <w:jc w:val="both"/>
      </w:pPr>
      <w:r>
        <w:rPr>
          <w:sz w:val="20"/>
        </w:rPr>
        <w:t xml:space="preserve">Развитие экспорта услуг возможно по направлениям: деловой туризм, медицинский туризм и образование.</w:t>
      </w:r>
    </w:p>
    <w:p>
      <w:pPr>
        <w:pStyle w:val="0"/>
        <w:spacing w:before="200" w:line-rule="auto"/>
        <w:ind w:firstLine="540"/>
        <w:jc w:val="both"/>
      </w:pPr>
      <w:r>
        <w:rPr>
          <w:sz w:val="20"/>
        </w:rPr>
        <w:t xml:space="preserve">Медицинский туризм развивается в Тюменской области динамично. Предлагаются туры с индивидуальным сопровождением пациента, трансфером от вокзалов и аэропорта до лечебных учреждений. Предложения медицинских услуг представлены на рынках государств ближнего зарубежья, имеется успешный опыт взаимодействия с приграничными регионами Казахстана. В регионе развивается проект "Медицинский город", который представляет кластер медицинских учреждений.</w:t>
      </w:r>
    </w:p>
    <w:p>
      <w:pPr>
        <w:pStyle w:val="0"/>
        <w:spacing w:before="200" w:line-rule="auto"/>
        <w:ind w:firstLine="540"/>
        <w:jc w:val="both"/>
      </w:pPr>
      <w:r>
        <w:rPr>
          <w:sz w:val="20"/>
        </w:rPr>
        <w:t xml:space="preserve">В целях дальнейшего развития экспорта туристских услуг необходимо:</w:t>
      </w:r>
    </w:p>
    <w:p>
      <w:pPr>
        <w:pStyle w:val="0"/>
        <w:spacing w:before="200" w:line-rule="auto"/>
        <w:ind w:firstLine="540"/>
        <w:jc w:val="both"/>
      </w:pPr>
      <w:r>
        <w:rPr>
          <w:sz w:val="20"/>
        </w:rPr>
        <w:t xml:space="preserve">развитие премиального сегмента туристских услуг, основными элементами которого могут стать деловой, культурный и экстремальный виды туризма на территории региона;</w:t>
      </w:r>
    </w:p>
    <w:p>
      <w:pPr>
        <w:pStyle w:val="0"/>
        <w:spacing w:before="200" w:line-rule="auto"/>
        <w:ind w:firstLine="540"/>
        <w:jc w:val="both"/>
      </w:pPr>
      <w:r>
        <w:rPr>
          <w:sz w:val="20"/>
        </w:rPr>
        <w:t xml:space="preserve">строительство гостиничных комплексов с конференц-залами дифференцированной ценовой категории на территории Тюменской области;</w:t>
      </w:r>
    </w:p>
    <w:p>
      <w:pPr>
        <w:pStyle w:val="0"/>
        <w:spacing w:before="200" w:line-rule="auto"/>
        <w:ind w:firstLine="540"/>
        <w:jc w:val="both"/>
      </w:pPr>
      <w:r>
        <w:rPr>
          <w:sz w:val="20"/>
        </w:rPr>
        <w:t xml:space="preserve">развитие системы сервисного обслуживания в регионе;</w:t>
      </w:r>
    </w:p>
    <w:p>
      <w:pPr>
        <w:pStyle w:val="0"/>
        <w:spacing w:before="200" w:line-rule="auto"/>
        <w:ind w:firstLine="540"/>
        <w:jc w:val="both"/>
      </w:pPr>
      <w:r>
        <w:rPr>
          <w:sz w:val="20"/>
        </w:rPr>
        <w:t xml:space="preserve">развитие санаторно-курортных комплексов, которые осуществляют лечебно-восстановительную деятельность на основе минеральной воды;</w:t>
      </w:r>
    </w:p>
    <w:p>
      <w:pPr>
        <w:pStyle w:val="0"/>
        <w:spacing w:before="200" w:line-rule="auto"/>
        <w:ind w:firstLine="540"/>
        <w:jc w:val="both"/>
      </w:pPr>
      <w:r>
        <w:rPr>
          <w:sz w:val="20"/>
        </w:rPr>
        <w:t xml:space="preserve">возведение торгово-развлекательных комплексов на территории региона;</w:t>
      </w:r>
    </w:p>
    <w:p>
      <w:pPr>
        <w:pStyle w:val="0"/>
        <w:spacing w:before="200" w:line-rule="auto"/>
        <w:ind w:firstLine="540"/>
        <w:jc w:val="both"/>
      </w:pPr>
      <w:r>
        <w:rPr>
          <w:sz w:val="20"/>
        </w:rPr>
        <w:t xml:space="preserve">развитие кооперации с международными ассоциациями делового туризма для выхода на мировой рынок туристских услуг.</w:t>
      </w:r>
    </w:p>
    <w:p>
      <w:pPr>
        <w:pStyle w:val="0"/>
        <w:spacing w:before="200" w:line-rule="auto"/>
        <w:ind w:firstLine="540"/>
        <w:jc w:val="both"/>
      </w:pPr>
      <w:r>
        <w:rPr>
          <w:sz w:val="20"/>
        </w:rPr>
        <w:t xml:space="preserve">В целях развития экспорта образовательных услуг необходимо:</w:t>
      </w:r>
    </w:p>
    <w:p>
      <w:pPr>
        <w:pStyle w:val="0"/>
        <w:spacing w:before="200" w:line-rule="auto"/>
        <w:ind w:firstLine="540"/>
        <w:jc w:val="both"/>
      </w:pPr>
      <w:r>
        <w:rPr>
          <w:sz w:val="20"/>
        </w:rPr>
        <w:t xml:space="preserve">повысить уровень интегрированности региональной системы образования и науки в международное образовательное пространство;</w:t>
      </w:r>
    </w:p>
    <w:p>
      <w:pPr>
        <w:pStyle w:val="0"/>
        <w:spacing w:before="200" w:line-rule="auto"/>
        <w:ind w:firstLine="540"/>
        <w:jc w:val="both"/>
      </w:pPr>
      <w:r>
        <w:rPr>
          <w:sz w:val="20"/>
        </w:rPr>
        <w:t xml:space="preserve">повысить качество образовательных услуг, а также изучить передовой опыт и внедрить наилучшие разработки;</w:t>
      </w:r>
    </w:p>
    <w:p>
      <w:pPr>
        <w:pStyle w:val="0"/>
        <w:spacing w:before="200" w:line-rule="auto"/>
        <w:ind w:firstLine="540"/>
        <w:jc w:val="both"/>
      </w:pPr>
      <w:r>
        <w:rPr>
          <w:sz w:val="20"/>
        </w:rPr>
        <w:t xml:space="preserve">расширить возможности изучения русского языка.</w:t>
      </w:r>
    </w:p>
    <w:p>
      <w:pPr>
        <w:pStyle w:val="0"/>
        <w:spacing w:before="200" w:line-rule="auto"/>
        <w:ind w:firstLine="540"/>
        <w:jc w:val="both"/>
      </w:pPr>
      <w:r>
        <w:rPr>
          <w:sz w:val="20"/>
        </w:rPr>
        <w:t xml:space="preserve">Интенсификация межрегионального сотрудничества</w:t>
      </w:r>
    </w:p>
    <w:p>
      <w:pPr>
        <w:pStyle w:val="0"/>
        <w:spacing w:before="200" w:line-rule="auto"/>
        <w:ind w:firstLine="540"/>
        <w:jc w:val="both"/>
      </w:pPr>
      <w:r>
        <w:rPr>
          <w:sz w:val="20"/>
        </w:rPr>
        <w:t xml:space="preserve">Интенсификация межрегионального сотрудничества с регионами Российской Федерации в целях обеспечения ускоренного социально-экономического развития региона, в том числе посредством:</w:t>
      </w:r>
    </w:p>
    <w:p>
      <w:pPr>
        <w:pStyle w:val="0"/>
        <w:spacing w:before="200" w:line-rule="auto"/>
        <w:ind w:firstLine="540"/>
        <w:jc w:val="both"/>
      </w:pPr>
      <w:r>
        <w:rPr>
          <w:sz w:val="20"/>
        </w:rPr>
        <w:t xml:space="preserve">содействия развитию промышленной кооперации между предприятиями региона и других регионов России;</w:t>
      </w:r>
    </w:p>
    <w:p>
      <w:pPr>
        <w:pStyle w:val="0"/>
        <w:spacing w:before="200" w:line-rule="auto"/>
        <w:ind w:firstLine="540"/>
        <w:jc w:val="both"/>
      </w:pPr>
      <w:r>
        <w:rPr>
          <w:sz w:val="20"/>
        </w:rPr>
        <w:t xml:space="preserve">кооперации с предприятиями российских регионов по внедрению передовых технологий и техники, созданию и развитию технопарков, центров инноваций для реализации стратегического курса на новую индустриализацию;</w:t>
      </w:r>
    </w:p>
    <w:p>
      <w:pPr>
        <w:pStyle w:val="0"/>
        <w:spacing w:before="200" w:line-rule="auto"/>
        <w:ind w:firstLine="540"/>
        <w:jc w:val="both"/>
      </w:pPr>
      <w:r>
        <w:rPr>
          <w:sz w:val="20"/>
        </w:rPr>
        <w:t xml:space="preserve">создания благоприятных условий, введения льгот и преференций в целях привлечения инвестиций из других субъектов России для реализации проектов на территории региона;</w:t>
      </w:r>
    </w:p>
    <w:p>
      <w:pPr>
        <w:pStyle w:val="0"/>
        <w:spacing w:before="200" w:line-rule="auto"/>
        <w:ind w:firstLine="540"/>
        <w:jc w:val="both"/>
      </w:pPr>
      <w:r>
        <w:rPr>
          <w:sz w:val="20"/>
        </w:rPr>
        <w:t xml:space="preserve">кооперации с предприятиями российских регионов в целях обеспечения необходимых объемов поставки экспортной продукции и снижения транспортно-логистических издержек.</w:t>
      </w:r>
    </w:p>
    <w:p>
      <w:pPr>
        <w:pStyle w:val="0"/>
        <w:spacing w:before="200" w:line-rule="auto"/>
        <w:ind w:firstLine="540"/>
        <w:jc w:val="both"/>
      </w:pPr>
      <w:r>
        <w:rPr>
          <w:sz w:val="20"/>
        </w:rPr>
        <w:t xml:space="preserve">Развитие и совершенствование системы поддержки экспорта на региональном уровне</w:t>
      </w:r>
    </w:p>
    <w:p>
      <w:pPr>
        <w:pStyle w:val="0"/>
        <w:spacing w:before="200" w:line-rule="auto"/>
        <w:ind w:firstLine="540"/>
        <w:jc w:val="both"/>
      </w:pPr>
      <w:r>
        <w:rPr>
          <w:sz w:val="20"/>
        </w:rPr>
        <w:t xml:space="preserve">В целях развития системы поддержки экспорта на региональном уровне планируется реализация следующих мер:</w:t>
      </w:r>
    </w:p>
    <w:p>
      <w:pPr>
        <w:pStyle w:val="0"/>
        <w:spacing w:before="200" w:line-rule="auto"/>
        <w:ind w:firstLine="540"/>
        <w:jc w:val="both"/>
      </w:pPr>
      <w:r>
        <w:rPr>
          <w:sz w:val="20"/>
        </w:rPr>
        <w:t xml:space="preserve">разработка (при необходимости) и реализация в регионе государственных программ (подпрограмм) развития внешнеэкономической деятельности и (или) поддержки экспорта с установлением целевых показателей;</w:t>
      </w:r>
    </w:p>
    <w:p>
      <w:pPr>
        <w:pStyle w:val="0"/>
        <w:spacing w:before="200" w:line-rule="auto"/>
        <w:ind w:firstLine="540"/>
        <w:jc w:val="both"/>
      </w:pPr>
      <w:r>
        <w:rPr>
          <w:sz w:val="20"/>
        </w:rPr>
        <w:t xml:space="preserve">отработка структуры и механизмов управления экспортной сферой при сосредоточении ключевых функций, компетенций и ответственности в области поддержки экспорта в уполномоченном органе власти, осуществляющем координацию институтов, механизмов и инструментов поддержки экспорта;</w:t>
      </w:r>
    </w:p>
    <w:p>
      <w:pPr>
        <w:pStyle w:val="0"/>
        <w:spacing w:before="200" w:line-rule="auto"/>
        <w:ind w:firstLine="540"/>
        <w:jc w:val="both"/>
      </w:pPr>
      <w:r>
        <w:rPr>
          <w:sz w:val="20"/>
        </w:rPr>
        <w:t xml:space="preserve">определение ответственности региональных органов управления за результаты деятельности в сфере поддержки экспорта путем разработки и закрепления соответствующих показателей (среднегодовые темпы прироста несырьевого экспорта и увеличение числа региональных предприятий-экспортеров);</w:t>
      </w:r>
    </w:p>
    <w:p>
      <w:pPr>
        <w:pStyle w:val="0"/>
        <w:spacing w:before="200" w:line-rule="auto"/>
        <w:ind w:firstLine="540"/>
        <w:jc w:val="both"/>
      </w:pPr>
      <w:r>
        <w:rPr>
          <w:sz w:val="20"/>
        </w:rPr>
        <w:t xml:space="preserve">дальнейшее развитие и расширение охвата региональной инфраструктуры поддержки внешнеэкономической деятельности (усиление роли регионального центра поддержки экспорта);</w:t>
      </w:r>
    </w:p>
    <w:p>
      <w:pPr>
        <w:pStyle w:val="0"/>
        <w:spacing w:before="200" w:line-rule="auto"/>
        <w:ind w:firstLine="540"/>
        <w:jc w:val="both"/>
      </w:pPr>
      <w:r>
        <w:rPr>
          <w:sz w:val="20"/>
        </w:rPr>
        <w:t xml:space="preserve">развитие индустриальных парков Тюменской области с целью создания современных производств и формированием оптимальных логистических схем;</w:t>
      </w:r>
    </w:p>
    <w:p>
      <w:pPr>
        <w:pStyle w:val="0"/>
        <w:spacing w:before="200" w:line-rule="auto"/>
        <w:ind w:firstLine="540"/>
        <w:jc w:val="both"/>
      </w:pPr>
      <w:r>
        <w:rPr>
          <w:sz w:val="20"/>
        </w:rPr>
        <w:t xml:space="preserve">стимулирование самоорганизации региональных экспортно ориентированных компаний в региональные ассоциации экспортеров (экспортные клубы) при поддержке органов власти и региональных отделений общероссийских объединений предпринимателей;</w:t>
      </w:r>
    </w:p>
    <w:p>
      <w:pPr>
        <w:pStyle w:val="0"/>
        <w:spacing w:before="200" w:line-rule="auto"/>
        <w:ind w:firstLine="540"/>
        <w:jc w:val="both"/>
      </w:pPr>
      <w:r>
        <w:rPr>
          <w:sz w:val="20"/>
        </w:rPr>
        <w:t xml:space="preserve">развитие экспортной культуры в предпринимательской среде путем формирования позитивного имиджа внешнеторговой деятельности, поощрения на конкурсной основе наиболее результативных компаний-экспортеров, проведения региональных конференций и семинаров, издания специализированных публикаций и региональных бюллетеней внешнеэкономической направленности;</w:t>
      </w:r>
    </w:p>
    <w:p>
      <w:pPr>
        <w:pStyle w:val="0"/>
        <w:spacing w:before="200" w:line-rule="auto"/>
        <w:ind w:firstLine="540"/>
        <w:jc w:val="both"/>
      </w:pPr>
      <w:r>
        <w:rPr>
          <w:sz w:val="20"/>
        </w:rPr>
        <w:t xml:space="preserve">совершенствование статистического учета регионального экспорта для обеспечения полного охвата произведенной на территории Тюменской области и впоследствии вывезенной за рубеж продукции, в том числе через другие регионы;</w:t>
      </w:r>
    </w:p>
    <w:p>
      <w:pPr>
        <w:pStyle w:val="0"/>
        <w:spacing w:before="200" w:line-rule="auto"/>
        <w:ind w:firstLine="540"/>
        <w:jc w:val="both"/>
      </w:pPr>
      <w:r>
        <w:rPr>
          <w:sz w:val="20"/>
        </w:rPr>
        <w:t xml:space="preserve">в целях реализации национального проекта "Международная кооперация и экспорт" в декабре 2018 года в Тюменской области разработаны и утверждены региональные проекты "Системные меры развития международной кооперации и экспорта", "Экспорт продукции агропромышленного комплекса Тюменской области" и "Акселерация субъектов малого и среднего предпринимательства", направленные на создание благоприятной регуляторной среды и стимулирования экспортной деятельности. При реализации региональных проектов планируется применение проектного подхода.</w:t>
      </w:r>
    </w:p>
    <w:p>
      <w:pPr>
        <w:pStyle w:val="0"/>
        <w:jc w:val="both"/>
      </w:pPr>
      <w:r>
        <w:rPr>
          <w:sz w:val="20"/>
        </w:rPr>
      </w:r>
    </w:p>
    <w:p>
      <w:pPr>
        <w:pStyle w:val="2"/>
        <w:outlineLvl w:val="2"/>
        <w:jc w:val="center"/>
      </w:pPr>
      <w:r>
        <w:rPr>
          <w:sz w:val="20"/>
        </w:rPr>
        <w:t xml:space="preserve">7. Ресурсы, необходимые для реализации Экспортной стратегии</w:t>
      </w:r>
    </w:p>
    <w:p>
      <w:pPr>
        <w:pStyle w:val="0"/>
        <w:jc w:val="both"/>
      </w:pPr>
      <w:r>
        <w:rPr>
          <w:sz w:val="20"/>
        </w:rPr>
      </w:r>
    </w:p>
    <w:p>
      <w:pPr>
        <w:pStyle w:val="0"/>
        <w:ind w:firstLine="540"/>
        <w:jc w:val="both"/>
      </w:pPr>
      <w:r>
        <w:rPr>
          <w:sz w:val="20"/>
        </w:rPr>
        <w:t xml:space="preserve">Ресурсы, необходимые для реализации Экспортной стратегии, будут предусматриваться в рамках реализации государственных программ Тюменской области, в том числе:</w:t>
      </w:r>
    </w:p>
    <w:p>
      <w:pPr>
        <w:pStyle w:val="0"/>
        <w:spacing w:before="200" w:line-rule="auto"/>
        <w:ind w:firstLine="540"/>
        <w:jc w:val="both"/>
      </w:pPr>
      <w:r>
        <w:rPr>
          <w:sz w:val="20"/>
        </w:rPr>
        <w:t xml:space="preserve">государственная </w:t>
      </w:r>
      <w:hyperlink w:history="0" r:id="rId69" w:tooltip="Постановление Правительства Тюменской области от 25.12.2017 N 675-п (ред. от 28.12.2023) &quot;Об утверждении государственной программы Тюменской области &quot;Повышение конкурентоспособности экономики&quot; (с изм. и доп., вступающими в силу с 01.01.2024) {КонсультантПлюс}">
        <w:r>
          <w:rPr>
            <w:sz w:val="20"/>
            <w:color w:val="0000ff"/>
          </w:rPr>
          <w:t xml:space="preserve">программа</w:t>
        </w:r>
      </w:hyperlink>
      <w:r>
        <w:rPr>
          <w:sz w:val="20"/>
        </w:rPr>
        <w:t xml:space="preserve"> Тюменской области "Повышение конкурентоспособности экономики";</w:t>
      </w:r>
    </w:p>
    <w:p>
      <w:pPr>
        <w:pStyle w:val="0"/>
        <w:spacing w:before="200" w:line-rule="auto"/>
        <w:ind w:firstLine="540"/>
        <w:jc w:val="both"/>
      </w:pPr>
      <w:r>
        <w:rPr>
          <w:sz w:val="20"/>
        </w:rPr>
        <w:t xml:space="preserve">государственная </w:t>
      </w:r>
      <w:hyperlink w:history="0" r:id="rId70" w:tooltip="Постановление Правительства Тюменской области от 14.12.2018 N 511-п (ред. от 22.12.2023) &quot;Об утверждении государственной программы Тюменской области &quot;Развитие малого и среднего предпринимательства и научно-инновационной сферы&quot; и признании утратившими силу некоторых нормативных правовых актов&quot; (с изм. и доп., вступающими в силу с 01.01.2024) {КонсультантПлюс}">
        <w:r>
          <w:rPr>
            <w:sz w:val="20"/>
            <w:color w:val="0000ff"/>
          </w:rPr>
          <w:t xml:space="preserve">программа</w:t>
        </w:r>
      </w:hyperlink>
      <w:r>
        <w:rPr>
          <w:sz w:val="20"/>
        </w:rPr>
        <w:t xml:space="preserve"> Тюменской области "Развитие малого и среднего предпринимательства и научно-инновационной сферы";</w:t>
      </w:r>
    </w:p>
    <w:p>
      <w:pPr>
        <w:pStyle w:val="0"/>
        <w:spacing w:before="200" w:line-rule="auto"/>
        <w:ind w:firstLine="540"/>
        <w:jc w:val="both"/>
      </w:pPr>
      <w:r>
        <w:rPr>
          <w:sz w:val="20"/>
        </w:rPr>
        <w:t xml:space="preserve">государственная </w:t>
      </w:r>
      <w:hyperlink w:history="0" r:id="rId71" w:tooltip="Постановление Правительства Тюменской области от 03.12.2018 N 458-п (ред. от 22.12.2023) &quot;Об утверждении государственной программы Тюменской области &quot;Развитие промышленности и инвестиционной деятельности&quot; и признании утратившими силу некоторых нормативных правовых актов&quot; (с изм. и доп., вступающими в силу с 01.01.2024) {КонсультантПлюс}">
        <w:r>
          <w:rPr>
            <w:sz w:val="20"/>
            <w:color w:val="0000ff"/>
          </w:rPr>
          <w:t xml:space="preserve">программа</w:t>
        </w:r>
      </w:hyperlink>
      <w:r>
        <w:rPr>
          <w:sz w:val="20"/>
        </w:rPr>
        <w:t xml:space="preserve"> "Развитие промышленности и инвестиционной деятельности".</w:t>
      </w:r>
    </w:p>
    <w:p>
      <w:pPr>
        <w:pStyle w:val="0"/>
        <w:spacing w:before="200" w:line-rule="auto"/>
        <w:ind w:firstLine="540"/>
        <w:jc w:val="both"/>
      </w:pPr>
      <w:r>
        <w:rPr>
          <w:sz w:val="20"/>
        </w:rPr>
        <w:t xml:space="preserve">Сохранение и постепенное укрепление позиций региональной продукции в мировом экспорте, повышение степени диверсификации экспорта, увеличение в нем доли разнообразных обработанных изделий, рост числа предприятий-экспортеров прежде всего за счет малых и средних компаний, усиление динамики обновления фирменной структуры экспорта благодаря появлению новых экспортеров существенно увеличат потребность в применении мер и инструментов нефинансовой и финансовой поддержки экспорта, главным образом промоутерских на внешних рынках, и, соответственно, вызовут необходимость в дополнительном финансировании на реализацию данных мероприятий.</w:t>
      </w:r>
    </w:p>
    <w:p>
      <w:pPr>
        <w:pStyle w:val="0"/>
        <w:jc w:val="both"/>
      </w:pPr>
      <w:r>
        <w:rPr>
          <w:sz w:val="20"/>
        </w:rPr>
      </w:r>
    </w:p>
    <w:bookmarkStart w:id="5089" w:name="P5089"/>
    <w:bookmarkEnd w:id="5089"/>
    <w:p>
      <w:pPr>
        <w:pStyle w:val="2"/>
        <w:outlineLvl w:val="2"/>
        <w:jc w:val="center"/>
      </w:pPr>
      <w:r>
        <w:rPr>
          <w:sz w:val="20"/>
        </w:rPr>
        <w:t xml:space="preserve">8. Ожидаемые результаты в части обеспечения благоприятных</w:t>
      </w:r>
    </w:p>
    <w:p>
      <w:pPr>
        <w:pStyle w:val="2"/>
        <w:jc w:val="center"/>
      </w:pPr>
      <w:r>
        <w:rPr>
          <w:sz w:val="20"/>
        </w:rPr>
        <w:t xml:space="preserve">условий для ведения экспортной деятельности к 2030 году</w:t>
      </w:r>
    </w:p>
    <w:p>
      <w:pPr>
        <w:pStyle w:val="0"/>
        <w:jc w:val="both"/>
      </w:pPr>
      <w:r>
        <w:rPr>
          <w:sz w:val="20"/>
        </w:rPr>
      </w:r>
    </w:p>
    <w:p>
      <w:pPr>
        <w:pStyle w:val="2"/>
        <w:outlineLvl w:val="3"/>
        <w:ind w:firstLine="540"/>
        <w:jc w:val="both"/>
      </w:pPr>
      <w:r>
        <w:rPr>
          <w:sz w:val="20"/>
        </w:rPr>
        <w:t xml:space="preserve">Таблица 4 - Основные показатели реализации экспортной стратегии в Тюменской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632"/>
        <w:gridCol w:w="964"/>
        <w:gridCol w:w="964"/>
        <w:gridCol w:w="940"/>
        <w:gridCol w:w="990"/>
        <w:gridCol w:w="964"/>
      </w:tblGrid>
      <w:tr>
        <w:tc>
          <w:tcPr>
            <w:tcW w:w="567" w:type="dxa"/>
            <w:vMerge w:val="restart"/>
          </w:tcPr>
          <w:p>
            <w:pPr>
              <w:pStyle w:val="0"/>
              <w:jc w:val="center"/>
            </w:pPr>
            <w:r>
              <w:rPr>
                <w:sz w:val="20"/>
              </w:rPr>
              <w:t xml:space="preserve">N</w:t>
            </w:r>
          </w:p>
        </w:tc>
        <w:tc>
          <w:tcPr>
            <w:tcW w:w="3632" w:type="dxa"/>
            <w:vMerge w:val="restart"/>
          </w:tcPr>
          <w:p>
            <w:pPr>
              <w:pStyle w:val="0"/>
              <w:jc w:val="center"/>
            </w:pPr>
            <w:r>
              <w:rPr>
                <w:sz w:val="20"/>
              </w:rPr>
              <w:t xml:space="preserve">Наименование показателя</w:t>
            </w:r>
          </w:p>
        </w:tc>
        <w:tc>
          <w:tcPr>
            <w:gridSpan w:val="5"/>
            <w:tcW w:w="4822" w:type="dxa"/>
          </w:tcPr>
          <w:p>
            <w:pPr>
              <w:pStyle w:val="0"/>
              <w:jc w:val="center"/>
            </w:pPr>
            <w:r>
              <w:rPr>
                <w:sz w:val="20"/>
              </w:rPr>
              <w:t xml:space="preserve">Годы</w:t>
            </w:r>
          </w:p>
        </w:tc>
      </w:tr>
      <w:tr>
        <w:tc>
          <w:tcPr>
            <w:vMerge w:val="continue"/>
          </w:tcPr>
          <w:p/>
        </w:tc>
        <w:tc>
          <w:tcPr>
            <w:vMerge w:val="continue"/>
          </w:tcPr>
          <w:p/>
        </w:tc>
        <w:tc>
          <w:tcPr>
            <w:tcW w:w="964" w:type="dxa"/>
          </w:tcPr>
          <w:p>
            <w:pPr>
              <w:pStyle w:val="0"/>
              <w:jc w:val="center"/>
            </w:pPr>
            <w:r>
              <w:rPr>
                <w:sz w:val="20"/>
              </w:rPr>
              <w:t xml:space="preserve">2018</w:t>
            </w:r>
          </w:p>
        </w:tc>
        <w:tc>
          <w:tcPr>
            <w:tcW w:w="964" w:type="dxa"/>
          </w:tcPr>
          <w:p>
            <w:pPr>
              <w:pStyle w:val="0"/>
              <w:jc w:val="center"/>
            </w:pPr>
            <w:r>
              <w:rPr>
                <w:sz w:val="20"/>
              </w:rPr>
              <w:t xml:space="preserve">2020</w:t>
            </w:r>
          </w:p>
        </w:tc>
        <w:tc>
          <w:tcPr>
            <w:tcW w:w="940" w:type="dxa"/>
          </w:tcPr>
          <w:p>
            <w:pPr>
              <w:pStyle w:val="0"/>
              <w:jc w:val="center"/>
            </w:pPr>
            <w:r>
              <w:rPr>
                <w:sz w:val="20"/>
              </w:rPr>
              <w:t xml:space="preserve">2024</w:t>
            </w:r>
          </w:p>
        </w:tc>
        <w:tc>
          <w:tcPr>
            <w:tcW w:w="990" w:type="dxa"/>
          </w:tcPr>
          <w:p>
            <w:pPr>
              <w:pStyle w:val="0"/>
              <w:jc w:val="center"/>
            </w:pPr>
            <w:r>
              <w:rPr>
                <w:sz w:val="20"/>
              </w:rPr>
              <w:t xml:space="preserve">2025</w:t>
            </w:r>
          </w:p>
        </w:tc>
        <w:tc>
          <w:tcPr>
            <w:tcW w:w="964" w:type="dxa"/>
          </w:tcPr>
          <w:p>
            <w:pPr>
              <w:pStyle w:val="0"/>
              <w:jc w:val="center"/>
            </w:pPr>
            <w:r>
              <w:rPr>
                <w:sz w:val="20"/>
              </w:rPr>
              <w:t xml:space="preserve">2030</w:t>
            </w:r>
          </w:p>
        </w:tc>
      </w:tr>
      <w:tr>
        <w:tc>
          <w:tcPr>
            <w:tcW w:w="567" w:type="dxa"/>
          </w:tcPr>
          <w:p>
            <w:pPr>
              <w:pStyle w:val="0"/>
              <w:jc w:val="center"/>
            </w:pPr>
            <w:r>
              <w:rPr>
                <w:sz w:val="20"/>
              </w:rPr>
              <w:t xml:space="preserve">1</w:t>
            </w:r>
          </w:p>
        </w:tc>
        <w:tc>
          <w:tcPr>
            <w:tcW w:w="3632" w:type="dxa"/>
          </w:tcPr>
          <w:p>
            <w:pPr>
              <w:pStyle w:val="0"/>
            </w:pPr>
            <w:r>
              <w:rPr>
                <w:sz w:val="20"/>
              </w:rPr>
              <w:t xml:space="preserve">Прирост количества компаний-экспортеров из числа МСП по итогам внедрения Регионального экспортного стандарта 2.0, % к уровню 2018 года</w:t>
            </w:r>
          </w:p>
        </w:tc>
        <w:tc>
          <w:tcPr>
            <w:tcW w:w="964" w:type="dxa"/>
          </w:tcPr>
          <w:p>
            <w:pPr>
              <w:pStyle w:val="0"/>
              <w:jc w:val="center"/>
            </w:pPr>
            <w:r>
              <w:rPr>
                <w:sz w:val="20"/>
              </w:rPr>
              <w:t xml:space="preserve">0</w:t>
            </w:r>
          </w:p>
        </w:tc>
        <w:tc>
          <w:tcPr>
            <w:tcW w:w="964" w:type="dxa"/>
          </w:tcPr>
          <w:p>
            <w:pPr>
              <w:pStyle w:val="0"/>
              <w:jc w:val="center"/>
            </w:pPr>
            <w:r>
              <w:rPr>
                <w:sz w:val="20"/>
              </w:rPr>
              <w:t xml:space="preserve">20</w:t>
            </w:r>
          </w:p>
        </w:tc>
        <w:tc>
          <w:tcPr>
            <w:tcW w:w="940" w:type="dxa"/>
          </w:tcPr>
          <w:p>
            <w:pPr>
              <w:pStyle w:val="0"/>
              <w:jc w:val="center"/>
            </w:pPr>
            <w:r>
              <w:rPr>
                <w:sz w:val="20"/>
              </w:rPr>
              <w:t xml:space="preserve">100</w:t>
            </w:r>
          </w:p>
        </w:tc>
        <w:tc>
          <w:tcPr>
            <w:tcW w:w="990" w:type="dxa"/>
          </w:tcPr>
          <w:p>
            <w:pPr>
              <w:pStyle w:val="0"/>
              <w:jc w:val="center"/>
            </w:pPr>
            <w:r>
              <w:rPr>
                <w:sz w:val="20"/>
              </w:rPr>
              <w:t xml:space="preserve">110</w:t>
            </w:r>
          </w:p>
        </w:tc>
        <w:tc>
          <w:tcPr>
            <w:tcW w:w="964" w:type="dxa"/>
          </w:tcPr>
          <w:p>
            <w:pPr>
              <w:pStyle w:val="0"/>
              <w:jc w:val="center"/>
            </w:pPr>
            <w:r>
              <w:rPr>
                <w:sz w:val="20"/>
              </w:rPr>
              <w:t xml:space="preserve">160</w:t>
            </w:r>
          </w:p>
        </w:tc>
      </w:tr>
      <w:tr>
        <w:tc>
          <w:tcPr>
            <w:tcW w:w="567" w:type="dxa"/>
          </w:tcPr>
          <w:p>
            <w:pPr>
              <w:pStyle w:val="0"/>
              <w:jc w:val="center"/>
            </w:pPr>
            <w:r>
              <w:rPr>
                <w:sz w:val="20"/>
              </w:rPr>
              <w:t xml:space="preserve">2</w:t>
            </w:r>
          </w:p>
        </w:tc>
        <w:tc>
          <w:tcPr>
            <w:tcW w:w="3632" w:type="dxa"/>
          </w:tcPr>
          <w:p>
            <w:pPr>
              <w:pStyle w:val="0"/>
            </w:pPr>
            <w:r>
              <w:rPr>
                <w:sz w:val="20"/>
              </w:rPr>
              <w:t xml:space="preserve">Доля несырьевого неэнергетического экспорта в общем объеме экспорта, %</w:t>
            </w:r>
          </w:p>
        </w:tc>
        <w:tc>
          <w:tcPr>
            <w:tcW w:w="964" w:type="dxa"/>
          </w:tcPr>
          <w:p>
            <w:pPr>
              <w:pStyle w:val="0"/>
              <w:jc w:val="center"/>
            </w:pPr>
            <w:r>
              <w:rPr>
                <w:sz w:val="20"/>
              </w:rPr>
              <w:t xml:space="preserve">32,6</w:t>
            </w:r>
          </w:p>
        </w:tc>
        <w:tc>
          <w:tcPr>
            <w:tcW w:w="964" w:type="dxa"/>
          </w:tcPr>
          <w:p>
            <w:pPr>
              <w:pStyle w:val="0"/>
              <w:jc w:val="center"/>
            </w:pPr>
            <w:r>
              <w:rPr>
                <w:sz w:val="20"/>
              </w:rPr>
              <w:t xml:space="preserve">41,9</w:t>
            </w:r>
          </w:p>
        </w:tc>
        <w:tc>
          <w:tcPr>
            <w:tcW w:w="940" w:type="dxa"/>
          </w:tcPr>
          <w:p>
            <w:pPr>
              <w:pStyle w:val="0"/>
              <w:jc w:val="center"/>
            </w:pPr>
            <w:r>
              <w:rPr>
                <w:sz w:val="20"/>
              </w:rPr>
              <w:t xml:space="preserve">52,8</w:t>
            </w:r>
          </w:p>
        </w:tc>
        <w:tc>
          <w:tcPr>
            <w:tcW w:w="990" w:type="dxa"/>
          </w:tcPr>
          <w:p>
            <w:pPr>
              <w:pStyle w:val="0"/>
              <w:jc w:val="center"/>
            </w:pPr>
            <w:r>
              <w:rPr>
                <w:sz w:val="20"/>
              </w:rPr>
              <w:t xml:space="preserve">54,0</w:t>
            </w:r>
          </w:p>
        </w:tc>
        <w:tc>
          <w:tcPr>
            <w:tcW w:w="964" w:type="dxa"/>
          </w:tcPr>
          <w:p>
            <w:pPr>
              <w:pStyle w:val="0"/>
              <w:jc w:val="center"/>
            </w:pPr>
            <w:r>
              <w:rPr>
                <w:sz w:val="20"/>
              </w:rPr>
              <w:t xml:space="preserve">59,6</w:t>
            </w:r>
          </w:p>
        </w:tc>
      </w:tr>
    </w:tbl>
    <w:p>
      <w:pPr>
        <w:pStyle w:val="0"/>
        <w:jc w:val="both"/>
      </w:pPr>
      <w:r>
        <w:rPr>
          <w:sz w:val="20"/>
        </w:rPr>
      </w:r>
    </w:p>
    <w:p>
      <w:pPr>
        <w:pStyle w:val="0"/>
        <w:ind w:firstLine="540"/>
        <w:jc w:val="both"/>
      </w:pPr>
      <w:r>
        <w:rPr>
          <w:sz w:val="20"/>
        </w:rPr>
        <w:t xml:space="preserve">Классификация сырьевых и несырьевых товаров в соответствии с методикой АО "Российский экспортный центр"</w:t>
      </w:r>
    </w:p>
    <w:p>
      <w:pPr>
        <w:pStyle w:val="0"/>
        <w:spacing w:before="200" w:line-rule="auto"/>
        <w:ind w:firstLine="540"/>
        <w:jc w:val="both"/>
      </w:pPr>
      <w:r>
        <w:rPr>
          <w:sz w:val="20"/>
        </w:rPr>
        <w:t xml:space="preserve">Классификация сырьевых и несырьевых товаров разработана РЭЦ совместно с Всероссийской академией внешней торговли Министерства экономического развития Российской Федерации с учетом зарубежного опыта подобных классификаций.</w:t>
      </w:r>
    </w:p>
    <w:p>
      <w:pPr>
        <w:pStyle w:val="0"/>
        <w:spacing w:before="200" w:line-rule="auto"/>
        <w:ind w:firstLine="540"/>
        <w:jc w:val="both"/>
      </w:pPr>
      <w:r>
        <w:rPr>
          <w:sz w:val="20"/>
        </w:rPr>
        <w:t xml:space="preserve">В основе классификации 4-значные товарные позиции ТН ВЭД, идентичные аналогичным позициям международной Гармонизированной системы описания и кодирования товаров. В отдельных случаях 4-значные позиции разбивались на 6-значные субпозиции, при этом применялся принцип размерной целесообразности: если субпозиция, которую логичнее отнести к другой группе, составляет небольшую часть от позиции и/или имеет небольшую величину мировой торговли, она не обосабливается, и позиция включается в группу целиком.</w:t>
      </w:r>
    </w:p>
    <w:p>
      <w:pPr>
        <w:pStyle w:val="0"/>
        <w:spacing w:before="200" w:line-rule="auto"/>
        <w:ind w:firstLine="540"/>
        <w:jc w:val="both"/>
      </w:pPr>
      <w:r>
        <w:rPr>
          <w:sz w:val="20"/>
        </w:rPr>
        <w:t xml:space="preserve">В самом общем виде в товарной структуре экспорта выделяются две группы товаров: сырьевые и несырьевые. Главным критерием для отнесения товара к сырью или несырью является степень участия человека в формировании его принципиальных характеристик. К сырьевым отнесены товары следующих двух основных категорий:</w:t>
      </w:r>
    </w:p>
    <w:p>
      <w:pPr>
        <w:pStyle w:val="0"/>
        <w:spacing w:before="200" w:line-rule="auto"/>
        <w:ind w:firstLine="540"/>
        <w:jc w:val="both"/>
      </w:pPr>
      <w:r>
        <w:rPr>
          <w:sz w:val="20"/>
        </w:rPr>
        <w:t xml:space="preserve">материалы, имеющиеся в природной среде и извлекаемые из нее. Главным образом это полезные ископаемые, а также древесина и некоторые другие природные материалы. Первичная продукция растениеводства (зерно, масличные и текстильные культуры) является результатом длительного приложения труда человека, в природе изначально она отсутствует, поэтому не рассматривается как сырье;</w:t>
      </w:r>
    </w:p>
    <w:p>
      <w:pPr>
        <w:pStyle w:val="0"/>
        <w:spacing w:before="200" w:line-rule="auto"/>
        <w:ind w:firstLine="540"/>
        <w:jc w:val="both"/>
      </w:pPr>
      <w:r>
        <w:rPr>
          <w:sz w:val="20"/>
        </w:rPr>
        <w:t xml:space="preserve">отходы, образующиеся в производственном процессе и используемые в дальнейшем как сырье: металлолом, макулатура, отходы пластмасс, стекла, древесины и другие. Сюда также включены простые отходы производства агропромышленного комплекса, не проходящие особой доработки: высевки, жом, барда и так далее. Лом малых металлов обычно представляет собой отходы обрабатывающих производств, а не извлекается из отслуживших изделий, поэтому классифицируется как несырьевой товар, к тому же исходные материалы технологически сложные, а величина торговли небольшая;</w:t>
      </w:r>
    </w:p>
    <w:p>
      <w:pPr>
        <w:pStyle w:val="0"/>
        <w:spacing w:before="200" w:line-rule="auto"/>
        <w:ind w:firstLine="540"/>
        <w:jc w:val="both"/>
      </w:pPr>
      <w:r>
        <w:rPr>
          <w:sz w:val="20"/>
        </w:rPr>
        <w:t xml:space="preserve">Как обособленная группа выделяются несырьевые энергетические товары - переработанное топливо (нефтепродукты, угольный кокс и другие) и электроэнергия.</w:t>
      </w:r>
    </w:p>
    <w:p>
      <w:pPr>
        <w:pStyle w:val="0"/>
        <w:spacing w:before="200" w:line-rule="auto"/>
        <w:ind w:firstLine="540"/>
        <w:jc w:val="both"/>
      </w:pPr>
      <w:r>
        <w:rPr>
          <w:sz w:val="20"/>
        </w:rPr>
        <w:t xml:space="preserve">Несырьевые неэнергетические товары делятся на 3 группы по степени передела.</w:t>
      </w:r>
    </w:p>
    <w:p>
      <w:pPr>
        <w:pStyle w:val="0"/>
        <w:jc w:val="both"/>
      </w:pPr>
      <w:r>
        <w:rPr>
          <w:sz w:val="20"/>
        </w:rPr>
      </w:r>
    </w:p>
    <w:p>
      <w:pPr>
        <w:pStyle w:val="2"/>
        <w:outlineLvl w:val="3"/>
        <w:ind w:firstLine="540"/>
        <w:jc w:val="both"/>
      </w:pPr>
      <w:r>
        <w:rPr>
          <w:sz w:val="20"/>
        </w:rPr>
        <w:t xml:space="preserve">Таблица 5 - Классификация товаров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005"/>
        <w:gridCol w:w="3022"/>
      </w:tblGrid>
      <w:tr>
        <w:tc>
          <w:tcPr>
            <w:tcW w:w="3005" w:type="dxa"/>
          </w:tcPr>
          <w:p>
            <w:pPr>
              <w:pStyle w:val="0"/>
              <w:jc w:val="center"/>
            </w:pPr>
            <w:r>
              <w:rPr>
                <w:sz w:val="20"/>
              </w:rPr>
              <w:t xml:space="preserve">Сырье</w:t>
            </w:r>
          </w:p>
        </w:tc>
        <w:tc>
          <w:tcPr>
            <w:tcW w:w="3005" w:type="dxa"/>
          </w:tcPr>
          <w:p>
            <w:pPr>
              <w:pStyle w:val="0"/>
              <w:jc w:val="center"/>
            </w:pPr>
            <w:r>
              <w:rPr>
                <w:sz w:val="20"/>
              </w:rPr>
              <w:t xml:space="preserve">Несырье энергетическое</w:t>
            </w:r>
          </w:p>
        </w:tc>
        <w:tc>
          <w:tcPr>
            <w:tcW w:w="3022" w:type="dxa"/>
          </w:tcPr>
          <w:p>
            <w:pPr>
              <w:pStyle w:val="0"/>
              <w:jc w:val="center"/>
            </w:pPr>
            <w:r>
              <w:rPr>
                <w:sz w:val="20"/>
              </w:rPr>
              <w:t xml:space="preserve">Несырье неэнергетическое</w:t>
            </w:r>
          </w:p>
        </w:tc>
      </w:tr>
      <w:tr>
        <w:tc>
          <w:tcPr>
            <w:tcW w:w="3005" w:type="dxa"/>
          </w:tcPr>
          <w:p>
            <w:pPr>
              <w:pStyle w:val="0"/>
            </w:pPr>
            <w:r>
              <w:rPr>
                <w:sz w:val="20"/>
              </w:rPr>
              <w:t xml:space="preserve">0501, 0502, 0505-0511</w:t>
            </w:r>
          </w:p>
          <w:p>
            <w:pPr>
              <w:pStyle w:val="0"/>
            </w:pPr>
            <w:r>
              <w:rPr>
                <w:sz w:val="20"/>
              </w:rPr>
              <w:t xml:space="preserve">1211, 1213</w:t>
            </w:r>
          </w:p>
          <w:p>
            <w:pPr>
              <w:pStyle w:val="0"/>
            </w:pPr>
            <w:r>
              <w:rPr>
                <w:sz w:val="20"/>
              </w:rPr>
              <w:t xml:space="preserve">1301</w:t>
            </w:r>
          </w:p>
          <w:p>
            <w:pPr>
              <w:pStyle w:val="0"/>
            </w:pPr>
            <w:r>
              <w:rPr>
                <w:sz w:val="20"/>
              </w:rPr>
              <w:t xml:space="preserve">14</w:t>
            </w:r>
          </w:p>
          <w:p>
            <w:pPr>
              <w:pStyle w:val="0"/>
            </w:pPr>
            <w:r>
              <w:rPr>
                <w:sz w:val="20"/>
              </w:rPr>
              <w:t xml:space="preserve">1522</w:t>
            </w:r>
          </w:p>
          <w:p>
            <w:pPr>
              <w:pStyle w:val="0"/>
            </w:pPr>
            <w:r>
              <w:rPr>
                <w:sz w:val="20"/>
              </w:rPr>
              <w:t xml:space="preserve">1802</w:t>
            </w:r>
          </w:p>
          <w:p>
            <w:pPr>
              <w:pStyle w:val="0"/>
            </w:pPr>
            <w:r>
              <w:rPr>
                <w:sz w:val="20"/>
              </w:rPr>
              <w:t xml:space="preserve">2302, 2303, 2307, 2308 2501-2522, 2524-2530</w:t>
            </w:r>
          </w:p>
          <w:p>
            <w:pPr>
              <w:pStyle w:val="0"/>
            </w:pPr>
            <w:r>
              <w:rPr>
                <w:sz w:val="20"/>
              </w:rPr>
              <w:t xml:space="preserve">26</w:t>
            </w:r>
          </w:p>
          <w:p>
            <w:pPr>
              <w:pStyle w:val="0"/>
            </w:pPr>
            <w:r>
              <w:rPr>
                <w:sz w:val="20"/>
              </w:rPr>
              <w:t xml:space="preserve">2701-2703, 2709, 271111, 271121, 2714</w:t>
            </w:r>
          </w:p>
          <w:p>
            <w:pPr>
              <w:pStyle w:val="0"/>
            </w:pPr>
            <w:r>
              <w:rPr>
                <w:sz w:val="20"/>
              </w:rPr>
              <w:t xml:space="preserve">3804, 3825</w:t>
            </w:r>
          </w:p>
          <w:p>
            <w:pPr>
              <w:pStyle w:val="0"/>
            </w:pPr>
            <w:r>
              <w:rPr>
                <w:sz w:val="20"/>
              </w:rPr>
              <w:t xml:space="preserve">3915</w:t>
            </w:r>
          </w:p>
          <w:p>
            <w:pPr>
              <w:pStyle w:val="0"/>
            </w:pPr>
            <w:r>
              <w:rPr>
                <w:sz w:val="20"/>
              </w:rPr>
              <w:t xml:space="preserve">4001, 4003, 4004</w:t>
            </w:r>
          </w:p>
          <w:p>
            <w:pPr>
              <w:pStyle w:val="0"/>
            </w:pPr>
            <w:r>
              <w:rPr>
                <w:sz w:val="20"/>
              </w:rPr>
              <w:t xml:space="preserve">4101-4103, 411520</w:t>
            </w:r>
          </w:p>
          <w:p>
            <w:pPr>
              <w:pStyle w:val="0"/>
            </w:pPr>
            <w:r>
              <w:rPr>
                <w:sz w:val="20"/>
              </w:rPr>
              <w:t xml:space="preserve">4301</w:t>
            </w:r>
          </w:p>
          <w:p>
            <w:pPr>
              <w:pStyle w:val="0"/>
            </w:pPr>
            <w:r>
              <w:rPr>
                <w:sz w:val="20"/>
              </w:rPr>
              <w:t xml:space="preserve">4401, 4403</w:t>
            </w:r>
          </w:p>
          <w:p>
            <w:pPr>
              <w:pStyle w:val="0"/>
            </w:pPr>
            <w:r>
              <w:rPr>
                <w:sz w:val="20"/>
              </w:rPr>
              <w:t xml:space="preserve">4501</w:t>
            </w:r>
          </w:p>
          <w:p>
            <w:pPr>
              <w:pStyle w:val="0"/>
            </w:pPr>
            <w:r>
              <w:rPr>
                <w:sz w:val="20"/>
              </w:rPr>
              <w:t xml:space="preserve">4707</w:t>
            </w:r>
          </w:p>
          <w:p>
            <w:pPr>
              <w:pStyle w:val="0"/>
            </w:pPr>
            <w:r>
              <w:rPr>
                <w:sz w:val="20"/>
              </w:rPr>
              <w:t xml:space="preserve">5001-5003</w:t>
            </w:r>
          </w:p>
          <w:p>
            <w:pPr>
              <w:pStyle w:val="0"/>
            </w:pPr>
            <w:r>
              <w:rPr>
                <w:sz w:val="20"/>
              </w:rPr>
              <w:t xml:space="preserve">5101-5104</w:t>
            </w:r>
          </w:p>
          <w:p>
            <w:pPr>
              <w:pStyle w:val="0"/>
            </w:pPr>
            <w:r>
              <w:rPr>
                <w:sz w:val="20"/>
              </w:rPr>
              <w:t xml:space="preserve">5202</w:t>
            </w:r>
          </w:p>
          <w:p>
            <w:pPr>
              <w:pStyle w:val="0"/>
            </w:pPr>
            <w:r>
              <w:rPr>
                <w:sz w:val="20"/>
              </w:rPr>
              <w:t xml:space="preserve">5505</w:t>
            </w:r>
          </w:p>
          <w:p>
            <w:pPr>
              <w:pStyle w:val="0"/>
            </w:pPr>
            <w:r>
              <w:rPr>
                <w:sz w:val="20"/>
              </w:rPr>
              <w:t xml:space="preserve">6310</w:t>
            </w:r>
          </w:p>
          <w:p>
            <w:pPr>
              <w:pStyle w:val="0"/>
            </w:pPr>
            <w:r>
              <w:rPr>
                <w:sz w:val="20"/>
              </w:rPr>
              <w:t xml:space="preserve">7001</w:t>
            </w:r>
          </w:p>
          <w:p>
            <w:pPr>
              <w:pStyle w:val="0"/>
            </w:pPr>
            <w:r>
              <w:rPr>
                <w:sz w:val="20"/>
              </w:rPr>
              <w:t xml:space="preserve">710110, 710121, 710210, 710221, 710231, 710310,</w:t>
            </w:r>
          </w:p>
          <w:p>
            <w:pPr>
              <w:pStyle w:val="0"/>
            </w:pPr>
            <w:r>
              <w:rPr>
                <w:sz w:val="20"/>
              </w:rPr>
              <w:t xml:space="preserve">7112</w:t>
            </w:r>
          </w:p>
          <w:p>
            <w:pPr>
              <w:pStyle w:val="0"/>
            </w:pPr>
            <w:r>
              <w:rPr>
                <w:sz w:val="20"/>
              </w:rPr>
              <w:t xml:space="preserve">7204</w:t>
            </w:r>
          </w:p>
          <w:p>
            <w:pPr>
              <w:pStyle w:val="0"/>
            </w:pPr>
            <w:r>
              <w:rPr>
                <w:sz w:val="20"/>
              </w:rPr>
              <w:t xml:space="preserve">7404</w:t>
            </w:r>
          </w:p>
          <w:p>
            <w:pPr>
              <w:pStyle w:val="0"/>
            </w:pPr>
            <w:r>
              <w:rPr>
                <w:sz w:val="20"/>
              </w:rPr>
              <w:t xml:space="preserve">7503</w:t>
            </w:r>
          </w:p>
          <w:p>
            <w:pPr>
              <w:pStyle w:val="0"/>
            </w:pPr>
            <w:r>
              <w:rPr>
                <w:sz w:val="20"/>
              </w:rPr>
              <w:t xml:space="preserve">7602</w:t>
            </w:r>
          </w:p>
          <w:p>
            <w:pPr>
              <w:pStyle w:val="0"/>
            </w:pPr>
            <w:r>
              <w:rPr>
                <w:sz w:val="20"/>
              </w:rPr>
              <w:t xml:space="preserve">7802</w:t>
            </w:r>
          </w:p>
          <w:p>
            <w:pPr>
              <w:pStyle w:val="0"/>
            </w:pPr>
            <w:r>
              <w:rPr>
                <w:sz w:val="20"/>
              </w:rPr>
              <w:t xml:space="preserve">7902</w:t>
            </w:r>
          </w:p>
          <w:p>
            <w:pPr>
              <w:pStyle w:val="0"/>
            </w:pPr>
            <w:r>
              <w:rPr>
                <w:sz w:val="20"/>
              </w:rPr>
              <w:t xml:space="preserve">8002</w:t>
            </w:r>
          </w:p>
        </w:tc>
        <w:tc>
          <w:tcPr>
            <w:tcW w:w="3005" w:type="dxa"/>
          </w:tcPr>
          <w:p>
            <w:pPr>
              <w:pStyle w:val="0"/>
            </w:pPr>
            <w:r>
              <w:rPr>
                <w:sz w:val="20"/>
              </w:rPr>
              <w:t xml:space="preserve">2704-2708, 2710,</w:t>
            </w:r>
          </w:p>
          <w:p>
            <w:pPr>
              <w:pStyle w:val="0"/>
            </w:pPr>
            <w:r>
              <w:rPr>
                <w:sz w:val="20"/>
              </w:rPr>
              <w:t xml:space="preserve">271112-271119, 271129, 2712, 2713, 2715, 2716</w:t>
            </w:r>
          </w:p>
        </w:tc>
        <w:tc>
          <w:tcPr>
            <w:tcW w:w="3022" w:type="dxa"/>
          </w:tcPr>
          <w:p>
            <w:pPr>
              <w:pStyle w:val="0"/>
            </w:pPr>
            <w:r>
              <w:rPr>
                <w:sz w:val="20"/>
              </w:rPr>
              <w:t xml:space="preserve">01-04</w:t>
            </w:r>
          </w:p>
          <w:p>
            <w:pPr>
              <w:pStyle w:val="0"/>
            </w:pPr>
            <w:r>
              <w:rPr>
                <w:sz w:val="20"/>
              </w:rPr>
              <w:t xml:space="preserve">0504</w:t>
            </w:r>
          </w:p>
          <w:p>
            <w:pPr>
              <w:pStyle w:val="0"/>
            </w:pPr>
            <w:r>
              <w:rPr>
                <w:sz w:val="20"/>
              </w:rPr>
              <w:t xml:space="preserve">06-11</w:t>
            </w:r>
          </w:p>
          <w:p>
            <w:pPr>
              <w:pStyle w:val="0"/>
            </w:pPr>
            <w:r>
              <w:rPr>
                <w:sz w:val="20"/>
              </w:rPr>
              <w:t xml:space="preserve">1201-1210, 1212, 1214</w:t>
            </w:r>
          </w:p>
          <w:p>
            <w:pPr>
              <w:pStyle w:val="0"/>
            </w:pPr>
            <w:r>
              <w:rPr>
                <w:sz w:val="20"/>
              </w:rPr>
              <w:t xml:space="preserve">1302</w:t>
            </w:r>
          </w:p>
          <w:p>
            <w:pPr>
              <w:pStyle w:val="0"/>
            </w:pPr>
            <w:r>
              <w:rPr>
                <w:sz w:val="20"/>
              </w:rPr>
              <w:t xml:space="preserve">1501-1521</w:t>
            </w:r>
          </w:p>
          <w:p>
            <w:pPr>
              <w:pStyle w:val="0"/>
            </w:pPr>
            <w:r>
              <w:rPr>
                <w:sz w:val="20"/>
              </w:rPr>
              <w:t xml:space="preserve">16-17</w:t>
            </w:r>
          </w:p>
          <w:p>
            <w:pPr>
              <w:pStyle w:val="0"/>
            </w:pPr>
            <w:r>
              <w:rPr>
                <w:sz w:val="20"/>
              </w:rPr>
              <w:t xml:space="preserve">1801, 1803-1806</w:t>
            </w:r>
          </w:p>
          <w:p>
            <w:pPr>
              <w:pStyle w:val="0"/>
            </w:pPr>
            <w:r>
              <w:rPr>
                <w:sz w:val="20"/>
              </w:rPr>
              <w:t xml:space="preserve">19-22</w:t>
            </w:r>
          </w:p>
          <w:p>
            <w:pPr>
              <w:pStyle w:val="0"/>
            </w:pPr>
            <w:r>
              <w:rPr>
                <w:sz w:val="20"/>
              </w:rPr>
              <w:t xml:space="preserve">2301, 2304-2306, 2309</w:t>
            </w:r>
          </w:p>
          <w:p>
            <w:pPr>
              <w:pStyle w:val="0"/>
            </w:pPr>
            <w:r>
              <w:rPr>
                <w:sz w:val="20"/>
              </w:rPr>
              <w:t xml:space="preserve">24</w:t>
            </w:r>
          </w:p>
          <w:p>
            <w:pPr>
              <w:pStyle w:val="0"/>
            </w:pPr>
            <w:r>
              <w:rPr>
                <w:sz w:val="20"/>
              </w:rPr>
              <w:t xml:space="preserve">2523</w:t>
            </w:r>
          </w:p>
          <w:p>
            <w:pPr>
              <w:pStyle w:val="0"/>
            </w:pPr>
            <w:r>
              <w:rPr>
                <w:sz w:val="20"/>
              </w:rPr>
              <w:t xml:space="preserve">28-37</w:t>
            </w:r>
          </w:p>
          <w:p>
            <w:pPr>
              <w:pStyle w:val="0"/>
            </w:pPr>
            <w:r>
              <w:rPr>
                <w:sz w:val="20"/>
              </w:rPr>
              <w:t xml:space="preserve">3801-3803, 3805-3824, 3826 3901-3914, 3916-3926</w:t>
            </w:r>
          </w:p>
          <w:p>
            <w:pPr>
              <w:pStyle w:val="0"/>
            </w:pPr>
            <w:r>
              <w:rPr>
                <w:sz w:val="20"/>
              </w:rPr>
              <w:t xml:space="preserve">4002, 4005-4017</w:t>
            </w:r>
          </w:p>
          <w:p>
            <w:pPr>
              <w:pStyle w:val="0"/>
            </w:pPr>
            <w:r>
              <w:rPr>
                <w:sz w:val="20"/>
              </w:rPr>
              <w:t xml:space="preserve">4104-4114, 411510</w:t>
            </w:r>
          </w:p>
          <w:p>
            <w:pPr>
              <w:pStyle w:val="0"/>
            </w:pPr>
            <w:r>
              <w:rPr>
                <w:sz w:val="20"/>
              </w:rPr>
              <w:t xml:space="preserve">42</w:t>
            </w:r>
          </w:p>
          <w:p>
            <w:pPr>
              <w:pStyle w:val="0"/>
            </w:pPr>
            <w:r>
              <w:rPr>
                <w:sz w:val="20"/>
              </w:rPr>
              <w:t xml:space="preserve">4302-4304</w:t>
            </w:r>
          </w:p>
          <w:p>
            <w:pPr>
              <w:pStyle w:val="0"/>
            </w:pPr>
            <w:r>
              <w:rPr>
                <w:sz w:val="20"/>
              </w:rPr>
              <w:t xml:space="preserve">4402, 4404-4421</w:t>
            </w:r>
          </w:p>
          <w:p>
            <w:pPr>
              <w:pStyle w:val="0"/>
            </w:pPr>
            <w:r>
              <w:rPr>
                <w:sz w:val="20"/>
              </w:rPr>
              <w:t xml:space="preserve">4502-4504</w:t>
            </w:r>
          </w:p>
          <w:p>
            <w:pPr>
              <w:pStyle w:val="0"/>
            </w:pPr>
            <w:r>
              <w:rPr>
                <w:sz w:val="20"/>
              </w:rPr>
              <w:t xml:space="preserve">46</w:t>
            </w:r>
          </w:p>
          <w:p>
            <w:pPr>
              <w:pStyle w:val="0"/>
            </w:pPr>
            <w:r>
              <w:rPr>
                <w:sz w:val="20"/>
              </w:rPr>
              <w:t xml:space="preserve">4701-4706</w:t>
            </w:r>
          </w:p>
          <w:p>
            <w:pPr>
              <w:pStyle w:val="0"/>
            </w:pPr>
            <w:r>
              <w:rPr>
                <w:sz w:val="20"/>
              </w:rPr>
              <w:t xml:space="preserve">48-49</w:t>
            </w:r>
          </w:p>
          <w:p>
            <w:pPr>
              <w:pStyle w:val="0"/>
            </w:pPr>
            <w:r>
              <w:rPr>
                <w:sz w:val="20"/>
              </w:rPr>
              <w:t xml:space="preserve">5004-5007</w:t>
            </w:r>
          </w:p>
          <w:p>
            <w:pPr>
              <w:pStyle w:val="0"/>
            </w:pPr>
            <w:r>
              <w:rPr>
                <w:sz w:val="20"/>
              </w:rPr>
              <w:t xml:space="preserve">5105-5113</w:t>
            </w:r>
          </w:p>
          <w:p>
            <w:pPr>
              <w:pStyle w:val="0"/>
            </w:pPr>
            <w:r>
              <w:rPr>
                <w:sz w:val="20"/>
              </w:rPr>
              <w:t xml:space="preserve">5201, 5203-5212</w:t>
            </w:r>
          </w:p>
          <w:p>
            <w:pPr>
              <w:pStyle w:val="0"/>
            </w:pPr>
            <w:r>
              <w:rPr>
                <w:sz w:val="20"/>
              </w:rPr>
              <w:t xml:space="preserve">53-54</w:t>
            </w:r>
          </w:p>
          <w:p>
            <w:pPr>
              <w:pStyle w:val="0"/>
            </w:pPr>
            <w:r>
              <w:rPr>
                <w:sz w:val="20"/>
              </w:rPr>
              <w:t xml:space="preserve">5501-5504, 5506-5516</w:t>
            </w:r>
          </w:p>
          <w:p>
            <w:pPr>
              <w:pStyle w:val="0"/>
            </w:pPr>
            <w:r>
              <w:rPr>
                <w:sz w:val="20"/>
              </w:rPr>
              <w:t xml:space="preserve">56-62</w:t>
            </w:r>
          </w:p>
          <w:p>
            <w:pPr>
              <w:pStyle w:val="0"/>
            </w:pPr>
            <w:r>
              <w:rPr>
                <w:sz w:val="20"/>
              </w:rPr>
              <w:t xml:space="preserve">6301-6309</w:t>
            </w:r>
          </w:p>
          <w:p>
            <w:pPr>
              <w:pStyle w:val="0"/>
            </w:pPr>
            <w:r>
              <w:rPr>
                <w:sz w:val="20"/>
              </w:rPr>
              <w:t xml:space="preserve">64-69</w:t>
            </w:r>
          </w:p>
          <w:p>
            <w:pPr>
              <w:pStyle w:val="0"/>
            </w:pPr>
            <w:r>
              <w:rPr>
                <w:sz w:val="20"/>
              </w:rPr>
              <w:t xml:space="preserve">7002-7020</w:t>
            </w:r>
          </w:p>
          <w:p>
            <w:pPr>
              <w:pStyle w:val="0"/>
            </w:pPr>
            <w:r>
              <w:rPr>
                <w:sz w:val="20"/>
              </w:rPr>
              <w:t xml:space="preserve">710122, 710229, 710239, 710391, 710399, 7104-7111, 7113-7118</w:t>
            </w:r>
          </w:p>
          <w:p>
            <w:pPr>
              <w:pStyle w:val="0"/>
            </w:pPr>
            <w:r>
              <w:rPr>
                <w:sz w:val="20"/>
              </w:rPr>
              <w:t xml:space="preserve">7201-7203, 7205-7229</w:t>
            </w:r>
          </w:p>
          <w:p>
            <w:pPr>
              <w:pStyle w:val="0"/>
            </w:pPr>
            <w:r>
              <w:rPr>
                <w:sz w:val="20"/>
              </w:rPr>
              <w:t xml:space="preserve">73</w:t>
            </w:r>
          </w:p>
          <w:p>
            <w:pPr>
              <w:pStyle w:val="0"/>
            </w:pPr>
            <w:r>
              <w:rPr>
                <w:sz w:val="20"/>
              </w:rPr>
              <w:t xml:space="preserve">7401-7403, 7405-7419</w:t>
            </w:r>
          </w:p>
          <w:p>
            <w:pPr>
              <w:pStyle w:val="0"/>
            </w:pPr>
            <w:r>
              <w:rPr>
                <w:sz w:val="20"/>
              </w:rPr>
              <w:t xml:space="preserve">7501, 7502, 7504-7508</w:t>
            </w:r>
          </w:p>
          <w:p>
            <w:pPr>
              <w:pStyle w:val="0"/>
            </w:pPr>
            <w:r>
              <w:rPr>
                <w:sz w:val="20"/>
              </w:rPr>
              <w:t xml:space="preserve">7601, 7603-7616</w:t>
            </w:r>
          </w:p>
          <w:p>
            <w:pPr>
              <w:pStyle w:val="0"/>
            </w:pPr>
            <w:r>
              <w:rPr>
                <w:sz w:val="20"/>
              </w:rPr>
              <w:t xml:space="preserve">7801, 7804, 7806</w:t>
            </w:r>
          </w:p>
          <w:p>
            <w:pPr>
              <w:pStyle w:val="0"/>
            </w:pPr>
            <w:r>
              <w:rPr>
                <w:sz w:val="20"/>
              </w:rPr>
              <w:t xml:space="preserve">7901, 7903-7907</w:t>
            </w:r>
          </w:p>
          <w:p>
            <w:pPr>
              <w:pStyle w:val="0"/>
            </w:pPr>
            <w:r>
              <w:rPr>
                <w:sz w:val="20"/>
              </w:rPr>
              <w:t xml:space="preserve">8001, 8003, 8007</w:t>
            </w:r>
          </w:p>
          <w:p>
            <w:pPr>
              <w:pStyle w:val="0"/>
            </w:pPr>
            <w:r>
              <w:rPr>
                <w:sz w:val="20"/>
              </w:rPr>
              <w:t xml:space="preserve">81-97</w:t>
            </w:r>
          </w:p>
        </w:tc>
      </w:tr>
    </w:tbl>
    <w:p>
      <w:pPr>
        <w:pStyle w:val="0"/>
        <w:jc w:val="both"/>
      </w:pPr>
      <w:r>
        <w:rPr>
          <w:sz w:val="20"/>
        </w:rPr>
      </w:r>
    </w:p>
    <w:p>
      <w:pPr>
        <w:pStyle w:val="2"/>
        <w:outlineLvl w:val="3"/>
        <w:ind w:firstLine="540"/>
        <w:jc w:val="both"/>
      </w:pPr>
      <w:r>
        <w:rPr>
          <w:sz w:val="20"/>
        </w:rPr>
        <w:t xml:space="preserve">Таблица 6 - Неэнергетические несырьевые товары по переделам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005"/>
        <w:gridCol w:w="3022"/>
      </w:tblGrid>
      <w:tr>
        <w:tc>
          <w:tcPr>
            <w:tcW w:w="3005" w:type="dxa"/>
          </w:tcPr>
          <w:p>
            <w:pPr>
              <w:pStyle w:val="0"/>
              <w:jc w:val="center"/>
            </w:pPr>
            <w:r>
              <w:rPr>
                <w:sz w:val="20"/>
              </w:rPr>
              <w:t xml:space="preserve">Нижние переделы</w:t>
            </w:r>
          </w:p>
        </w:tc>
        <w:tc>
          <w:tcPr>
            <w:tcW w:w="3005" w:type="dxa"/>
          </w:tcPr>
          <w:p>
            <w:pPr>
              <w:pStyle w:val="0"/>
              <w:jc w:val="center"/>
            </w:pPr>
            <w:r>
              <w:rPr>
                <w:sz w:val="20"/>
              </w:rPr>
              <w:t xml:space="preserve">Средние переделы</w:t>
            </w:r>
          </w:p>
        </w:tc>
        <w:tc>
          <w:tcPr>
            <w:tcW w:w="3022" w:type="dxa"/>
          </w:tcPr>
          <w:p>
            <w:pPr>
              <w:pStyle w:val="0"/>
              <w:jc w:val="center"/>
            </w:pPr>
            <w:r>
              <w:rPr>
                <w:sz w:val="20"/>
              </w:rPr>
              <w:t xml:space="preserve">Верхние переделы</w:t>
            </w:r>
          </w:p>
        </w:tc>
      </w:tr>
      <w:tr>
        <w:tc>
          <w:tcPr>
            <w:tcW w:w="3005" w:type="dxa"/>
          </w:tcPr>
          <w:p>
            <w:pPr>
              <w:pStyle w:val="0"/>
            </w:pPr>
            <w:r>
              <w:rPr>
                <w:sz w:val="20"/>
              </w:rPr>
              <w:t xml:space="preserve">01</w:t>
            </w:r>
          </w:p>
          <w:p>
            <w:pPr>
              <w:pStyle w:val="0"/>
            </w:pPr>
            <w:r>
              <w:rPr>
                <w:sz w:val="20"/>
              </w:rPr>
              <w:t xml:space="preserve">0301-0303, 0306-0308</w:t>
            </w:r>
          </w:p>
          <w:p>
            <w:pPr>
              <w:pStyle w:val="0"/>
            </w:pPr>
            <w:r>
              <w:rPr>
                <w:sz w:val="20"/>
              </w:rPr>
              <w:t xml:space="preserve">0409, 0410</w:t>
            </w:r>
          </w:p>
          <w:p>
            <w:pPr>
              <w:pStyle w:val="0"/>
            </w:pPr>
            <w:r>
              <w:rPr>
                <w:sz w:val="20"/>
              </w:rPr>
              <w:t xml:space="preserve">06</w:t>
            </w:r>
          </w:p>
          <w:p>
            <w:pPr>
              <w:pStyle w:val="0"/>
            </w:pPr>
            <w:r>
              <w:rPr>
                <w:sz w:val="20"/>
              </w:rPr>
              <w:t xml:space="preserve">0701-0709, 0711, 0713, 0714 0801-0810, 0812-0814</w:t>
            </w:r>
          </w:p>
          <w:p>
            <w:pPr>
              <w:pStyle w:val="0"/>
            </w:pPr>
            <w:r>
              <w:rPr>
                <w:sz w:val="20"/>
              </w:rPr>
              <w:t xml:space="preserve">090111, 090190, 090220, 090240, 0903-0910</w:t>
            </w:r>
          </w:p>
          <w:p>
            <w:pPr>
              <w:pStyle w:val="0"/>
            </w:pPr>
            <w:r>
              <w:rPr>
                <w:sz w:val="20"/>
              </w:rPr>
              <w:t xml:space="preserve">10</w:t>
            </w:r>
          </w:p>
          <w:p>
            <w:pPr>
              <w:pStyle w:val="0"/>
            </w:pPr>
            <w:r>
              <w:rPr>
                <w:sz w:val="20"/>
              </w:rPr>
              <w:t xml:space="preserve">1201-1207, 1209, 1210, 1212, 1214</w:t>
            </w:r>
          </w:p>
          <w:p>
            <w:pPr>
              <w:pStyle w:val="0"/>
            </w:pPr>
            <w:r>
              <w:rPr>
                <w:sz w:val="20"/>
              </w:rPr>
              <w:t xml:space="preserve">1520, 1521</w:t>
            </w:r>
          </w:p>
          <w:p>
            <w:pPr>
              <w:pStyle w:val="0"/>
            </w:pPr>
            <w:r>
              <w:rPr>
                <w:sz w:val="20"/>
              </w:rPr>
              <w:t xml:space="preserve">1703</w:t>
            </w:r>
          </w:p>
          <w:p>
            <w:pPr>
              <w:pStyle w:val="0"/>
            </w:pPr>
            <w:r>
              <w:rPr>
                <w:sz w:val="20"/>
              </w:rPr>
              <w:t xml:space="preserve">1801</w:t>
            </w:r>
          </w:p>
          <w:p>
            <w:pPr>
              <w:pStyle w:val="0"/>
            </w:pPr>
            <w:r>
              <w:rPr>
                <w:sz w:val="20"/>
              </w:rPr>
              <w:t xml:space="preserve">2207</w:t>
            </w:r>
          </w:p>
          <w:p>
            <w:pPr>
              <w:pStyle w:val="0"/>
            </w:pPr>
            <w:r>
              <w:rPr>
                <w:sz w:val="20"/>
              </w:rPr>
              <w:t xml:space="preserve">2301, 2304-2306</w:t>
            </w:r>
          </w:p>
          <w:p>
            <w:pPr>
              <w:pStyle w:val="0"/>
            </w:pPr>
            <w:r>
              <w:rPr>
                <w:sz w:val="20"/>
              </w:rPr>
              <w:t xml:space="preserve">2401</w:t>
            </w:r>
          </w:p>
          <w:p>
            <w:pPr>
              <w:pStyle w:val="0"/>
            </w:pPr>
            <w:r>
              <w:rPr>
                <w:sz w:val="20"/>
              </w:rPr>
              <w:t xml:space="preserve">2523</w:t>
            </w:r>
          </w:p>
          <w:p>
            <w:pPr>
              <w:pStyle w:val="0"/>
            </w:pPr>
            <w:r>
              <w:rPr>
                <w:sz w:val="20"/>
              </w:rPr>
              <w:t xml:space="preserve">2803, 2807, 2809, 2814, 2815, 281820, 281830, 282720, 283311, 2836</w:t>
            </w:r>
          </w:p>
          <w:p>
            <w:pPr>
              <w:pStyle w:val="0"/>
            </w:pPr>
            <w:r>
              <w:rPr>
                <w:sz w:val="20"/>
              </w:rPr>
              <w:t xml:space="preserve">2901-2903, 2905, 2907, 2909, 2910, 2915-2917</w:t>
            </w:r>
          </w:p>
          <w:p>
            <w:pPr>
              <w:pStyle w:val="0"/>
            </w:pPr>
            <w:r>
              <w:rPr>
                <w:sz w:val="20"/>
              </w:rPr>
              <w:t xml:space="preserve">31</w:t>
            </w:r>
          </w:p>
          <w:p>
            <w:pPr>
              <w:pStyle w:val="0"/>
            </w:pPr>
            <w:r>
              <w:rPr>
                <w:sz w:val="20"/>
              </w:rPr>
              <w:t xml:space="preserve">3803, 3807, 382450 4104-4114, 411510</w:t>
            </w:r>
          </w:p>
          <w:p>
            <w:pPr>
              <w:pStyle w:val="0"/>
            </w:pPr>
            <w:r>
              <w:rPr>
                <w:sz w:val="20"/>
              </w:rPr>
              <w:t xml:space="preserve">4302</w:t>
            </w:r>
          </w:p>
          <w:p>
            <w:pPr>
              <w:pStyle w:val="0"/>
            </w:pPr>
            <w:r>
              <w:rPr>
                <w:sz w:val="20"/>
              </w:rPr>
              <w:t xml:space="preserve">4402, 4404-4408</w:t>
            </w:r>
          </w:p>
          <w:p>
            <w:pPr>
              <w:pStyle w:val="0"/>
            </w:pPr>
            <w:r>
              <w:rPr>
                <w:sz w:val="20"/>
              </w:rPr>
              <w:t xml:space="preserve">4502</w:t>
            </w:r>
          </w:p>
          <w:p>
            <w:pPr>
              <w:pStyle w:val="0"/>
            </w:pPr>
            <w:r>
              <w:rPr>
                <w:sz w:val="20"/>
              </w:rPr>
              <w:t xml:space="preserve">4701, 4706</w:t>
            </w:r>
          </w:p>
          <w:p>
            <w:pPr>
              <w:pStyle w:val="0"/>
            </w:pPr>
            <w:r>
              <w:rPr>
                <w:sz w:val="20"/>
              </w:rPr>
              <w:t xml:space="preserve">5105</w:t>
            </w:r>
          </w:p>
          <w:p>
            <w:pPr>
              <w:pStyle w:val="0"/>
            </w:pPr>
            <w:r>
              <w:rPr>
                <w:sz w:val="20"/>
              </w:rPr>
              <w:t xml:space="preserve">5201, 5203</w:t>
            </w:r>
          </w:p>
          <w:p>
            <w:pPr>
              <w:pStyle w:val="0"/>
            </w:pPr>
            <w:r>
              <w:rPr>
                <w:sz w:val="20"/>
              </w:rPr>
              <w:t xml:space="preserve">5301-5305</w:t>
            </w:r>
          </w:p>
          <w:p>
            <w:pPr>
              <w:pStyle w:val="0"/>
            </w:pPr>
            <w:r>
              <w:rPr>
                <w:sz w:val="20"/>
              </w:rPr>
              <w:t xml:space="preserve">6309</w:t>
            </w:r>
          </w:p>
          <w:p>
            <w:pPr>
              <w:pStyle w:val="0"/>
            </w:pPr>
            <w:r>
              <w:rPr>
                <w:sz w:val="20"/>
              </w:rPr>
              <w:t xml:space="preserve">6801-6803, 6814</w:t>
            </w:r>
          </w:p>
          <w:p>
            <w:pPr>
              <w:pStyle w:val="0"/>
            </w:pPr>
            <w:r>
              <w:rPr>
                <w:sz w:val="20"/>
              </w:rPr>
              <w:t xml:space="preserve">6904</w:t>
            </w:r>
          </w:p>
          <w:p>
            <w:pPr>
              <w:pStyle w:val="0"/>
            </w:pPr>
            <w:r>
              <w:rPr>
                <w:sz w:val="20"/>
              </w:rPr>
              <w:t xml:space="preserve">7003, 7005</w:t>
            </w:r>
          </w:p>
          <w:p>
            <w:pPr>
              <w:pStyle w:val="0"/>
            </w:pPr>
            <w:r>
              <w:rPr>
                <w:sz w:val="20"/>
              </w:rPr>
              <w:t xml:space="preserve">710229, 7105-7111</w:t>
            </w:r>
          </w:p>
          <w:p>
            <w:pPr>
              <w:pStyle w:val="0"/>
            </w:pPr>
            <w:r>
              <w:rPr>
                <w:sz w:val="20"/>
              </w:rPr>
              <w:t xml:space="preserve">7201-7203, 7205-7207 7401-7403</w:t>
            </w:r>
          </w:p>
          <w:p>
            <w:pPr>
              <w:pStyle w:val="0"/>
            </w:pPr>
            <w:r>
              <w:rPr>
                <w:sz w:val="20"/>
              </w:rPr>
              <w:t xml:space="preserve">7501, 7502</w:t>
            </w:r>
          </w:p>
          <w:p>
            <w:pPr>
              <w:pStyle w:val="0"/>
            </w:pPr>
            <w:r>
              <w:rPr>
                <w:sz w:val="20"/>
              </w:rPr>
              <w:t xml:space="preserve">7601</w:t>
            </w:r>
          </w:p>
          <w:p>
            <w:pPr>
              <w:pStyle w:val="0"/>
            </w:pPr>
            <w:r>
              <w:rPr>
                <w:sz w:val="20"/>
              </w:rPr>
              <w:t xml:space="preserve">7801</w:t>
            </w:r>
          </w:p>
          <w:p>
            <w:pPr>
              <w:pStyle w:val="0"/>
            </w:pPr>
            <w:r>
              <w:rPr>
                <w:sz w:val="20"/>
              </w:rPr>
              <w:t xml:space="preserve">7901</w:t>
            </w:r>
          </w:p>
          <w:p>
            <w:pPr>
              <w:pStyle w:val="0"/>
            </w:pPr>
            <w:r>
              <w:rPr>
                <w:sz w:val="20"/>
              </w:rPr>
              <w:t xml:space="preserve">8001</w:t>
            </w:r>
          </w:p>
          <w:p>
            <w:pPr>
              <w:pStyle w:val="0"/>
            </w:pPr>
            <w:r>
              <w:rPr>
                <w:sz w:val="20"/>
              </w:rPr>
              <w:t xml:space="preserve">810520</w:t>
            </w:r>
          </w:p>
          <w:p>
            <w:pPr>
              <w:pStyle w:val="0"/>
            </w:pPr>
            <w:r>
              <w:rPr>
                <w:sz w:val="20"/>
              </w:rPr>
              <w:t xml:space="preserve">8908</w:t>
            </w:r>
          </w:p>
        </w:tc>
        <w:tc>
          <w:tcPr>
            <w:tcW w:w="3005" w:type="dxa"/>
          </w:tcPr>
          <w:p>
            <w:pPr>
              <w:pStyle w:val="0"/>
            </w:pPr>
            <w:r>
              <w:rPr>
                <w:sz w:val="20"/>
              </w:rPr>
              <w:t xml:space="preserve">02</w:t>
            </w:r>
          </w:p>
          <w:p>
            <w:pPr>
              <w:pStyle w:val="0"/>
            </w:pPr>
            <w:r>
              <w:rPr>
                <w:sz w:val="20"/>
              </w:rPr>
              <w:t xml:space="preserve">0304, 0305</w:t>
            </w:r>
          </w:p>
          <w:p>
            <w:pPr>
              <w:pStyle w:val="0"/>
            </w:pPr>
            <w:r>
              <w:rPr>
                <w:sz w:val="20"/>
              </w:rPr>
              <w:t xml:space="preserve">0401-0404, 0407, 0408</w:t>
            </w:r>
          </w:p>
          <w:p>
            <w:pPr>
              <w:pStyle w:val="0"/>
            </w:pPr>
            <w:r>
              <w:rPr>
                <w:sz w:val="20"/>
              </w:rPr>
              <w:t xml:space="preserve">0504</w:t>
            </w:r>
          </w:p>
          <w:p>
            <w:pPr>
              <w:pStyle w:val="0"/>
            </w:pPr>
            <w:r>
              <w:rPr>
                <w:sz w:val="20"/>
              </w:rPr>
              <w:t xml:space="preserve">0710, 0712</w:t>
            </w:r>
          </w:p>
          <w:p>
            <w:pPr>
              <w:pStyle w:val="0"/>
            </w:pPr>
            <w:r>
              <w:rPr>
                <w:sz w:val="20"/>
              </w:rPr>
              <w:t xml:space="preserve">0811</w:t>
            </w:r>
          </w:p>
          <w:p>
            <w:pPr>
              <w:pStyle w:val="0"/>
            </w:pPr>
            <w:r>
              <w:rPr>
                <w:sz w:val="20"/>
              </w:rPr>
              <w:t xml:space="preserve">090112, 090121, 090122, 090210, 090230</w:t>
            </w:r>
          </w:p>
          <w:p>
            <w:pPr>
              <w:pStyle w:val="0"/>
            </w:pPr>
            <w:r>
              <w:rPr>
                <w:sz w:val="20"/>
              </w:rPr>
              <w:t xml:space="preserve">11</w:t>
            </w:r>
          </w:p>
          <w:p>
            <w:pPr>
              <w:pStyle w:val="0"/>
            </w:pPr>
            <w:r>
              <w:rPr>
                <w:sz w:val="20"/>
              </w:rPr>
              <w:t xml:space="preserve">1208</w:t>
            </w:r>
          </w:p>
          <w:p>
            <w:pPr>
              <w:pStyle w:val="0"/>
            </w:pPr>
            <w:r>
              <w:rPr>
                <w:sz w:val="20"/>
              </w:rPr>
              <w:t xml:space="preserve">1302</w:t>
            </w:r>
          </w:p>
          <w:p>
            <w:pPr>
              <w:pStyle w:val="0"/>
            </w:pPr>
            <w:r>
              <w:rPr>
                <w:sz w:val="20"/>
              </w:rPr>
              <w:t xml:space="preserve">1501-1516, 1518</w:t>
            </w:r>
          </w:p>
          <w:p>
            <w:pPr>
              <w:pStyle w:val="0"/>
            </w:pPr>
            <w:r>
              <w:rPr>
                <w:sz w:val="20"/>
              </w:rPr>
              <w:t xml:space="preserve">1701, 1702</w:t>
            </w:r>
          </w:p>
          <w:p>
            <w:pPr>
              <w:pStyle w:val="0"/>
            </w:pPr>
            <w:r>
              <w:rPr>
                <w:sz w:val="20"/>
              </w:rPr>
              <w:t xml:space="preserve">1803-1805</w:t>
            </w:r>
          </w:p>
          <w:p>
            <w:pPr>
              <w:pStyle w:val="0"/>
            </w:pPr>
            <w:r>
              <w:rPr>
                <w:sz w:val="20"/>
              </w:rPr>
              <w:t xml:space="preserve">1903</w:t>
            </w:r>
          </w:p>
          <w:p>
            <w:pPr>
              <w:pStyle w:val="0"/>
            </w:pPr>
            <w:r>
              <w:rPr>
                <w:sz w:val="20"/>
              </w:rPr>
              <w:t xml:space="preserve">2102</w:t>
            </w:r>
          </w:p>
          <w:p>
            <w:pPr>
              <w:pStyle w:val="0"/>
            </w:pPr>
            <w:r>
              <w:rPr>
                <w:sz w:val="20"/>
              </w:rPr>
              <w:t xml:space="preserve">2201, 2209</w:t>
            </w:r>
          </w:p>
          <w:p>
            <w:pPr>
              <w:pStyle w:val="0"/>
            </w:pPr>
            <w:r>
              <w:rPr>
                <w:sz w:val="20"/>
              </w:rPr>
              <w:t xml:space="preserve">2403</w:t>
            </w:r>
          </w:p>
          <w:p>
            <w:pPr>
              <w:pStyle w:val="0"/>
            </w:pPr>
            <w:r>
              <w:rPr>
                <w:sz w:val="20"/>
              </w:rPr>
              <w:t xml:space="preserve">2801, 2802, 280410-280440, 280469-280480, 280511-280519, 280540, 2806, 2808, 2810-2813, 2816, 2817, 281810, 2819-2826, 282710, 282731-282760, 2828-2832, 283319-283340, 2834, 2835, 2837-2843, 2847-2853</w:t>
            </w:r>
          </w:p>
          <w:p>
            <w:pPr>
              <w:pStyle w:val="0"/>
            </w:pPr>
            <w:r>
              <w:rPr>
                <w:sz w:val="20"/>
              </w:rPr>
              <w:t xml:space="preserve">2904, 2906, 2908, 2911-2914, 2918-2927, 2929-2931, 2940, 2942</w:t>
            </w:r>
          </w:p>
          <w:p>
            <w:pPr>
              <w:pStyle w:val="0"/>
            </w:pPr>
            <w:r>
              <w:rPr>
                <w:sz w:val="20"/>
              </w:rPr>
              <w:t xml:space="preserve">3201-3203, 3206</w:t>
            </w:r>
          </w:p>
          <w:p>
            <w:pPr>
              <w:pStyle w:val="0"/>
            </w:pPr>
            <w:r>
              <w:rPr>
                <w:sz w:val="20"/>
              </w:rPr>
              <w:t xml:space="preserve">3301</w:t>
            </w:r>
          </w:p>
          <w:p>
            <w:pPr>
              <w:pStyle w:val="0"/>
            </w:pPr>
            <w:r>
              <w:rPr>
                <w:sz w:val="20"/>
              </w:rPr>
              <w:t xml:space="preserve">3401, 3406</w:t>
            </w:r>
          </w:p>
          <w:p>
            <w:pPr>
              <w:pStyle w:val="0"/>
            </w:pPr>
            <w:r>
              <w:rPr>
                <w:sz w:val="20"/>
              </w:rPr>
              <w:t xml:space="preserve">3501-3505</w:t>
            </w:r>
          </w:p>
          <w:p>
            <w:pPr>
              <w:pStyle w:val="0"/>
            </w:pPr>
            <w:r>
              <w:rPr>
                <w:sz w:val="20"/>
              </w:rPr>
              <w:t xml:space="preserve">3601, 3602, 3605, 3606</w:t>
            </w:r>
          </w:p>
          <w:p>
            <w:pPr>
              <w:pStyle w:val="0"/>
            </w:pPr>
            <w:r>
              <w:rPr>
                <w:sz w:val="20"/>
              </w:rPr>
              <w:t xml:space="preserve">3801, 3802, 3805, 3806, 3816, 3817, 3820, 3823, 382410, 382440, 382460-382490, 3826 3901-3914, 3916, 3917, 3919-3921</w:t>
            </w:r>
          </w:p>
          <w:p>
            <w:pPr>
              <w:pStyle w:val="0"/>
            </w:pPr>
            <w:r>
              <w:rPr>
                <w:sz w:val="20"/>
              </w:rPr>
              <w:t xml:space="preserve">4002, 4005-4009, 4012, 4017 4409-4418</w:t>
            </w:r>
          </w:p>
          <w:p>
            <w:pPr>
              <w:pStyle w:val="0"/>
            </w:pPr>
            <w:r>
              <w:rPr>
                <w:sz w:val="20"/>
              </w:rPr>
              <w:t xml:space="preserve">4503, 4504</w:t>
            </w:r>
          </w:p>
          <w:p>
            <w:pPr>
              <w:pStyle w:val="0"/>
            </w:pPr>
            <w:r>
              <w:rPr>
                <w:sz w:val="20"/>
              </w:rPr>
              <w:t xml:space="preserve">4702-4705</w:t>
            </w:r>
          </w:p>
          <w:p>
            <w:pPr>
              <w:pStyle w:val="0"/>
            </w:pPr>
            <w:r>
              <w:rPr>
                <w:sz w:val="20"/>
              </w:rPr>
              <w:t xml:space="preserve">4801-4811</w:t>
            </w:r>
          </w:p>
          <w:p>
            <w:pPr>
              <w:pStyle w:val="0"/>
            </w:pPr>
            <w:r>
              <w:rPr>
                <w:sz w:val="20"/>
              </w:rPr>
              <w:t xml:space="preserve">5004-5007</w:t>
            </w:r>
          </w:p>
          <w:p>
            <w:pPr>
              <w:pStyle w:val="0"/>
            </w:pPr>
            <w:r>
              <w:rPr>
                <w:sz w:val="20"/>
              </w:rPr>
              <w:t xml:space="preserve">5106-5113</w:t>
            </w:r>
          </w:p>
          <w:p>
            <w:pPr>
              <w:pStyle w:val="0"/>
            </w:pPr>
            <w:r>
              <w:rPr>
                <w:sz w:val="20"/>
              </w:rPr>
              <w:t xml:space="preserve">5204-5212</w:t>
            </w:r>
          </w:p>
          <w:p>
            <w:pPr>
              <w:pStyle w:val="0"/>
            </w:pPr>
            <w:r>
              <w:rPr>
                <w:sz w:val="20"/>
              </w:rPr>
              <w:t xml:space="preserve">5306-5311</w:t>
            </w:r>
          </w:p>
          <w:p>
            <w:pPr>
              <w:pStyle w:val="0"/>
            </w:pPr>
            <w:r>
              <w:rPr>
                <w:sz w:val="20"/>
              </w:rPr>
              <w:t xml:space="preserve">54</w:t>
            </w:r>
          </w:p>
          <w:p>
            <w:pPr>
              <w:pStyle w:val="0"/>
            </w:pPr>
            <w:r>
              <w:rPr>
                <w:sz w:val="20"/>
              </w:rPr>
              <w:t xml:space="preserve">5501-5504, 5506-5516 5601-5607</w:t>
            </w:r>
          </w:p>
          <w:p>
            <w:pPr>
              <w:pStyle w:val="0"/>
            </w:pPr>
            <w:r>
              <w:rPr>
                <w:sz w:val="20"/>
              </w:rPr>
              <w:t xml:space="preserve">5801-5804, 5806, 5808, 5809, 5811</w:t>
            </w:r>
          </w:p>
          <w:p>
            <w:pPr>
              <w:pStyle w:val="0"/>
            </w:pPr>
            <w:r>
              <w:rPr>
                <w:sz w:val="20"/>
              </w:rPr>
              <w:t xml:space="preserve">60</w:t>
            </w:r>
          </w:p>
          <w:p>
            <w:pPr>
              <w:pStyle w:val="0"/>
            </w:pPr>
            <w:r>
              <w:rPr>
                <w:sz w:val="20"/>
              </w:rPr>
              <w:t xml:space="preserve">6701, 6703</w:t>
            </w:r>
          </w:p>
          <w:p>
            <w:pPr>
              <w:pStyle w:val="0"/>
            </w:pPr>
            <w:r>
              <w:rPr>
                <w:sz w:val="20"/>
              </w:rPr>
              <w:t xml:space="preserve">6804-6812</w:t>
            </w:r>
          </w:p>
          <w:p>
            <w:pPr>
              <w:pStyle w:val="0"/>
            </w:pPr>
            <w:r>
              <w:rPr>
                <w:sz w:val="20"/>
              </w:rPr>
              <w:t xml:space="preserve">6901, 6902, 6905-6908</w:t>
            </w:r>
          </w:p>
          <w:p>
            <w:pPr>
              <w:pStyle w:val="0"/>
            </w:pPr>
            <w:r>
              <w:rPr>
                <w:sz w:val="20"/>
              </w:rPr>
              <w:t xml:space="preserve">7002, 7004, 7006-7008, 7016, 7019</w:t>
            </w:r>
          </w:p>
          <w:p>
            <w:pPr>
              <w:pStyle w:val="0"/>
            </w:pPr>
            <w:r>
              <w:rPr>
                <w:sz w:val="20"/>
              </w:rPr>
              <w:t xml:space="preserve">710399</w:t>
            </w:r>
          </w:p>
          <w:p>
            <w:pPr>
              <w:pStyle w:val="0"/>
            </w:pPr>
            <w:r>
              <w:rPr>
                <w:sz w:val="20"/>
              </w:rPr>
              <w:t xml:space="preserve">7208-7229</w:t>
            </w:r>
          </w:p>
          <w:p>
            <w:pPr>
              <w:pStyle w:val="0"/>
            </w:pPr>
            <w:r>
              <w:rPr>
                <w:sz w:val="20"/>
              </w:rPr>
              <w:t xml:space="preserve">7301-7307, 7312-7314, 7317 7405-7411, 7413</w:t>
            </w:r>
          </w:p>
          <w:p>
            <w:pPr>
              <w:pStyle w:val="0"/>
            </w:pPr>
            <w:r>
              <w:rPr>
                <w:sz w:val="20"/>
              </w:rPr>
              <w:t xml:space="preserve">7504-7507</w:t>
            </w:r>
          </w:p>
          <w:p>
            <w:pPr>
              <w:pStyle w:val="0"/>
            </w:pPr>
            <w:r>
              <w:rPr>
                <w:sz w:val="20"/>
              </w:rPr>
              <w:t xml:space="preserve">7603-7608, 7614</w:t>
            </w:r>
          </w:p>
          <w:p>
            <w:pPr>
              <w:pStyle w:val="0"/>
            </w:pPr>
            <w:r>
              <w:rPr>
                <w:sz w:val="20"/>
              </w:rPr>
              <w:t xml:space="preserve">7804</w:t>
            </w:r>
          </w:p>
          <w:p>
            <w:pPr>
              <w:pStyle w:val="0"/>
            </w:pPr>
            <w:r>
              <w:rPr>
                <w:sz w:val="20"/>
              </w:rPr>
              <w:t xml:space="preserve">7903-7905</w:t>
            </w:r>
          </w:p>
          <w:p>
            <w:pPr>
              <w:pStyle w:val="0"/>
            </w:pPr>
            <w:r>
              <w:rPr>
                <w:sz w:val="20"/>
              </w:rPr>
              <w:t xml:space="preserve">8003</w:t>
            </w:r>
          </w:p>
          <w:p>
            <w:pPr>
              <w:pStyle w:val="0"/>
            </w:pPr>
            <w:r>
              <w:rPr>
                <w:sz w:val="20"/>
              </w:rPr>
              <w:t xml:space="preserve">810110-810197, 810210-810297, 810411-810430, 810530, 8106, 8107, 810820, 810830, 8110, 8111</w:t>
            </w:r>
          </w:p>
        </w:tc>
        <w:tc>
          <w:tcPr>
            <w:tcW w:w="3022" w:type="dxa"/>
          </w:tcPr>
          <w:p>
            <w:pPr>
              <w:pStyle w:val="0"/>
            </w:pPr>
            <w:r>
              <w:rPr>
                <w:sz w:val="20"/>
              </w:rPr>
              <w:t xml:space="preserve">0405, 0406</w:t>
            </w:r>
          </w:p>
          <w:p>
            <w:pPr>
              <w:pStyle w:val="0"/>
            </w:pPr>
            <w:r>
              <w:rPr>
                <w:sz w:val="20"/>
              </w:rPr>
              <w:t xml:space="preserve">1517</w:t>
            </w:r>
          </w:p>
          <w:p>
            <w:pPr>
              <w:pStyle w:val="0"/>
            </w:pPr>
            <w:r>
              <w:rPr>
                <w:sz w:val="20"/>
              </w:rPr>
              <w:t xml:space="preserve">16</w:t>
            </w:r>
          </w:p>
          <w:p>
            <w:pPr>
              <w:pStyle w:val="0"/>
            </w:pPr>
            <w:r>
              <w:rPr>
                <w:sz w:val="20"/>
              </w:rPr>
              <w:t xml:space="preserve">1704</w:t>
            </w:r>
          </w:p>
          <w:p>
            <w:pPr>
              <w:pStyle w:val="0"/>
            </w:pPr>
            <w:r>
              <w:rPr>
                <w:sz w:val="20"/>
              </w:rPr>
              <w:t xml:space="preserve">1806</w:t>
            </w:r>
          </w:p>
          <w:p>
            <w:pPr>
              <w:pStyle w:val="0"/>
            </w:pPr>
            <w:r>
              <w:rPr>
                <w:sz w:val="20"/>
              </w:rPr>
              <w:t xml:space="preserve">1901, 1902, 1904, 1905</w:t>
            </w:r>
          </w:p>
          <w:p>
            <w:pPr>
              <w:pStyle w:val="0"/>
            </w:pPr>
            <w:r>
              <w:rPr>
                <w:sz w:val="20"/>
              </w:rPr>
              <w:t xml:space="preserve">20</w:t>
            </w:r>
          </w:p>
          <w:p>
            <w:pPr>
              <w:pStyle w:val="0"/>
            </w:pPr>
            <w:r>
              <w:rPr>
                <w:sz w:val="20"/>
              </w:rPr>
              <w:t xml:space="preserve">2101, 2103-2106</w:t>
            </w:r>
          </w:p>
          <w:p>
            <w:pPr>
              <w:pStyle w:val="0"/>
            </w:pPr>
            <w:r>
              <w:rPr>
                <w:sz w:val="20"/>
              </w:rPr>
              <w:t xml:space="preserve">2202-2206, 2208</w:t>
            </w:r>
          </w:p>
          <w:p>
            <w:pPr>
              <w:pStyle w:val="0"/>
            </w:pPr>
            <w:r>
              <w:rPr>
                <w:sz w:val="20"/>
              </w:rPr>
              <w:t xml:space="preserve">2309</w:t>
            </w:r>
          </w:p>
          <w:p>
            <w:pPr>
              <w:pStyle w:val="0"/>
            </w:pPr>
            <w:r>
              <w:rPr>
                <w:sz w:val="20"/>
              </w:rPr>
              <w:t xml:space="preserve">2402</w:t>
            </w:r>
          </w:p>
          <w:p>
            <w:pPr>
              <w:pStyle w:val="0"/>
            </w:pPr>
            <w:r>
              <w:rPr>
                <w:sz w:val="20"/>
              </w:rPr>
              <w:t xml:space="preserve">280450, 280461, 280490, 280530, 2844-2846</w:t>
            </w:r>
          </w:p>
          <w:p>
            <w:pPr>
              <w:pStyle w:val="0"/>
            </w:pPr>
            <w:r>
              <w:rPr>
                <w:sz w:val="20"/>
              </w:rPr>
              <w:t xml:space="preserve">2928, 2932-2939, 2941</w:t>
            </w:r>
          </w:p>
          <w:p>
            <w:pPr>
              <w:pStyle w:val="0"/>
            </w:pPr>
            <w:r>
              <w:rPr>
                <w:sz w:val="20"/>
              </w:rPr>
              <w:t xml:space="preserve">30</w:t>
            </w:r>
          </w:p>
          <w:p>
            <w:pPr>
              <w:pStyle w:val="0"/>
            </w:pPr>
            <w:r>
              <w:rPr>
                <w:sz w:val="20"/>
              </w:rPr>
              <w:t xml:space="preserve">3204, 3205, 3207-3215 3302-3307</w:t>
            </w:r>
          </w:p>
          <w:p>
            <w:pPr>
              <w:pStyle w:val="0"/>
            </w:pPr>
            <w:r>
              <w:rPr>
                <w:sz w:val="20"/>
              </w:rPr>
              <w:t xml:space="preserve">3402-3405, 3407</w:t>
            </w:r>
          </w:p>
          <w:p>
            <w:pPr>
              <w:pStyle w:val="0"/>
            </w:pPr>
            <w:r>
              <w:rPr>
                <w:sz w:val="20"/>
              </w:rPr>
              <w:t xml:space="preserve">3506, 3507</w:t>
            </w:r>
          </w:p>
          <w:p>
            <w:pPr>
              <w:pStyle w:val="0"/>
            </w:pPr>
            <w:r>
              <w:rPr>
                <w:sz w:val="20"/>
              </w:rPr>
              <w:t xml:space="preserve">3603, 3604</w:t>
            </w:r>
          </w:p>
          <w:p>
            <w:pPr>
              <w:pStyle w:val="0"/>
            </w:pPr>
            <w:r>
              <w:rPr>
                <w:sz w:val="20"/>
              </w:rPr>
              <w:t xml:space="preserve">37</w:t>
            </w:r>
          </w:p>
          <w:p>
            <w:pPr>
              <w:pStyle w:val="0"/>
            </w:pPr>
            <w:r>
              <w:rPr>
                <w:sz w:val="20"/>
              </w:rPr>
              <w:t xml:space="preserve">3808-3815, 3818, 3819, 3821, 3822, 382430</w:t>
            </w:r>
          </w:p>
          <w:p>
            <w:pPr>
              <w:pStyle w:val="0"/>
            </w:pPr>
            <w:r>
              <w:rPr>
                <w:sz w:val="20"/>
              </w:rPr>
              <w:t xml:space="preserve">3918, 3922-3926</w:t>
            </w:r>
          </w:p>
          <w:p>
            <w:pPr>
              <w:pStyle w:val="0"/>
            </w:pPr>
            <w:r>
              <w:rPr>
                <w:sz w:val="20"/>
              </w:rPr>
              <w:t xml:space="preserve">4010, 4011, 4013-4016</w:t>
            </w:r>
          </w:p>
          <w:p>
            <w:pPr>
              <w:pStyle w:val="0"/>
            </w:pPr>
            <w:r>
              <w:rPr>
                <w:sz w:val="20"/>
              </w:rPr>
              <w:t xml:space="preserve">42</w:t>
            </w:r>
          </w:p>
          <w:p>
            <w:pPr>
              <w:pStyle w:val="0"/>
            </w:pPr>
            <w:r>
              <w:rPr>
                <w:sz w:val="20"/>
              </w:rPr>
              <w:t xml:space="preserve">4303, 4304</w:t>
            </w:r>
          </w:p>
          <w:p>
            <w:pPr>
              <w:pStyle w:val="0"/>
            </w:pPr>
            <w:r>
              <w:rPr>
                <w:sz w:val="20"/>
              </w:rPr>
              <w:t xml:space="preserve">4419-4421</w:t>
            </w:r>
          </w:p>
          <w:p>
            <w:pPr>
              <w:pStyle w:val="0"/>
            </w:pPr>
            <w:r>
              <w:rPr>
                <w:sz w:val="20"/>
              </w:rPr>
              <w:t xml:space="preserve">46</w:t>
            </w:r>
          </w:p>
          <w:p>
            <w:pPr>
              <w:pStyle w:val="0"/>
            </w:pPr>
            <w:r>
              <w:rPr>
                <w:sz w:val="20"/>
              </w:rPr>
              <w:t xml:space="preserve">4812-4823</w:t>
            </w:r>
          </w:p>
          <w:p>
            <w:pPr>
              <w:pStyle w:val="0"/>
            </w:pPr>
            <w:r>
              <w:rPr>
                <w:sz w:val="20"/>
              </w:rPr>
              <w:t xml:space="preserve">49</w:t>
            </w:r>
          </w:p>
          <w:p>
            <w:pPr>
              <w:pStyle w:val="0"/>
            </w:pPr>
            <w:r>
              <w:rPr>
                <w:sz w:val="20"/>
              </w:rPr>
              <w:t xml:space="preserve">5608, 5609</w:t>
            </w:r>
          </w:p>
          <w:p>
            <w:pPr>
              <w:pStyle w:val="0"/>
            </w:pPr>
            <w:r>
              <w:rPr>
                <w:sz w:val="20"/>
              </w:rPr>
              <w:t xml:space="preserve">57</w:t>
            </w:r>
          </w:p>
          <w:p>
            <w:pPr>
              <w:pStyle w:val="0"/>
            </w:pPr>
            <w:r>
              <w:rPr>
                <w:sz w:val="20"/>
              </w:rPr>
              <w:t xml:space="preserve">5805, 5807, 5810</w:t>
            </w:r>
          </w:p>
          <w:p>
            <w:pPr>
              <w:pStyle w:val="0"/>
            </w:pPr>
            <w:r>
              <w:rPr>
                <w:sz w:val="20"/>
              </w:rPr>
              <w:t xml:space="preserve">59</w:t>
            </w:r>
          </w:p>
          <w:p>
            <w:pPr>
              <w:pStyle w:val="0"/>
            </w:pPr>
            <w:r>
              <w:rPr>
                <w:sz w:val="20"/>
              </w:rPr>
              <w:t xml:space="preserve">61</w:t>
            </w:r>
          </w:p>
          <w:p>
            <w:pPr>
              <w:pStyle w:val="0"/>
            </w:pPr>
            <w:r>
              <w:rPr>
                <w:sz w:val="20"/>
              </w:rPr>
              <w:t xml:space="preserve">62</w:t>
            </w:r>
          </w:p>
          <w:p>
            <w:pPr>
              <w:pStyle w:val="0"/>
            </w:pPr>
            <w:r>
              <w:rPr>
                <w:sz w:val="20"/>
              </w:rPr>
              <w:t xml:space="preserve">6301-6308</w:t>
            </w:r>
          </w:p>
          <w:p>
            <w:pPr>
              <w:pStyle w:val="0"/>
            </w:pPr>
            <w:r>
              <w:rPr>
                <w:sz w:val="20"/>
              </w:rPr>
              <w:t xml:space="preserve">64-66</w:t>
            </w:r>
          </w:p>
          <w:p>
            <w:pPr>
              <w:pStyle w:val="0"/>
            </w:pPr>
            <w:r>
              <w:rPr>
                <w:sz w:val="20"/>
              </w:rPr>
              <w:t xml:space="preserve">6702, 6704</w:t>
            </w:r>
          </w:p>
          <w:p>
            <w:pPr>
              <w:pStyle w:val="0"/>
            </w:pPr>
            <w:r>
              <w:rPr>
                <w:sz w:val="20"/>
              </w:rPr>
              <w:t xml:space="preserve">6813, 6815</w:t>
            </w:r>
          </w:p>
          <w:p>
            <w:pPr>
              <w:pStyle w:val="0"/>
            </w:pPr>
            <w:r>
              <w:rPr>
                <w:sz w:val="20"/>
              </w:rPr>
              <w:t xml:space="preserve">6903, 6909-6914</w:t>
            </w:r>
          </w:p>
          <w:p>
            <w:pPr>
              <w:pStyle w:val="0"/>
            </w:pPr>
            <w:r>
              <w:rPr>
                <w:sz w:val="20"/>
              </w:rPr>
              <w:t xml:space="preserve">7009-7015, 7017, 7018, 7020</w:t>
            </w:r>
          </w:p>
          <w:p>
            <w:pPr>
              <w:pStyle w:val="0"/>
            </w:pPr>
            <w:r>
              <w:rPr>
                <w:sz w:val="20"/>
              </w:rPr>
              <w:t xml:space="preserve">710122, 710239, 710391, 7104, 7113-7118</w:t>
            </w:r>
          </w:p>
          <w:p>
            <w:pPr>
              <w:pStyle w:val="0"/>
            </w:pPr>
            <w:r>
              <w:rPr>
                <w:sz w:val="20"/>
              </w:rPr>
              <w:t xml:space="preserve">7308-7311, 7315, 7316, 7318-7326</w:t>
            </w:r>
          </w:p>
          <w:p>
            <w:pPr>
              <w:pStyle w:val="0"/>
            </w:pPr>
            <w:r>
              <w:rPr>
                <w:sz w:val="20"/>
              </w:rPr>
              <w:t xml:space="preserve">7412, 7415-7419</w:t>
            </w:r>
          </w:p>
          <w:p>
            <w:pPr>
              <w:pStyle w:val="0"/>
            </w:pPr>
            <w:r>
              <w:rPr>
                <w:sz w:val="20"/>
              </w:rPr>
              <w:t xml:space="preserve">7508</w:t>
            </w:r>
          </w:p>
          <w:p>
            <w:pPr>
              <w:pStyle w:val="0"/>
            </w:pPr>
            <w:r>
              <w:rPr>
                <w:sz w:val="20"/>
              </w:rPr>
              <w:t xml:space="preserve">7609-7613, 7615, 7616</w:t>
            </w:r>
          </w:p>
          <w:p>
            <w:pPr>
              <w:pStyle w:val="0"/>
            </w:pPr>
            <w:r>
              <w:rPr>
                <w:sz w:val="20"/>
              </w:rPr>
              <w:t xml:space="preserve">7806</w:t>
            </w:r>
          </w:p>
          <w:p>
            <w:pPr>
              <w:pStyle w:val="0"/>
            </w:pPr>
            <w:r>
              <w:rPr>
                <w:sz w:val="20"/>
              </w:rPr>
              <w:t xml:space="preserve">7907</w:t>
            </w:r>
          </w:p>
          <w:p>
            <w:pPr>
              <w:pStyle w:val="0"/>
            </w:pPr>
            <w:r>
              <w:rPr>
                <w:sz w:val="20"/>
              </w:rPr>
              <w:t xml:space="preserve">8007</w:t>
            </w:r>
          </w:p>
          <w:p>
            <w:pPr>
              <w:pStyle w:val="0"/>
            </w:pPr>
            <w:r>
              <w:rPr>
                <w:sz w:val="20"/>
              </w:rPr>
              <w:t xml:space="preserve">810199, 810299, 8103, 810490, 810590, 810890, 8109, 8112, 8113</w:t>
            </w:r>
          </w:p>
          <w:p>
            <w:pPr>
              <w:pStyle w:val="0"/>
            </w:pPr>
            <w:r>
              <w:rPr>
                <w:sz w:val="20"/>
              </w:rPr>
              <w:t xml:space="preserve">82-88</w:t>
            </w:r>
          </w:p>
          <w:p>
            <w:pPr>
              <w:pStyle w:val="0"/>
            </w:pPr>
            <w:r>
              <w:rPr>
                <w:sz w:val="20"/>
              </w:rPr>
              <w:t xml:space="preserve">8901-8907</w:t>
            </w:r>
          </w:p>
          <w:p>
            <w:pPr>
              <w:pStyle w:val="0"/>
            </w:pPr>
            <w:r>
              <w:rPr>
                <w:sz w:val="20"/>
              </w:rPr>
              <w:t xml:space="preserve">90-97</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both"/>
      </w:pPr>
      <w:r>
        <w:rPr>
          <w:sz w:val="20"/>
        </w:rPr>
      </w:r>
    </w:p>
    <w:bookmarkStart w:id="5361" w:name="P5361"/>
    <w:bookmarkEnd w:id="5361"/>
    <w:p>
      <w:pPr>
        <w:pStyle w:val="2"/>
        <w:jc w:val="center"/>
      </w:pPr>
      <w:r>
        <w:rPr>
          <w:sz w:val="20"/>
        </w:rPr>
        <w:t xml:space="preserve">ДОКУМЕНТЫ</w:t>
      </w:r>
    </w:p>
    <w:p>
      <w:pPr>
        <w:pStyle w:val="2"/>
        <w:jc w:val="center"/>
      </w:pPr>
      <w:r>
        <w:rPr>
          <w:sz w:val="20"/>
        </w:rPr>
        <w:t xml:space="preserve">СТРАТЕГИЧЕСКОГО ПЛАНИРОВАНИЯ РОССИЙСКОЙ ФЕДЕРАЦИИ И ДРУГИЕ</w:t>
      </w:r>
    </w:p>
    <w:p>
      <w:pPr>
        <w:pStyle w:val="2"/>
        <w:jc w:val="center"/>
      </w:pPr>
      <w:r>
        <w:rPr>
          <w:sz w:val="20"/>
        </w:rPr>
        <w:t xml:space="preserve">НОРМАТИВНЫЕ ПРАВОВЫЕ И ПРАВОВЫЕ АКТЫ РОССИЙСКОЙ ФЕДЕРАЦИИ,</w:t>
      </w:r>
    </w:p>
    <w:p>
      <w:pPr>
        <w:pStyle w:val="2"/>
        <w:jc w:val="center"/>
      </w:pPr>
      <w:r>
        <w:rPr>
          <w:sz w:val="20"/>
        </w:rPr>
        <w:t xml:space="preserve">УЧТЕННЫЕ ПРИ РАЗРАБОТКЕ СТРАТЕГИИ</w:t>
      </w:r>
    </w:p>
    <w:p>
      <w:pPr>
        <w:pStyle w:val="0"/>
        <w:jc w:val="both"/>
      </w:pPr>
      <w:r>
        <w:rPr>
          <w:sz w:val="20"/>
        </w:rPr>
      </w:r>
    </w:p>
    <w:p>
      <w:pPr>
        <w:pStyle w:val="0"/>
        <w:ind w:firstLine="540"/>
        <w:jc w:val="both"/>
      </w:pPr>
      <w:r>
        <w:rPr>
          <w:sz w:val="20"/>
        </w:rPr>
        <w:t xml:space="preserve">1. Водная </w:t>
      </w:r>
      <w:hyperlink w:history="0" r:id="rId72" w:tooltip="Распоряжение Правительства РФ от 27.08.2009 N 1235-р (ред. от 17.04.2012) &lt;Об утверждении Водной стратегии Российской Федерации на период до 2020 года&gt; {КонсультантПлюс}">
        <w:r>
          <w:rPr>
            <w:sz w:val="20"/>
            <w:color w:val="0000ff"/>
          </w:rPr>
          <w:t xml:space="preserve">стратегия</w:t>
        </w:r>
      </w:hyperlink>
      <w:r>
        <w:rPr>
          <w:sz w:val="20"/>
        </w:rPr>
        <w:t xml:space="preserve"> Российской Федерации на период до 2020 года (распоряжение Правительства Российской Федерации от 27.08.2009 N 1235-р).</w:t>
      </w:r>
    </w:p>
    <w:p>
      <w:pPr>
        <w:pStyle w:val="0"/>
        <w:spacing w:before="200" w:line-rule="auto"/>
        <w:ind w:firstLine="540"/>
        <w:jc w:val="both"/>
      </w:pPr>
      <w:r>
        <w:rPr>
          <w:sz w:val="20"/>
        </w:rPr>
        <w:t xml:space="preserve">2. Государственная </w:t>
      </w:r>
      <w:hyperlink w:history="0" r:id="rId73" w:tooltip="Распоряжение Правительства РФ от 20.10.2016 N 2203-р &lt;Об утверждении Государственной стратегии противодействия распространению ВИЧ-инфекции в Российской Федерации на период до 2020 года и дальнейшую перспективу&gt; {КонсультантПлюс}">
        <w:r>
          <w:rPr>
            <w:sz w:val="20"/>
            <w:color w:val="0000ff"/>
          </w:rPr>
          <w:t xml:space="preserve">стратегия</w:t>
        </w:r>
      </w:hyperlink>
      <w:r>
        <w:rPr>
          <w:sz w:val="20"/>
        </w:rPr>
        <w:t xml:space="preserve"> противодействия распространению ВИЧ-инфекции в Российской Федерации на период до 2020 года и дальнейшую перспективу (распоряжение Правительства Российской Федерации от 20.10.2016 N 2203-р).</w:t>
      </w:r>
    </w:p>
    <w:p>
      <w:pPr>
        <w:pStyle w:val="0"/>
        <w:spacing w:before="200" w:line-rule="auto"/>
        <w:ind w:firstLine="540"/>
        <w:jc w:val="both"/>
      </w:pPr>
      <w:r>
        <w:rPr>
          <w:sz w:val="20"/>
        </w:rPr>
        <w:t xml:space="preserve">3. </w:t>
      </w:r>
      <w:hyperlink w:history="0" r:id="rId74" w:tooltip="Указ Президента РФ от 21.01.2020 N 20 &quot;Об утверждении Доктрины продовольственной безопасности Российской Федерации&quot; {КонсультантПлюс}">
        <w:r>
          <w:rPr>
            <w:sz w:val="20"/>
            <w:color w:val="0000ff"/>
          </w:rPr>
          <w:t xml:space="preserve">Доктрина</w:t>
        </w:r>
      </w:hyperlink>
      <w:r>
        <w:rPr>
          <w:sz w:val="20"/>
        </w:rPr>
        <w:t xml:space="preserve"> продовольственной безопасности Российской Федерации (Указ Президента Российской Федерации от 21.01.2020 N 20).</w:t>
      </w:r>
    </w:p>
    <w:p>
      <w:pPr>
        <w:pStyle w:val="0"/>
        <w:spacing w:before="200" w:line-rule="auto"/>
        <w:ind w:firstLine="540"/>
        <w:jc w:val="both"/>
      </w:pPr>
      <w:r>
        <w:rPr>
          <w:sz w:val="20"/>
        </w:rPr>
        <w:t xml:space="preserve">4. Комплексная </w:t>
      </w:r>
      <w:hyperlink w:history="0" r:id="rId75" w:tooltip="&quot;ВП-П8-2322. Комплексная программа развития биотехнологий в Российской Федерации на период до 2020 года&quot; (утв. Правительством РФ 24.04.2012 N 1853п-П8) {КонсультантПлюс}">
        <w:r>
          <w:rPr>
            <w:sz w:val="20"/>
            <w:color w:val="0000ff"/>
          </w:rPr>
          <w:t xml:space="preserve">программа</w:t>
        </w:r>
      </w:hyperlink>
      <w:r>
        <w:rPr>
          <w:sz w:val="20"/>
        </w:rPr>
        <w:t xml:space="preserve"> развития биотехнологий в Российской Федерации на период до 2020 года (утверждена Правительством Российской Федерации 24.04.2012 N 1853п-П8).</w:t>
      </w:r>
    </w:p>
    <w:p>
      <w:pPr>
        <w:pStyle w:val="0"/>
        <w:spacing w:before="200" w:line-rule="auto"/>
        <w:ind w:firstLine="540"/>
        <w:jc w:val="both"/>
      </w:pPr>
      <w:r>
        <w:rPr>
          <w:sz w:val="20"/>
        </w:rPr>
        <w:t xml:space="preserve">5. Комплексная </w:t>
      </w:r>
      <w:hyperlink w:history="0" r:id="rId76" w:tooltip="Приказ Минприроды России от 14.08.2013 N 298 &quot;Об утверждении комплексной стратегии обращения с твердыми коммунальными (бытовыми) отходами в Российской Федерации&quot; {КонсультантПлюс}">
        <w:r>
          <w:rPr>
            <w:sz w:val="20"/>
            <w:color w:val="0000ff"/>
          </w:rPr>
          <w:t xml:space="preserve">стратегия</w:t>
        </w:r>
      </w:hyperlink>
      <w:r>
        <w:rPr>
          <w:sz w:val="20"/>
        </w:rPr>
        <w:t xml:space="preserve"> обращения с твердыми коммунальными (бытовыми) отходами в Российской Федерации (приказ Минприроды России от 14.08.2013 N 298).</w:t>
      </w:r>
    </w:p>
    <w:p>
      <w:pPr>
        <w:pStyle w:val="0"/>
        <w:spacing w:before="200" w:line-rule="auto"/>
        <w:ind w:firstLine="540"/>
        <w:jc w:val="both"/>
      </w:pPr>
      <w:r>
        <w:rPr>
          <w:sz w:val="20"/>
        </w:rPr>
        <w:t xml:space="preserve">6. </w:t>
      </w:r>
      <w:hyperlink w:history="0" r:id="rId77" w:tooltip="Указ Президента РФ от 31.10.2018 N 622 (ред. от 12.05.2023) &quot;О Концепции государственной миграционной политики Российской Федерации на 2019 - 2025 годы&quot; {КонсультантПлюс}">
        <w:r>
          <w:rPr>
            <w:sz w:val="20"/>
            <w:color w:val="0000ff"/>
          </w:rPr>
          <w:t xml:space="preserve">Концепция</w:t>
        </w:r>
      </w:hyperlink>
      <w:r>
        <w:rPr>
          <w:sz w:val="20"/>
        </w:rPr>
        <w:t xml:space="preserve"> государственной миграционной политики Российской Федерации на 2019 - 2025 годы (Указ Президента Российской Федерации от 31.10.2018 N 622).</w:t>
      </w:r>
    </w:p>
    <w:p>
      <w:pPr>
        <w:pStyle w:val="0"/>
        <w:spacing w:before="200" w:line-rule="auto"/>
        <w:ind w:firstLine="540"/>
        <w:jc w:val="both"/>
      </w:pPr>
      <w:r>
        <w:rPr>
          <w:sz w:val="20"/>
        </w:rPr>
        <w:t xml:space="preserve">7. </w:t>
      </w:r>
      <w:hyperlink w:history="0" r:id="rId78" w:tooltip="Указ Президента РФ от 09.10.2007 N 1351 (ред. от 01.07.2014) &quot;Об утверждении Концепции демографической политики Российской Федерации на период до 2025 года&quot; {КонсультантПлюс}">
        <w:r>
          <w:rPr>
            <w:sz w:val="20"/>
            <w:color w:val="0000ff"/>
          </w:rPr>
          <w:t xml:space="preserve">Концепция</w:t>
        </w:r>
      </w:hyperlink>
      <w:r>
        <w:rPr>
          <w:sz w:val="20"/>
        </w:rPr>
        <w:t xml:space="preserve"> демографической политики Российской Федерации на период до 2025 года (Указ Президента Российской Федерации от 09.10.2007 N 1351).</w:t>
      </w:r>
    </w:p>
    <w:p>
      <w:pPr>
        <w:pStyle w:val="0"/>
        <w:spacing w:before="200" w:line-rule="auto"/>
        <w:ind w:firstLine="540"/>
        <w:jc w:val="both"/>
      </w:pPr>
      <w:r>
        <w:rPr>
          <w:sz w:val="20"/>
        </w:rPr>
        <w:t xml:space="preserve">8. </w:t>
      </w:r>
      <w:hyperlink w:history="0" r:id="rId79" w:tooltip="&quot;Концепция общенациональной системы выявления и развития молодых талантов&quot; (утв. Президентом РФ 03.04.2012 N Пр-827) {КонсультантПлюс}">
        <w:r>
          <w:rPr>
            <w:sz w:val="20"/>
            <w:color w:val="0000ff"/>
          </w:rPr>
          <w:t xml:space="preserve">Концепция</w:t>
        </w:r>
      </w:hyperlink>
      <w:r>
        <w:rPr>
          <w:sz w:val="20"/>
        </w:rPr>
        <w:t xml:space="preserve"> общенациональной системы выявления и развития молодых талантов (утверждена Президентом Российской Федерации 03.04.2012 N Пр-827).</w:t>
      </w:r>
    </w:p>
    <w:p>
      <w:pPr>
        <w:pStyle w:val="0"/>
        <w:spacing w:before="200" w:line-rule="auto"/>
        <w:ind w:firstLine="540"/>
        <w:jc w:val="both"/>
      </w:pPr>
      <w:r>
        <w:rPr>
          <w:sz w:val="20"/>
        </w:rPr>
        <w:t xml:space="preserve">9. </w:t>
      </w:r>
      <w:hyperlink w:history="0" r:id="rId80" w:tooltip="Распоряжение Правительства РФ от 22.03.2017 N 520-р (ред. от 18.03.2021) &lt;Об утверждении Концепции развития системы профилактики безнадзорности и правонарушений несовершеннолетних на период до 2025 года&gt; (вместе с &quot;Планом мероприятий на 2021 - 2025 годы по реализации Концепции развития системы профилактики безнадзорности и правонарушений несовершеннолетних на период до 2025 года&quot;) {КонсультантПлюс}">
        <w:r>
          <w:rPr>
            <w:sz w:val="20"/>
            <w:color w:val="0000ff"/>
          </w:rPr>
          <w:t xml:space="preserve">Концепция</w:t>
        </w:r>
      </w:hyperlink>
      <w:r>
        <w:rPr>
          <w:sz w:val="20"/>
        </w:rPr>
        <w:t xml:space="preserve"> развития системы профилактики безнадзорности и правонарушений несовершеннолетних на период до 2020 года (распоряжение Правительства Российской Федерации от 22.03.2017 N 520-р).</w:t>
      </w:r>
    </w:p>
    <w:p>
      <w:pPr>
        <w:pStyle w:val="0"/>
        <w:spacing w:before="200" w:line-rule="auto"/>
        <w:ind w:firstLine="540"/>
        <w:jc w:val="both"/>
      </w:pPr>
      <w:r>
        <w:rPr>
          <w:sz w:val="20"/>
        </w:rPr>
        <w:t xml:space="preserve">10. </w:t>
      </w:r>
      <w:hyperlink w:history="0" r:id="rId81" w:tooltip="Распоряжение Правительства РФ от 29.12.2014 N 2769-р (ред. от 18.10.2018) &lt;Об утверждении Концепции региональной информатизации&gt; {КонсультантПлюс}">
        <w:r>
          <w:rPr>
            <w:sz w:val="20"/>
            <w:color w:val="0000ff"/>
          </w:rPr>
          <w:t xml:space="preserve">Концепция</w:t>
        </w:r>
      </w:hyperlink>
      <w:r>
        <w:rPr>
          <w:sz w:val="20"/>
        </w:rPr>
        <w:t xml:space="preserve"> региональной информатизации (распоряжение Правительства Российской Федерации от 29.12.2014 N 2769-р).</w:t>
      </w:r>
    </w:p>
    <w:p>
      <w:pPr>
        <w:pStyle w:val="0"/>
        <w:spacing w:before="200" w:line-rule="auto"/>
        <w:ind w:firstLine="540"/>
        <w:jc w:val="both"/>
      </w:pPr>
      <w:r>
        <w:rPr>
          <w:sz w:val="20"/>
        </w:rPr>
        <w:t xml:space="preserve">11. Концепция Стратегии пространственного развития Российской Федерации до 2025 года (утверждена заместителем Председателя Правительства Российской Федерации Д.Н. Козаком 22.05.2017 N 3414п-П16).</w:t>
      </w:r>
    </w:p>
    <w:p>
      <w:pPr>
        <w:pStyle w:val="0"/>
        <w:spacing w:before="200" w:line-rule="auto"/>
        <w:ind w:firstLine="540"/>
        <w:jc w:val="both"/>
      </w:pPr>
      <w:r>
        <w:rPr>
          <w:sz w:val="20"/>
        </w:rPr>
        <w:t xml:space="preserve">12. </w:t>
      </w:r>
      <w:hyperlink w:history="0" r:id="rId82" w:tooltip="Распоряжение Правительства РФ от 04.02.2009 N 132-р &lt;О Концепции устойчивого развития коренных малочисленных народов Севера, Сибири и Дальнего Востока Российской Федерации&gt; {КонсультантПлюс}">
        <w:r>
          <w:rPr>
            <w:sz w:val="20"/>
            <w:color w:val="0000ff"/>
          </w:rPr>
          <w:t xml:space="preserve">Концепция</w:t>
        </w:r>
      </w:hyperlink>
      <w:r>
        <w:rPr>
          <w:sz w:val="20"/>
        </w:rPr>
        <w:t xml:space="preserve"> устойчивого развития коренных малочисленных народов Севера, Сибири и Дальнего Востока Российской Федерации (распоряжение Правительства Российской Федерации от 04.02.2009 N 132-р).</w:t>
      </w:r>
    </w:p>
    <w:p>
      <w:pPr>
        <w:pStyle w:val="0"/>
        <w:spacing w:before="200" w:line-rule="auto"/>
        <w:ind w:firstLine="540"/>
        <w:jc w:val="both"/>
      </w:pPr>
      <w:r>
        <w:rPr>
          <w:sz w:val="20"/>
        </w:rPr>
        <w:t xml:space="preserve">13. </w:t>
      </w:r>
      <w:hyperlink w:history="0" r:id="rId83" w:tooltip="Распоряжение Правительства РФ от 30.11.2010 N 2136-р &lt;Об утверждении Концепции устойчивого развития сельских территорий Российской Федерации на период до 2020 года&gt; {КонсультантПлюс}">
        <w:r>
          <w:rPr>
            <w:sz w:val="20"/>
            <w:color w:val="0000ff"/>
          </w:rPr>
          <w:t xml:space="preserve">Концепция</w:t>
        </w:r>
      </w:hyperlink>
      <w:r>
        <w:rPr>
          <w:sz w:val="20"/>
        </w:rPr>
        <w:t xml:space="preserve"> устойчивого развития сельских территорий Российской Федерации на период до 2020 года (распоряжение Правительства Российской Федерации от 30.11.2010 N 2136-р).</w:t>
      </w:r>
    </w:p>
    <w:p>
      <w:pPr>
        <w:pStyle w:val="0"/>
        <w:spacing w:before="200" w:line-rule="auto"/>
        <w:ind w:firstLine="540"/>
        <w:jc w:val="both"/>
      </w:pPr>
      <w:r>
        <w:rPr>
          <w:sz w:val="20"/>
        </w:rPr>
        <w:t xml:space="preserve">14. Национальная </w:t>
      </w:r>
      <w:hyperlink w:history="0" r:id="rId84" w:tooltip="Указ Президента РФ от 01.06.2012 N 761 &quot;О Национальной стратегии действий в интересах детей на 2012 - 2017 годы&quot; {КонсультантПлюс}">
        <w:r>
          <w:rPr>
            <w:sz w:val="20"/>
            <w:color w:val="0000ff"/>
          </w:rPr>
          <w:t xml:space="preserve">стратегия</w:t>
        </w:r>
      </w:hyperlink>
      <w:r>
        <w:rPr>
          <w:sz w:val="20"/>
        </w:rPr>
        <w:t xml:space="preserve"> действий в интересах детей на 2012 - 2017 годы (Указ Президента Российской Федерации от 01.06.2012 N 761).</w:t>
      </w:r>
    </w:p>
    <w:p>
      <w:pPr>
        <w:pStyle w:val="0"/>
        <w:spacing w:before="200" w:line-rule="auto"/>
        <w:ind w:firstLine="540"/>
        <w:jc w:val="both"/>
      </w:pPr>
      <w:r>
        <w:rPr>
          <w:sz w:val="20"/>
        </w:rPr>
        <w:t xml:space="preserve">15. Национальная </w:t>
      </w:r>
      <w:hyperlink w:history="0" r:id="rId85" w:tooltip="Распоряжение Правительства РФ от 08.03.2017 N 410-р &lt;Об утверждении Национальной стратегии действий в интересах женщин на 2017 - 2022 годы&gt; {КонсультантПлюс}">
        <w:r>
          <w:rPr>
            <w:sz w:val="20"/>
            <w:color w:val="0000ff"/>
          </w:rPr>
          <w:t xml:space="preserve">стратегия</w:t>
        </w:r>
      </w:hyperlink>
      <w:r>
        <w:rPr>
          <w:sz w:val="20"/>
        </w:rPr>
        <w:t xml:space="preserve"> действий в интересах женщин на 2017 - 2022 годы (распоряжение Правительства Российской Федерации от 08.03.2017 N 410-р).</w:t>
      </w:r>
    </w:p>
    <w:p>
      <w:pPr>
        <w:pStyle w:val="0"/>
        <w:spacing w:before="200" w:line-rule="auto"/>
        <w:ind w:firstLine="540"/>
        <w:jc w:val="both"/>
      </w:pPr>
      <w:r>
        <w:rPr>
          <w:sz w:val="20"/>
        </w:rPr>
        <w:t xml:space="preserve">16. </w:t>
      </w:r>
      <w:hyperlink w:history="0" r:id="rId86" w:tooltip="Указ Президента РФ от 24.12.2014 N 808 (ред. от 25.01.2023) &quot;Об утверждении Основ государственной культурной политики&quot; {КонсультантПлюс}">
        <w:r>
          <w:rPr>
            <w:sz w:val="20"/>
            <w:color w:val="0000ff"/>
          </w:rPr>
          <w:t xml:space="preserve">Основы</w:t>
        </w:r>
      </w:hyperlink>
      <w:r>
        <w:rPr>
          <w:sz w:val="20"/>
        </w:rPr>
        <w:t xml:space="preserve"> государственной культурной политики (Указ Президента Российской Федерации от 24.12.2014 N 808).</w:t>
      </w:r>
    </w:p>
    <w:p>
      <w:pPr>
        <w:pStyle w:val="0"/>
        <w:spacing w:before="200" w:line-rule="auto"/>
        <w:ind w:firstLine="540"/>
        <w:jc w:val="both"/>
      </w:pPr>
      <w:r>
        <w:rPr>
          <w:sz w:val="20"/>
        </w:rPr>
        <w:t xml:space="preserve">17. </w:t>
      </w:r>
      <w:hyperlink w:history="0" r:id="rId87" w:tooltip="Распоряжение Правительства РФ от 29.11.2014 N 2403-р &lt;Об утверждении Основ государственной молодежной политики Российской Федерации на период до 2025 года&gt; {КонсультантПлюс}">
        <w:r>
          <w:rPr>
            <w:sz w:val="20"/>
            <w:color w:val="0000ff"/>
          </w:rPr>
          <w:t xml:space="preserve">Основы</w:t>
        </w:r>
      </w:hyperlink>
      <w:r>
        <w:rPr>
          <w:sz w:val="20"/>
        </w:rPr>
        <w:t xml:space="preserve"> государственной молодежной политики Российской Федерации на период до 2025 года (распоряжение Правительства Российской Федерации от 29.11.2014 N 2403-р).</w:t>
      </w:r>
    </w:p>
    <w:p>
      <w:pPr>
        <w:pStyle w:val="0"/>
        <w:spacing w:before="200" w:line-rule="auto"/>
        <w:ind w:firstLine="540"/>
        <w:jc w:val="both"/>
      </w:pPr>
      <w:r>
        <w:rPr>
          <w:sz w:val="20"/>
        </w:rPr>
        <w:t xml:space="preserve">18. </w:t>
      </w:r>
      <w:hyperlink w:history="0" r:id="rId88" w:tooltip="&quot;Основы государственной политики в области экологического развития Российской Федерации на период до 2030 года&quot; (утв. Президентом РФ 30.04.2012) {КонсультантПлюс}">
        <w:r>
          <w:rPr>
            <w:sz w:val="20"/>
            <w:color w:val="0000ff"/>
          </w:rPr>
          <w:t xml:space="preserve">Основы</w:t>
        </w:r>
      </w:hyperlink>
      <w:r>
        <w:rPr>
          <w:sz w:val="20"/>
        </w:rPr>
        <w:t xml:space="preserve"> государственной политики в области экологического развития Российской Федерации на период до 2030 года (утверждены Президентом Российской Федерации 30.04.2012).</w:t>
      </w:r>
    </w:p>
    <w:p>
      <w:pPr>
        <w:pStyle w:val="0"/>
        <w:spacing w:before="200" w:line-rule="auto"/>
        <w:ind w:firstLine="540"/>
        <w:jc w:val="both"/>
      </w:pPr>
      <w:r>
        <w:rPr>
          <w:sz w:val="20"/>
        </w:rPr>
        <w:t xml:space="preserve">19. </w:t>
      </w:r>
      <w:hyperlink w:history="0" r:id="rId89" w:tooltip="Указ Президента РФ от 16.01.2017 N 13 &quot;Об утверждении Основ государственной политики регионального развития Российской Федерации на период до 2025 года&quot; {КонсультантПлюс}">
        <w:r>
          <w:rPr>
            <w:sz w:val="20"/>
            <w:color w:val="0000ff"/>
          </w:rPr>
          <w:t xml:space="preserve">Основы</w:t>
        </w:r>
      </w:hyperlink>
      <w:r>
        <w:rPr>
          <w:sz w:val="20"/>
        </w:rPr>
        <w:t xml:space="preserve"> государственной политики регионального развития Российской Федерации на период до 2025 года (Указ Президента Российской Федерации от 16.01.2017 N 13).</w:t>
      </w:r>
    </w:p>
    <w:p>
      <w:pPr>
        <w:pStyle w:val="0"/>
        <w:spacing w:before="200" w:line-rule="auto"/>
        <w:ind w:firstLine="540"/>
        <w:jc w:val="both"/>
      </w:pPr>
      <w:r>
        <w:rPr>
          <w:sz w:val="20"/>
        </w:rPr>
        <w:t xml:space="preserve">20. </w:t>
      </w:r>
      <w:hyperlink w:history="0" r:id="rId90" w:tooltip="Указ Президента РФ от 11.01.2018 N 12 &quot;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quot; {КонсультантПлюс}">
        <w:r>
          <w:rPr>
            <w:sz w:val="20"/>
            <w:color w:val="0000ff"/>
          </w:rPr>
          <w:t xml:space="preserve">Основы</w:t>
        </w:r>
      </w:hyperlink>
      <w:r>
        <w:rPr>
          <w:sz w:val="20"/>
        </w:rPr>
        <w:t xml:space="preserve"> государственной политики Российской Федерации в области защиты населения и территорий от чрезвычайных ситуаций на период до 2030 года (Указ Президента Российской Федерации от 11.01.2018 N 12).</w:t>
      </w:r>
    </w:p>
    <w:p>
      <w:pPr>
        <w:pStyle w:val="0"/>
        <w:spacing w:before="200" w:line-rule="auto"/>
        <w:ind w:firstLine="540"/>
        <w:jc w:val="both"/>
      </w:pPr>
      <w:r>
        <w:rPr>
          <w:sz w:val="20"/>
        </w:rPr>
        <w:t xml:space="preserve">21. </w:t>
      </w:r>
      <w:hyperlink w:history="0" r:id="rId91" w:tooltip="Указ Президента РФ от 01.01.2018 N 2 &quot;Об утверждении Основ государственной политики Российской Федерации в области пожарной безопасности на период до 2030 года&quot; {КонсультантПлюс}">
        <w:r>
          <w:rPr>
            <w:sz w:val="20"/>
            <w:color w:val="0000ff"/>
          </w:rPr>
          <w:t xml:space="preserve">Основы</w:t>
        </w:r>
      </w:hyperlink>
      <w:r>
        <w:rPr>
          <w:sz w:val="20"/>
        </w:rPr>
        <w:t xml:space="preserve"> государственной политики Российской Федерации в области пожарной безопасности на период до 2030 года (Указ Президента Российской Федерации от 01.01.2018 N 2).</w:t>
      </w:r>
    </w:p>
    <w:p>
      <w:pPr>
        <w:pStyle w:val="0"/>
        <w:spacing w:before="200" w:line-rule="auto"/>
        <w:ind w:firstLine="540"/>
        <w:jc w:val="both"/>
      </w:pPr>
      <w:r>
        <w:rPr>
          <w:sz w:val="20"/>
        </w:rPr>
        <w:t xml:space="preserve">22. Прогноз научно-технологического развития агропромышленного комплекса Российской Федерации на период до 2030 года (приказ Минсельхоза России от 12.01.2017 N 3).</w:t>
      </w:r>
    </w:p>
    <w:p>
      <w:pPr>
        <w:pStyle w:val="0"/>
        <w:spacing w:before="200" w:line-rule="auto"/>
        <w:ind w:firstLine="540"/>
        <w:jc w:val="both"/>
      </w:pPr>
      <w:r>
        <w:rPr>
          <w:sz w:val="20"/>
        </w:rPr>
        <w:t xml:space="preserve">23. </w:t>
      </w:r>
      <w:hyperlink w:history="0" r:id="rId92" w:tooltip="&quot;Прогноз научно-технологического развития Российской Федерации на период до 2030 года&quot; (утв. Правительством РФ) {КонсультантПлюс}">
        <w:r>
          <w:rPr>
            <w:sz w:val="20"/>
            <w:color w:val="0000ff"/>
          </w:rPr>
          <w:t xml:space="preserve">Прогноз</w:t>
        </w:r>
      </w:hyperlink>
      <w:r>
        <w:rPr>
          <w:sz w:val="20"/>
        </w:rPr>
        <w:t xml:space="preserve"> научно-технологического развития Российской Федерации на период до 2030 года (утвержден Председателем Правительства Российской Федерации).</w:t>
      </w:r>
    </w:p>
    <w:p>
      <w:pPr>
        <w:pStyle w:val="0"/>
        <w:spacing w:before="200" w:line-rule="auto"/>
        <w:ind w:firstLine="540"/>
        <w:jc w:val="both"/>
      </w:pPr>
      <w:r>
        <w:rPr>
          <w:sz w:val="20"/>
        </w:rPr>
        <w:t xml:space="preserve">24. </w:t>
      </w:r>
      <w:hyperlink w:history="0" r:id="rId93" w:tooltip="Приказ Росрыболовства от 30.03.2009 N 246 &quot;Об утверждении Стратегии развития рыбохозяйственного комплекса Российской Федерации на период до 2020 года&quot; {КонсультантПлюс}">
        <w:r>
          <w:rPr>
            <w:sz w:val="20"/>
            <w:color w:val="0000ff"/>
          </w:rPr>
          <w:t xml:space="preserve">Стратегии</w:t>
        </w:r>
      </w:hyperlink>
      <w:r>
        <w:rPr>
          <w:sz w:val="20"/>
        </w:rPr>
        <w:t xml:space="preserve"> развития рыбохозяйственного комплекса Российской Федерации на период до 2020 года (приказ Росрыболовства от 30.03.2009 N 246).</w:t>
      </w:r>
    </w:p>
    <w:p>
      <w:pPr>
        <w:pStyle w:val="0"/>
        <w:spacing w:before="200" w:line-rule="auto"/>
        <w:ind w:firstLine="540"/>
        <w:jc w:val="both"/>
      </w:pPr>
      <w:r>
        <w:rPr>
          <w:sz w:val="20"/>
        </w:rPr>
        <w:t xml:space="preserve">25. </w:t>
      </w:r>
      <w:hyperlink w:history="0" r:id="rId94" w:tooltip="Распоряжение Правительства РФ от 08.01.2018 N 1-р &lt;Об утверждении Стратегии безопасности дорожного движения в Российской Федерации на 2018 - 2024 годы&gt; {КонсультантПлюс}">
        <w:r>
          <w:rPr>
            <w:sz w:val="20"/>
            <w:color w:val="0000ff"/>
          </w:rPr>
          <w:t xml:space="preserve">Стратегия</w:t>
        </w:r>
      </w:hyperlink>
      <w:r>
        <w:rPr>
          <w:sz w:val="20"/>
        </w:rPr>
        <w:t xml:space="preserve"> безопасности дорожного движения в Российской Федерации на 2018 - 2024 годы (распоряжение Правительства Российской Федерации от 08.01.2018 N 1-р).</w:t>
      </w:r>
    </w:p>
    <w:p>
      <w:pPr>
        <w:pStyle w:val="0"/>
        <w:spacing w:before="200" w:line-rule="auto"/>
        <w:ind w:firstLine="540"/>
        <w:jc w:val="both"/>
      </w:pPr>
      <w:r>
        <w:rPr>
          <w:sz w:val="20"/>
        </w:rPr>
        <w:t xml:space="preserve">26. </w:t>
      </w:r>
      <w:hyperlink w:history="0" r:id="rId95" w:tooltip="Указ Президента РФ от 16.10.2019 N 501 &quot;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quot; {КонсультантПлюс}">
        <w:r>
          <w:rPr>
            <w:sz w:val="20"/>
            <w:color w:val="0000ff"/>
          </w:rPr>
          <w:t xml:space="preserve">Стратегия</w:t>
        </w:r>
      </w:hyperlink>
      <w:r>
        <w:rPr>
          <w:sz w:val="20"/>
        </w:rPr>
        <w:t xml:space="preserve">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 (Указ Президента Российской Федерации от 16.10.2019 N 501).</w:t>
      </w:r>
    </w:p>
    <w:p>
      <w:pPr>
        <w:pStyle w:val="0"/>
        <w:spacing w:before="200" w:line-rule="auto"/>
        <w:ind w:firstLine="540"/>
        <w:jc w:val="both"/>
      </w:pPr>
      <w:r>
        <w:rPr>
          <w:sz w:val="20"/>
        </w:rPr>
        <w:t xml:space="preserve">27. </w:t>
      </w:r>
      <w:hyperlink w:history="0" r:id="rId96" w:tooltip="Указ Президента РФ от 09.06.2010 N 690 (ред. от 23.02.2018) &quot;Об утверждении Стратегии государственной антинаркотической политики Российской Федерации до 2020 года&quot; {КонсультантПлюс}">
        <w:r>
          <w:rPr>
            <w:sz w:val="20"/>
            <w:color w:val="0000ff"/>
          </w:rPr>
          <w:t xml:space="preserve">Стратегия</w:t>
        </w:r>
      </w:hyperlink>
      <w:r>
        <w:rPr>
          <w:sz w:val="20"/>
        </w:rPr>
        <w:t xml:space="preserve"> государственной антинаркотической политики Российской Федерации до 2020 года (Указ Президента Российской Федерации от 09.06.2010 N 690).</w:t>
      </w:r>
    </w:p>
    <w:p>
      <w:pPr>
        <w:pStyle w:val="0"/>
        <w:spacing w:before="200" w:line-rule="auto"/>
        <w:ind w:firstLine="540"/>
        <w:jc w:val="both"/>
      </w:pPr>
      <w:r>
        <w:rPr>
          <w:sz w:val="20"/>
        </w:rPr>
        <w:t xml:space="preserve">28. </w:t>
      </w:r>
      <w:hyperlink w:history="0" r:id="rId97" w:tooltip="Распоряжение Правительства РФ от 29.02.2016 N 326-р (ред. от 30.03.2018) &lt;Об утверждении Стратегии государственной культурной политики на период до 2030 года&gt; {КонсультантПлюс}">
        <w:r>
          <w:rPr>
            <w:sz w:val="20"/>
            <w:color w:val="0000ff"/>
          </w:rPr>
          <w:t xml:space="preserve">Стратегия</w:t>
        </w:r>
      </w:hyperlink>
      <w:r>
        <w:rPr>
          <w:sz w:val="20"/>
        </w:rPr>
        <w:t xml:space="preserve"> государственной культурной политики на период до 2030 года (распоряжение Правительства Российской Федерации от 29.02.2016 N 326-р).</w:t>
      </w:r>
    </w:p>
    <w:p>
      <w:pPr>
        <w:pStyle w:val="0"/>
        <w:spacing w:before="200" w:line-rule="auto"/>
        <w:ind w:firstLine="540"/>
        <w:jc w:val="both"/>
      </w:pPr>
      <w:r>
        <w:rPr>
          <w:sz w:val="20"/>
        </w:rPr>
        <w:t xml:space="preserve">29. </w:t>
      </w:r>
      <w:hyperlink w:history="0" r:id="rId98" w:tooltip="Указ Президента РФ от 19.12.2012 N 1666 (ред. от 15.01.2024)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Стратегия</w:t>
        </w:r>
      </w:hyperlink>
      <w:r>
        <w:rPr>
          <w:sz w:val="20"/>
        </w:rPr>
        <w:t xml:space="preserve"> государственной национальной политики Российской Федерации на период до 2025 года (Указ Президента Российской Федерации от 19.12.2012 N 1666).</w:t>
      </w:r>
    </w:p>
    <w:p>
      <w:pPr>
        <w:pStyle w:val="0"/>
        <w:spacing w:before="200" w:line-rule="auto"/>
        <w:ind w:firstLine="540"/>
        <w:jc w:val="both"/>
      </w:pPr>
      <w:r>
        <w:rPr>
          <w:sz w:val="20"/>
        </w:rPr>
        <w:t xml:space="preserve">30. </w:t>
      </w:r>
      <w:hyperlink w:history="0" r:id="rId99" w:tooltip="Распоряжение Правительства РФ от 28.08.2017 N 1837-р &lt;Об утверждении Стратегии государственной политики РФ в области защиты прав потребителей на период до 2030 года&gt; {КонсультантПлюс}">
        <w:r>
          <w:rPr>
            <w:sz w:val="20"/>
            <w:color w:val="0000ff"/>
          </w:rPr>
          <w:t xml:space="preserve">Стратегия</w:t>
        </w:r>
      </w:hyperlink>
      <w:r>
        <w:rPr>
          <w:sz w:val="20"/>
        </w:rPr>
        <w:t xml:space="preserve"> государственной политики Российской Федерации в области защиты прав потребителей на период до 2030 года (распоряжение Правительства Российской Федерации от 28.08.2017 N 1837-р).</w:t>
      </w:r>
    </w:p>
    <w:p>
      <w:pPr>
        <w:pStyle w:val="0"/>
        <w:spacing w:before="200" w:line-rule="auto"/>
        <w:ind w:firstLine="540"/>
        <w:jc w:val="both"/>
      </w:pPr>
      <w:r>
        <w:rPr>
          <w:sz w:val="20"/>
        </w:rPr>
        <w:t xml:space="preserve">31. </w:t>
      </w:r>
      <w:hyperlink w:history="0" r:id="rId100" w:tooltip="Распоряжение Правительства РФ от 05.02.2016 N 164-р &lt;Об утверждении Стратегии действий в интересах граждан старшего поколения в Российской Федерации до 2025 года&gt; {КонсультантПлюс}">
        <w:r>
          <w:rPr>
            <w:sz w:val="20"/>
            <w:color w:val="0000ff"/>
          </w:rPr>
          <w:t xml:space="preserve">Стратегия</w:t>
        </w:r>
      </w:hyperlink>
      <w:r>
        <w:rPr>
          <w:sz w:val="20"/>
        </w:rPr>
        <w:t xml:space="preserve"> действий в интересах граждан старшего поколения в Российской Федерации до 2025 года (распоряжение Правительства Российской Федерации от 05.02.2016 N 164-р).</w:t>
      </w:r>
    </w:p>
    <w:p>
      <w:pPr>
        <w:pStyle w:val="0"/>
        <w:spacing w:before="200" w:line-rule="auto"/>
        <w:ind w:firstLine="540"/>
        <w:jc w:val="both"/>
      </w:pPr>
      <w:r>
        <w:rPr>
          <w:sz w:val="20"/>
        </w:rPr>
        <w:t xml:space="preserve">32. </w:t>
      </w:r>
      <w:hyperlink w:history="0" r:id="rId101" w:tooltip="Распоряжение Правительства РФ от 08.12.2011 N 2227-р (ред. от 18.10.2018) &lt;Об утверждении Стратегии инновационного развития Российской Федерации на период до 2020 года&gt; {КонсультантПлюс}">
        <w:r>
          <w:rPr>
            <w:sz w:val="20"/>
            <w:color w:val="0000ff"/>
          </w:rPr>
          <w:t xml:space="preserve">Стратегия</w:t>
        </w:r>
      </w:hyperlink>
      <w:r>
        <w:rPr>
          <w:sz w:val="20"/>
        </w:rPr>
        <w:t xml:space="preserve"> инновационного развития Российской Федерации на период до 2020 года (распоряжение Правительства Российской Федерации от 08.12.2011 N 2227-р).</w:t>
      </w:r>
    </w:p>
    <w:p>
      <w:pPr>
        <w:pStyle w:val="0"/>
        <w:spacing w:before="200" w:line-rule="auto"/>
        <w:ind w:firstLine="540"/>
        <w:jc w:val="both"/>
      </w:pPr>
      <w:r>
        <w:rPr>
          <w:sz w:val="20"/>
        </w:rPr>
        <w:t xml:space="preserve">33. </w:t>
      </w:r>
      <w:hyperlink w:history="0" r:id="rId102" w:tooltip="Приказ Минздрава России от 13.02.2013 N 66 (ред. от 13.07.2021) &quot;Об утверждении Стратегии лекарственного обеспечения населения Российской Федерации на период до 2025 года и плана ее реализации&quot; {КонсультантПлюс}">
        <w:r>
          <w:rPr>
            <w:sz w:val="20"/>
            <w:color w:val="0000ff"/>
          </w:rPr>
          <w:t xml:space="preserve">Стратегия</w:t>
        </w:r>
      </w:hyperlink>
      <w:r>
        <w:rPr>
          <w:sz w:val="20"/>
        </w:rPr>
        <w:t xml:space="preserve"> лекарственного обеспечения населения Российской Федерации на период до 2025 года и план ее реализации (приказ Минздрава России от 13.02.2013 N 66).</w:t>
      </w:r>
    </w:p>
    <w:p>
      <w:pPr>
        <w:pStyle w:val="0"/>
        <w:spacing w:before="200" w:line-rule="auto"/>
        <w:ind w:firstLine="540"/>
        <w:jc w:val="both"/>
      </w:pPr>
      <w:r>
        <w:rPr>
          <w:sz w:val="20"/>
        </w:rPr>
        <w:t xml:space="preserve">34. </w:t>
      </w:r>
      <w:hyperlink w:history="0" r:id="rId103" w:tooltip="Указ Президента РФ от 01.12.2016 N 642 (ред. от 15.03.2021) &quot;О Стратегии научно-технологического развития Российской Федерации&quot; ------------ Утратил силу или отменен {КонсультантПлюс}">
        <w:r>
          <w:rPr>
            <w:sz w:val="20"/>
            <w:color w:val="0000ff"/>
          </w:rPr>
          <w:t xml:space="preserve">Стратегия</w:t>
        </w:r>
      </w:hyperlink>
      <w:r>
        <w:rPr>
          <w:sz w:val="20"/>
        </w:rPr>
        <w:t xml:space="preserve"> научно-технологического развития Российской Федерации (Указ Президента Российской Федерации от 01.12.2016 N 642).</w:t>
      </w:r>
    </w:p>
    <w:p>
      <w:pPr>
        <w:pStyle w:val="0"/>
        <w:spacing w:before="200" w:line-rule="auto"/>
        <w:ind w:firstLine="540"/>
        <w:jc w:val="both"/>
      </w:pPr>
      <w:r>
        <w:rPr>
          <w:sz w:val="20"/>
        </w:rPr>
        <w:t xml:space="preserve">35. </w:t>
      </w:r>
      <w:hyperlink w:history="0" r:id="rId104" w:tooltip="Указ Президента РФ от 31.12.2015 N 683 &quot;О Стратегии национальной безопасности Российской Федерации&quot; ------------ Утратил силу или отменен {КонсультантПлюс}">
        <w:r>
          <w:rPr>
            <w:sz w:val="20"/>
            <w:color w:val="0000ff"/>
          </w:rPr>
          <w:t xml:space="preserve">Стратегия</w:t>
        </w:r>
      </w:hyperlink>
      <w:r>
        <w:rPr>
          <w:sz w:val="20"/>
        </w:rPr>
        <w:t xml:space="preserve"> национальной безопасности Российской Федерации (Указ Президента Российской Федерации от 31.12.2015 N 683).</w:t>
      </w:r>
    </w:p>
    <w:p>
      <w:pPr>
        <w:pStyle w:val="0"/>
        <w:spacing w:before="200" w:line-rule="auto"/>
        <w:ind w:firstLine="540"/>
        <w:jc w:val="both"/>
      </w:pPr>
      <w:r>
        <w:rPr>
          <w:sz w:val="20"/>
        </w:rPr>
        <w:t xml:space="preserve">36. </w:t>
      </w:r>
      <w:hyperlink w:history="0" r:id="rId105" w:tooltip="Распоряжение Правительства РФ от 05.12.2016 N 2592-р (ред. от 18.10.2018) &lt;Об утверждении Стратегии по противодействию незаконному обороту промышленной продукции в Российской Федерации на период до 2020 года и плановый период до 2025 года&gt; ------------ Утратил силу или отменен {КонсультантПлюс}">
        <w:r>
          <w:rPr>
            <w:sz w:val="20"/>
            <w:color w:val="0000ff"/>
          </w:rPr>
          <w:t xml:space="preserve">Стратегия</w:t>
        </w:r>
      </w:hyperlink>
      <w:r>
        <w:rPr>
          <w:sz w:val="20"/>
        </w:rPr>
        <w:t xml:space="preserve"> по противодействию незаконному обороту промышленной продукции в Российской Федерации на период до 2020 года и плановый период до 2025 года (распоряжение Правительства Российской Федерации от 05.12.2016 N 2592-р).</w:t>
      </w:r>
    </w:p>
    <w:p>
      <w:pPr>
        <w:pStyle w:val="0"/>
        <w:spacing w:before="200" w:line-rule="auto"/>
        <w:ind w:firstLine="540"/>
        <w:jc w:val="both"/>
      </w:pPr>
      <w:r>
        <w:rPr>
          <w:sz w:val="20"/>
        </w:rPr>
        <w:t xml:space="preserve">37. </w:t>
      </w:r>
      <w:hyperlink w:history="0" r:id="rId106" w:tooltip="Распоряжение Правительства РФ от 29.06.2016 N 1364-р &lt;Об утверждении Стратегии повышения качества пищевой продукции в Российской Федерации до 2030 года&gt; {КонсультантПлюс}">
        <w:r>
          <w:rPr>
            <w:sz w:val="20"/>
            <w:color w:val="0000ff"/>
          </w:rPr>
          <w:t xml:space="preserve">Стратегия</w:t>
        </w:r>
      </w:hyperlink>
      <w:r>
        <w:rPr>
          <w:sz w:val="20"/>
        </w:rPr>
        <w:t xml:space="preserve"> повышения качества пищевой продукции в Российской Федерации до 2030 года (распоряжение Правительства Российской Федерации от 29.06.2016 N 1364-р).</w:t>
      </w:r>
    </w:p>
    <w:p>
      <w:pPr>
        <w:pStyle w:val="0"/>
        <w:spacing w:before="200" w:line-rule="auto"/>
        <w:ind w:firstLine="540"/>
        <w:jc w:val="both"/>
      </w:pPr>
      <w:r>
        <w:rPr>
          <w:sz w:val="20"/>
        </w:rPr>
        <w:t xml:space="preserve">38. </w:t>
      </w:r>
      <w:hyperlink w:history="0" r:id="rId107" w:tooltip="Распоряжение Правительства РФ от 25.09.2017 N 2039-р &lt;Об утверждении Стратегии повышения финансовой грамотности в Российской Федерации на 2017 - 2023 годы&gt; {КонсультантПлюс}">
        <w:r>
          <w:rPr>
            <w:sz w:val="20"/>
            <w:color w:val="0000ff"/>
          </w:rPr>
          <w:t xml:space="preserve">Стратегия</w:t>
        </w:r>
      </w:hyperlink>
      <w:r>
        <w:rPr>
          <w:sz w:val="20"/>
        </w:rPr>
        <w:t xml:space="preserve"> повышения финансовой грамотности в Российской Федерации на 2017 - 2023 годы (распоряжение Правительства Российской Федерации от 25.09.2017 N 2039-р).</w:t>
      </w:r>
    </w:p>
    <w:p>
      <w:pPr>
        <w:pStyle w:val="0"/>
        <w:spacing w:before="200" w:line-rule="auto"/>
        <w:ind w:firstLine="540"/>
        <w:jc w:val="both"/>
      </w:pPr>
      <w:r>
        <w:rPr>
          <w:sz w:val="20"/>
        </w:rPr>
        <w:t xml:space="preserve">39. </w:t>
      </w:r>
      <w:hyperlink w:history="0" r:id="rId108"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Стратегия</w:t>
        </w:r>
      </w:hyperlink>
      <w:r>
        <w:rPr>
          <w:sz w:val="20"/>
        </w:rPr>
        <w:t xml:space="preserve"> пространственного развития Российской Федерации на период до 2025 года (распоряжение Правительства Российской Федерации от 13.02.2019 N 207-р).</w:t>
      </w:r>
    </w:p>
    <w:p>
      <w:pPr>
        <w:pStyle w:val="0"/>
        <w:spacing w:before="200" w:line-rule="auto"/>
        <w:ind w:firstLine="540"/>
        <w:jc w:val="both"/>
      </w:pPr>
      <w:r>
        <w:rPr>
          <w:sz w:val="20"/>
        </w:rPr>
        <w:t xml:space="preserve">40. </w:t>
      </w:r>
      <w:hyperlink w:history="0" r:id="rId109" w:tooltip="&quot;Стратегия развития Арктической зоны Российской Федерации и обеспечения национальной безопасности на период до 2020 года&quot; (утв. Президентом РФ) {КонсультантПлюс}">
        <w:r>
          <w:rPr>
            <w:sz w:val="20"/>
            <w:color w:val="0000ff"/>
          </w:rPr>
          <w:t xml:space="preserve">Стратегия</w:t>
        </w:r>
      </w:hyperlink>
      <w:r>
        <w:rPr>
          <w:sz w:val="20"/>
        </w:rPr>
        <w:t xml:space="preserve"> развития Арктической зоны Российской Федерации и обеспечения национальной безопасности на период до 2020 года (утверждена Президентом Российской Федерации).</w:t>
      </w:r>
    </w:p>
    <w:p>
      <w:pPr>
        <w:pStyle w:val="0"/>
        <w:spacing w:before="200" w:line-rule="auto"/>
        <w:ind w:firstLine="540"/>
        <w:jc w:val="both"/>
      </w:pPr>
      <w:r>
        <w:rPr>
          <w:sz w:val="20"/>
        </w:rPr>
        <w:t xml:space="preserve">41. </w:t>
      </w:r>
      <w:hyperlink w:history="0" r:id="rId110" w:tooltip="Распоряжение Правительства РФ от 29.02.2016 N 327-р &lt;О Стратегии развития внутреннего водного транспорта Российской Федерации на период до 2030 года&gt; ------------ Утратил силу или отменен {КонсультантПлюс}">
        <w:r>
          <w:rPr>
            <w:sz w:val="20"/>
            <w:color w:val="0000ff"/>
          </w:rPr>
          <w:t xml:space="preserve">Стратегия</w:t>
        </w:r>
      </w:hyperlink>
      <w:r>
        <w:rPr>
          <w:sz w:val="20"/>
        </w:rPr>
        <w:t xml:space="preserve"> развития внутреннего водного транспорта Российской Федерации на период до 2030 года (распоряжение Правительства Российской Федерации от 29.02.2016 N 327-р).</w:t>
      </w:r>
    </w:p>
    <w:p>
      <w:pPr>
        <w:pStyle w:val="0"/>
        <w:spacing w:before="200" w:line-rule="auto"/>
        <w:ind w:firstLine="540"/>
        <w:jc w:val="both"/>
      </w:pPr>
      <w:r>
        <w:rPr>
          <w:sz w:val="20"/>
        </w:rPr>
        <w:t xml:space="preserve">42. </w:t>
      </w:r>
      <w:hyperlink w:history="0" r:id="rId111" w:tooltip="Распоряжение Правительства РФ от 29.05.2015 N 996-р &lt;Об утверждении Стратегии развития воспитания в Российской Федерации на период до 2025 года&gt; {КонсультантПлюс}">
        <w:r>
          <w:rPr>
            <w:sz w:val="20"/>
            <w:color w:val="0000ff"/>
          </w:rPr>
          <w:t xml:space="preserve">Стратегия</w:t>
        </w:r>
      </w:hyperlink>
      <w:r>
        <w:rPr>
          <w:sz w:val="20"/>
        </w:rPr>
        <w:t xml:space="preserve"> развития воспитания в Российской Федерации на период до 2025 года (распоряжение Правительства Российской Федерации от 29.05.2015 N 996-р).</w:t>
      </w:r>
    </w:p>
    <w:p>
      <w:pPr>
        <w:pStyle w:val="0"/>
        <w:spacing w:before="200" w:line-rule="auto"/>
        <w:ind w:firstLine="540"/>
        <w:jc w:val="both"/>
      </w:pPr>
      <w:r>
        <w:rPr>
          <w:sz w:val="20"/>
        </w:rPr>
        <w:t xml:space="preserve">43. </w:t>
      </w:r>
      <w:hyperlink w:history="0" r:id="rId112" w:tooltip="&quot;Стратегия развития государственной политики Российской Федерации в отношении российского казачества до 2020 года&quot; (утв. Президентом РФ 15.09.2012 N Пр-2789) {КонсультантПлюс}">
        <w:r>
          <w:rPr>
            <w:sz w:val="20"/>
            <w:color w:val="0000ff"/>
          </w:rPr>
          <w:t xml:space="preserve">Стратегия</w:t>
        </w:r>
      </w:hyperlink>
      <w:r>
        <w:rPr>
          <w:sz w:val="20"/>
        </w:rPr>
        <w:t xml:space="preserve"> развития государственной политики Российской Федерации в отношении российского казачества до 2020 года (утверждена Президентом Российской Федерации 15.09.2012 N Пр-2789).</w:t>
      </w:r>
    </w:p>
    <w:p>
      <w:pPr>
        <w:pStyle w:val="0"/>
        <w:spacing w:before="200" w:line-rule="auto"/>
        <w:ind w:firstLine="540"/>
        <w:jc w:val="both"/>
      </w:pPr>
      <w:r>
        <w:rPr>
          <w:sz w:val="20"/>
        </w:rPr>
        <w:t xml:space="preserve">44. </w:t>
      </w:r>
      <w:hyperlink w:history="0" r:id="rId113" w:tooltip="Распоряжение Правительства РФ от 17.06.2008 N 877-р &lt;О Стратегии развития железнодорожного транспорта в Российской Федерации до 2030 года&gt; (вместе с &quot;Планом мероприятий по реализации в 2008 - 2015 годах Стратегии развития железнодорожного транспорта в Российской Федерации до 2030 года&quot;) ------------ Утратил силу или отменен {КонсультантПлюс}">
        <w:r>
          <w:rPr>
            <w:sz w:val="20"/>
            <w:color w:val="0000ff"/>
          </w:rPr>
          <w:t xml:space="preserve">Стратегия</w:t>
        </w:r>
      </w:hyperlink>
      <w:r>
        <w:rPr>
          <w:sz w:val="20"/>
        </w:rPr>
        <w:t xml:space="preserve"> развития железнодорожного транспорта в Российской Федерации до 2030 года (распоряжение Правительства Российской Федерации от 17.06.2008 N 877-р).</w:t>
      </w:r>
    </w:p>
    <w:p>
      <w:pPr>
        <w:pStyle w:val="0"/>
        <w:spacing w:before="200" w:line-rule="auto"/>
        <w:ind w:firstLine="540"/>
        <w:jc w:val="both"/>
      </w:pPr>
      <w:r>
        <w:rPr>
          <w:sz w:val="20"/>
        </w:rPr>
        <w:t xml:space="preserve">45. </w:t>
      </w:r>
      <w:hyperlink w:history="0" r:id="rId114" w:tooltip="Распоряжение Правительства РФ от 26.01.2016 N 80-р (ред. от 18.10.2018) &lt;Стратегия развития жилищно-коммунального хозяйства в Российской Федерации на период до 2020 года&gt; {КонсультантПлюс}">
        <w:r>
          <w:rPr>
            <w:sz w:val="20"/>
            <w:color w:val="0000ff"/>
          </w:rPr>
          <w:t xml:space="preserve">Стратегия</w:t>
        </w:r>
      </w:hyperlink>
      <w:r>
        <w:rPr>
          <w:sz w:val="20"/>
        </w:rPr>
        <w:t xml:space="preserve"> развития жилищно-коммунального хозяйства в Российской Федерации на период до 2020 года (распоряжение Правительства Российской Федерации от 26.01.2016 N 80-р).</w:t>
      </w:r>
    </w:p>
    <w:p>
      <w:pPr>
        <w:pStyle w:val="0"/>
        <w:spacing w:before="200" w:line-rule="auto"/>
        <w:ind w:firstLine="540"/>
        <w:jc w:val="both"/>
      </w:pPr>
      <w:r>
        <w:rPr>
          <w:sz w:val="20"/>
        </w:rPr>
        <w:t xml:space="preserve">46. </w:t>
      </w:r>
      <w:hyperlink w:history="0" r:id="rId115" w:tooltip="Распоряжение Правительства РФ от 11.06.2013 N 962-р (ред. от 17.02.2014) &lt;Об утверждении Стратегии развития индустрии детских товаров на период до 2020 года и плана первоочередных мероприятий на 2013 - 2015 годы по ее реализации&gt; ------------ Утратил силу или отменен {КонсультантПлюс}">
        <w:r>
          <w:rPr>
            <w:sz w:val="20"/>
            <w:color w:val="0000ff"/>
          </w:rPr>
          <w:t xml:space="preserve">Стратегия</w:t>
        </w:r>
      </w:hyperlink>
      <w:r>
        <w:rPr>
          <w:sz w:val="20"/>
        </w:rPr>
        <w:t xml:space="preserve"> развития индустрии детских товаров на период до 2020 года и плана первоочередных мероприятий на 2013 - 2015 годы по ее реализации (распоряжение Правительства Российской Федерации от 11.06.2013 N 962-р).</w:t>
      </w:r>
    </w:p>
    <w:p>
      <w:pPr>
        <w:pStyle w:val="0"/>
        <w:spacing w:before="200" w:line-rule="auto"/>
        <w:ind w:firstLine="540"/>
        <w:jc w:val="both"/>
      </w:pPr>
      <w:r>
        <w:rPr>
          <w:sz w:val="20"/>
        </w:rPr>
        <w:t xml:space="preserve">47. </w:t>
      </w:r>
      <w:hyperlink w:history="0" r:id="rId116" w:tooltip="Указ Президента РФ от 09.05.2017 N 203 &quot;О Стратегии развития информационного общества в Российской Федерации на 2017 - 2030 годы&quot; {КонсультантПлюс}">
        <w:r>
          <w:rPr>
            <w:sz w:val="20"/>
            <w:color w:val="0000ff"/>
          </w:rPr>
          <w:t xml:space="preserve">Стратегия</w:t>
        </w:r>
      </w:hyperlink>
      <w:r>
        <w:rPr>
          <w:sz w:val="20"/>
        </w:rPr>
        <w:t xml:space="preserve"> развития информационного общества в Российской Федерации на 2017 - 2030 годы (Указ Президента Российской Федерации от 09.05.2017 N 203).</w:t>
      </w:r>
    </w:p>
    <w:p>
      <w:pPr>
        <w:pStyle w:val="0"/>
        <w:spacing w:before="200" w:line-rule="auto"/>
        <w:ind w:firstLine="540"/>
        <w:jc w:val="both"/>
      </w:pPr>
      <w:r>
        <w:rPr>
          <w:sz w:val="20"/>
        </w:rPr>
        <w:t xml:space="preserve">48. </w:t>
      </w:r>
      <w:hyperlink w:history="0" r:id="rId117" w:tooltip="Распоряжение Правительства РФ от 20.09.2018 N 1989-р (ред. от 28.02.2019) &lt;Об утверждении Стратегии развития лесного комплекса Российской Федерации до 2030 года&gt; ------------ Утратил силу или отменен {КонсультантПлюс}">
        <w:r>
          <w:rPr>
            <w:sz w:val="20"/>
            <w:color w:val="0000ff"/>
          </w:rPr>
          <w:t xml:space="preserve">Стратегия</w:t>
        </w:r>
      </w:hyperlink>
      <w:r>
        <w:rPr>
          <w:sz w:val="20"/>
        </w:rPr>
        <w:t xml:space="preserve"> развития лесного комплекса Российской Федерации до 2030 года (распоряжение Правительства Российской Федерации от 20.09.2018 N 1989-р).</w:t>
      </w:r>
    </w:p>
    <w:p>
      <w:pPr>
        <w:pStyle w:val="0"/>
        <w:spacing w:before="200" w:line-rule="auto"/>
        <w:ind w:firstLine="540"/>
        <w:jc w:val="both"/>
      </w:pPr>
      <w:r>
        <w:rPr>
          <w:sz w:val="20"/>
        </w:rPr>
        <w:t xml:space="preserve">49. </w:t>
      </w:r>
      <w:hyperlink w:history="0" r:id="rId118" w:tooltip="Распоряжение Правительства РФ от 02.06.2016 N 1083-р (ред. от 30.03.2018) &lt;Об утверждении Стратегии развития малого и среднего предпринимательства в Российской Федерации на период до 2030 года&gt; (вместе с &quot;Планом мероприятий (&quot;дорожной картой&quot;) по реализации Стратегии развития малого и среднего предпринимательства в Российской Федерации на период до 2030 года&quot;) {КонсультантПлюс}">
        <w:r>
          <w:rPr>
            <w:sz w:val="20"/>
            <w:color w:val="0000ff"/>
          </w:rPr>
          <w:t xml:space="preserve">Стратегия</w:t>
        </w:r>
      </w:hyperlink>
      <w:r>
        <w:rPr>
          <w:sz w:val="20"/>
        </w:rPr>
        <w:t xml:space="preserve"> развития малого и среднего предпринимательства в Российской Федерации на период до 2030 года (распоряжение Правительства Российской Федерации от 02.06.2016 N 1083-р).</w:t>
      </w:r>
    </w:p>
    <w:p>
      <w:pPr>
        <w:pStyle w:val="0"/>
        <w:spacing w:before="200" w:line-rule="auto"/>
        <w:ind w:firstLine="540"/>
        <w:jc w:val="both"/>
      </w:pPr>
      <w:r>
        <w:rPr>
          <w:sz w:val="20"/>
        </w:rPr>
        <w:t xml:space="preserve">50. </w:t>
      </w:r>
      <w:hyperlink w:history="0" r:id="rId119" w:tooltip="Приказ Минпромторга России от 31.01.2013 N 118 &quot;Об утверждении Стратегии развития медицинской промышленности Российской Федерации на период до 2020 года&quot; {КонсультантПлюс}">
        <w:r>
          <w:rPr>
            <w:sz w:val="20"/>
            <w:color w:val="0000ff"/>
          </w:rPr>
          <w:t xml:space="preserve">Стратегия</w:t>
        </w:r>
      </w:hyperlink>
      <w:r>
        <w:rPr>
          <w:sz w:val="20"/>
        </w:rPr>
        <w:t xml:space="preserve"> развития медицинской промышленности Российской Федерации на период до 2020 года (приказ Минпромторга России от 31.01.2013 N 118).</w:t>
      </w:r>
    </w:p>
    <w:p>
      <w:pPr>
        <w:pStyle w:val="0"/>
        <w:spacing w:before="200" w:line-rule="auto"/>
        <w:ind w:firstLine="540"/>
        <w:jc w:val="both"/>
      </w:pPr>
      <w:r>
        <w:rPr>
          <w:sz w:val="20"/>
        </w:rPr>
        <w:t xml:space="preserve">51. </w:t>
      </w:r>
      <w:hyperlink w:history="0" r:id="rId120" w:tooltip="Распоряжение Правительства РФ от 22.12.2018 N 2914-р &lt;Об утверждении Стратегии развития минерально-сырьевой базы Российской Федерации до 2035 года&gt; {КонсультантПлюс}">
        <w:r>
          <w:rPr>
            <w:sz w:val="20"/>
            <w:color w:val="0000ff"/>
          </w:rPr>
          <w:t xml:space="preserve">Стратегия</w:t>
        </w:r>
      </w:hyperlink>
      <w:r>
        <w:rPr>
          <w:sz w:val="20"/>
        </w:rPr>
        <w:t xml:space="preserve"> развития минерально-сырьевой базы Российской Федерации до 2035 года (распоряжение Правительства Российской Федерации от 22.12.2018 N 2914-р).</w:t>
      </w:r>
    </w:p>
    <w:p>
      <w:pPr>
        <w:pStyle w:val="0"/>
        <w:spacing w:before="200" w:line-rule="auto"/>
        <w:ind w:firstLine="540"/>
        <w:jc w:val="both"/>
      </w:pPr>
      <w:r>
        <w:rPr>
          <w:sz w:val="20"/>
        </w:rPr>
        <w:t xml:space="preserve">52. </w:t>
      </w:r>
      <w:hyperlink w:history="0" r:id="rId121" w:tooltip="Распоряжение Правительства РФ от 01.11.2013 N 2036-р (ред. от 18.10.2018) &lt;Об утверждении Стратегии развития отрасли информационных технологий в Российской Федерации на 2014 - 2020 годы и на перспективу до 2025 года&gt; {КонсультантПлюс}">
        <w:r>
          <w:rPr>
            <w:sz w:val="20"/>
            <w:color w:val="0000ff"/>
          </w:rPr>
          <w:t xml:space="preserve">Стратегия</w:t>
        </w:r>
      </w:hyperlink>
      <w:r>
        <w:rPr>
          <w:sz w:val="20"/>
        </w:rPr>
        <w:t xml:space="preserve"> развития отрасли информационных технологий в Российской Федерации на 2014 - 2020 годы и на перспективу до 2025 года (распоряжение Правительства Российской Федерации от 01.11.2013 N 2036-р).</w:t>
      </w:r>
    </w:p>
    <w:p>
      <w:pPr>
        <w:pStyle w:val="0"/>
        <w:spacing w:before="200" w:line-rule="auto"/>
        <w:ind w:firstLine="540"/>
        <w:jc w:val="both"/>
      </w:pPr>
      <w:r>
        <w:rPr>
          <w:sz w:val="20"/>
        </w:rPr>
        <w:t xml:space="preserve">53. </w:t>
      </w:r>
      <w:hyperlink w:history="0" r:id="rId122" w:tooltip="Распоряжение Правительства РФ от 17.04.2012 N 559-р (ред. от 13.01.2017) &lt;Об утверждении Стратегии развития пищевой и перерабатывающей промышленности Российской Федерации на период до 2020 года&gt; {КонсультантПлюс}">
        <w:r>
          <w:rPr>
            <w:sz w:val="20"/>
            <w:color w:val="0000ff"/>
          </w:rPr>
          <w:t xml:space="preserve">Стратегия</w:t>
        </w:r>
      </w:hyperlink>
      <w:r>
        <w:rPr>
          <w:sz w:val="20"/>
        </w:rPr>
        <w:t xml:space="preserve"> развития пищевой и перерабатывающей промышленности Российской Федерации на период до 2020 года (распоряжение Правительства Российской Федерации от 17.04.2012 N 559-р).</w:t>
      </w:r>
    </w:p>
    <w:p>
      <w:pPr>
        <w:pStyle w:val="0"/>
        <w:spacing w:before="200" w:line-rule="auto"/>
        <w:ind w:firstLine="540"/>
        <w:jc w:val="both"/>
      </w:pPr>
      <w:r>
        <w:rPr>
          <w:sz w:val="20"/>
        </w:rPr>
        <w:t xml:space="preserve">54. </w:t>
      </w:r>
      <w:hyperlink w:history="0" r:id="rId123" w:tooltip="Распоряжение Правительства РФ от 22.11.2017 N 2599-р &lt;Об утверждении Стратегии развития производства промышленной продукции реабилитационной направленности до 2025 года&gt; {КонсультантПлюс}">
        <w:r>
          <w:rPr>
            <w:sz w:val="20"/>
            <w:color w:val="0000ff"/>
          </w:rPr>
          <w:t xml:space="preserve">Стратегия</w:t>
        </w:r>
      </w:hyperlink>
      <w:r>
        <w:rPr>
          <w:sz w:val="20"/>
        </w:rPr>
        <w:t xml:space="preserve"> развития производства промышленной продукции реабилитационной направленности до 2025 года (распоряжение Правительства Российской Федерации от 22.11.2017 N 2599-р).</w:t>
      </w:r>
    </w:p>
    <w:p>
      <w:pPr>
        <w:pStyle w:val="0"/>
        <w:spacing w:before="200" w:line-rule="auto"/>
        <w:ind w:firstLine="540"/>
        <w:jc w:val="both"/>
      </w:pPr>
      <w:r>
        <w:rPr>
          <w:sz w:val="20"/>
        </w:rPr>
        <w:t xml:space="preserve">55. </w:t>
      </w:r>
      <w:hyperlink w:history="0" r:id="rId124" w:tooltip="Распоряжение Правительства РФ от 25.01.2018 N 84-р (ред. от 13.10.2022) &lt;Об утверждении Стратегии развития промышленности по обработке, утилизации и обезвреживанию отходов производства и потребления на период до 2030 года&gt; {КонсультантПлюс}">
        <w:r>
          <w:rPr>
            <w:sz w:val="20"/>
            <w:color w:val="0000ff"/>
          </w:rPr>
          <w:t xml:space="preserve">Стратегия</w:t>
        </w:r>
      </w:hyperlink>
      <w:r>
        <w:rPr>
          <w:sz w:val="20"/>
        </w:rPr>
        <w:t xml:space="preserve"> развития промышленности по обработке, утилизации и обезвреживанию отходов производства и потребления на период до 2030 года (распоряжение Правительства Российской Федерации от 25.01.2018 N 84-р).</w:t>
      </w:r>
    </w:p>
    <w:p>
      <w:pPr>
        <w:pStyle w:val="0"/>
        <w:spacing w:before="200" w:line-rule="auto"/>
        <w:ind w:firstLine="540"/>
        <w:jc w:val="both"/>
      </w:pPr>
      <w:r>
        <w:rPr>
          <w:sz w:val="20"/>
        </w:rPr>
        <w:t xml:space="preserve">56. </w:t>
      </w:r>
      <w:hyperlink w:history="0" r:id="rId125" w:tooltip="Распоряжение Правительства РФ от 10.05.2016 N 868-р (ред. от 23.11.2016) &lt;О Стратегии развития промышленности строительных материалов на период до 2020 года и дальнейшую перспективу до 2030 года&gt; {КонсультантПлюс}">
        <w:r>
          <w:rPr>
            <w:sz w:val="20"/>
            <w:color w:val="0000ff"/>
          </w:rPr>
          <w:t xml:space="preserve">Стратегия</w:t>
        </w:r>
      </w:hyperlink>
      <w:r>
        <w:rPr>
          <w:sz w:val="20"/>
        </w:rPr>
        <w:t xml:space="preserve"> развития промышленности строительных материалов на период до 2020 года и дальнейшую перспективу до 2030 года (распоряжение Правительства Российской Федерации от 10.05.2016 N 868-р).</w:t>
      </w:r>
    </w:p>
    <w:p>
      <w:pPr>
        <w:pStyle w:val="0"/>
        <w:spacing w:before="200" w:line-rule="auto"/>
        <w:ind w:firstLine="540"/>
        <w:jc w:val="both"/>
      </w:pPr>
      <w:r>
        <w:rPr>
          <w:sz w:val="20"/>
        </w:rPr>
        <w:t xml:space="preserve">57. </w:t>
      </w:r>
      <w:hyperlink w:history="0" r:id="rId126" w:tooltip="Распоряжение Правительства РФ от 26.11.2018 N 2581-р &lt;Об утверждении Стратегии развития санаторно-курортного комплекса Российской Федерации&gt; {КонсультантПлюс}">
        <w:r>
          <w:rPr>
            <w:sz w:val="20"/>
            <w:color w:val="0000ff"/>
          </w:rPr>
          <w:t xml:space="preserve">Стратегия</w:t>
        </w:r>
      </w:hyperlink>
      <w:r>
        <w:rPr>
          <w:sz w:val="20"/>
        </w:rPr>
        <w:t xml:space="preserve"> развития санаторно-курортного комплекса Российской Федерации (распоряжение Правительства Российской Федерации от 26.11.2018 N 2581-р).</w:t>
      </w:r>
    </w:p>
    <w:p>
      <w:pPr>
        <w:pStyle w:val="0"/>
        <w:spacing w:before="200" w:line-rule="auto"/>
        <w:ind w:firstLine="540"/>
        <w:jc w:val="both"/>
      </w:pPr>
      <w:r>
        <w:rPr>
          <w:sz w:val="20"/>
        </w:rPr>
        <w:t xml:space="preserve">58. </w:t>
      </w:r>
      <w:hyperlink w:history="0" r:id="rId127" w:tooltip="Приказ Минпромторга России от 22.12.2011 N 1810 &quot;Об утверждении стратегии развития сельскохозяйственного машиностроения России на период до 2020 года&quot; {КонсультантПлюс}">
        <w:r>
          <w:rPr>
            <w:sz w:val="20"/>
            <w:color w:val="0000ff"/>
          </w:rPr>
          <w:t xml:space="preserve">Стратегия</w:t>
        </w:r>
      </w:hyperlink>
      <w:r>
        <w:rPr>
          <w:sz w:val="20"/>
        </w:rPr>
        <w:t xml:space="preserve"> развития сельскохозяйственного машиностроения России на период до 2020 года (приказ Минпромторга России от 22.12.2011 N 1810).</w:t>
      </w:r>
    </w:p>
    <w:p>
      <w:pPr>
        <w:pStyle w:val="0"/>
        <w:spacing w:before="200" w:line-rule="auto"/>
        <w:ind w:firstLine="540"/>
        <w:jc w:val="both"/>
      </w:pPr>
      <w:r>
        <w:rPr>
          <w:sz w:val="20"/>
        </w:rPr>
        <w:t xml:space="preserve">59. </w:t>
      </w:r>
      <w:hyperlink w:history="0" r:id="rId128" w:tooltip="Распоряжение Правительства РФ от 07.07.2017 N 1455-р &lt;Об утверждении Стратегии развития сельскохозяйственного машиностроения России на период до 2030 года&gt; {КонсультантПлюс}">
        <w:r>
          <w:rPr>
            <w:sz w:val="20"/>
            <w:color w:val="0000ff"/>
          </w:rPr>
          <w:t xml:space="preserve">Стратегия</w:t>
        </w:r>
      </w:hyperlink>
      <w:r>
        <w:rPr>
          <w:sz w:val="20"/>
        </w:rPr>
        <w:t xml:space="preserve"> развития сельскохозяйственного машиностроения России на период до 2030 года (распоряжение Правительства Российской Федерации от 07.07.2017 N 1455-р).</w:t>
      </w:r>
    </w:p>
    <w:p>
      <w:pPr>
        <w:pStyle w:val="0"/>
        <w:spacing w:before="200" w:line-rule="auto"/>
        <w:ind w:firstLine="540"/>
        <w:jc w:val="both"/>
      </w:pPr>
      <w:r>
        <w:rPr>
          <w:sz w:val="20"/>
        </w:rPr>
        <w:t xml:space="preserve">60. </w:t>
      </w:r>
      <w:hyperlink w:history="0" r:id="rId129" w:tooltip="&quot;Стратегия развития системы подготовки рабочих кадров и формирования прикладных квалификаций в Российской Федерации на период до 2020 года&quot; (одобрено Коллегией Минобрнауки России, протокол от 18.06.2013 N ПК-5вн) {КонсультантПлюс}">
        <w:r>
          <w:rPr>
            <w:sz w:val="20"/>
            <w:color w:val="0000ff"/>
          </w:rPr>
          <w:t xml:space="preserve">Стратегия</w:t>
        </w:r>
      </w:hyperlink>
      <w:r>
        <w:rPr>
          <w:sz w:val="20"/>
        </w:rPr>
        <w:t xml:space="preserve"> развития системы подготовки рабочих кадров и формирования прикладных квалификаций в Российской Федерации на период до 2020 года (одобрена коллегией Минобрнауки России, протокол от 18.06.2013 N ПК-5вн).</w:t>
      </w:r>
    </w:p>
    <w:p>
      <w:pPr>
        <w:pStyle w:val="0"/>
        <w:spacing w:before="200" w:line-rule="auto"/>
        <w:ind w:firstLine="540"/>
        <w:jc w:val="both"/>
      </w:pPr>
      <w:r>
        <w:rPr>
          <w:sz w:val="20"/>
        </w:rPr>
        <w:t xml:space="preserve">61. </w:t>
      </w:r>
      <w:hyperlink w:history="0" r:id="rId130" w:tooltip="&quot;Стратегия развития судостроительной промышленности на период до 2020 года и на дальнейшую перспективу&quot; (утв. Приказом Минпромэнерго РФ от 06.09.2007 N 354) {КонсультантПлюс}">
        <w:r>
          <w:rPr>
            <w:sz w:val="20"/>
            <w:color w:val="0000ff"/>
          </w:rPr>
          <w:t xml:space="preserve">Стратегия</w:t>
        </w:r>
      </w:hyperlink>
      <w:r>
        <w:rPr>
          <w:sz w:val="20"/>
        </w:rPr>
        <w:t xml:space="preserve"> развития судостроительной промышленности на период до 2020 года и на дальнейшую перспективу (приказ Минпромэнерго России от 06.09.2007 N 354).</w:t>
      </w:r>
    </w:p>
    <w:p>
      <w:pPr>
        <w:pStyle w:val="0"/>
        <w:spacing w:before="200" w:line-rule="auto"/>
        <w:ind w:firstLine="540"/>
        <w:jc w:val="both"/>
      </w:pPr>
      <w:r>
        <w:rPr>
          <w:sz w:val="20"/>
        </w:rPr>
        <w:t xml:space="preserve">62. </w:t>
      </w:r>
      <w:hyperlink w:history="0" r:id="rId131" w:tooltip="Приказ Минпромторга России от 25.12.2014 N 2733 &quot;Об утверждении Стратегии развития торговли в Российской Федерации на 2015 - 2016 годы и период до 2020 года&quot; {КонсультантПлюс}">
        <w:r>
          <w:rPr>
            <w:sz w:val="20"/>
            <w:color w:val="0000ff"/>
          </w:rPr>
          <w:t xml:space="preserve">Стратегия</w:t>
        </w:r>
      </w:hyperlink>
      <w:r>
        <w:rPr>
          <w:sz w:val="20"/>
        </w:rPr>
        <w:t xml:space="preserve"> развития торговли в Российской Федерации на 2015 - 2016 годы и период до 2020 года (приказ Минпромторга России от 25.12.2014 N 2733).</w:t>
      </w:r>
    </w:p>
    <w:p>
      <w:pPr>
        <w:pStyle w:val="0"/>
        <w:spacing w:before="200" w:line-rule="auto"/>
        <w:ind w:firstLine="540"/>
        <w:jc w:val="both"/>
      </w:pPr>
      <w:r>
        <w:rPr>
          <w:sz w:val="20"/>
        </w:rPr>
        <w:t xml:space="preserve">63. </w:t>
      </w:r>
      <w:hyperlink w:history="0" r:id="rId132" w:tooltip="Распоряжение Правительства РФ от 17.08.2017 N 1756-р (ред. от 13.10.2022) &lt;Об утверждении Стратегии развития транспортного машиностроения Российской Федерации на период до 2030 года&gt; (вместе с &quot;Планом мероприятий по реализации Стратегии развития транспортного машиностроения Российской Федерации на период до 2030 года&quot;) {КонсультантПлюс}">
        <w:r>
          <w:rPr>
            <w:sz w:val="20"/>
            <w:color w:val="0000ff"/>
          </w:rPr>
          <w:t xml:space="preserve">Стратегия</w:t>
        </w:r>
      </w:hyperlink>
      <w:r>
        <w:rPr>
          <w:sz w:val="20"/>
        </w:rPr>
        <w:t xml:space="preserve"> развития транспортного машиностроения Российской Федерации на период до 2030 года (распоряжение Правительства Российской Федерации от 17.08.2017 N 1756-р).</w:t>
      </w:r>
    </w:p>
    <w:p>
      <w:pPr>
        <w:pStyle w:val="0"/>
        <w:spacing w:before="200" w:line-rule="auto"/>
        <w:ind w:firstLine="540"/>
        <w:jc w:val="both"/>
      </w:pPr>
      <w:r>
        <w:rPr>
          <w:sz w:val="20"/>
        </w:rPr>
        <w:t xml:space="preserve">64. </w:t>
      </w:r>
      <w:hyperlink w:history="0" r:id="rId133" w:tooltip="Распоряжение Правительства РФ от 31.05.2014 N 941-р (ред. от 21.03.2019) &quot;Об утверждении Стратегии развития туризма в Российской Федерации на период до 2020 года&quot; ------------ Утратил силу или отменен {КонсультантПлюс}">
        <w:r>
          <w:rPr>
            <w:sz w:val="20"/>
            <w:color w:val="0000ff"/>
          </w:rPr>
          <w:t xml:space="preserve">Стратегия</w:t>
        </w:r>
      </w:hyperlink>
      <w:r>
        <w:rPr>
          <w:sz w:val="20"/>
        </w:rPr>
        <w:t xml:space="preserve"> развития туризма в Российской Федерации на период до 2020 года (распоряжение Правительства Российской Федерации от 31.05.2014 N 941-р).</w:t>
      </w:r>
    </w:p>
    <w:p>
      <w:pPr>
        <w:pStyle w:val="0"/>
        <w:spacing w:before="200" w:line-rule="auto"/>
        <w:ind w:firstLine="540"/>
        <w:jc w:val="both"/>
      </w:pPr>
      <w:r>
        <w:rPr>
          <w:sz w:val="20"/>
        </w:rPr>
        <w:t xml:space="preserve">65. </w:t>
      </w:r>
      <w:hyperlink w:history="0" r:id="rId134" w:tooltip="Приказ Минпромторга РФ от 23.10.2009 N 965 &quot;Об утверждении Стратегии развития фармацевтической промышленности Российской Федерации на период до 2020 года&quot; {КонсультантПлюс}">
        <w:r>
          <w:rPr>
            <w:sz w:val="20"/>
            <w:color w:val="0000ff"/>
          </w:rPr>
          <w:t xml:space="preserve">Стратегия</w:t>
        </w:r>
      </w:hyperlink>
      <w:r>
        <w:rPr>
          <w:sz w:val="20"/>
        </w:rPr>
        <w:t xml:space="preserve"> развития фармацевтической промышленности Российской Федерации на период до 2020 года (приказ Минпромторга Российской Федерации от 23.10.2009 N 965).</w:t>
      </w:r>
    </w:p>
    <w:p>
      <w:pPr>
        <w:pStyle w:val="0"/>
        <w:spacing w:before="200" w:line-rule="auto"/>
        <w:ind w:firstLine="540"/>
        <w:jc w:val="both"/>
      </w:pPr>
      <w:r>
        <w:rPr>
          <w:sz w:val="20"/>
        </w:rPr>
        <w:t xml:space="preserve">66. </w:t>
      </w:r>
      <w:hyperlink w:history="0" r:id="rId135" w:tooltip="Распоряжение Правительства РФ от 07.08.2009 N 1101-р &lt;Об утверждении Стратегии развития физической культуры и спорта в Российской Федерации на период до 2020 года&gt; {КонсультантПлюс}">
        <w:r>
          <w:rPr>
            <w:sz w:val="20"/>
            <w:color w:val="0000ff"/>
          </w:rPr>
          <w:t xml:space="preserve">Стратегия</w:t>
        </w:r>
      </w:hyperlink>
      <w:r>
        <w:rPr>
          <w:sz w:val="20"/>
        </w:rPr>
        <w:t xml:space="preserve"> развития физической культуры и спорта в Российской Федерации на период до 2020 года (распоряжение Правительства Российской Федерации от 07.08.2009 N 1101-р).</w:t>
      </w:r>
    </w:p>
    <w:p>
      <w:pPr>
        <w:pStyle w:val="0"/>
        <w:spacing w:before="200" w:line-rule="auto"/>
        <w:ind w:firstLine="540"/>
        <w:jc w:val="both"/>
      </w:pPr>
      <w:r>
        <w:rPr>
          <w:sz w:val="20"/>
        </w:rPr>
        <w:t xml:space="preserve">67. </w:t>
      </w:r>
      <w:hyperlink w:history="0" r:id="rId136"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 {КонсультантПлюс}">
        <w:r>
          <w:rPr>
            <w:sz w:val="20"/>
            <w:color w:val="0000ff"/>
          </w:rPr>
          <w:t xml:space="preserve">Стратегия</w:t>
        </w:r>
      </w:hyperlink>
      <w:r>
        <w:rPr>
          <w:sz w:val="20"/>
        </w:rPr>
        <w:t xml:space="preserve"> развития химического и нефтехимического комплекса на период до 2030 года (приказ Минпромторга России N 651, Минэнерго России N 172 от 08.04.2014).</w:t>
      </w:r>
    </w:p>
    <w:p>
      <w:pPr>
        <w:pStyle w:val="0"/>
        <w:spacing w:before="200" w:line-rule="auto"/>
        <w:ind w:firstLine="540"/>
        <w:jc w:val="both"/>
      </w:pPr>
      <w:r>
        <w:rPr>
          <w:sz w:val="20"/>
        </w:rPr>
        <w:t xml:space="preserve">68. </w:t>
      </w:r>
      <w:hyperlink w:history="0" r:id="rId137" w:tooltip="Приказ Минпромторга России от 05.05.2014 N 839 &quot;Об утверждении Стратегии развития черной металлургии России на 2014 - 2020 годы и на перспективу до 2030 года и Стратегии развития цветной металлургии России на 2014 - 2020 годы и на перспективу до 2030 года&quot; {КонсультантПлюс}">
        <w:r>
          <w:rPr>
            <w:sz w:val="20"/>
            <w:color w:val="0000ff"/>
          </w:rPr>
          <w:t xml:space="preserve">Стратегия</w:t>
        </w:r>
      </w:hyperlink>
      <w:r>
        <w:rPr>
          <w:sz w:val="20"/>
        </w:rPr>
        <w:t xml:space="preserve"> развития черной металлургии России на 2014 - 2020 годы и на перспективу до 2030 года (приказ Минпромторга России от 05.05.2014 N 839).</w:t>
      </w:r>
    </w:p>
    <w:p>
      <w:pPr>
        <w:pStyle w:val="0"/>
        <w:spacing w:before="200" w:line-rule="auto"/>
        <w:ind w:firstLine="540"/>
        <w:jc w:val="both"/>
      </w:pPr>
      <w:r>
        <w:rPr>
          <w:sz w:val="20"/>
        </w:rPr>
        <w:t xml:space="preserve">69. </w:t>
      </w:r>
      <w:hyperlink w:history="0" r:id="rId138" w:tooltip="Приказ Минпромэнерго РФ от 07.08.2007 N 311 &quot;Об утверждении Стратегии развития электронной промышленности России на период до 2025 года&quot; {КонсультантПлюс}">
        <w:r>
          <w:rPr>
            <w:sz w:val="20"/>
            <w:color w:val="0000ff"/>
          </w:rPr>
          <w:t xml:space="preserve">Стратегия</w:t>
        </w:r>
      </w:hyperlink>
      <w:r>
        <w:rPr>
          <w:sz w:val="20"/>
        </w:rPr>
        <w:t xml:space="preserve"> развития электронной промышленности России на период до 2025 года (приказ Минпромэнерго России от 07.08.2007 N 311).</w:t>
      </w:r>
    </w:p>
    <w:p>
      <w:pPr>
        <w:pStyle w:val="0"/>
        <w:spacing w:before="200" w:line-rule="auto"/>
        <w:ind w:firstLine="540"/>
        <w:jc w:val="both"/>
      </w:pPr>
      <w:r>
        <w:rPr>
          <w:sz w:val="20"/>
        </w:rPr>
        <w:t xml:space="preserve">70. </w:t>
      </w:r>
      <w:hyperlink w:history="0" r:id="rId139" w:tooltip="Распоряжение Правительства РФ от 03.04.2013 N 511-р (ред. от 29.11.2017) &lt;Об утверждении Стратегии развития электросетевого комплекса Российской Федерации&gt; {КонсультантПлюс}">
        <w:r>
          <w:rPr>
            <w:sz w:val="20"/>
            <w:color w:val="0000ff"/>
          </w:rPr>
          <w:t xml:space="preserve">Стратегия</w:t>
        </w:r>
      </w:hyperlink>
      <w:r>
        <w:rPr>
          <w:sz w:val="20"/>
        </w:rPr>
        <w:t xml:space="preserve"> развития электросетевого комплекса Российской Федерации (распоряжение Правительства Российской Федерации от 03.04.2013 N 511-р).</w:t>
      </w:r>
    </w:p>
    <w:p>
      <w:pPr>
        <w:pStyle w:val="0"/>
        <w:spacing w:before="200" w:line-rule="auto"/>
        <w:ind w:firstLine="540"/>
        <w:jc w:val="both"/>
      </w:pPr>
      <w:r>
        <w:rPr>
          <w:sz w:val="20"/>
        </w:rPr>
        <w:t xml:space="preserve">71. </w:t>
      </w:r>
      <w:hyperlink w:history="0" r:id="rId140" w:tooltip="Приказ Минпромторга России от 22.02.2011 N 206 &quot;Об утверждении Стратегии развития энергомашиностроения Российской Федерации на 2010 - 2020 годы и на перспективу до 2030 года&quot; {КонсультантПлюс}">
        <w:r>
          <w:rPr>
            <w:sz w:val="20"/>
            <w:color w:val="0000ff"/>
          </w:rPr>
          <w:t xml:space="preserve">Стратегия</w:t>
        </w:r>
      </w:hyperlink>
      <w:r>
        <w:rPr>
          <w:sz w:val="20"/>
        </w:rPr>
        <w:t xml:space="preserve"> развития энергомашиностроения Российской Федерации на 2010 - 2020 годы и на перспективу до 2030 года (приказ Минпромторга России от 22.02.2011 N 206).</w:t>
      </w:r>
    </w:p>
    <w:p>
      <w:pPr>
        <w:pStyle w:val="0"/>
        <w:spacing w:before="200" w:line-rule="auto"/>
        <w:ind w:firstLine="540"/>
        <w:jc w:val="both"/>
      </w:pPr>
      <w:r>
        <w:rPr>
          <w:sz w:val="20"/>
        </w:rPr>
        <w:t xml:space="preserve">72. </w:t>
      </w:r>
      <w:hyperlink w:history="0" r:id="rId141" w:tooltip="Указ Президента РФ от 06.06.2019 N 254 (ред. от 27.03.2023) &quot;О Стратегии развития здравоохранения в Российской Федерации на период до 2025 года&quot; {КонсультантПлюс}">
        <w:r>
          <w:rPr>
            <w:sz w:val="20"/>
            <w:color w:val="0000ff"/>
          </w:rPr>
          <w:t xml:space="preserve">Стратегия</w:t>
        </w:r>
      </w:hyperlink>
      <w:r>
        <w:rPr>
          <w:sz w:val="20"/>
        </w:rPr>
        <w:t xml:space="preserve"> развития здравоохранения в Российской Федерации на период до 2025 года (Указ Президента Российской Федерации от 06.06.2019 N 254).</w:t>
      </w:r>
    </w:p>
    <w:p>
      <w:pPr>
        <w:pStyle w:val="0"/>
        <w:spacing w:before="200" w:line-rule="auto"/>
        <w:ind w:firstLine="540"/>
        <w:jc w:val="both"/>
      </w:pPr>
      <w:r>
        <w:rPr>
          <w:sz w:val="20"/>
        </w:rPr>
        <w:t xml:space="preserve">73. </w:t>
      </w:r>
      <w:hyperlink w:history="0" r:id="rId142" w:tooltip="Распоряжение Правительства РФ от 14.08.2019 N 1797-р (ред. от 14.03.2023) &lt;Об утверждении Стратегии развития экспорта услуг до 2025 года&gt; (вместе с &quot;Планом мероприятий по реализации Стратегии развития экспорта услуг до 2025 года&quot;) {КонсультантПлюс}">
        <w:r>
          <w:rPr>
            <w:sz w:val="20"/>
            <w:color w:val="0000ff"/>
          </w:rPr>
          <w:t xml:space="preserve">Стратегия</w:t>
        </w:r>
      </w:hyperlink>
      <w:r>
        <w:rPr>
          <w:sz w:val="20"/>
        </w:rPr>
        <w:t xml:space="preserve"> развития экспорта услуг до 2025 года (распоряжение Правительства Российской Федерации от 14.08.2019 N 1797-р).</w:t>
      </w:r>
    </w:p>
    <w:p>
      <w:pPr>
        <w:pStyle w:val="0"/>
        <w:spacing w:before="200" w:line-rule="auto"/>
        <w:ind w:firstLine="540"/>
        <w:jc w:val="both"/>
      </w:pPr>
      <w:r>
        <w:rPr>
          <w:sz w:val="20"/>
        </w:rPr>
        <w:t xml:space="preserve">74. </w:t>
      </w:r>
      <w:hyperlink w:history="0" r:id="rId143" w:tooltip="Распоряжение Правительства РФ от 03.06.2019 N 1188-р &lt;Об утверждении Стратегии развития спортивной индустрии до 2035 года&gt; {КонсультантПлюс}">
        <w:r>
          <w:rPr>
            <w:sz w:val="20"/>
            <w:color w:val="0000ff"/>
          </w:rPr>
          <w:t xml:space="preserve">Стратегия</w:t>
        </w:r>
      </w:hyperlink>
      <w:r>
        <w:rPr>
          <w:sz w:val="20"/>
        </w:rPr>
        <w:t xml:space="preserve"> развития спортивной индустрии до 2035 года (распоряжение Правительства Российской Федерации от 03.06.2019 N 1188-р).</w:t>
      </w:r>
    </w:p>
    <w:p>
      <w:pPr>
        <w:pStyle w:val="0"/>
        <w:spacing w:before="200" w:line-rule="auto"/>
        <w:ind w:firstLine="540"/>
        <w:jc w:val="both"/>
      </w:pPr>
      <w:r>
        <w:rPr>
          <w:sz w:val="20"/>
        </w:rPr>
        <w:t xml:space="preserve">75. </w:t>
      </w:r>
      <w:hyperlink w:history="0" r:id="rId144" w:tooltip="Распоряжение Правительства РФ от 26.11.2019 N 2798-р (ред. от 12.05.2022) &lt;Об утверждении Стратегии развития рыбохозяйственного комплекса Российской Федерации на период до 2030 года&gt; (вместе с &quot;Планом мероприятий по реализации стратегии развития рыбохозяйственного комплекса Российской Федерации на период до 2030 года&quot;) ------------ Утратил силу или отменен {КонсультантПлюс}">
        <w:r>
          <w:rPr>
            <w:sz w:val="20"/>
            <w:color w:val="0000ff"/>
          </w:rPr>
          <w:t xml:space="preserve">Стратегия</w:t>
        </w:r>
      </w:hyperlink>
      <w:r>
        <w:rPr>
          <w:sz w:val="20"/>
        </w:rPr>
        <w:t xml:space="preserve"> развития рыбохозяйственного комплекса Российской Федерации на период до 2030 года (вместе с Планом мероприятий по реализации стратегии развития рыбохозяйственного комплекса Российской Федерации на период до 2030 года) (распоряжение Правительства Российской Федерации от 26.11.2019 N 2798-р).</w:t>
      </w:r>
    </w:p>
    <w:p>
      <w:pPr>
        <w:pStyle w:val="0"/>
        <w:spacing w:before="200" w:line-rule="auto"/>
        <w:ind w:firstLine="540"/>
        <w:jc w:val="both"/>
      </w:pPr>
      <w:r>
        <w:rPr>
          <w:sz w:val="20"/>
        </w:rPr>
        <w:t xml:space="preserve">76. </w:t>
      </w:r>
      <w:hyperlink w:history="0" r:id="rId145" w:tooltip="Распоряжение Правительства РФ от 20.09.2019 N 2129-р (ред. от 07.02.2022) &lt;Об утверждении Стратегии развития туризма в Российской Федерации на период до 2035 года&gt; {КонсультантПлюс}">
        <w:r>
          <w:rPr>
            <w:sz w:val="20"/>
            <w:color w:val="0000ff"/>
          </w:rPr>
          <w:t xml:space="preserve">Стратегия</w:t>
        </w:r>
      </w:hyperlink>
      <w:r>
        <w:rPr>
          <w:sz w:val="20"/>
        </w:rPr>
        <w:t xml:space="preserve"> развития туризма в Российской Федерации на период до 2035 года (распоряжение Правительства Российской Федерации от 20.09.2019 N 2129-р).</w:t>
      </w:r>
    </w:p>
    <w:p>
      <w:pPr>
        <w:pStyle w:val="0"/>
        <w:spacing w:before="200" w:line-rule="auto"/>
        <w:ind w:firstLine="540"/>
        <w:jc w:val="both"/>
      </w:pPr>
      <w:r>
        <w:rPr>
          <w:sz w:val="20"/>
        </w:rPr>
        <w:t xml:space="preserve">77. </w:t>
      </w:r>
      <w:hyperlink w:history="0" r:id="rId146" w:tooltip="Распоряжение Правительства РФ от 30.08.2019 N 1931-р &lt;Об утверждении Стратегии развития машиностроения для пищевой и перерабатывающей промышленности России на период до 2030 года&gt; (вместе со &quot;Стратегией развития машиностроения для пищевой и перерабатывающей промышленности Российской Федерации на период до 2030 года&quot;) {КонсультантПлюс}">
        <w:r>
          <w:rPr>
            <w:sz w:val="20"/>
            <w:color w:val="0000ff"/>
          </w:rPr>
          <w:t xml:space="preserve">Стратегия</w:t>
        </w:r>
      </w:hyperlink>
      <w:r>
        <w:rPr>
          <w:sz w:val="20"/>
        </w:rPr>
        <w:t xml:space="preserve"> развития машиностроения для пищевой и перерабатывающей промышленности России на период до 2030 года (распоряжение Правительства Российской Федерации от 30.08.2019 N 1931-р).</w:t>
      </w:r>
    </w:p>
    <w:p>
      <w:pPr>
        <w:pStyle w:val="0"/>
        <w:spacing w:before="200" w:line-rule="auto"/>
        <w:ind w:firstLine="540"/>
        <w:jc w:val="both"/>
      </w:pPr>
      <w:r>
        <w:rPr>
          <w:sz w:val="20"/>
        </w:rPr>
        <w:t xml:space="preserve">78. </w:t>
      </w:r>
      <w:hyperlink w:history="0" r:id="rId147" w:tooltip="Распоряжение Правительства РФ от 17.01.2020 N 20-р &lt;Об утверждении Стратегии развития электронной промышленности Российской Федерации на период до 2030 года&gt; {КонсультантПлюс}">
        <w:r>
          <w:rPr>
            <w:sz w:val="20"/>
            <w:color w:val="0000ff"/>
          </w:rPr>
          <w:t xml:space="preserve">Стратегия</w:t>
        </w:r>
      </w:hyperlink>
      <w:r>
        <w:rPr>
          <w:sz w:val="20"/>
        </w:rPr>
        <w:t xml:space="preserve"> развития электронной промышленности Российской Федерации на период до 2030 года (распоряжение Правительства Российской Федерации от 17.01.2020 N 20-р).</w:t>
      </w:r>
    </w:p>
    <w:p>
      <w:pPr>
        <w:pStyle w:val="0"/>
        <w:spacing w:before="200" w:line-rule="auto"/>
        <w:ind w:firstLine="540"/>
        <w:jc w:val="both"/>
      </w:pPr>
      <w:r>
        <w:rPr>
          <w:sz w:val="20"/>
        </w:rPr>
        <w:t xml:space="preserve">79. </w:t>
      </w:r>
      <w:hyperlink w:history="0" r:id="rId148" w:tooltip="Распоряжение Правительства РФ от 17.02.2014 N 212-р &lt;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gt; {КонсультантПлюс}">
        <w:r>
          <w:rPr>
            <w:sz w:val="20"/>
            <w:color w:val="0000ff"/>
          </w:rPr>
          <w:t xml:space="preserve">Стратегия</w:t>
        </w:r>
      </w:hyperlink>
      <w:r>
        <w:rPr>
          <w:sz w:val="20"/>
        </w:rPr>
        <w:t xml:space="preserve"> сохранения редких и находящихся под угрозой исчезновения видов животных, растений и грибов в Российской Федерации на период до 2030 года (распоряжение Правительства Российской Федерации от 17.02.2014 N 212-р).</w:t>
      </w:r>
    </w:p>
    <w:p>
      <w:pPr>
        <w:pStyle w:val="0"/>
        <w:spacing w:before="200" w:line-rule="auto"/>
        <w:ind w:firstLine="540"/>
        <w:jc w:val="both"/>
      </w:pPr>
      <w:r>
        <w:rPr>
          <w:sz w:val="20"/>
        </w:rPr>
        <w:t xml:space="preserve">80. </w:t>
      </w:r>
      <w:hyperlink w:history="0" r:id="rId149" w:tooltip="Распоряжение Правительства РФ от 02.02.2015 N 151-р (ред. от 13.01.2017) &lt;Об утверждении Стратегии устойчивого развития сельских территорий Российской Федерации на период до 2030 года&gt; {КонсультантПлюс}">
        <w:r>
          <w:rPr>
            <w:sz w:val="20"/>
            <w:color w:val="0000ff"/>
          </w:rPr>
          <w:t xml:space="preserve">Стратегия</w:t>
        </w:r>
      </w:hyperlink>
      <w:r>
        <w:rPr>
          <w:sz w:val="20"/>
        </w:rPr>
        <w:t xml:space="preserve"> устойчивого развития сельских территорий Российской Федерации на период до 2030 года (распоряжение Правительства Российской Федерации от 02.02.2015 N 151-р).</w:t>
      </w:r>
    </w:p>
    <w:p>
      <w:pPr>
        <w:pStyle w:val="0"/>
        <w:spacing w:before="200" w:line-rule="auto"/>
        <w:ind w:firstLine="540"/>
        <w:jc w:val="both"/>
      </w:pPr>
      <w:r>
        <w:rPr>
          <w:sz w:val="20"/>
        </w:rPr>
        <w:t xml:space="preserve">81. </w:t>
      </w:r>
      <w:hyperlink w:history="0" r:id="rId150" w:tooltip="Указ Президента РФ от 19.04.2017 N 176 &quot;О Стратегии экологической безопасности Российской Федерации на период до 2025 года&quot; {КонсультантПлюс}">
        <w:r>
          <w:rPr>
            <w:sz w:val="20"/>
            <w:color w:val="0000ff"/>
          </w:rPr>
          <w:t xml:space="preserve">Стратегия</w:t>
        </w:r>
      </w:hyperlink>
      <w:r>
        <w:rPr>
          <w:sz w:val="20"/>
        </w:rPr>
        <w:t xml:space="preserve"> экологической безопасности Российской Федерации на период до 2025 года (Указ Президента Российской Федерации от 19.04.2017 N 176).</w:t>
      </w:r>
    </w:p>
    <w:p>
      <w:pPr>
        <w:pStyle w:val="0"/>
        <w:spacing w:before="200" w:line-rule="auto"/>
        <w:ind w:firstLine="540"/>
        <w:jc w:val="both"/>
      </w:pPr>
      <w:r>
        <w:rPr>
          <w:sz w:val="20"/>
        </w:rPr>
        <w:t xml:space="preserve">82. </w:t>
      </w:r>
      <w:hyperlink w:history="0" r:id="rId151" w:tooltip="Указ Президента РФ от 13.05.2017 N 208 &quot;О Стратегии экономической безопасности Российской Федерации на период до 2030 года&quot; {КонсультантПлюс}">
        <w:r>
          <w:rPr>
            <w:sz w:val="20"/>
            <w:color w:val="0000ff"/>
          </w:rPr>
          <w:t xml:space="preserve">Стратегия</w:t>
        </w:r>
      </w:hyperlink>
      <w:r>
        <w:rPr>
          <w:sz w:val="20"/>
        </w:rPr>
        <w:t xml:space="preserve"> экономической безопасности Российской Федерации на период до 2030 года (Указ Президента Российской Федерации от 13.05.2017 N 208).</w:t>
      </w:r>
    </w:p>
    <w:p>
      <w:pPr>
        <w:pStyle w:val="0"/>
        <w:spacing w:before="200" w:line-rule="auto"/>
        <w:ind w:firstLine="540"/>
        <w:jc w:val="both"/>
      </w:pPr>
      <w:r>
        <w:rPr>
          <w:sz w:val="20"/>
        </w:rPr>
        <w:t xml:space="preserve">83. Транспортная </w:t>
      </w:r>
      <w:hyperlink w:history="0" r:id="rId152" w:tooltip="Распоряжение Правительства РФ от 22.11.2008 N 1734-р (ред. от 12.05.2018) &lt;О Транспортной стратегии Российской Федерации&gt; ------------ Утратил силу или отменен {КонсультантПлюс}">
        <w:r>
          <w:rPr>
            <w:sz w:val="20"/>
            <w:color w:val="0000ff"/>
          </w:rPr>
          <w:t xml:space="preserve">стратегия</w:t>
        </w:r>
      </w:hyperlink>
      <w:r>
        <w:rPr>
          <w:sz w:val="20"/>
        </w:rPr>
        <w:t xml:space="preserve"> Российской Федерации на период до 2030 года (распоряжение Правительства Российской Федерации от 22.11.2008 N 1734-р).</w:t>
      </w:r>
    </w:p>
    <w:p>
      <w:pPr>
        <w:pStyle w:val="0"/>
        <w:spacing w:before="200" w:line-rule="auto"/>
        <w:ind w:firstLine="540"/>
        <w:jc w:val="both"/>
      </w:pPr>
      <w:r>
        <w:rPr>
          <w:sz w:val="20"/>
        </w:rPr>
        <w:t xml:space="preserve">84. </w:t>
      </w:r>
      <w:hyperlink w:history="0" r:id="rId153" w:tooltip="Указ Президента РФ от 21.12.2017 N 618 &quot;Об основных направлениях государственной политики по развитию конкуренции&quot; (вместе с &quot;Национальным планом развития конкуренции в Российской Федерации на 2018 - 2020 годы&quot;) {КонсультантПлюс}">
        <w:r>
          <w:rPr>
            <w:sz w:val="20"/>
            <w:color w:val="0000ff"/>
          </w:rPr>
          <w:t xml:space="preserve">Указ</w:t>
        </w:r>
      </w:hyperlink>
      <w:r>
        <w:rPr>
          <w:sz w:val="20"/>
        </w:rPr>
        <w:t xml:space="preserve"> Президента Российской Федерации от 21.12.2017 N 618 "Об основных направлениях государственной политики по развитию конкуренции" (вместе с Национальным планом развития конкуренции в Российской Федерации на 2018 - 2020 годы).</w:t>
      </w:r>
    </w:p>
    <w:p>
      <w:pPr>
        <w:pStyle w:val="0"/>
        <w:spacing w:before="200" w:line-rule="auto"/>
        <w:ind w:firstLine="540"/>
        <w:jc w:val="both"/>
      </w:pPr>
      <w:r>
        <w:rPr>
          <w:sz w:val="20"/>
        </w:rPr>
        <w:t xml:space="preserve">85. </w:t>
      </w:r>
      <w:hyperlink w:history="0" r:id="rId154" w:tooltip="Указ Президента РФ от 10.10.2019 N 490 (ред. от 15.02.2024) &quot;О развитии искусственного интеллекта в Российской Федерации&quot; (вместе с &quot;Национальной стратегией развития искусственного интеллекта на период до 2030 года&quot;) {КонсультантПлюс}">
        <w:r>
          <w:rPr>
            <w:sz w:val="20"/>
            <w:color w:val="0000ff"/>
          </w:rPr>
          <w:t xml:space="preserve">Указ</w:t>
        </w:r>
      </w:hyperlink>
      <w:r>
        <w:rPr>
          <w:sz w:val="20"/>
        </w:rPr>
        <w:t xml:space="preserve"> Президента Российской Федерации от 10.10.2019 N 490 "О развитии искусственного интеллекта в Российской Федерации" (вместе с Национальной стратегией развития искусственного интеллекта на период до 2030 года).</w:t>
      </w:r>
    </w:p>
    <w:p>
      <w:pPr>
        <w:pStyle w:val="0"/>
        <w:spacing w:before="200" w:line-rule="auto"/>
        <w:ind w:firstLine="540"/>
        <w:jc w:val="both"/>
      </w:pPr>
      <w:r>
        <w:rPr>
          <w:sz w:val="20"/>
        </w:rPr>
        <w:t xml:space="preserve">86. </w:t>
      </w:r>
      <w:hyperlink w:history="0" r:id="rId155" w:tooltip="Указ Президента РФ от 28.12.2012 N 1688 (ред. от 14.11.2017) &quot;О некоторых мерах по реализации государственной политики в сфере защиты детей-сирот и детей, оставшихся без попечения родителей&quot; {КонсультантПлюс}">
        <w:r>
          <w:rPr>
            <w:sz w:val="20"/>
            <w:color w:val="0000ff"/>
          </w:rPr>
          <w:t xml:space="preserve">Указ</w:t>
        </w:r>
      </w:hyperlink>
      <w:r>
        <w:rPr>
          <w:sz w:val="20"/>
        </w:rPr>
        <w:t xml:space="preserve"> Президента Российской Федерации от 28.12.2012 N 1688 "О некоторых мерах по реализации государственной политики в сфере защиты детей-сирот и детей, оставшихся без попечения родителей".</w:t>
      </w:r>
    </w:p>
    <w:p>
      <w:pPr>
        <w:pStyle w:val="0"/>
        <w:spacing w:before="200" w:line-rule="auto"/>
        <w:ind w:firstLine="540"/>
        <w:jc w:val="both"/>
      </w:pPr>
      <w:r>
        <w:rPr>
          <w:sz w:val="20"/>
        </w:rPr>
        <w:t xml:space="preserve">87. Экологическая </w:t>
      </w:r>
      <w:hyperlink w:history="0" r:id="rId156" w:tooltip="Распоряжение Правительства РФ от 31.08.2002 N 1225-р &lt;Об Экологической доктрине Российской Федерации&gt; {КонсультантПлюс}">
        <w:r>
          <w:rPr>
            <w:sz w:val="20"/>
            <w:color w:val="0000ff"/>
          </w:rPr>
          <w:t xml:space="preserve">доктрина</w:t>
        </w:r>
      </w:hyperlink>
      <w:r>
        <w:rPr>
          <w:sz w:val="20"/>
        </w:rPr>
        <w:t xml:space="preserve"> Российской Федерации (распоряжение Правительства Российской Федерации от 31.08.2002 N 1225-р).</w:t>
      </w:r>
    </w:p>
    <w:p>
      <w:pPr>
        <w:pStyle w:val="0"/>
        <w:spacing w:before="200" w:line-rule="auto"/>
        <w:ind w:firstLine="540"/>
        <w:jc w:val="both"/>
      </w:pPr>
      <w:r>
        <w:rPr>
          <w:sz w:val="20"/>
        </w:rPr>
        <w:t xml:space="preserve">88. Энергетическая </w:t>
      </w:r>
      <w:hyperlink w:history="0" r:id="rId157" w:tooltip="Распоряжение Правительства РФ от 13.11.2009 N 1715-р &lt;Об Энергетической стратегии России на период до 2030 года&gt; ------------ Утратил силу или отменен {КонсультантПлюс}">
        <w:r>
          <w:rPr>
            <w:sz w:val="20"/>
            <w:color w:val="0000ff"/>
          </w:rPr>
          <w:t xml:space="preserve">стратегия</w:t>
        </w:r>
      </w:hyperlink>
      <w:r>
        <w:rPr>
          <w:sz w:val="20"/>
        </w:rPr>
        <w:t xml:space="preserve"> России на период до 2030 года (распоряжение Правительства Российской Федерации от 13.11.2009 N 1715-р).</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Закон Тюменской области от 24.03.2020 N 23</w:t>
            <w:br/>
            <w:t>(ред. от 27.03.2024)</w:t>
            <w:br/>
            <w:t>"Об утверждении Стратегии социально-экономического разви...</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10.06.2024</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Закон Тюменской области от 24.03.2020 N 23</w:t>
            <w:br/>
            <w:t>(ред. от 27.03.2024)</w:t>
            <w:br/>
            <w:t>"Об утверждении Стратегии социально-экономического разви...</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10.06.2024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LAW026&amp;n=212334&amp;dst=100008" TargetMode = "External"/>
	<Relationship Id="rId8" Type="http://schemas.openxmlformats.org/officeDocument/2006/relationships/hyperlink" Target="https://login.consultant.ru/link/?req=doc&amp;base=RLAW026&amp;n=212334&amp;dst=100008" TargetMode = "External"/>
	<Relationship Id="rId9" Type="http://schemas.openxmlformats.org/officeDocument/2006/relationships/hyperlink" Target="https://login.consultant.ru/link/?req=doc&amp;base=RLAW026&amp;n=127736&amp;dst=100013" TargetMode = "External"/>
	<Relationship Id="rId10" Type="http://schemas.openxmlformats.org/officeDocument/2006/relationships/hyperlink" Target="https://login.consultant.ru/link/?req=doc&amp;base=RLAW026&amp;n=158786&amp;dst=100043" TargetMode = "External"/>
	<Relationship Id="rId11" Type="http://schemas.openxmlformats.org/officeDocument/2006/relationships/hyperlink" Target="https://login.consultant.ru/link/?req=doc&amp;base=RLAW026&amp;n=135970&amp;dst=100190" TargetMode = "External"/>
	<Relationship Id="rId12" Type="http://schemas.openxmlformats.org/officeDocument/2006/relationships/hyperlink" Target="https://login.consultant.ru/link/?req=doc&amp;base=LAW&amp;n=439977&amp;dst=15" TargetMode = "External"/>
	<Relationship Id="rId13" Type="http://schemas.openxmlformats.org/officeDocument/2006/relationships/hyperlink" Target="https://login.consultant.ru/link/?req=doc&amp;base=LAW&amp;n=191669&amp;dst=100015" TargetMode = "External"/>
	<Relationship Id="rId14" Type="http://schemas.openxmlformats.org/officeDocument/2006/relationships/hyperlink" Target="https://login.consultant.ru/link/?req=doc&amp;base=LAW&amp;n=358026" TargetMode = "External"/>
	<Relationship Id="rId15" Type="http://schemas.openxmlformats.org/officeDocument/2006/relationships/hyperlink" Target="https://login.consultant.ru/link/?req=doc&amp;base=LAW&amp;n=308069&amp;dst=100008" TargetMode = "External"/>
	<Relationship Id="rId16" Type="http://schemas.openxmlformats.org/officeDocument/2006/relationships/hyperlink" Target="https://login.consultant.ru/link/?req=doc&amp;base=LAW&amp;n=428211&amp;dst=100009" TargetMode = "External"/>
	<Relationship Id="rId17" Type="http://schemas.openxmlformats.org/officeDocument/2006/relationships/hyperlink" Target="https://login.consultant.ru/link/?req=doc&amp;base=LAW&amp;n=173694&amp;dst=100010" TargetMode = "External"/>
	<Relationship Id="rId18" Type="http://schemas.openxmlformats.org/officeDocument/2006/relationships/hyperlink" Target="https://login.consultant.ru/link/?req=doc&amp;base=LAW&amp;n=144138" TargetMode = "External"/>
	<Relationship Id="rId19" Type="http://schemas.openxmlformats.org/officeDocument/2006/relationships/hyperlink" Target="https://login.consultant.ru/link/?req=doc&amp;base=LAW&amp;n=468900" TargetMode = "Externa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hyperlink" Target="https://login.consultant.ru/link/?req=doc&amp;base=LAW&amp;n=314123&amp;dst=896" TargetMode = "External"/>
	<Relationship Id="rId24" Type="http://schemas.openxmlformats.org/officeDocument/2006/relationships/hyperlink" Target="https://login.consultant.ru/link/?req=doc&amp;base=RLAW026&amp;n=191895" TargetMode = "External"/>
	<Relationship Id="rId25" Type="http://schemas.openxmlformats.org/officeDocument/2006/relationships/hyperlink" Target="https://login.consultant.ru/link/?req=doc&amp;base=RLAW026&amp;n=177299" TargetMode = "External"/>
	<Relationship Id="rId26" Type="http://schemas.openxmlformats.org/officeDocument/2006/relationships/hyperlink" Target="https://login.consultant.ru/link/?req=doc&amp;base=RLAW026&amp;n=202786" TargetMode = "External"/>
	<Relationship Id="rId27" Type="http://schemas.openxmlformats.org/officeDocument/2006/relationships/hyperlink" Target="https://login.consultant.ru/link/?req=doc&amp;base=RLAW026&amp;n=163155&amp;dst=100011" TargetMode = "External"/>
	<Relationship Id="rId28" Type="http://schemas.openxmlformats.org/officeDocument/2006/relationships/hyperlink" Target="https://login.consultant.ru/link/?req=doc&amp;base=LAW&amp;n=460024" TargetMode = "External"/>
	<Relationship Id="rId29" Type="http://schemas.openxmlformats.org/officeDocument/2006/relationships/hyperlink" Target="https://login.consultant.ru/link/?req=doc&amp;base=LAW&amp;n=460024" TargetMode = "External"/>
	<Relationship Id="rId30" Type="http://schemas.openxmlformats.org/officeDocument/2006/relationships/hyperlink" Target="https://login.consultant.ru/link/?req=doc&amp;base=LAW&amp;n=454943&amp;dst=2" TargetMode = "External"/>
	<Relationship Id="rId31" Type="http://schemas.openxmlformats.org/officeDocument/2006/relationships/hyperlink" Target="https://login.consultant.ru/link/?req=doc&amp;base=LAW&amp;n=199767&amp;dst=100014" TargetMode = "External"/>
	<Relationship Id="rId32" Type="http://schemas.openxmlformats.org/officeDocument/2006/relationships/hyperlink" Target="https://login.consultant.ru/link/?req=doc&amp;base=LAW&amp;n=171835&amp;dst=100014" TargetMode = "External"/>
	<Relationship Id="rId33" Type="http://schemas.openxmlformats.org/officeDocument/2006/relationships/hyperlink" Target="https://login.consultant.ru/link/?req=doc&amp;base=LAW&amp;n=222470&amp;dst=100009" TargetMode = "External"/>
	<Relationship Id="rId34" Type="http://schemas.openxmlformats.org/officeDocument/2006/relationships/hyperlink" Target="https://login.consultant.ru/link/?req=doc&amp;base=RLAW026&amp;n=63313" TargetMode = "External"/>
	<Relationship Id="rId35" Type="http://schemas.openxmlformats.org/officeDocument/2006/relationships/hyperlink" Target="https://login.consultant.ru/link/?req=doc&amp;base=RLAW026&amp;n=127041&amp;dst=100462" TargetMode = "External"/>
	<Relationship Id="rId36" Type="http://schemas.openxmlformats.org/officeDocument/2006/relationships/hyperlink" Target="https://login.consultant.ru/link/?req=doc&amp;base=RLAW026&amp;n=212334&amp;dst=100008" TargetMode = "External"/>
	<Relationship Id="rId37" Type="http://schemas.openxmlformats.org/officeDocument/2006/relationships/header" Target="header2.xml"/>
	<Relationship Id="rId38" Type="http://schemas.openxmlformats.org/officeDocument/2006/relationships/footer" Target="footer2.xml"/>
	<Relationship Id="rId39" Type="http://schemas.openxmlformats.org/officeDocument/2006/relationships/hyperlink" Target="https://login.consultant.ru/link/?req=doc&amp;base=LAW&amp;n=358026" TargetMode = "External"/>
	<Relationship Id="rId40" Type="http://schemas.openxmlformats.org/officeDocument/2006/relationships/image" Target="media/image5.png"/>
	<Relationship Id="rId41" Type="http://schemas.openxmlformats.org/officeDocument/2006/relationships/image" Target="media/image6.png"/>
	<Relationship Id="rId42" Type="http://schemas.openxmlformats.org/officeDocument/2006/relationships/image" Target="media/image7.png"/>
	<Relationship Id="rId43" Type="http://schemas.openxmlformats.org/officeDocument/2006/relationships/hyperlink" Target="https://login.consultant.ru/link/?req=doc&amp;base=LAW&amp;n=454121" TargetMode = "External"/>
	<Relationship Id="rId44" Type="http://schemas.openxmlformats.org/officeDocument/2006/relationships/hyperlink" Target="https://login.consultant.ru/link/?req=doc&amp;base=RLAW026&amp;n=155090" TargetMode = "External"/>
	<Relationship Id="rId45" Type="http://schemas.openxmlformats.org/officeDocument/2006/relationships/hyperlink" Target="https://login.consultant.ru/link/?req=doc&amp;base=RLAW026&amp;n=214867" TargetMode = "External"/>
	<Relationship Id="rId46" Type="http://schemas.openxmlformats.org/officeDocument/2006/relationships/image" Target="media/image8.png"/>
	<Relationship Id="rId47" Type="http://schemas.openxmlformats.org/officeDocument/2006/relationships/image" Target="media/image9.png"/>
	<Relationship Id="rId48" Type="http://schemas.openxmlformats.org/officeDocument/2006/relationships/image" Target="media/image10.png"/>
	<Relationship Id="rId49" Type="http://schemas.openxmlformats.org/officeDocument/2006/relationships/image" Target="media/image11.png"/>
	<Relationship Id="rId50" Type="http://schemas.openxmlformats.org/officeDocument/2006/relationships/image" Target="media/image12.png"/>
	<Relationship Id="rId51" Type="http://schemas.openxmlformats.org/officeDocument/2006/relationships/image" Target="media/image13.png"/>
	<Relationship Id="rId52" Type="http://schemas.openxmlformats.org/officeDocument/2006/relationships/hyperlink" Target="https://login.consultant.ru/link/?req=doc&amp;base=LAW&amp;n=428211&amp;dst=100009" TargetMode = "External"/>
	<Relationship Id="rId53" Type="http://schemas.openxmlformats.org/officeDocument/2006/relationships/image" Target="media/image14.png"/>
	<Relationship Id="rId54" Type="http://schemas.openxmlformats.org/officeDocument/2006/relationships/image" Target="media/image15.png"/>
	<Relationship Id="rId55" Type="http://schemas.openxmlformats.org/officeDocument/2006/relationships/hyperlink" Target="https://login.consultant.ru/link/?req=doc&amp;base=RLAW026&amp;n=11541" TargetMode = "External"/>
	<Relationship Id="rId56" Type="http://schemas.openxmlformats.org/officeDocument/2006/relationships/hyperlink" Target="https://login.consultant.ru/link/?req=doc&amp;base=RLAW026&amp;n=11541" TargetMode = "External"/>
	<Relationship Id="rId57" Type="http://schemas.openxmlformats.org/officeDocument/2006/relationships/hyperlink" Target="https://login.consultant.ru/link/?req=doc&amp;base=LAW&amp;n=468900" TargetMode = "External"/>
	<Relationship Id="rId58" Type="http://schemas.openxmlformats.org/officeDocument/2006/relationships/hyperlink" Target="https://login.consultant.ru/link/?req=doc&amp;base=RLAW026&amp;n=127736" TargetMode = "External"/>
	<Relationship Id="rId59" Type="http://schemas.openxmlformats.org/officeDocument/2006/relationships/hyperlink" Target="https://login.consultant.ru/link/?req=doc&amp;base=LAW&amp;n=464688" TargetMode = "External"/>
	<Relationship Id="rId60" Type="http://schemas.openxmlformats.org/officeDocument/2006/relationships/hyperlink" Target="https://login.consultant.ru/link/?req=doc&amp;base=LAW&amp;n=285796" TargetMode = "External"/>
	<Relationship Id="rId61" Type="http://schemas.openxmlformats.org/officeDocument/2006/relationships/hyperlink" Target="https://login.consultant.ru/link/?req=doc&amp;base=LAW&amp;n=323102&amp;dst=100017" TargetMode = "External"/>
	<Relationship Id="rId62" Type="http://schemas.openxmlformats.org/officeDocument/2006/relationships/hyperlink" Target="https://login.consultant.ru/link/?req=doc&amp;base=RLAW026&amp;n=205316" TargetMode = "External"/>
	<Relationship Id="rId63" Type="http://schemas.openxmlformats.org/officeDocument/2006/relationships/hyperlink" Target="https://login.consultant.ru/link/?req=doc&amp;base=RLAW026&amp;n=212291" TargetMode = "External"/>
	<Relationship Id="rId64" Type="http://schemas.openxmlformats.org/officeDocument/2006/relationships/hyperlink" Target="https://login.consultant.ru/link/?req=doc&amp;base=RLAW026&amp;n=205916&amp;dst=100418" TargetMode = "External"/>
	<Relationship Id="rId65" Type="http://schemas.openxmlformats.org/officeDocument/2006/relationships/hyperlink" Target="https://login.consultant.ru/link/?req=doc&amp;base=RLAW026&amp;n=201011" TargetMode = "External"/>
	<Relationship Id="rId66" Type="http://schemas.openxmlformats.org/officeDocument/2006/relationships/image" Target="media/image16.png"/>
	<Relationship Id="rId67" Type="http://schemas.openxmlformats.org/officeDocument/2006/relationships/hyperlink" Target="https://login.consultant.ru/link/?req=doc&amp;base=LAW&amp;n=319212" TargetMode = "External"/>
	<Relationship Id="rId68" Type="http://schemas.openxmlformats.org/officeDocument/2006/relationships/hyperlink" Target="https://login.consultant.ru/link/?req=doc&amp;base=RLAW026&amp;n=158077" TargetMode = "External"/>
	<Relationship Id="rId69" Type="http://schemas.openxmlformats.org/officeDocument/2006/relationships/hyperlink" Target="https://login.consultant.ru/link/?req=doc&amp;base=RLAW026&amp;n=208672&amp;dst=105745" TargetMode = "External"/>
	<Relationship Id="rId70" Type="http://schemas.openxmlformats.org/officeDocument/2006/relationships/hyperlink" Target="https://login.consultant.ru/link/?req=doc&amp;base=RLAW026&amp;n=208775&amp;dst=103923" TargetMode = "External"/>
	<Relationship Id="rId71" Type="http://schemas.openxmlformats.org/officeDocument/2006/relationships/hyperlink" Target="https://login.consultant.ru/link/?req=doc&amp;base=RLAW026&amp;n=208713&amp;dst=101261" TargetMode = "External"/>
	<Relationship Id="rId72" Type="http://schemas.openxmlformats.org/officeDocument/2006/relationships/hyperlink" Target="https://login.consultant.ru/link/?req=doc&amp;base=LAW&amp;n=128678&amp;dst=100011" TargetMode = "External"/>
	<Relationship Id="rId73" Type="http://schemas.openxmlformats.org/officeDocument/2006/relationships/hyperlink" Target="https://login.consultant.ru/link/?req=doc&amp;base=LAW&amp;n=206267&amp;dst=100008" TargetMode = "External"/>
	<Relationship Id="rId74" Type="http://schemas.openxmlformats.org/officeDocument/2006/relationships/hyperlink" Target="https://login.consultant.ru/link/?req=doc&amp;base=LAW&amp;n=343386&amp;dst=100017" TargetMode = "External"/>
	<Relationship Id="rId75" Type="http://schemas.openxmlformats.org/officeDocument/2006/relationships/hyperlink" Target="https://login.consultant.ru/link/?req=doc&amp;base=LAW&amp;n=130043" TargetMode = "External"/>
	<Relationship Id="rId76" Type="http://schemas.openxmlformats.org/officeDocument/2006/relationships/hyperlink" Target="https://login.consultant.ru/link/?req=doc&amp;base=LAW&amp;n=151066&amp;dst=100008" TargetMode = "External"/>
	<Relationship Id="rId77" Type="http://schemas.openxmlformats.org/officeDocument/2006/relationships/hyperlink" Target="https://login.consultant.ru/link/?req=doc&amp;base=LAW&amp;n=446992&amp;dst=100019" TargetMode = "External"/>
	<Relationship Id="rId78" Type="http://schemas.openxmlformats.org/officeDocument/2006/relationships/hyperlink" Target="https://login.consultant.ru/link/?req=doc&amp;base=LAW&amp;n=165069&amp;dst=100014" TargetMode = "External"/>
	<Relationship Id="rId79" Type="http://schemas.openxmlformats.org/officeDocument/2006/relationships/hyperlink" Target="https://login.consultant.ru/link/?req=doc&amp;base=LAW&amp;n=131119" TargetMode = "External"/>
	<Relationship Id="rId80" Type="http://schemas.openxmlformats.org/officeDocument/2006/relationships/hyperlink" Target="https://login.consultant.ru/link/?req=doc&amp;base=LAW&amp;n=380029&amp;dst=100010" TargetMode = "External"/>
	<Relationship Id="rId81" Type="http://schemas.openxmlformats.org/officeDocument/2006/relationships/hyperlink" Target="https://login.consultant.ru/link/?req=doc&amp;base=LAW&amp;n=309429&amp;dst=100011" TargetMode = "External"/>
	<Relationship Id="rId82" Type="http://schemas.openxmlformats.org/officeDocument/2006/relationships/hyperlink" Target="https://login.consultant.ru/link/?req=doc&amp;base=LAW&amp;n=84814&amp;dst=100007" TargetMode = "External"/>
	<Relationship Id="rId83" Type="http://schemas.openxmlformats.org/officeDocument/2006/relationships/hyperlink" Target="https://login.consultant.ru/link/?req=doc&amp;base=LAW&amp;n=107793&amp;dst=100008" TargetMode = "External"/>
	<Relationship Id="rId84" Type="http://schemas.openxmlformats.org/officeDocument/2006/relationships/hyperlink" Target="https://login.consultant.ru/link/?req=doc&amp;base=LAW&amp;n=130516&amp;dst=100017" TargetMode = "External"/>
	<Relationship Id="rId85" Type="http://schemas.openxmlformats.org/officeDocument/2006/relationships/hyperlink" Target="https://login.consultant.ru/link/?req=doc&amp;base=LAW&amp;n=213740&amp;dst=100009" TargetMode = "External"/>
	<Relationship Id="rId86" Type="http://schemas.openxmlformats.org/officeDocument/2006/relationships/hyperlink" Target="https://login.consultant.ru/link/?req=doc&amp;base=LAW&amp;n=438279&amp;dst=100011" TargetMode = "External"/>
	<Relationship Id="rId87" Type="http://schemas.openxmlformats.org/officeDocument/2006/relationships/hyperlink" Target="https://login.consultant.ru/link/?req=doc&amp;base=LAW&amp;n=171835&amp;dst=100014" TargetMode = "External"/>
	<Relationship Id="rId88" Type="http://schemas.openxmlformats.org/officeDocument/2006/relationships/hyperlink" Target="https://login.consultant.ru/link/?req=doc&amp;base=LAW&amp;n=129117" TargetMode = "External"/>
	<Relationship Id="rId89" Type="http://schemas.openxmlformats.org/officeDocument/2006/relationships/hyperlink" Target="https://login.consultant.ru/link/?req=doc&amp;base=LAW&amp;n=210967&amp;dst=100015" TargetMode = "External"/>
	<Relationship Id="rId90" Type="http://schemas.openxmlformats.org/officeDocument/2006/relationships/hyperlink" Target="https://login.consultant.ru/link/?req=doc&amp;base=LAW&amp;n=287639&amp;dst=100013" TargetMode = "External"/>
	<Relationship Id="rId91" Type="http://schemas.openxmlformats.org/officeDocument/2006/relationships/hyperlink" Target="https://login.consultant.ru/link/?req=doc&amp;base=LAW&amp;n=286888&amp;dst=100013" TargetMode = "External"/>
	<Relationship Id="rId92" Type="http://schemas.openxmlformats.org/officeDocument/2006/relationships/hyperlink" Target="https://login.consultant.ru/link/?req=doc&amp;base=LAW&amp;n=157978" TargetMode = "External"/>
	<Relationship Id="rId93" Type="http://schemas.openxmlformats.org/officeDocument/2006/relationships/hyperlink" Target="https://login.consultant.ru/link/?req=doc&amp;base=LAW&amp;n=87161&amp;dst=100010" TargetMode = "External"/>
	<Relationship Id="rId94" Type="http://schemas.openxmlformats.org/officeDocument/2006/relationships/hyperlink" Target="https://login.consultant.ru/link/?req=doc&amp;base=LAW&amp;n=288413&amp;dst=100010" TargetMode = "External"/>
	<Relationship Id="rId95" Type="http://schemas.openxmlformats.org/officeDocument/2006/relationships/hyperlink" Target="https://login.consultant.ru/link/?req=doc&amp;base=LAW&amp;n=335627&amp;dst=100013" TargetMode = "External"/>
	<Relationship Id="rId96" Type="http://schemas.openxmlformats.org/officeDocument/2006/relationships/hyperlink" Target="https://login.consultant.ru/link/?req=doc&amp;base=LAW&amp;n=291552&amp;dst=100013" TargetMode = "External"/>
	<Relationship Id="rId97" Type="http://schemas.openxmlformats.org/officeDocument/2006/relationships/hyperlink" Target="https://login.consultant.ru/link/?req=doc&amp;base=LAW&amp;n=294825&amp;dst=100009" TargetMode = "External"/>
	<Relationship Id="rId98" Type="http://schemas.openxmlformats.org/officeDocument/2006/relationships/hyperlink" Target="https://login.consultant.ru/link/?req=doc&amp;base=LAW&amp;n=467303&amp;dst=100018" TargetMode = "External"/>
	<Relationship Id="rId99" Type="http://schemas.openxmlformats.org/officeDocument/2006/relationships/hyperlink" Target="https://login.consultant.ru/link/?req=doc&amp;base=LAW&amp;n=256217&amp;dst=100007" TargetMode = "External"/>
	<Relationship Id="rId100" Type="http://schemas.openxmlformats.org/officeDocument/2006/relationships/hyperlink" Target="https://login.consultant.ru/link/?req=doc&amp;base=LAW&amp;n=193464&amp;dst=100006" TargetMode = "External"/>
	<Relationship Id="rId101" Type="http://schemas.openxmlformats.org/officeDocument/2006/relationships/hyperlink" Target="https://login.consultant.ru/link/?req=doc&amp;base=LAW&amp;n=309432&amp;dst=100009" TargetMode = "External"/>
	<Relationship Id="rId102" Type="http://schemas.openxmlformats.org/officeDocument/2006/relationships/hyperlink" Target="https://login.consultant.ru/link/?req=doc&amp;base=LAW&amp;n=392145&amp;dst=100010" TargetMode = "External"/>
	<Relationship Id="rId103" Type="http://schemas.openxmlformats.org/officeDocument/2006/relationships/hyperlink" Target="https://login.consultant.ru/link/?req=doc&amp;base=LAW&amp;n=379344&amp;dst=100016" TargetMode = "External"/>
	<Relationship Id="rId104" Type="http://schemas.openxmlformats.org/officeDocument/2006/relationships/hyperlink" Target="https://login.consultant.ru/link/?req=doc&amp;base=LAW&amp;n=191669&amp;dst=100015" TargetMode = "External"/>
	<Relationship Id="rId105" Type="http://schemas.openxmlformats.org/officeDocument/2006/relationships/hyperlink" Target="https://login.consultant.ru/link/?req=doc&amp;base=LAW&amp;n=309446&amp;dst=100011" TargetMode = "External"/>
	<Relationship Id="rId106" Type="http://schemas.openxmlformats.org/officeDocument/2006/relationships/hyperlink" Target="https://login.consultant.ru/link/?req=doc&amp;base=LAW&amp;n=200636&amp;dst=100007" TargetMode = "External"/>
	<Relationship Id="rId107" Type="http://schemas.openxmlformats.org/officeDocument/2006/relationships/hyperlink" Target="https://login.consultant.ru/link/?req=doc&amp;base=LAW&amp;n=278903&amp;dst=100011" TargetMode = "External"/>
	<Relationship Id="rId108" Type="http://schemas.openxmlformats.org/officeDocument/2006/relationships/hyperlink" Target="https://login.consultant.ru/link/?req=doc&amp;base=LAW&amp;n=428211&amp;dst=100009" TargetMode = "External"/>
	<Relationship Id="rId109" Type="http://schemas.openxmlformats.org/officeDocument/2006/relationships/hyperlink" Target="https://login.consultant.ru/link/?req=doc&amp;base=LAW&amp;n=142561" TargetMode = "External"/>
	<Relationship Id="rId110" Type="http://schemas.openxmlformats.org/officeDocument/2006/relationships/hyperlink" Target="https://login.consultant.ru/link/?req=doc&amp;base=LAW&amp;n=194592&amp;dst=100011" TargetMode = "External"/>
	<Relationship Id="rId111" Type="http://schemas.openxmlformats.org/officeDocument/2006/relationships/hyperlink" Target="https://login.consultant.ru/link/?req=doc&amp;base=LAW&amp;n=180402&amp;dst=100009" TargetMode = "External"/>
	<Relationship Id="rId112" Type="http://schemas.openxmlformats.org/officeDocument/2006/relationships/hyperlink" Target="https://login.consultant.ru/link/?req=doc&amp;base=LAW&amp;n=145826" TargetMode = "External"/>
	<Relationship Id="rId113" Type="http://schemas.openxmlformats.org/officeDocument/2006/relationships/hyperlink" Target="https://login.consultant.ru/link/?req=doc&amp;base=LAW&amp;n=92060&amp;dst=100010" TargetMode = "External"/>
	<Relationship Id="rId114" Type="http://schemas.openxmlformats.org/officeDocument/2006/relationships/hyperlink" Target="https://login.consultant.ru/link/?req=doc&amp;base=LAW&amp;n=309453&amp;dst=100007" TargetMode = "External"/>
	<Relationship Id="rId115" Type="http://schemas.openxmlformats.org/officeDocument/2006/relationships/hyperlink" Target="https://login.consultant.ru/link/?req=doc&amp;base=LAW&amp;n=159434&amp;dst=100010" TargetMode = "External"/>
	<Relationship Id="rId116" Type="http://schemas.openxmlformats.org/officeDocument/2006/relationships/hyperlink" Target="https://login.consultant.ru/link/?req=doc&amp;base=LAW&amp;n=216363&amp;dst=100018" TargetMode = "External"/>
	<Relationship Id="rId117" Type="http://schemas.openxmlformats.org/officeDocument/2006/relationships/hyperlink" Target="https://login.consultant.ru/link/?req=doc&amp;base=LAW&amp;n=319458&amp;dst=100011" TargetMode = "External"/>
	<Relationship Id="rId118" Type="http://schemas.openxmlformats.org/officeDocument/2006/relationships/hyperlink" Target="https://login.consultant.ru/link/?req=doc&amp;base=LAW&amp;n=294696&amp;dst=100010" TargetMode = "External"/>
	<Relationship Id="rId119" Type="http://schemas.openxmlformats.org/officeDocument/2006/relationships/hyperlink" Target="https://login.consultant.ru/link/?req=doc&amp;base=LAW&amp;n=145833&amp;dst=100009" TargetMode = "External"/>
	<Relationship Id="rId120" Type="http://schemas.openxmlformats.org/officeDocument/2006/relationships/hyperlink" Target="https://login.consultant.ru/link/?req=doc&amp;base=LAW&amp;n=314605&amp;dst=100009" TargetMode = "External"/>
	<Relationship Id="rId121" Type="http://schemas.openxmlformats.org/officeDocument/2006/relationships/hyperlink" Target="https://login.consultant.ru/link/?req=doc&amp;base=LAW&amp;n=309433&amp;dst=100009" TargetMode = "External"/>
	<Relationship Id="rId122" Type="http://schemas.openxmlformats.org/officeDocument/2006/relationships/hyperlink" Target="https://login.consultant.ru/link/?req=doc&amp;base=LAW&amp;n=211114&amp;dst=100600" TargetMode = "External"/>
	<Relationship Id="rId123" Type="http://schemas.openxmlformats.org/officeDocument/2006/relationships/hyperlink" Target="https://login.consultant.ru/link/?req=doc&amp;base=LAW&amp;n=283387&amp;dst=100010" TargetMode = "External"/>
	<Relationship Id="rId124" Type="http://schemas.openxmlformats.org/officeDocument/2006/relationships/hyperlink" Target="https://login.consultant.ru/link/?req=doc&amp;base=LAW&amp;n=429265&amp;dst=100012" TargetMode = "External"/>
	<Relationship Id="rId125" Type="http://schemas.openxmlformats.org/officeDocument/2006/relationships/hyperlink" Target="https://login.consultant.ru/link/?req=doc&amp;base=LAW&amp;n=207726&amp;dst=100011" TargetMode = "External"/>
	<Relationship Id="rId126" Type="http://schemas.openxmlformats.org/officeDocument/2006/relationships/hyperlink" Target="https://login.consultant.ru/link/?req=doc&amp;base=LAW&amp;n=311873&amp;dst=100008" TargetMode = "External"/>
	<Relationship Id="rId127" Type="http://schemas.openxmlformats.org/officeDocument/2006/relationships/hyperlink" Target="https://login.consultant.ru/link/?req=doc&amp;base=LAW&amp;n=145647&amp;dst=100009" TargetMode = "External"/>
	<Relationship Id="rId128" Type="http://schemas.openxmlformats.org/officeDocument/2006/relationships/hyperlink" Target="https://login.consultant.ru/link/?req=doc&amp;base=LAW&amp;n=219731&amp;dst=100010" TargetMode = "External"/>
	<Relationship Id="rId129" Type="http://schemas.openxmlformats.org/officeDocument/2006/relationships/hyperlink" Target="https://login.consultant.ru/link/?req=doc&amp;base=LAW&amp;n=256447" TargetMode = "External"/>
	<Relationship Id="rId130" Type="http://schemas.openxmlformats.org/officeDocument/2006/relationships/hyperlink" Target="https://login.consultant.ru/link/?req=doc&amp;base=LAW&amp;n=99375" TargetMode = "External"/>
	<Relationship Id="rId131" Type="http://schemas.openxmlformats.org/officeDocument/2006/relationships/hyperlink" Target="https://login.consultant.ru/link/?req=doc&amp;base=LAW&amp;n=173113&amp;dst=100010" TargetMode = "External"/>
	<Relationship Id="rId132" Type="http://schemas.openxmlformats.org/officeDocument/2006/relationships/hyperlink" Target="https://login.consultant.ru/link/?req=doc&amp;base=LAW&amp;n=429260&amp;dst=100011" TargetMode = "External"/>
	<Relationship Id="rId133" Type="http://schemas.openxmlformats.org/officeDocument/2006/relationships/hyperlink" Target="https://login.consultant.ru/link/?req=doc&amp;base=LAW&amp;n=320987&amp;dst=100012" TargetMode = "External"/>
	<Relationship Id="rId134" Type="http://schemas.openxmlformats.org/officeDocument/2006/relationships/hyperlink" Target="https://login.consultant.ru/link/?req=doc&amp;base=LAW&amp;n=94066&amp;dst=100010" TargetMode = "External"/>
	<Relationship Id="rId135" Type="http://schemas.openxmlformats.org/officeDocument/2006/relationships/hyperlink" Target="https://login.consultant.ru/link/?req=doc&amp;base=LAW&amp;n=90500&amp;dst=100008" TargetMode = "External"/>
	<Relationship Id="rId136" Type="http://schemas.openxmlformats.org/officeDocument/2006/relationships/hyperlink" Target="https://login.consultant.ru/link/?req=doc&amp;base=LAW&amp;n=193931&amp;dst=106141" TargetMode = "External"/>
	<Relationship Id="rId137" Type="http://schemas.openxmlformats.org/officeDocument/2006/relationships/hyperlink" Target="https://login.consultant.ru/link/?req=doc&amp;base=LAW&amp;n=165502&amp;dst=100013" TargetMode = "External"/>
	<Relationship Id="rId138" Type="http://schemas.openxmlformats.org/officeDocument/2006/relationships/hyperlink" Target="https://login.consultant.ru/link/?req=doc&amp;base=LAW&amp;n=99457&amp;dst=100010" TargetMode = "External"/>
	<Relationship Id="rId139" Type="http://schemas.openxmlformats.org/officeDocument/2006/relationships/hyperlink" Target="https://login.consultant.ru/link/?req=doc&amp;base=LAW&amp;n=283882&amp;dst=100008" TargetMode = "External"/>
	<Relationship Id="rId140" Type="http://schemas.openxmlformats.org/officeDocument/2006/relationships/hyperlink" Target="https://login.consultant.ru/link/?req=doc&amp;base=LAW&amp;n=145846&amp;dst=100002" TargetMode = "External"/>
	<Relationship Id="rId141" Type="http://schemas.openxmlformats.org/officeDocument/2006/relationships/hyperlink" Target="https://login.consultant.ru/link/?req=doc&amp;base=LAW&amp;n=443077&amp;dst=100014" TargetMode = "External"/>
	<Relationship Id="rId142" Type="http://schemas.openxmlformats.org/officeDocument/2006/relationships/hyperlink" Target="https://login.consultant.ru/link/?req=doc&amp;base=LAW&amp;n=442186&amp;dst=100008" TargetMode = "External"/>
	<Relationship Id="rId143" Type="http://schemas.openxmlformats.org/officeDocument/2006/relationships/hyperlink" Target="https://login.consultant.ru/link/?req=doc&amp;base=LAW&amp;n=326728&amp;dst=100010" TargetMode = "External"/>
	<Relationship Id="rId144" Type="http://schemas.openxmlformats.org/officeDocument/2006/relationships/hyperlink" Target="https://login.consultant.ru/link/?req=doc&amp;base=LAW&amp;n=416799&amp;dst=100011" TargetMode = "External"/>
	<Relationship Id="rId145" Type="http://schemas.openxmlformats.org/officeDocument/2006/relationships/hyperlink" Target="https://login.consultant.ru/link/?req=doc&amp;base=LAW&amp;n=409150&amp;dst=100012" TargetMode = "External"/>
	<Relationship Id="rId146" Type="http://schemas.openxmlformats.org/officeDocument/2006/relationships/hyperlink" Target="https://login.consultant.ru/link/?req=doc&amp;base=LAW&amp;n=332931&amp;dst=100008" TargetMode = "External"/>
	<Relationship Id="rId147" Type="http://schemas.openxmlformats.org/officeDocument/2006/relationships/hyperlink" Target="https://login.consultant.ru/link/?req=doc&amp;base=LAW&amp;n=343384&amp;dst=100011" TargetMode = "External"/>
	<Relationship Id="rId148" Type="http://schemas.openxmlformats.org/officeDocument/2006/relationships/hyperlink" Target="https://login.consultant.ru/link/?req=doc&amp;base=LAW&amp;n=159411&amp;dst=100009" TargetMode = "External"/>
	<Relationship Id="rId149" Type="http://schemas.openxmlformats.org/officeDocument/2006/relationships/hyperlink" Target="https://login.consultant.ru/link/?req=doc&amp;base=LAW&amp;n=211112&amp;dst=100009" TargetMode = "External"/>
	<Relationship Id="rId150" Type="http://schemas.openxmlformats.org/officeDocument/2006/relationships/hyperlink" Target="https://login.consultant.ru/link/?req=doc&amp;base=LAW&amp;n=215668&amp;dst=100013" TargetMode = "External"/>
	<Relationship Id="rId151" Type="http://schemas.openxmlformats.org/officeDocument/2006/relationships/hyperlink" Target="https://login.consultant.ru/link/?req=doc&amp;base=LAW&amp;n=216629&amp;dst=100018" TargetMode = "External"/>
	<Relationship Id="rId152" Type="http://schemas.openxmlformats.org/officeDocument/2006/relationships/hyperlink" Target="https://login.consultant.ru/link/?req=doc&amp;base=LAW&amp;n=297899&amp;dst=102746" TargetMode = "External"/>
	<Relationship Id="rId153" Type="http://schemas.openxmlformats.org/officeDocument/2006/relationships/hyperlink" Target="https://login.consultant.ru/link/?req=doc&amp;base=LAW&amp;n=285796" TargetMode = "External"/>
	<Relationship Id="rId154" Type="http://schemas.openxmlformats.org/officeDocument/2006/relationships/hyperlink" Target="https://login.consultant.ru/link/?req=doc&amp;base=LAW&amp;n=470015" TargetMode = "External"/>
	<Relationship Id="rId155" Type="http://schemas.openxmlformats.org/officeDocument/2006/relationships/hyperlink" Target="https://login.consultant.ru/link/?req=doc&amp;base=LAW&amp;n=282758" TargetMode = "External"/>
	<Relationship Id="rId156" Type="http://schemas.openxmlformats.org/officeDocument/2006/relationships/hyperlink" Target="https://login.consultant.ru/link/?req=doc&amp;base=LAW&amp;n=92097&amp;dst=100006" TargetMode = "External"/>
	<Relationship Id="rId157" Type="http://schemas.openxmlformats.org/officeDocument/2006/relationships/hyperlink" Target="https://login.consultant.ru/link/?req=doc&amp;base=LAW&amp;n=94054&amp;dst=100012"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Тюменской области от 24.03.2020 N 23
(ред. от 27.03.2024)
"Об утверждении Стратегии социально-экономического развития Тюменской области до 2030 года"
(принят Тюменской областной Думой 12.03.2020)</dc:title>
  <dcterms:created xsi:type="dcterms:W3CDTF">2024-06-10T05:17:24Z</dcterms:created>
</cp:coreProperties>
</file>