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18.01.2019 N 11-П</w:t>
              <w:br/>
              <w:t xml:space="preserve">(ред. от 16.12.2022)</w:t>
              <w:br/>
              <w:t xml:space="preserve">"Об утверждении Правил предоставления грантов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января 2019 г. N 11-П</w:t>
      </w:r>
    </w:p>
    <w:p>
      <w:pPr>
        <w:pStyle w:val="2"/>
        <w:jc w:val="both"/>
      </w:pPr>
      <w:r>
        <w:rPr>
          <w:sz w:val="20"/>
        </w:rPr>
      </w:r>
    </w:p>
    <w:p>
      <w:pPr>
        <w:pStyle w:val="2"/>
        <w:jc w:val="center"/>
      </w:pPr>
      <w:r>
        <w:rPr>
          <w:sz w:val="20"/>
        </w:rPr>
        <w:t xml:space="preserve">ОБ УТВЕРЖДЕНИИ ПРАВИЛ ПРЕДОСТАВЛЕНИЯ ГРАНТОВ</w:t>
      </w:r>
    </w:p>
    <w:p>
      <w:pPr>
        <w:pStyle w:val="2"/>
        <w:jc w:val="center"/>
      </w:pPr>
      <w:r>
        <w:rPr>
          <w:sz w:val="20"/>
        </w:rPr>
        <w:t xml:space="preserve">В ФОРМЕ СУБСИДИЙ ИЗ ОБЛАСТНОГО БЮДЖЕТА УЛЬЯНОВСКОЙ ОБЛАСТИ</w:t>
      </w:r>
    </w:p>
    <w:p>
      <w:pPr>
        <w:pStyle w:val="2"/>
        <w:jc w:val="center"/>
      </w:pPr>
      <w:r>
        <w:rPr>
          <w:sz w:val="20"/>
        </w:rPr>
        <w:t xml:space="preserve">ОРГАНИЗАЦИЯМ, ОСУЩЕСТВЛЯЮЩИМ ДЕЯТЕЛЬНОСТЬ В СФЕРЕ</w:t>
      </w:r>
    </w:p>
    <w:p>
      <w:pPr>
        <w:pStyle w:val="2"/>
        <w:jc w:val="center"/>
      </w:pPr>
      <w:r>
        <w:rPr>
          <w:sz w:val="20"/>
        </w:rPr>
        <w:t xml:space="preserve">ЭЛЕКТРОННЫХ И ПЕЧАТНЫХ СРЕДСТВ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21.04.2021 </w:t>
            </w:r>
            <w:hyperlink w:history="0" r:id="rId7" w:tooltip="Постановление Правительства Ульяновской области от 21.04.2021 N 155-П &quot;О внесении изменения в постановление Правительства Ульяновской области от 18.01.2019 N 11-П&quot; {КонсультантПлюс}">
              <w:r>
                <w:rPr>
                  <w:sz w:val="20"/>
                  <w:color w:val="0000ff"/>
                </w:rPr>
                <w:t xml:space="preserve">N 155-П</w:t>
              </w:r>
            </w:hyperlink>
            <w:r>
              <w:rPr>
                <w:sz w:val="20"/>
                <w:color w:val="392c69"/>
              </w:rPr>
              <w:t xml:space="preserve">, от 16.12.2022 </w:t>
            </w:r>
            <w:hyperlink w:history="0" r:id="rId8"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N 768-П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Правительство Ульяновской области постановляет:</w:t>
      </w:r>
    </w:p>
    <w:p>
      <w:pPr>
        <w:pStyle w:val="0"/>
        <w:spacing w:before="200" w:line-rule="auto"/>
        <w:ind w:firstLine="540"/>
        <w:jc w:val="both"/>
      </w:pPr>
      <w:r>
        <w:rPr>
          <w:sz w:val="20"/>
        </w:rPr>
        <w:t xml:space="preserve">1. Предоставлять гранты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w:t>
      </w:r>
    </w:p>
    <w:p>
      <w:pPr>
        <w:pStyle w:val="0"/>
        <w:jc w:val="both"/>
      </w:pPr>
      <w:r>
        <w:rPr>
          <w:sz w:val="20"/>
        </w:rPr>
        <w:t xml:space="preserve">(в ред. </w:t>
      </w:r>
      <w:hyperlink w:history="0" r:id="rId10"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 Утвердить прилагаемые </w:t>
      </w:r>
      <w:hyperlink w:history="0" w:anchor="P33" w:tooltip="ПРАВИЛА">
        <w:r>
          <w:rPr>
            <w:sz w:val="20"/>
            <w:color w:val="0000ff"/>
          </w:rPr>
          <w:t xml:space="preserve">Правила</w:t>
        </w:r>
      </w:hyperlink>
      <w:r>
        <w:rPr>
          <w:sz w:val="20"/>
        </w:rPr>
        <w:t xml:space="preserve"> предоставления грантов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w:t>
      </w:r>
    </w:p>
    <w:p>
      <w:pPr>
        <w:pStyle w:val="0"/>
        <w:spacing w:before="200" w:line-rule="auto"/>
        <w:ind w:firstLine="540"/>
        <w:jc w:val="both"/>
      </w:pPr>
      <w:r>
        <w:rPr>
          <w:sz w:val="20"/>
        </w:rPr>
        <w:t xml:space="preserve">3.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Ульяновской области</w:t>
      </w:r>
    </w:p>
    <w:p>
      <w:pPr>
        <w:pStyle w:val="0"/>
        <w:jc w:val="right"/>
      </w:pPr>
      <w:r>
        <w:rPr>
          <w:sz w:val="20"/>
        </w:rPr>
        <w:t xml:space="preserve">А.А.СМЕКАЛИН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18 января 2019 г. N 11-П</w:t>
      </w:r>
    </w:p>
    <w:p>
      <w:pPr>
        <w:pStyle w:val="0"/>
        <w:jc w:val="both"/>
      </w:pPr>
      <w:r>
        <w:rPr>
          <w:sz w:val="20"/>
        </w:rPr>
      </w:r>
    </w:p>
    <w:bookmarkStart w:id="33" w:name="P33"/>
    <w:bookmarkEnd w:id="33"/>
    <w:p>
      <w:pPr>
        <w:pStyle w:val="2"/>
        <w:jc w:val="center"/>
      </w:pPr>
      <w:r>
        <w:rPr>
          <w:sz w:val="20"/>
        </w:rPr>
        <w:t xml:space="preserve">ПРАВИЛА</w:t>
      </w:r>
    </w:p>
    <w:p>
      <w:pPr>
        <w:pStyle w:val="2"/>
        <w:jc w:val="center"/>
      </w:pPr>
      <w:r>
        <w:rPr>
          <w:sz w:val="20"/>
        </w:rPr>
        <w:t xml:space="preserve">ПРЕДОСТАВЛЕНИЯ ГРАНТОВ В ФОРМЕ СУБСИДИЙ</w:t>
      </w:r>
    </w:p>
    <w:p>
      <w:pPr>
        <w:pStyle w:val="2"/>
        <w:jc w:val="center"/>
      </w:pPr>
      <w:r>
        <w:rPr>
          <w:sz w:val="20"/>
        </w:rPr>
        <w:t xml:space="preserve">ИЗ ОБЛАСТНОГО БЮДЖЕТА УЛЬЯНОВСКОЙ ОБЛАСТИ ОРГАНИЗАЦИЯМ,</w:t>
      </w:r>
    </w:p>
    <w:p>
      <w:pPr>
        <w:pStyle w:val="2"/>
        <w:jc w:val="center"/>
      </w:pPr>
      <w:r>
        <w:rPr>
          <w:sz w:val="20"/>
        </w:rPr>
        <w:t xml:space="preserve">ОСУЩЕСТВЛЯЮЩИМ ДЕЯТЕЛЬНОСТЬ В СФЕРЕ ЭЛЕКТРОННЫХ</w:t>
      </w:r>
    </w:p>
    <w:p>
      <w:pPr>
        <w:pStyle w:val="2"/>
        <w:jc w:val="center"/>
      </w:pPr>
      <w:r>
        <w:rPr>
          <w:sz w:val="20"/>
        </w:rPr>
        <w:t xml:space="preserve">И ПЕЧАТНЫХ СРЕДСТВ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21.04.2021 </w:t>
            </w:r>
            <w:hyperlink w:history="0" r:id="rId11" w:tooltip="Постановление Правительства Ульяновской области от 21.04.2021 N 155-П &quot;О внесении изменения в постановление Правительства Ульяновской области от 18.01.2019 N 11-П&quot; {КонсультантПлюс}">
              <w:r>
                <w:rPr>
                  <w:sz w:val="20"/>
                  <w:color w:val="0000ff"/>
                </w:rPr>
                <w:t xml:space="preserve">N 155-П</w:t>
              </w:r>
            </w:hyperlink>
            <w:r>
              <w:rPr>
                <w:sz w:val="20"/>
                <w:color w:val="392c69"/>
              </w:rPr>
              <w:t xml:space="preserve">, от 16.12.2022 </w:t>
            </w:r>
            <w:hyperlink w:history="0" r:id="rId12"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N 768-П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 w:name="P42"/>
    <w:bookmarkEnd w:id="42"/>
    <w:p>
      <w:pPr>
        <w:pStyle w:val="0"/>
        <w:ind w:firstLine="540"/>
        <w:jc w:val="both"/>
      </w:pPr>
      <w:r>
        <w:rPr>
          <w:sz w:val="20"/>
        </w:rPr>
        <w:t xml:space="preserve">1. Настоящие Правила устанавливают порядок предоставления грантов в форме субсидий из областного бюджета Ульяновской области (далее также - гранты) юридическим лицам (за исключением государственных (муниципальных) учреждений), осуществляющим производство и выпуск информационных (в том числе новостных) радио- и телепрограмм, производство выпусков (обновлений) сетевых изданий и предоставление доступа к ним, а также производство и выпуск периодических печатных изданий (далее - СМИ, организации СМИ соответственно).</w:t>
      </w:r>
    </w:p>
    <w:p>
      <w:pPr>
        <w:pStyle w:val="0"/>
        <w:jc w:val="both"/>
      </w:pPr>
      <w:r>
        <w:rPr>
          <w:sz w:val="20"/>
        </w:rPr>
        <w:t xml:space="preserve">(в ред. </w:t>
      </w:r>
      <w:hyperlink w:history="0" r:id="rId13"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w:t>
      </w:r>
    </w:p>
    <w:p>
      <w:pPr>
        <w:pStyle w:val="0"/>
        <w:spacing w:before="200" w:line-rule="auto"/>
        <w:ind w:firstLine="540"/>
        <w:jc w:val="both"/>
      </w:pPr>
      <w:r>
        <w:rPr>
          <w:sz w:val="20"/>
        </w:rPr>
        <w:t xml:space="preserve">3. Гранты предоставляются организациям СМИ, ставшим победителями конкурса для получения грантов в форме субсидий из областного бюджета Ульяновской области организациям, осуществляющим деятельность в сфере электронных и печатных СМИ (далее - Конкурс), который организуется управлением информационной политики администрации Губернатора Ульяновской области (далее - Управление), в целях финансового обеспечения затрат в связи с производством и выпуском продукции СМИ, указанной в </w:t>
      </w:r>
      <w:hyperlink w:history="0" w:anchor="P42" w:tooltip="1. Настоящие Правила устанавливают порядок предоставления грантов в форме субсидий из областного бюджета Ульяновской области (далее также - гранты) юридическим лицам (за исключением государственных (муниципальных) учреждений), осуществляющим производство и выпуск информационных (в том числе новостных) радио- и телепрограмм, производство выпусков (обновлений) сетевых изданий и предоставление доступа к ним, а также производство и выпуск периодических печатных изданий (далее - СМИ, организации СМИ соответст...">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14"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4. Конкурс проводится в следующих номинациях:</w:t>
      </w:r>
    </w:p>
    <w:p>
      <w:pPr>
        <w:pStyle w:val="0"/>
        <w:spacing w:before="200" w:line-rule="auto"/>
        <w:ind w:firstLine="540"/>
        <w:jc w:val="both"/>
      </w:pPr>
      <w:r>
        <w:rPr>
          <w:sz w:val="20"/>
        </w:rPr>
        <w:t xml:space="preserve">1) "Экономическое развитие Ульяновской области". При проведении Конкурса в данной номинации рассматриваются материалы, в которых освещаются и анализируются результаты экономического развития Ульяновской области, в том числе результаты инновационной (внедренческой) деятельности в промышленном производстве и сельском хозяйстве, результаты реализации масштабных инвестиционных проектов в Ульяновской области, материалы, в которых популяризуются рабочие профессии, а также материалы, посвященные созданию новых рабочих мест;</w:t>
      </w:r>
    </w:p>
    <w:p>
      <w:pPr>
        <w:pStyle w:val="0"/>
        <w:spacing w:before="200" w:line-rule="auto"/>
        <w:ind w:firstLine="540"/>
        <w:jc w:val="both"/>
      </w:pPr>
      <w:r>
        <w:rPr>
          <w:sz w:val="20"/>
        </w:rPr>
        <w:t xml:space="preserve">2) "Развитие социальной сферы в Ульяновской области". При проведении Конкурса в данной номинации рассматриваются материалы, в которых освещаются и анализируются результаты развития в Ульяновской области систем здравоохранения, образования и науки, результаты осуществляемых государством мер социальной поддержки населения, материалы, направленные на формирование позитивного образа многодетных семей, пропаганду семейных ценностей и ликвидацию социального сиротства;</w:t>
      </w:r>
    </w:p>
    <w:p>
      <w:pPr>
        <w:pStyle w:val="0"/>
        <w:spacing w:before="200" w:line-rule="auto"/>
        <w:ind w:firstLine="540"/>
        <w:jc w:val="both"/>
      </w:pPr>
      <w:r>
        <w:rPr>
          <w:sz w:val="20"/>
        </w:rPr>
        <w:t xml:space="preserve">3) "Ульяновская, область - регион возможностей". При проведении Конкурса в данной номинации рассматриваются материалы, направленные на пропаганду здорового образа жизни и профилактику алкоголизма, наркомании, табакокурения и подобных негативных явлений, материалы, в которых освещается деятельность в сфере физической культуры и спорта в Ульяновской области, деятельность социально ориентированных некоммерческих организаций, материалы, привлекающие внимание к проблемам людей пожилого возраста и людей с ограниченными возможностями здоровья, материалы, направленные на формирование позитивного образа благотворительной, а также добровольческой (волонтерской) деятельности;</w:t>
      </w:r>
    </w:p>
    <w:p>
      <w:pPr>
        <w:pStyle w:val="0"/>
        <w:spacing w:before="200" w:line-rule="auto"/>
        <w:ind w:firstLine="540"/>
        <w:jc w:val="both"/>
      </w:pPr>
      <w:r>
        <w:rPr>
          <w:sz w:val="20"/>
        </w:rPr>
        <w:t xml:space="preserve">4) "Культурное развитие Ульяновской области". При проведении Конкурса в данной номинации рассматриваются материалы, в которых освещаются мероприятия в сфере культуры, проводимые на территории Ульяновской области, а также материалы, посвященные историческому и культурному наследию Ульяновской области, ее рекреационно-географическим и экологическим особенностям, материалы, направленные в том числе на популяризацию бережного отношения к природе и охраны окружающей среды.</w:t>
      </w:r>
    </w:p>
    <w:bookmarkStart w:id="52" w:name="P52"/>
    <w:bookmarkEnd w:id="52"/>
    <w:p>
      <w:pPr>
        <w:pStyle w:val="0"/>
        <w:spacing w:before="200" w:line-rule="auto"/>
        <w:ind w:firstLine="540"/>
        <w:jc w:val="both"/>
      </w:pPr>
      <w:r>
        <w:rPr>
          <w:sz w:val="20"/>
        </w:rPr>
        <w:t xml:space="preserve">5. В каждой номинации Конкурса присуждаются гранты, количество и размер которых определяются ежегодно правовым актом Правительства Ульяновской области.</w:t>
      </w:r>
    </w:p>
    <w:p>
      <w:pPr>
        <w:pStyle w:val="0"/>
        <w:spacing w:before="200" w:line-rule="auto"/>
        <w:ind w:firstLine="540"/>
        <w:jc w:val="both"/>
      </w:pPr>
      <w:r>
        <w:rPr>
          <w:sz w:val="20"/>
        </w:rPr>
        <w:t xml:space="preserve">Организации СМИ вправе представить конкурсную документацию для участия в одной или нескольких номинациях Конкурса.</w:t>
      </w:r>
    </w:p>
    <w:bookmarkStart w:id="54" w:name="P54"/>
    <w:bookmarkEnd w:id="54"/>
    <w:p>
      <w:pPr>
        <w:pStyle w:val="0"/>
        <w:spacing w:before="200" w:line-rule="auto"/>
        <w:ind w:firstLine="540"/>
        <w:jc w:val="both"/>
      </w:pPr>
      <w:r>
        <w:rPr>
          <w:sz w:val="20"/>
        </w:rPr>
        <w:t xml:space="preserve">6. Гранты предоставляются в целях финансового обеспечения следующих затрат организаций СМИ:</w:t>
      </w:r>
    </w:p>
    <w:p>
      <w:pPr>
        <w:pStyle w:val="0"/>
        <w:spacing w:before="200" w:line-rule="auto"/>
        <w:ind w:firstLine="540"/>
        <w:jc w:val="both"/>
      </w:pPr>
      <w:r>
        <w:rPr>
          <w:sz w:val="20"/>
        </w:rPr>
        <w:t xml:space="preserve">1) затрат, связанных с оплатой труда работников организаций СМИ (далее - работники), участвующих в производстве продукции СМИ, и затрат, связанных с уплатой страховых взносов в Пенсионный фонд Российской Федерации на обязательное пенсионное страхование работников, 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в Федеральный фонд обязательного медицинского страхования Ульяновской области на обязательное медицинское страхование работников,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2) затрат, связанных с материально-техническим обеспечением деятельности организаций СМИ, необходимым для производства продукции СМИ;</w:t>
      </w:r>
    </w:p>
    <w:p>
      <w:pPr>
        <w:pStyle w:val="0"/>
        <w:spacing w:before="200" w:line-rule="auto"/>
        <w:ind w:firstLine="540"/>
        <w:jc w:val="both"/>
      </w:pPr>
      <w:r>
        <w:rPr>
          <w:sz w:val="20"/>
        </w:rPr>
        <w:t xml:space="preserve">3) затрат, связанных с оплатой транспортных услуг, необходимых для производства продукции СМИ;</w:t>
      </w:r>
    </w:p>
    <w:p>
      <w:pPr>
        <w:pStyle w:val="0"/>
        <w:spacing w:before="200" w:line-rule="auto"/>
        <w:ind w:firstLine="540"/>
        <w:jc w:val="both"/>
      </w:pPr>
      <w:r>
        <w:rPr>
          <w:sz w:val="20"/>
        </w:rPr>
        <w:t xml:space="preserve">4) затрат, связанных с возмещением работникам, направляемым в служебные командировки, необходимые для производства продукции СМИ, расходов, предусмотренных </w:t>
      </w:r>
      <w:hyperlink w:history="0" r:id="rId15" w:tooltip="&quot;Трудовой кодекс Российской Федерации&quot; от 30.12.2001 N 197-ФЗ (ред. от 13.06.2023, с изм. от 15.06.2023) {КонсультантПлюс}">
        <w:r>
          <w:rPr>
            <w:sz w:val="20"/>
            <w:color w:val="0000ff"/>
          </w:rPr>
          <w:t xml:space="preserve">статьей 168</w:t>
        </w:r>
      </w:hyperlink>
      <w:r>
        <w:rPr>
          <w:sz w:val="20"/>
        </w:rPr>
        <w:t xml:space="preserve"> Трудового кодекса Российской Федерации;</w:t>
      </w:r>
    </w:p>
    <w:p>
      <w:pPr>
        <w:pStyle w:val="0"/>
        <w:jc w:val="both"/>
      </w:pPr>
      <w:r>
        <w:rPr>
          <w:sz w:val="20"/>
        </w:rPr>
        <w:t xml:space="preserve">(в ред. </w:t>
      </w:r>
      <w:hyperlink w:history="0" r:id="rId16"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5) затрат, связанных с оплатой услуг связи, в том числе услуг по обеспечению доступа к информационно-телекоммуникационной сети "Интернет" (далее - сеть "Интернет");</w:t>
      </w:r>
    </w:p>
    <w:p>
      <w:pPr>
        <w:pStyle w:val="0"/>
        <w:spacing w:before="200" w:line-rule="auto"/>
        <w:ind w:firstLine="540"/>
        <w:jc w:val="both"/>
      </w:pPr>
      <w:r>
        <w:rPr>
          <w:sz w:val="20"/>
        </w:rPr>
        <w:t xml:space="preserve">6) затрат, связанных с оплатой коммунальных услуг и внесением арендной платы по договорам аренды помещений, используемых в целях производства продукции СМИ;</w:t>
      </w:r>
    </w:p>
    <w:p>
      <w:pPr>
        <w:pStyle w:val="0"/>
        <w:spacing w:before="200" w:line-rule="auto"/>
        <w:ind w:firstLine="540"/>
        <w:jc w:val="both"/>
      </w:pPr>
      <w:r>
        <w:rPr>
          <w:sz w:val="20"/>
        </w:rPr>
        <w:t xml:space="preserve">7) затрат, связанных с оплатой услуг приглашенных специалистов и приобретением прав на результаты интеллектуальной деятельности;</w:t>
      </w:r>
    </w:p>
    <w:p>
      <w:pPr>
        <w:pStyle w:val="0"/>
        <w:spacing w:before="200" w:line-rule="auto"/>
        <w:ind w:firstLine="540"/>
        <w:jc w:val="both"/>
      </w:pPr>
      <w:r>
        <w:rPr>
          <w:sz w:val="20"/>
        </w:rPr>
        <w:t xml:space="preserve">8) затрат, связанных с оплатой полиграфических (в том числе типографских) услуг;</w:t>
      </w:r>
    </w:p>
    <w:p>
      <w:pPr>
        <w:pStyle w:val="0"/>
        <w:spacing w:before="200" w:line-rule="auto"/>
        <w:ind w:firstLine="540"/>
        <w:jc w:val="both"/>
      </w:pPr>
      <w:r>
        <w:rPr>
          <w:sz w:val="20"/>
        </w:rPr>
        <w:t xml:space="preserve">9) затрат, связанных с оплатой услуг по продвижению, обслуживанию, информационному сопровождению сайта организации СМИ в сети "Интернет";</w:t>
      </w:r>
    </w:p>
    <w:p>
      <w:pPr>
        <w:pStyle w:val="0"/>
        <w:spacing w:before="200" w:line-rule="auto"/>
        <w:ind w:firstLine="540"/>
        <w:jc w:val="both"/>
      </w:pPr>
      <w:r>
        <w:rPr>
          <w:sz w:val="20"/>
        </w:rPr>
        <w:t xml:space="preserve">10) затрат, связанных с оплатой услуг иных организаций, участвующих в производстве продукции СМИ, не предусмотренных настоящим пунктом.</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bookmarkStart w:id="67" w:name="P67"/>
    <w:bookmarkEnd w:id="67"/>
    <w:p>
      <w:pPr>
        <w:pStyle w:val="0"/>
        <w:spacing w:before="200" w:line-rule="auto"/>
        <w:ind w:firstLine="540"/>
        <w:jc w:val="both"/>
      </w:pPr>
      <w:r>
        <w:rPr>
          <w:sz w:val="20"/>
        </w:rPr>
        <w:t xml:space="preserve">8. Участниками Конкурса могут являться организации СМИ, которые по состоянию на дату, непосредственно предшествующую дате представления в Управление конкурсной документации, соответствуют следующим требованиям:</w:t>
      </w:r>
    </w:p>
    <w:p>
      <w:pPr>
        <w:pStyle w:val="0"/>
        <w:jc w:val="both"/>
      </w:pPr>
      <w:r>
        <w:rPr>
          <w:sz w:val="20"/>
        </w:rPr>
        <w:t xml:space="preserve">(в ред. </w:t>
      </w:r>
      <w:hyperlink w:history="0" r:id="rId17"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организация СМИ не должна являться государственным (муниципальным) учреждением;</w:t>
      </w:r>
    </w:p>
    <w:p>
      <w:pPr>
        <w:pStyle w:val="0"/>
        <w:spacing w:before="200" w:line-rule="auto"/>
        <w:ind w:firstLine="540"/>
        <w:jc w:val="both"/>
      </w:pPr>
      <w:r>
        <w:rPr>
          <w:sz w:val="20"/>
        </w:rPr>
        <w:t xml:space="preserve">организация СМИ должна иметь опыт деятельности в сфере СМИ на протяжении не менее одного года;</w:t>
      </w:r>
    </w:p>
    <w:bookmarkStart w:id="71" w:name="P71"/>
    <w:bookmarkEnd w:id="71"/>
    <w:p>
      <w:pPr>
        <w:pStyle w:val="0"/>
        <w:spacing w:before="200" w:line-rule="auto"/>
        <w:ind w:firstLine="540"/>
        <w:jc w:val="both"/>
      </w:pPr>
      <w:r>
        <w:rPr>
          <w:sz w:val="20"/>
        </w:rPr>
        <w:t xml:space="preserve">у организации СМИ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0"/>
        <w:jc w:val="both"/>
      </w:pPr>
      <w:r>
        <w:rPr>
          <w:sz w:val="20"/>
        </w:rPr>
        <w:t xml:space="preserve">(в ред. </w:t>
      </w:r>
      <w:hyperlink w:history="0" r:id="rId18"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в отношении организации СМИ не должна быть введена процедура, применяемая в деле о банкротстве, а ее деятельность не должна быть приостановлена в порядке, предусмотренном законодательством Российской Федерации, организация СМИ не должна находиться в процессе ликвидации или реорганизации (за исключением реорганизации в форме присоединения к ней другого юридического лица);</w:t>
      </w:r>
    </w:p>
    <w:p>
      <w:pPr>
        <w:pStyle w:val="0"/>
        <w:jc w:val="both"/>
      </w:pPr>
      <w:r>
        <w:rPr>
          <w:sz w:val="20"/>
        </w:rPr>
        <w:t xml:space="preserve">(в ред. </w:t>
      </w:r>
      <w:hyperlink w:history="0" r:id="rId19"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организация СМИ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history="0" w:anchor="P54" w:tooltip="6. Гранты предоставляются в целях финансового обеспечения следующих затрат организаций СМИ:">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организации СМИ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организация СМИ считается подвергнутой такому наказанию, не истек;</w:t>
      </w:r>
    </w:p>
    <w:bookmarkStart w:id="77" w:name="P77"/>
    <w:bookmarkEnd w:id="77"/>
    <w:p>
      <w:pPr>
        <w:pStyle w:val="0"/>
        <w:spacing w:before="200" w:line-rule="auto"/>
        <w:ind w:firstLine="540"/>
        <w:jc w:val="both"/>
      </w:pPr>
      <w:r>
        <w:rPr>
          <w:sz w:val="20"/>
        </w:rPr>
        <w:t xml:space="preserve">организация СМИ не должна являться иностранным юридическим лицом, а организация СМИ - хозяйственное товарищество, общество или партнерство также не должна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У организации СМИ также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Управление конкурсной документации, не более чем на 30 календарных дней.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"www.ulgov.ru" следует читать "https://ulgov.ru/".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Информационное сообщение о проведении Конкурса (далее также - информационное сообщение) размещается на едином портале и официальном сайте Губернатора и Правительства Ульяновской области (</w:t>
      </w:r>
      <w:r>
        <w:rPr>
          <w:sz w:val="20"/>
        </w:rPr>
        <w:t xml:space="preserve">www.ulgov.ru</w:t>
      </w:r>
      <w:r>
        <w:rPr>
          <w:sz w:val="20"/>
        </w:rPr>
        <w:t xml:space="preserve">) в сети "Интернет" (далее - официальный сайт) не позднее чем за 5 дней до начала срока приема конкурсной документации и содержит:</w:t>
      </w:r>
    </w:p>
    <w:p>
      <w:pPr>
        <w:pStyle w:val="0"/>
        <w:jc w:val="both"/>
      </w:pPr>
      <w:r>
        <w:rPr>
          <w:sz w:val="20"/>
        </w:rPr>
        <w:t xml:space="preserve">(в ред. </w:t>
      </w:r>
      <w:hyperlink w:history="0" r:id="rId20"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сроки проведения Конкурса, продолжительность которых не может быть меньше 30 календарных дней, следующих за днем размещения информационного сообщения на официальном сайте;</w:t>
      </w:r>
    </w:p>
    <w:p>
      <w:pPr>
        <w:pStyle w:val="0"/>
        <w:jc w:val="both"/>
      </w:pPr>
      <w:r>
        <w:rPr>
          <w:sz w:val="20"/>
        </w:rPr>
        <w:t xml:space="preserve">(в ред. </w:t>
      </w:r>
      <w:hyperlink w:history="0" r:id="rId21"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наименование, место нахождения, почтовой адрес, адрес электронной почты Управления;</w:t>
      </w:r>
    </w:p>
    <w:p>
      <w:pPr>
        <w:pStyle w:val="0"/>
        <w:spacing w:before="200" w:line-rule="auto"/>
        <w:ind w:firstLine="540"/>
        <w:jc w:val="both"/>
      </w:pPr>
      <w:r>
        <w:rPr>
          <w:sz w:val="20"/>
        </w:rPr>
        <w:t xml:space="preserve">цели предоставления грантов, а также результат предоставления грантов;</w:t>
      </w:r>
    </w:p>
    <w:p>
      <w:pPr>
        <w:pStyle w:val="0"/>
        <w:spacing w:before="200" w:line-rule="auto"/>
        <w:ind w:firstLine="540"/>
        <w:jc w:val="both"/>
      </w:pPr>
      <w:r>
        <w:rPr>
          <w:sz w:val="20"/>
        </w:rPr>
        <w:t xml:space="preserve">требования к участникам Конкурса в соответствии с </w:t>
      </w:r>
      <w:hyperlink w:history="0" w:anchor="P67" w:tooltip="8. Участниками Конкурса могут являться организации СМИ, которые по состоянию на дату, непосредственно предшествующую дате представления в Управление конкурсной документации, соответствуют следующим требованиям:">
        <w:r>
          <w:rPr>
            <w:sz w:val="20"/>
            <w:color w:val="0000ff"/>
          </w:rPr>
          <w:t xml:space="preserve">пунктом 8</w:t>
        </w:r>
      </w:hyperlink>
      <w:r>
        <w:rPr>
          <w:sz w:val="20"/>
        </w:rPr>
        <w:t xml:space="preserve"> настоящих Правил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представления конкурсной документации участниками Конкурса и требования, предъявляемые к форме и содержанию конкурсной документации, в соответствии с </w:t>
      </w:r>
      <w:hyperlink w:history="0" w:anchor="P98" w:tooltip="10. Для участия в Конкурсе организации СМИ в течение срока приема конкурсной документации, указанного в информационном сообщении, представляют в Управление конкурсную документацию, в состав которой входят:">
        <w:r>
          <w:rPr>
            <w:sz w:val="20"/>
            <w:color w:val="0000ff"/>
          </w:rPr>
          <w:t xml:space="preserve">пунктом 10</w:t>
        </w:r>
      </w:hyperlink>
      <w:r>
        <w:rPr>
          <w:sz w:val="20"/>
        </w:rPr>
        <w:t xml:space="preserve"> настоящих Правил;</w:t>
      </w:r>
    </w:p>
    <w:p>
      <w:pPr>
        <w:pStyle w:val="0"/>
        <w:jc w:val="both"/>
      </w:pPr>
      <w:r>
        <w:rPr>
          <w:sz w:val="20"/>
        </w:rPr>
        <w:t xml:space="preserve">(в ред. </w:t>
      </w:r>
      <w:hyperlink w:history="0" r:id="rId22"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порядок отзыва конкурсной документации, порядок возврата конкурсной документации, определяющий в том числе основания для возврата конкурсной документации, порядок внесения изменений в конкурсную документацию участниками Конкурса;</w:t>
      </w:r>
    </w:p>
    <w:p>
      <w:pPr>
        <w:pStyle w:val="0"/>
        <w:spacing w:before="200" w:line-rule="auto"/>
        <w:ind w:firstLine="540"/>
        <w:jc w:val="both"/>
      </w:pPr>
      <w:r>
        <w:rPr>
          <w:sz w:val="20"/>
        </w:rPr>
        <w:t xml:space="preserve">правила рассмотрения и оценки конкурсной документации в соответствии с настоящими Правилами;</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победители Конкурса должны подписать соглашение о предоставлении гранта (грантов) в форме субсидий из областного бюджета Ульяновской области (далее - Соглашение);</w:t>
      </w:r>
    </w:p>
    <w:p>
      <w:pPr>
        <w:pStyle w:val="0"/>
        <w:spacing w:before="200" w:line-rule="auto"/>
        <w:ind w:firstLine="540"/>
        <w:jc w:val="both"/>
      </w:pPr>
      <w:r>
        <w:rPr>
          <w:sz w:val="20"/>
        </w:rPr>
        <w:t xml:space="preserve">условия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дату размещения результатов Конкурса на едином портале и официальном сайте, которая не может быть установлена позднее 14-го календарного дня, следующего за днем определения победителя (победителей) Конкурса.</w:t>
      </w:r>
    </w:p>
    <w:p>
      <w:pPr>
        <w:pStyle w:val="0"/>
        <w:jc w:val="both"/>
      </w:pPr>
      <w:r>
        <w:rPr>
          <w:sz w:val="20"/>
        </w:rPr>
        <w:t xml:space="preserve">(в ред. </w:t>
      </w:r>
      <w:hyperlink w:history="0" r:id="rId23"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Если в течение указанного в информационном сообщении срока представлен только один комплект конкурсной документации либо не представлено ни одного комплекта конкурсной документации, Управление принимает решение о продлении срока приема конкурсной документации на 14 рабочих дней со дня истечения срока, указанного в информационном сообщении. Информационное сообщение о продлении срока приема конкурсной документации размещается на официальном сайте и должно содержать сведения о дате окончания продленного срока ее приема.</w:t>
      </w:r>
    </w:p>
    <w:bookmarkStart w:id="98" w:name="P98"/>
    <w:bookmarkEnd w:id="98"/>
    <w:p>
      <w:pPr>
        <w:pStyle w:val="0"/>
        <w:spacing w:before="200" w:line-rule="auto"/>
        <w:ind w:firstLine="540"/>
        <w:jc w:val="both"/>
      </w:pPr>
      <w:r>
        <w:rPr>
          <w:sz w:val="20"/>
        </w:rPr>
        <w:t xml:space="preserve">10. Для участия в Конкурсе организации СМИ в течение срока приема конкурсной документации, указанного в информационном сообщении, представляют в Управление конкурсную документацию, в состав которой входят:</w:t>
      </w:r>
    </w:p>
    <w:bookmarkStart w:id="99" w:name="P99"/>
    <w:bookmarkEnd w:id="99"/>
    <w:p>
      <w:pPr>
        <w:pStyle w:val="0"/>
        <w:spacing w:before="200" w:line-rule="auto"/>
        <w:ind w:firstLine="540"/>
        <w:jc w:val="both"/>
      </w:pPr>
      <w:r>
        <w:rPr>
          <w:sz w:val="20"/>
        </w:rPr>
        <w:t xml:space="preserve">1) </w:t>
      </w:r>
      <w:hyperlink w:history="0" w:anchor="P215" w:tooltip="                                  ЗАЯВКА">
        <w:r>
          <w:rPr>
            <w:sz w:val="20"/>
            <w:color w:val="0000ff"/>
          </w:rPr>
          <w:t xml:space="preserve">заявка</w:t>
        </w:r>
      </w:hyperlink>
      <w:r>
        <w:rPr>
          <w:sz w:val="20"/>
        </w:rPr>
        <w:t xml:space="preserve"> на участие в Конкурсе, составленная по форме, установленной приложением N 1 к настоящим Правилам;</w:t>
      </w:r>
    </w:p>
    <w:p>
      <w:pPr>
        <w:pStyle w:val="0"/>
        <w:spacing w:before="200" w:line-rule="auto"/>
        <w:ind w:firstLine="540"/>
        <w:jc w:val="both"/>
      </w:pPr>
      <w:r>
        <w:rPr>
          <w:sz w:val="20"/>
        </w:rPr>
        <w:t xml:space="preserve">2) выписка из Единого государственного реестра юридических лиц;</w:t>
      </w:r>
    </w:p>
    <w:bookmarkStart w:id="101" w:name="P101"/>
    <w:bookmarkEnd w:id="101"/>
    <w:p>
      <w:pPr>
        <w:pStyle w:val="0"/>
        <w:spacing w:before="200" w:line-rule="auto"/>
        <w:ind w:firstLine="540"/>
        <w:jc w:val="both"/>
      </w:pPr>
      <w:r>
        <w:rPr>
          <w:sz w:val="20"/>
        </w:rPr>
        <w:t xml:space="preserve">3) образец продукции СМИ;</w:t>
      </w:r>
    </w:p>
    <w:p>
      <w:pPr>
        <w:pStyle w:val="0"/>
        <w:spacing w:before="200" w:line-rule="auto"/>
        <w:ind w:firstLine="540"/>
        <w:jc w:val="both"/>
      </w:pPr>
      <w:r>
        <w:rPr>
          <w:sz w:val="20"/>
        </w:rPr>
        <w:t xml:space="preserve">4) концепция производства продукции СМИ;</w:t>
      </w:r>
    </w:p>
    <w:bookmarkStart w:id="103" w:name="P103"/>
    <w:bookmarkEnd w:id="103"/>
    <w:p>
      <w:pPr>
        <w:pStyle w:val="0"/>
        <w:spacing w:before="200" w:line-rule="auto"/>
        <w:ind w:firstLine="540"/>
        <w:jc w:val="both"/>
      </w:pPr>
      <w:r>
        <w:rPr>
          <w:sz w:val="20"/>
        </w:rPr>
        <w:t xml:space="preserve">5) смета затрат, содержащая обоснование структуры и объема этих затрат;</w:t>
      </w:r>
    </w:p>
    <w:p>
      <w:pPr>
        <w:pStyle w:val="0"/>
        <w:jc w:val="both"/>
      </w:pPr>
      <w:r>
        <w:rPr>
          <w:sz w:val="20"/>
        </w:rPr>
        <w:t xml:space="preserve">(в ред. </w:t>
      </w:r>
      <w:hyperlink w:history="0" r:id="rId24"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6) справка о соответствии организации СМИ по состоянию на дату, непосредственно предшествующую дате представления в Управление конкурсной документации, требованиям, установленным </w:t>
      </w:r>
      <w:hyperlink w:history="0" w:anchor="P71" w:tooltip="у организации СМИ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
        <w:r>
          <w:rPr>
            <w:sz w:val="20"/>
            <w:color w:val="0000ff"/>
          </w:rPr>
          <w:t xml:space="preserve">абзацами четвертым</w:t>
        </w:r>
      </w:hyperlink>
      <w:r>
        <w:rPr>
          <w:sz w:val="20"/>
        </w:rPr>
        <w:t xml:space="preserve"> - </w:t>
      </w:r>
      <w:hyperlink w:history="0" w:anchor="P77" w:tooltip="организация СМИ не должна являться иностранным юридическим лицом, а организация СМИ - хозяйственное товарищество, общество или партнерство также не должна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r>
          <w:rPr>
            <w:sz w:val="20"/>
            <w:color w:val="0000ff"/>
          </w:rPr>
          <w:t xml:space="preserve">восьмым пункта 8</w:t>
        </w:r>
      </w:hyperlink>
      <w:r>
        <w:rPr>
          <w:sz w:val="20"/>
        </w:rPr>
        <w:t xml:space="preserve"> настоящих Правил, составленная в произвольной форме и подписанная руководителем организации СМИ;</w:t>
      </w:r>
    </w:p>
    <w:p>
      <w:pPr>
        <w:pStyle w:val="0"/>
        <w:jc w:val="both"/>
      </w:pPr>
      <w:r>
        <w:rPr>
          <w:sz w:val="20"/>
        </w:rPr>
        <w:t xml:space="preserve">(в ред. </w:t>
      </w:r>
      <w:hyperlink w:history="0" r:id="rId25"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7) справка налогового органа об исполнении организацией СМИ обязанности по уплате налогов, сборов, страховых взносов, пеней, штрафов, процентов, выданная налоговым органом не ранее 30 календарных дней до дня представления в Управление конкурсной документации;</w:t>
      </w:r>
    </w:p>
    <w:p>
      <w:pPr>
        <w:pStyle w:val="0"/>
        <w:spacing w:before="200" w:line-rule="auto"/>
        <w:ind w:firstLine="540"/>
        <w:jc w:val="both"/>
      </w:pPr>
      <w:r>
        <w:rPr>
          <w:sz w:val="20"/>
        </w:rPr>
        <w:t xml:space="preserve">8) согласие на публикацию (размещение) в сети "Интернет" информации об участнике Конкурса, о представляемой участником Конкурса заявке, иной информации об участнике Конкурса, связанной с Конкурсом.</w:t>
      </w:r>
    </w:p>
    <w:p>
      <w:pPr>
        <w:pStyle w:val="0"/>
        <w:jc w:val="both"/>
      </w:pPr>
      <w:r>
        <w:rPr>
          <w:sz w:val="20"/>
        </w:rPr>
        <w:t xml:space="preserve">(в ред. </w:t>
      </w:r>
      <w:hyperlink w:history="0" r:id="rId26"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11. Концепция производства продукции СМИ представляет собой утвержденный руководителем организации СМИ документ, содержащий:</w:t>
      </w:r>
    </w:p>
    <w:p>
      <w:pPr>
        <w:pStyle w:val="0"/>
        <w:spacing w:before="200" w:line-rule="auto"/>
        <w:ind w:firstLine="540"/>
        <w:jc w:val="both"/>
      </w:pPr>
      <w:r>
        <w:rPr>
          <w:sz w:val="20"/>
        </w:rPr>
        <w:t xml:space="preserve">описание продукции СМИ;</w:t>
      </w:r>
    </w:p>
    <w:p>
      <w:pPr>
        <w:pStyle w:val="0"/>
        <w:spacing w:before="200" w:line-rule="auto"/>
        <w:ind w:firstLine="540"/>
        <w:jc w:val="both"/>
      </w:pPr>
      <w:r>
        <w:rPr>
          <w:sz w:val="20"/>
        </w:rPr>
        <w:t xml:space="preserve">сведения о целях и задачах производства продукции СМИ;</w:t>
      </w:r>
    </w:p>
    <w:p>
      <w:pPr>
        <w:pStyle w:val="0"/>
        <w:spacing w:before="200" w:line-rule="auto"/>
        <w:ind w:firstLine="540"/>
        <w:jc w:val="both"/>
      </w:pPr>
      <w:r>
        <w:rPr>
          <w:sz w:val="20"/>
        </w:rPr>
        <w:t xml:space="preserve">информацию о количественных параметрах и технических характеристиках продукции СМИ (тираж, количество выходов в свет (в эфир), продолжительность, полосность);</w:t>
      </w:r>
    </w:p>
    <w:p>
      <w:pPr>
        <w:pStyle w:val="0"/>
        <w:spacing w:before="200" w:line-rule="auto"/>
        <w:ind w:firstLine="540"/>
        <w:jc w:val="both"/>
      </w:pPr>
      <w:r>
        <w:rPr>
          <w:sz w:val="20"/>
        </w:rPr>
        <w:t xml:space="preserve">информацию о целевой аудитории, на которую рассчитана продукция СМИ, и предполагаемом уровне востребованности и значимости указанной продукции СМИ;</w:t>
      </w:r>
    </w:p>
    <w:p>
      <w:pPr>
        <w:pStyle w:val="0"/>
        <w:spacing w:before="200" w:line-rule="auto"/>
        <w:ind w:firstLine="540"/>
        <w:jc w:val="both"/>
      </w:pPr>
      <w:r>
        <w:rPr>
          <w:sz w:val="20"/>
        </w:rPr>
        <w:t xml:space="preserve">обоснование оригинальности, уникальности и социальной значимости продукции СМИ;</w:t>
      </w:r>
    </w:p>
    <w:p>
      <w:pPr>
        <w:pStyle w:val="0"/>
        <w:spacing w:before="200" w:line-rule="auto"/>
        <w:ind w:firstLine="540"/>
        <w:jc w:val="both"/>
      </w:pPr>
      <w:r>
        <w:rPr>
          <w:sz w:val="20"/>
        </w:rPr>
        <w:t xml:space="preserve">информацию о форме, способах и методах реализации продукции СМИ, позволяющую судить о творческих характеристиках представленной концепции (новизна и оригинальность, концептуальная целостность и уникальность содержания);</w:t>
      </w:r>
    </w:p>
    <w:p>
      <w:pPr>
        <w:pStyle w:val="0"/>
        <w:spacing w:before="200" w:line-rule="auto"/>
        <w:ind w:firstLine="540"/>
        <w:jc w:val="both"/>
      </w:pPr>
      <w:r>
        <w:rPr>
          <w:sz w:val="20"/>
        </w:rPr>
        <w:t xml:space="preserve">сведения об осуществлении информационного сопровождения и продвижения продукции СМИ, в том числе о взаимодействии в указанных целях организации СМИ с иными организациями.</w:t>
      </w:r>
    </w:p>
    <w:p>
      <w:pPr>
        <w:pStyle w:val="0"/>
        <w:spacing w:before="200" w:line-rule="auto"/>
        <w:ind w:firstLine="540"/>
        <w:jc w:val="both"/>
      </w:pPr>
      <w:r>
        <w:rPr>
          <w:sz w:val="20"/>
        </w:rPr>
        <w:t xml:space="preserve">Концепция производства продукции СМИ представляется на бумажном носителе и в электронной форме, при этом гриф ее утверждения размещается на титульной странице в правом верхнем углу.</w:t>
      </w:r>
    </w:p>
    <w:p>
      <w:pPr>
        <w:pStyle w:val="0"/>
        <w:spacing w:before="200" w:line-rule="auto"/>
        <w:ind w:firstLine="540"/>
        <w:jc w:val="both"/>
      </w:pPr>
      <w:r>
        <w:rPr>
          <w:sz w:val="20"/>
        </w:rPr>
        <w:t xml:space="preserve">12. Организация СМИ вправе отозвать предоставленную ею конкурсную документацию до истечения срока ее приема, указанного в информационном сообщении, посредством направления в Управление соответствующего заявления, составленного в произвольной форме и подписанного руководителем организации СМИ.</w:t>
      </w:r>
    </w:p>
    <w:p>
      <w:pPr>
        <w:pStyle w:val="0"/>
        <w:spacing w:before="200" w:line-rule="auto"/>
        <w:ind w:firstLine="540"/>
        <w:jc w:val="both"/>
      </w:pPr>
      <w:r>
        <w:rPr>
          <w:sz w:val="20"/>
        </w:rPr>
        <w:t xml:space="preserve">13. Конкурсная документация регистрируется в день ее поступления в </w:t>
      </w:r>
      <w:hyperlink w:history="0" w:anchor="P287" w:tooltip="ЖУРНАЛ">
        <w:r>
          <w:rPr>
            <w:sz w:val="20"/>
            <w:color w:val="0000ff"/>
          </w:rPr>
          <w:t xml:space="preserve">журнале</w:t>
        </w:r>
      </w:hyperlink>
      <w:r>
        <w:rPr>
          <w:sz w:val="20"/>
        </w:rPr>
        <w:t xml:space="preserve"> регистрации конкурсной документации, форма которого установлена приложением N 2 к настоящим Правилам.</w:t>
      </w:r>
    </w:p>
    <w:p>
      <w:pPr>
        <w:pStyle w:val="0"/>
        <w:spacing w:before="200" w:line-rule="auto"/>
        <w:ind w:firstLine="540"/>
        <w:jc w:val="both"/>
      </w:pPr>
      <w:r>
        <w:rPr>
          <w:sz w:val="20"/>
        </w:rPr>
        <w:t xml:space="preserve">14. Проверку, рассмотрение конкурсной документации и определение победителей Конкурса осуществляет формируемая в этих целях конкурсная комиссия (далее - Комиссия).</w:t>
      </w:r>
    </w:p>
    <w:p>
      <w:pPr>
        <w:pStyle w:val="0"/>
        <w:jc w:val="both"/>
      </w:pPr>
      <w:r>
        <w:rPr>
          <w:sz w:val="20"/>
        </w:rPr>
        <w:t xml:space="preserve">(в ред. </w:t>
      </w:r>
      <w:hyperlink w:history="0" r:id="rId27"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15. Комиссия формируется в составе председателя Комиссии, заместителя председателя Комиссии, секретаря Комиссии и членов Комиссии. Состав Комиссии утверждается распоряжением Правительства Ульяновской области. В состав Комиссии включаются государственные гражданские служащие Ульяновской области, члены Общественной палаты Ульяновской области, представители коммерческих и некоммерческих организаций по согласованию с ними.</w:t>
      </w:r>
    </w:p>
    <w:p>
      <w:pPr>
        <w:pStyle w:val="0"/>
        <w:spacing w:before="200" w:line-rule="auto"/>
        <w:ind w:firstLine="540"/>
        <w:jc w:val="both"/>
      </w:pPr>
      <w:r>
        <w:rPr>
          <w:sz w:val="20"/>
        </w:rPr>
        <w:t xml:space="preserve">Председатель Комиссии, заместитель председателя Комиссии и члены Комиссии принимают участие в деятельности Комиссии на безвозмездной основе.</w:t>
      </w:r>
    </w:p>
    <w:p>
      <w:pPr>
        <w:pStyle w:val="0"/>
        <w:spacing w:before="200" w:line-rule="auto"/>
        <w:ind w:firstLine="540"/>
        <w:jc w:val="both"/>
      </w:pPr>
      <w:r>
        <w:rPr>
          <w:sz w:val="20"/>
        </w:rPr>
        <w:t xml:space="preserve">К участию в деятельности Комиссии могут привлекаться в качестве экспертов лица, имеющие опыт деятельности в сфере СМИ.</w:t>
      </w:r>
    </w:p>
    <w:p>
      <w:pPr>
        <w:pStyle w:val="0"/>
        <w:spacing w:before="200" w:line-rule="auto"/>
        <w:ind w:firstLine="540"/>
        <w:jc w:val="both"/>
      </w:pPr>
      <w:r>
        <w:rPr>
          <w:sz w:val="20"/>
        </w:rPr>
        <w:t xml:space="preserve">16. Заседание Комиссии считается правомочным, если на нем присутствует не менее двух третьих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 На заседании Комиссии могут присутствовать представители организаций СМИ.</w:t>
      </w:r>
    </w:p>
    <w:p>
      <w:pPr>
        <w:pStyle w:val="0"/>
        <w:spacing w:before="200" w:line-rule="auto"/>
        <w:ind w:firstLine="540"/>
        <w:jc w:val="both"/>
      </w:pPr>
      <w:r>
        <w:rPr>
          <w:sz w:val="20"/>
        </w:rPr>
        <w:t xml:space="preserve">Решения Комиссии в случаях, предусмотренных </w:t>
      </w:r>
      <w:hyperlink w:history="0" w:anchor="P128" w:tooltip="17. Не позднее 15 рабочих дней со дня окончания срока приема конкурсной документации, указанного в информационном сообщении, Комиссия осуществляет проверку соответствия организаций СМИ требованиям, установленным пунктом 8 настоящих Правил, представления конкурсной документации в течение срока, указанного в информационном сообщении, а также комплектности входящих в состав конкурсной документации документов и материалов, полноты и достоверности содержащихся в них сведений посредством изучения информации, р...">
        <w:r>
          <w:rPr>
            <w:sz w:val="20"/>
            <w:color w:val="0000ff"/>
          </w:rPr>
          <w:t xml:space="preserve">пунктом 17</w:t>
        </w:r>
      </w:hyperlink>
      <w:r>
        <w:rPr>
          <w:sz w:val="20"/>
        </w:rPr>
        <w:t xml:space="preserve"> настоящих Правил, принимаются большинством голосов от числа присутствующих на заседании Комиссии членов Комиссии.</w:t>
      </w:r>
    </w:p>
    <w:bookmarkStart w:id="128" w:name="P128"/>
    <w:bookmarkEnd w:id="128"/>
    <w:p>
      <w:pPr>
        <w:pStyle w:val="0"/>
        <w:spacing w:before="200" w:line-rule="auto"/>
        <w:ind w:firstLine="540"/>
        <w:jc w:val="both"/>
      </w:pPr>
      <w:r>
        <w:rPr>
          <w:sz w:val="20"/>
        </w:rPr>
        <w:t xml:space="preserve">17. Не позднее 15 рабочих дней со дня окончания срока приема конкурсной документации, указанного в информационном сообщении, Комиссия осуществляет проверку соответствия организаций СМИ требованиям, установленным </w:t>
      </w:r>
      <w:hyperlink w:history="0" w:anchor="P67" w:tooltip="8. Участниками Конкурса могут являться организации СМИ, которые по состоянию на дату, непосредственно предшествующую дате представления в Управление конкурсной документации, соответствуют следующим требованиям:">
        <w:r>
          <w:rPr>
            <w:sz w:val="20"/>
            <w:color w:val="0000ff"/>
          </w:rPr>
          <w:t xml:space="preserve">пунктом 8</w:t>
        </w:r>
      </w:hyperlink>
      <w:r>
        <w:rPr>
          <w:sz w:val="20"/>
        </w:rPr>
        <w:t xml:space="preserve"> настоящих Правил, представления конкурсной документации в течение срока, указанного в информационном сообщении, а также комплектности входящих в состав конкурсной документации документов и материалов,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допуске или решение об отказе в допуске организаций СМИ к участию в Конкурсе.</w:t>
      </w:r>
    </w:p>
    <w:p>
      <w:pPr>
        <w:pStyle w:val="0"/>
        <w:jc w:val="both"/>
      </w:pPr>
      <w:r>
        <w:rPr>
          <w:sz w:val="20"/>
        </w:rPr>
        <w:t xml:space="preserve">(в ред. </w:t>
      </w:r>
      <w:hyperlink w:history="0" r:id="rId28"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Комиссия принимает решение об отказе в допуске организаций СМИ к участию в Конкурсе в случаях:</w:t>
      </w:r>
    </w:p>
    <w:p>
      <w:pPr>
        <w:pStyle w:val="0"/>
        <w:spacing w:before="200" w:line-rule="auto"/>
        <w:ind w:firstLine="540"/>
        <w:jc w:val="both"/>
      </w:pPr>
      <w:r>
        <w:rPr>
          <w:sz w:val="20"/>
        </w:rPr>
        <w:t xml:space="preserve">несоответствия организации СМИ хотя бы одному из требований, установленных </w:t>
      </w:r>
      <w:hyperlink w:history="0" w:anchor="P67" w:tooltip="8. Участниками Конкурса могут являться организации СМИ, которые по состоянию на дату, непосредственно предшествующую дате представления в Управление конкурсной документации, соответствуют следующим требованиям:">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представления организацией СМИ конкурсной документации по истечении срока ее приема, указанного в информационном сообщении;</w:t>
      </w:r>
    </w:p>
    <w:p>
      <w:pPr>
        <w:pStyle w:val="0"/>
        <w:spacing w:before="200" w:line-rule="auto"/>
        <w:ind w:firstLine="540"/>
        <w:jc w:val="both"/>
      </w:pPr>
      <w:r>
        <w:rPr>
          <w:sz w:val="20"/>
        </w:rPr>
        <w:t xml:space="preserve">представления организацией СМИ документов и материалов, входящих в состав конкурсной документации, не в полном объеме либо с нарушением предъявляемых к ним требований и (или) наличия в них неполных и (или) недостоверных сведений.</w:t>
      </w:r>
    </w:p>
    <w:p>
      <w:pPr>
        <w:pStyle w:val="0"/>
        <w:spacing w:before="200" w:line-rule="auto"/>
        <w:ind w:firstLine="540"/>
        <w:jc w:val="both"/>
      </w:pPr>
      <w:r>
        <w:rPr>
          <w:sz w:val="20"/>
        </w:rPr>
        <w:t xml:space="preserve">Информация о принятом Комиссией решении Комиссии отражается в протоколе заседания Комиссии и размещается на официальном сайте.</w:t>
      </w:r>
    </w:p>
    <w:bookmarkStart w:id="135" w:name="P135"/>
    <w:bookmarkEnd w:id="135"/>
    <w:p>
      <w:pPr>
        <w:pStyle w:val="0"/>
        <w:spacing w:before="200" w:line-rule="auto"/>
        <w:ind w:firstLine="540"/>
        <w:jc w:val="both"/>
      </w:pPr>
      <w:r>
        <w:rPr>
          <w:sz w:val="20"/>
        </w:rPr>
        <w:t xml:space="preserve">18. Входящие в состав конкурсной документации, представленной организациями СМИ, допущенными к участию в Конкурсе, документы и материалы, указанные в </w:t>
      </w:r>
      <w:hyperlink w:history="0" w:anchor="P99" w:tooltip="1) заявка на участие в Конкурсе, составленная по форме, установленной приложением N 1 к настоящим Правилам;">
        <w:r>
          <w:rPr>
            <w:sz w:val="20"/>
            <w:color w:val="0000ff"/>
          </w:rPr>
          <w:t xml:space="preserve">подпунктах 1</w:t>
        </w:r>
      </w:hyperlink>
      <w:r>
        <w:rPr>
          <w:sz w:val="20"/>
        </w:rPr>
        <w:t xml:space="preserve"> и </w:t>
      </w:r>
      <w:hyperlink w:history="0" w:anchor="P101" w:tooltip="3) образец продукции СМИ;">
        <w:r>
          <w:rPr>
            <w:sz w:val="20"/>
            <w:color w:val="0000ff"/>
          </w:rPr>
          <w:t xml:space="preserve">3</w:t>
        </w:r>
      </w:hyperlink>
      <w:r>
        <w:rPr>
          <w:sz w:val="20"/>
        </w:rPr>
        <w:t xml:space="preserve"> - </w:t>
      </w:r>
      <w:hyperlink w:history="0" w:anchor="P103" w:tooltip="5) смета затрат, содержащая обоснование структуры и объема этих затрат;">
        <w:r>
          <w:rPr>
            <w:sz w:val="20"/>
            <w:color w:val="0000ff"/>
          </w:rPr>
          <w:t xml:space="preserve">5 пункта 10</w:t>
        </w:r>
      </w:hyperlink>
      <w:r>
        <w:rPr>
          <w:sz w:val="20"/>
        </w:rPr>
        <w:t xml:space="preserve"> настоящих Правил, рассматриваются и оцениваются на заседании Комиссии не позднее 20 рабочих дней со дня окончания срока приема конкурсной документации согласно следующим критериям:</w:t>
      </w:r>
    </w:p>
    <w:bookmarkStart w:id="136" w:name="P136"/>
    <w:bookmarkEnd w:id="136"/>
    <w:p>
      <w:pPr>
        <w:pStyle w:val="0"/>
        <w:spacing w:before="200" w:line-rule="auto"/>
        <w:ind w:firstLine="540"/>
        <w:jc w:val="both"/>
      </w:pPr>
      <w:r>
        <w:rPr>
          <w:sz w:val="20"/>
        </w:rPr>
        <w:t xml:space="preserve">1) степень соответствия указанных документов и материалов номинации Конкурса;</w:t>
      </w:r>
    </w:p>
    <w:bookmarkStart w:id="137" w:name="P137"/>
    <w:bookmarkEnd w:id="137"/>
    <w:p>
      <w:pPr>
        <w:pStyle w:val="0"/>
        <w:spacing w:before="200" w:line-rule="auto"/>
        <w:ind w:firstLine="540"/>
        <w:jc w:val="both"/>
      </w:pPr>
      <w:r>
        <w:rPr>
          <w:sz w:val="20"/>
        </w:rPr>
        <w:t xml:space="preserve">2) численность аудитории СМИ и степень востребованности продукции СМИ участника Конкурса в Ульяновской области, которая определяется количеством просмотров материалов организаций СМИ, путем изучения открытых данных в сети "Интернет";</w:t>
      </w:r>
    </w:p>
    <w:bookmarkStart w:id="138" w:name="P138"/>
    <w:bookmarkEnd w:id="138"/>
    <w:p>
      <w:pPr>
        <w:pStyle w:val="0"/>
        <w:spacing w:before="200" w:line-rule="auto"/>
        <w:ind w:firstLine="540"/>
        <w:jc w:val="both"/>
      </w:pPr>
      <w:r>
        <w:rPr>
          <w:sz w:val="20"/>
        </w:rPr>
        <w:t xml:space="preserve">3) степень новизны, оригинальности и актуальности продукции СМИ;</w:t>
      </w:r>
    </w:p>
    <w:bookmarkStart w:id="139" w:name="P139"/>
    <w:bookmarkEnd w:id="139"/>
    <w:p>
      <w:pPr>
        <w:pStyle w:val="0"/>
        <w:spacing w:before="200" w:line-rule="auto"/>
        <w:ind w:firstLine="540"/>
        <w:jc w:val="both"/>
      </w:pPr>
      <w:r>
        <w:rPr>
          <w:sz w:val="20"/>
        </w:rPr>
        <w:t xml:space="preserve">4) наличие у организации СМИ редакционного коллектива;</w:t>
      </w:r>
    </w:p>
    <w:p>
      <w:pPr>
        <w:pStyle w:val="0"/>
        <w:spacing w:before="200" w:line-rule="auto"/>
        <w:ind w:firstLine="540"/>
        <w:jc w:val="both"/>
      </w:pPr>
      <w:r>
        <w:rPr>
          <w:sz w:val="20"/>
        </w:rPr>
        <w:t xml:space="preserve">5) участие организации СМИ в региональных, федеральных, международных конкурсах, наличие у нее наград и иных поощрений в сфере СМИ;</w:t>
      </w:r>
    </w:p>
    <w:bookmarkStart w:id="141" w:name="P141"/>
    <w:bookmarkEnd w:id="141"/>
    <w:p>
      <w:pPr>
        <w:pStyle w:val="0"/>
        <w:spacing w:before="200" w:line-rule="auto"/>
        <w:ind w:firstLine="540"/>
        <w:jc w:val="both"/>
      </w:pPr>
      <w:r>
        <w:rPr>
          <w:sz w:val="20"/>
        </w:rPr>
        <w:t xml:space="preserve">6) наличие у организации СМИ опыта сотрудничества с исполнительными органами государственной власти Ульяновской области в течение последних трех лет.</w:t>
      </w:r>
    </w:p>
    <w:p>
      <w:pPr>
        <w:pStyle w:val="0"/>
        <w:spacing w:before="200" w:line-rule="auto"/>
        <w:ind w:firstLine="540"/>
        <w:jc w:val="both"/>
      </w:pPr>
      <w:r>
        <w:rPr>
          <w:sz w:val="20"/>
        </w:rPr>
        <w:t xml:space="preserve">19. Члены Комиссии по результатам оценки соответствия информации, содержащейся в документах и материалах, указанных в </w:t>
      </w:r>
      <w:hyperlink w:history="0" w:anchor="P99" w:tooltip="1) заявка на участие в Конкурсе, составленная по форме, установленной приложением N 1 к настоящим Правилам;">
        <w:r>
          <w:rPr>
            <w:sz w:val="20"/>
            <w:color w:val="0000ff"/>
          </w:rPr>
          <w:t xml:space="preserve">подпунктах 1</w:t>
        </w:r>
      </w:hyperlink>
      <w:r>
        <w:rPr>
          <w:sz w:val="20"/>
        </w:rPr>
        <w:t xml:space="preserve"> и </w:t>
      </w:r>
      <w:hyperlink w:history="0" w:anchor="P101" w:tooltip="3) образец продукции СМИ;">
        <w:r>
          <w:rPr>
            <w:sz w:val="20"/>
            <w:color w:val="0000ff"/>
          </w:rPr>
          <w:t xml:space="preserve">3</w:t>
        </w:r>
      </w:hyperlink>
      <w:r>
        <w:rPr>
          <w:sz w:val="20"/>
        </w:rPr>
        <w:t xml:space="preserve"> - </w:t>
      </w:r>
      <w:hyperlink w:history="0" w:anchor="P103" w:tooltip="5) смета затрат, содержащая обоснование структуры и объема этих затрат;">
        <w:r>
          <w:rPr>
            <w:sz w:val="20"/>
            <w:color w:val="0000ff"/>
          </w:rPr>
          <w:t xml:space="preserve">5 пункта 10</w:t>
        </w:r>
      </w:hyperlink>
      <w:r>
        <w:rPr>
          <w:sz w:val="20"/>
        </w:rPr>
        <w:t xml:space="preserve"> настоящих Правил, критериям, установленным </w:t>
      </w:r>
      <w:hyperlink w:history="0" w:anchor="P135" w:tooltip="18. Входящие в состав конкурсной документации, представленной организациями СМИ, допущенными к участию в Конкурсе, документы и материалы, указанные в подпунктах 1 и 3 - 5 пункта 10 настоящих Правил, рассматриваются и оцениваются на заседании Комиссии не позднее 20 рабочих дней со дня окончания срока приема конкурсной документации согласно следующим критериям:">
        <w:r>
          <w:rPr>
            <w:sz w:val="20"/>
            <w:color w:val="0000ff"/>
          </w:rPr>
          <w:t xml:space="preserve">пунктом 18</w:t>
        </w:r>
      </w:hyperlink>
      <w:r>
        <w:rPr>
          <w:sz w:val="20"/>
        </w:rPr>
        <w:t xml:space="preserve"> настоящих Правил, присваивают организациям СМИ:</w:t>
      </w:r>
    </w:p>
    <w:p>
      <w:pPr>
        <w:pStyle w:val="0"/>
        <w:jc w:val="both"/>
      </w:pPr>
      <w:r>
        <w:rPr>
          <w:sz w:val="20"/>
        </w:rPr>
        <w:t xml:space="preserve">(в ред. </w:t>
      </w:r>
      <w:hyperlink w:history="0" r:id="rId29"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0 баллов, если информация полностью не соответствует критериям, установленным </w:t>
      </w:r>
      <w:hyperlink w:history="0" w:anchor="P136" w:tooltip="1) степень соответствия указанных документов и материалов номинации Конкурса;">
        <w:r>
          <w:rPr>
            <w:sz w:val="20"/>
            <w:color w:val="0000ff"/>
          </w:rPr>
          <w:t xml:space="preserve">подпунктами 1</w:t>
        </w:r>
      </w:hyperlink>
      <w:r>
        <w:rPr>
          <w:sz w:val="20"/>
        </w:rPr>
        <w:t xml:space="preserve"> - </w:t>
      </w:r>
      <w:hyperlink w:history="0" w:anchor="P138" w:tooltip="3) степень новизны, оригинальности и актуальности продукции СМИ;">
        <w:r>
          <w:rPr>
            <w:sz w:val="20"/>
            <w:color w:val="0000ff"/>
          </w:rPr>
          <w:t xml:space="preserve">3 пункта 18</w:t>
        </w:r>
      </w:hyperlink>
      <w:r>
        <w:rPr>
          <w:sz w:val="20"/>
        </w:rPr>
        <w:t xml:space="preserve"> настоящих Правил, 1 балл, если она соответствует указанным критериям частично, и 2 балла, если она соответствует этим критериям полностью;</w:t>
      </w:r>
    </w:p>
    <w:p>
      <w:pPr>
        <w:pStyle w:val="0"/>
        <w:spacing w:before="200" w:line-rule="auto"/>
        <w:ind w:firstLine="540"/>
        <w:jc w:val="both"/>
      </w:pPr>
      <w:r>
        <w:rPr>
          <w:sz w:val="20"/>
        </w:rPr>
        <w:t xml:space="preserve">0 баллов, если информация не соответствует критериям, установленным </w:t>
      </w:r>
      <w:hyperlink w:history="0" w:anchor="P139" w:tooltip="4) наличие у организации СМИ редакционного коллектива;">
        <w:r>
          <w:rPr>
            <w:sz w:val="20"/>
            <w:color w:val="0000ff"/>
          </w:rPr>
          <w:t xml:space="preserve">подпунктами 4</w:t>
        </w:r>
      </w:hyperlink>
      <w:r>
        <w:rPr>
          <w:sz w:val="20"/>
        </w:rPr>
        <w:t xml:space="preserve"> - </w:t>
      </w:r>
      <w:hyperlink w:history="0" w:anchor="P141" w:tooltip="6) наличие у организации СМИ опыта сотрудничества с исполнительными органами государственной власти Ульяновской области в течение последних трех лет.">
        <w:r>
          <w:rPr>
            <w:sz w:val="20"/>
            <w:color w:val="0000ff"/>
          </w:rPr>
          <w:t xml:space="preserve">6 пункта 18</w:t>
        </w:r>
      </w:hyperlink>
      <w:r>
        <w:rPr>
          <w:sz w:val="20"/>
        </w:rPr>
        <w:t xml:space="preserve"> настоящих Правил, и 1 балл, если она им соответствует.</w:t>
      </w:r>
    </w:p>
    <w:p>
      <w:pPr>
        <w:pStyle w:val="0"/>
        <w:spacing w:before="200" w:line-rule="auto"/>
        <w:ind w:firstLine="540"/>
        <w:jc w:val="both"/>
      </w:pPr>
      <w:r>
        <w:rPr>
          <w:sz w:val="20"/>
        </w:rPr>
        <w:t xml:space="preserve">Победителями Конкурса в каждой из его номинаций признаются допущенные к участию в Конкурсе организации СМИ, которым присвоено наибольшее суммарное количество баллов. В случае равенства наибольшего суммарного количества баллов, присвоенных двум или более организациями СМИ, члены Комиссии повторно рассматривают представленные ими документы и материалы, указанные в </w:t>
      </w:r>
      <w:hyperlink w:history="0" w:anchor="P99" w:tooltip="1) заявка на участие в Конкурсе, составленная по форме, установленной приложением N 1 к настоящим Правилам;">
        <w:r>
          <w:rPr>
            <w:sz w:val="20"/>
            <w:color w:val="0000ff"/>
          </w:rPr>
          <w:t xml:space="preserve">подпунктах 1</w:t>
        </w:r>
      </w:hyperlink>
      <w:r>
        <w:rPr>
          <w:sz w:val="20"/>
        </w:rPr>
        <w:t xml:space="preserve"> и </w:t>
      </w:r>
      <w:hyperlink w:history="0" w:anchor="P101" w:tooltip="3) образец продукции СМИ;">
        <w:r>
          <w:rPr>
            <w:sz w:val="20"/>
            <w:color w:val="0000ff"/>
          </w:rPr>
          <w:t xml:space="preserve">3</w:t>
        </w:r>
      </w:hyperlink>
      <w:r>
        <w:rPr>
          <w:sz w:val="20"/>
        </w:rPr>
        <w:t xml:space="preserve"> - </w:t>
      </w:r>
      <w:hyperlink w:history="0" w:anchor="P103" w:tooltip="5) смета затрат, содержащая обоснование структуры и объема этих затрат;">
        <w:r>
          <w:rPr>
            <w:sz w:val="20"/>
            <w:color w:val="0000ff"/>
          </w:rPr>
          <w:t xml:space="preserve">5 пункта 10</w:t>
        </w:r>
      </w:hyperlink>
      <w:r>
        <w:rPr>
          <w:sz w:val="20"/>
        </w:rPr>
        <w:t xml:space="preserve"> настоящих Правил, по итогам которого переходят к их повторной оценке в порядке, установленном настоящим пунктом.</w:t>
      </w:r>
    </w:p>
    <w:p>
      <w:pPr>
        <w:pStyle w:val="0"/>
        <w:jc w:val="both"/>
      </w:pPr>
      <w:r>
        <w:rPr>
          <w:sz w:val="20"/>
        </w:rPr>
        <w:t xml:space="preserve">(в ред. </w:t>
      </w:r>
      <w:hyperlink w:history="0" r:id="rId30"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20. Решение об отказе в предоставлении гранта принимается:</w:t>
      </w:r>
    </w:p>
    <w:p>
      <w:pPr>
        <w:pStyle w:val="0"/>
        <w:spacing w:before="200" w:line-rule="auto"/>
        <w:ind w:firstLine="540"/>
        <w:jc w:val="both"/>
      </w:pPr>
      <w:r>
        <w:rPr>
          <w:sz w:val="20"/>
        </w:rPr>
        <w:t xml:space="preserve">1) в случае отсутствия или недостаточности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w:t>
      </w:r>
    </w:p>
    <w:p>
      <w:pPr>
        <w:pStyle w:val="0"/>
        <w:jc w:val="both"/>
      </w:pPr>
      <w:r>
        <w:rPr>
          <w:sz w:val="20"/>
        </w:rPr>
        <w:t xml:space="preserve">(в ред. </w:t>
      </w:r>
      <w:hyperlink w:history="0" r:id="rId31"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 в случае, если по результатам оценки соответствия информации, содержащейся в документах и материалах, критериям, предусмотренным </w:t>
      </w:r>
      <w:hyperlink w:history="0" w:anchor="P137" w:tooltip="2) численность аудитории СМИ и степень востребованности продукции СМИ участника Конкурса в Ульяновской области, которая определяется количеством просмотров материалов организаций СМИ, путем изучения открытых данных в сети &quot;Интернет&quot;;">
        <w:r>
          <w:rPr>
            <w:sz w:val="20"/>
            <w:color w:val="0000ff"/>
          </w:rPr>
          <w:t xml:space="preserve">подпунктами 2</w:t>
        </w:r>
      </w:hyperlink>
      <w:r>
        <w:rPr>
          <w:sz w:val="20"/>
        </w:rPr>
        <w:t xml:space="preserve"> и </w:t>
      </w:r>
      <w:hyperlink w:history="0" w:anchor="P138" w:tooltip="3) степень новизны, оригинальности и актуальности продукции СМИ;">
        <w:r>
          <w:rPr>
            <w:sz w:val="20"/>
            <w:color w:val="0000ff"/>
          </w:rPr>
          <w:t xml:space="preserve">3 пункта 18</w:t>
        </w:r>
      </w:hyperlink>
      <w:r>
        <w:rPr>
          <w:sz w:val="20"/>
        </w:rPr>
        <w:t xml:space="preserve"> настоящих Правил, организации СМИ, представившей эти документы и материалы, присвоено наименьшее количество баллов.</w:t>
      </w:r>
    </w:p>
    <w:p>
      <w:pPr>
        <w:pStyle w:val="0"/>
        <w:jc w:val="both"/>
      </w:pPr>
      <w:r>
        <w:rPr>
          <w:sz w:val="20"/>
        </w:rPr>
        <w:t xml:space="preserve">(пп. 2 в ред. </w:t>
      </w:r>
      <w:hyperlink w:history="0" r:id="rId32"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21. Решения Комиссии отражаются в протоколе заседания Комиссии (далее - протокол), который должен содержать:</w:t>
      </w:r>
    </w:p>
    <w:p>
      <w:pPr>
        <w:pStyle w:val="0"/>
        <w:spacing w:before="200" w:line-rule="auto"/>
        <w:ind w:firstLine="540"/>
        <w:jc w:val="both"/>
      </w:pPr>
      <w:r>
        <w:rPr>
          <w:sz w:val="20"/>
        </w:rPr>
        <w:t xml:space="preserve">перечень организаций СМИ, ставших победителями Конкурса, которым Комиссия рекомендует Правительству предоставить гранты;</w:t>
      </w:r>
    </w:p>
    <w:p>
      <w:pPr>
        <w:pStyle w:val="0"/>
        <w:spacing w:before="200" w:line-rule="auto"/>
        <w:ind w:firstLine="540"/>
        <w:jc w:val="both"/>
      </w:pPr>
      <w:r>
        <w:rPr>
          <w:sz w:val="20"/>
        </w:rPr>
        <w:t xml:space="preserve">перечень организаций СМИ, не ставших победителями Конкурса, которым Комиссия рекомендует Правительству отказать в предоставлении грантов.</w:t>
      </w:r>
    </w:p>
    <w:p>
      <w:pPr>
        <w:pStyle w:val="0"/>
        <w:spacing w:before="200" w:line-rule="auto"/>
        <w:ind w:firstLine="540"/>
        <w:jc w:val="both"/>
      </w:pPr>
      <w:r>
        <w:rPr>
          <w:sz w:val="20"/>
        </w:rPr>
        <w:t xml:space="preserve">Протокол оформляется не позднее 2 рабочих дней после дня проведения заседания Комиссии, подписывается всеми членами Комиссии, присутствовавшими на ее заседании, и представляется в Управление.</w:t>
      </w:r>
    </w:p>
    <w:p>
      <w:pPr>
        <w:pStyle w:val="0"/>
        <w:spacing w:before="200" w:line-rule="auto"/>
        <w:ind w:firstLine="540"/>
        <w:jc w:val="both"/>
      </w:pPr>
      <w:r>
        <w:rPr>
          <w:sz w:val="20"/>
        </w:rPr>
        <w:t xml:space="preserve">22. Управление обеспечивает:</w:t>
      </w:r>
    </w:p>
    <w:p>
      <w:pPr>
        <w:pStyle w:val="0"/>
        <w:spacing w:before="200" w:line-rule="auto"/>
        <w:ind w:firstLine="540"/>
        <w:jc w:val="both"/>
      </w:pPr>
      <w:r>
        <w:rPr>
          <w:sz w:val="20"/>
        </w:rPr>
        <w:t xml:space="preserve">1) не позднее 30 рабочих дней со дня подписания протокола заседания Комиссии:</w:t>
      </w:r>
    </w:p>
    <w:p>
      <w:pPr>
        <w:pStyle w:val="0"/>
        <w:spacing w:before="200" w:line-rule="auto"/>
        <w:ind w:firstLine="540"/>
        <w:jc w:val="both"/>
      </w:pPr>
      <w:r>
        <w:rPr>
          <w:sz w:val="20"/>
        </w:rPr>
        <w:t xml:space="preserve">а) принятие Правительством Ульяновской области решения о предоставлении грантов победителям Конкурса в размерах, установленных правовым актом Правительства Ульяновской области, указанным в </w:t>
      </w:r>
      <w:hyperlink w:history="0" w:anchor="P52" w:tooltip="5. В каждой номинации Конкурса присуждаются гранты, количество и размер которых определяются ежегодно правовым актом Правительства Ульяновской области.">
        <w:r>
          <w:rPr>
            <w:sz w:val="20"/>
            <w:color w:val="0000ff"/>
          </w:rPr>
          <w:t xml:space="preserve">пункте 5</w:t>
        </w:r>
      </w:hyperlink>
      <w:r>
        <w:rPr>
          <w:sz w:val="20"/>
        </w:rPr>
        <w:t xml:space="preserve"> настоящих Правил, которое оформляется распоряжением Правительства;</w:t>
      </w:r>
    </w:p>
    <w:p>
      <w:pPr>
        <w:pStyle w:val="0"/>
        <w:spacing w:before="200" w:line-rule="auto"/>
        <w:ind w:firstLine="540"/>
        <w:jc w:val="both"/>
      </w:pPr>
      <w:r>
        <w:rPr>
          <w:sz w:val="20"/>
        </w:rPr>
        <w:t xml:space="preserve">б) принятие Правительством Ульяновской области решения об отказе в предоставлении грантов организациям СМИ, не ставшим победителями Конкурса, а также организациям СМИ, признанным победителями Конкурса, в случае отсутствия или недостаточности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 При этом если доведенные до него лимиты бюджетных обязательств на предоставление грантов не позволяют предоставить гранты всем организациям СМИ, признанным победителями Конкурса, Правительство Ульяновской области принимает решение о предоставлении грантов тем из них, которые представили конкурсную документацию ранее других. Указанные в настоящем подпункте решения Правительства Ульяновской области оформляются распоряжениями Правительства Ульяновской области;</w:t>
      </w:r>
    </w:p>
    <w:p>
      <w:pPr>
        <w:pStyle w:val="0"/>
        <w:spacing w:before="200" w:line-rule="auto"/>
        <w:ind w:firstLine="540"/>
        <w:jc w:val="both"/>
      </w:pPr>
      <w:r>
        <w:rPr>
          <w:sz w:val="20"/>
        </w:rPr>
        <w:t xml:space="preserve">в) уведомление участников Конкурса о принятых Правительством Ульяновской области решениях. При этом уведомление должно быть осуществлено в форме, обеспечивающей возможность подтверждения факта уведомления;</w:t>
      </w:r>
    </w:p>
    <w:p>
      <w:pPr>
        <w:pStyle w:val="0"/>
        <w:spacing w:before="200" w:line-rule="auto"/>
        <w:ind w:firstLine="540"/>
        <w:jc w:val="both"/>
      </w:pPr>
      <w:r>
        <w:rPr>
          <w:sz w:val="20"/>
        </w:rPr>
        <w:t xml:space="preserve">2) размещение на едином портале и официальном сайте не позднее 14 рабочих дней со дня подписания протокола заседания Комиссии информации о результатах рассмотрения и оценки конкурсной документации, включающей следующие сведения:</w:t>
      </w:r>
    </w:p>
    <w:p>
      <w:pPr>
        <w:pStyle w:val="0"/>
        <w:spacing w:before="200" w:line-rule="auto"/>
        <w:ind w:firstLine="540"/>
        <w:jc w:val="both"/>
      </w:pPr>
      <w:r>
        <w:rPr>
          <w:sz w:val="20"/>
        </w:rPr>
        <w:t xml:space="preserve">а) дату, время и место рассмотрения конкурсной документации;</w:t>
      </w:r>
    </w:p>
    <w:p>
      <w:pPr>
        <w:pStyle w:val="0"/>
        <w:jc w:val="both"/>
      </w:pPr>
      <w:r>
        <w:rPr>
          <w:sz w:val="20"/>
        </w:rPr>
        <w:t xml:space="preserve">(в ред. </w:t>
      </w:r>
      <w:hyperlink w:history="0" r:id="rId33"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б) дату, время и место оценки конкурсной документации;</w:t>
      </w:r>
    </w:p>
    <w:p>
      <w:pPr>
        <w:pStyle w:val="0"/>
        <w:spacing w:before="200" w:line-rule="auto"/>
        <w:ind w:firstLine="540"/>
        <w:jc w:val="both"/>
      </w:pPr>
      <w:r>
        <w:rPr>
          <w:sz w:val="20"/>
        </w:rPr>
        <w:t xml:space="preserve">в) информацию об организациях СМИ, представленная которыми конкурсная документация была рассмотрена;</w:t>
      </w:r>
    </w:p>
    <w:p>
      <w:pPr>
        <w:pStyle w:val="0"/>
        <w:jc w:val="both"/>
      </w:pPr>
      <w:r>
        <w:rPr>
          <w:sz w:val="20"/>
        </w:rPr>
        <w:t xml:space="preserve">(в ред. </w:t>
      </w:r>
      <w:hyperlink w:history="0" r:id="rId34"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г) информацию об организациях СМИ, представленная которыми конкурсная документация была отклонена, с указанием причин ее отклонения, в том числе положений информационного сообщения о проведении Конкурса, которым не соответствует такая конкурсная документация;</w:t>
      </w:r>
    </w:p>
    <w:p>
      <w:pPr>
        <w:pStyle w:val="0"/>
        <w:jc w:val="both"/>
      </w:pPr>
      <w:r>
        <w:rPr>
          <w:sz w:val="20"/>
        </w:rPr>
        <w:t xml:space="preserve">(в ред. </w:t>
      </w:r>
      <w:hyperlink w:history="0" r:id="rId35"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д) последовательность оценки конкурсной документации, представленной организациями СМИ, присвоенные значения по каждому из критериев оценки конкурсной документации, принятое на основании результатов оценки решение о присвоении конкурсной документации порядковых номеров;</w:t>
      </w:r>
    </w:p>
    <w:p>
      <w:pPr>
        <w:pStyle w:val="0"/>
        <w:jc w:val="both"/>
      </w:pPr>
      <w:r>
        <w:rPr>
          <w:sz w:val="20"/>
        </w:rPr>
        <w:t xml:space="preserve">(в ред. </w:t>
      </w:r>
      <w:hyperlink w:history="0" r:id="rId36"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е) наименование организаций СМИ, признанных победителями Конкурса, и размеры предоставляемых им грантов.</w:t>
      </w:r>
    </w:p>
    <w:bookmarkStart w:id="173" w:name="P173"/>
    <w:bookmarkEnd w:id="173"/>
    <w:p>
      <w:pPr>
        <w:pStyle w:val="0"/>
        <w:spacing w:before="200" w:line-rule="auto"/>
        <w:ind w:firstLine="540"/>
        <w:jc w:val="both"/>
      </w:pPr>
      <w:r>
        <w:rPr>
          <w:sz w:val="20"/>
        </w:rPr>
        <w:t xml:space="preserve">23. Правительство Ульяновской области заключает с каждым из победителей Конкурса Соглашение в соответствии с типовой формой, установленной Министерством финансов Ульяновской области. Соглашение должно быть заключено не позднее 30 дней со дня подписания соответствующего распоряжения Правительства Ульяновской области.</w:t>
      </w:r>
    </w:p>
    <w:p>
      <w:pPr>
        <w:pStyle w:val="0"/>
        <w:spacing w:before="200" w:line-rule="auto"/>
        <w:ind w:firstLine="540"/>
        <w:jc w:val="both"/>
      </w:pPr>
      <w:r>
        <w:rPr>
          <w:sz w:val="20"/>
        </w:rPr>
        <w:t xml:space="preserve">Если в течение этого срока Соглашение не было заключено по вине победителя Конкурса, он утрачивает право на получение гранта (грантов).</w:t>
      </w:r>
    </w:p>
    <w:p>
      <w:pPr>
        <w:pStyle w:val="0"/>
        <w:spacing w:before="200" w:line-rule="auto"/>
        <w:ind w:firstLine="540"/>
        <w:jc w:val="both"/>
      </w:pPr>
      <w:r>
        <w:rPr>
          <w:sz w:val="20"/>
        </w:rPr>
        <w:t xml:space="preserve">В случае нахождения победителя Конкурса за пределами Ульяновской области Соглашение направляется ему почтовым отправлением, а срок заключения Соглашения, установленный </w:t>
      </w:r>
      <w:hyperlink w:history="0" w:anchor="P173" w:tooltip="23. Правительство Ульяновской области заключает с каждым из победителей Конкурса Соглашение в соответствии с типовой формой, установленной Министерством финансов Ульяновской области. Соглашение должно быть заключено не позднее 30 дней со дня подписания соответствующего распоряжения Правительства Ульяновской области.">
        <w:r>
          <w:rPr>
            <w:sz w:val="20"/>
            <w:color w:val="0000ff"/>
          </w:rPr>
          <w:t xml:space="preserve">абзацем первым</w:t>
        </w:r>
      </w:hyperlink>
      <w:r>
        <w:rPr>
          <w:sz w:val="20"/>
        </w:rPr>
        <w:t xml:space="preserve"> настоящего пункта, продлевается на срок пересылки почтовых отправлений.</w:t>
      </w:r>
    </w:p>
    <w:p>
      <w:pPr>
        <w:pStyle w:val="0"/>
        <w:jc w:val="both"/>
      </w:pPr>
      <w:r>
        <w:rPr>
          <w:sz w:val="20"/>
        </w:rPr>
        <w:t xml:space="preserve">(в ред. </w:t>
      </w:r>
      <w:hyperlink w:history="0" r:id="rId37"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24. Соглашение должно содержать в том числе:</w:t>
      </w:r>
    </w:p>
    <w:p>
      <w:pPr>
        <w:pStyle w:val="0"/>
        <w:spacing w:before="200" w:line-rule="auto"/>
        <w:ind w:firstLine="540"/>
        <w:jc w:val="both"/>
      </w:pPr>
      <w:r>
        <w:rPr>
          <w:sz w:val="20"/>
        </w:rPr>
        <w:t xml:space="preserve">сведения о размере гранта (грантов), целях, условиях и порядке его (их) предоставления, в том числе сроках перечисления; результат предоставления гранта (грантов);</w:t>
      </w:r>
    </w:p>
    <w:p>
      <w:pPr>
        <w:pStyle w:val="0"/>
        <w:spacing w:before="200" w:line-rule="auto"/>
        <w:ind w:firstLine="540"/>
        <w:jc w:val="both"/>
      </w:pPr>
      <w:r>
        <w:rPr>
          <w:sz w:val="20"/>
        </w:rPr>
        <w:t xml:space="preserve">значения результата предоставления гранта (грантов);</w:t>
      </w:r>
    </w:p>
    <w:p>
      <w:pPr>
        <w:pStyle w:val="0"/>
        <w:jc w:val="both"/>
      </w:pPr>
      <w:r>
        <w:rPr>
          <w:sz w:val="20"/>
        </w:rPr>
        <w:t xml:space="preserve">(в ред. </w:t>
      </w:r>
      <w:hyperlink w:history="0" r:id="rId38"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bookmarkStart w:id="181" w:name="P181"/>
    <w:bookmarkEnd w:id="181"/>
    <w:p>
      <w:pPr>
        <w:pStyle w:val="0"/>
        <w:spacing w:before="200" w:line-rule="auto"/>
        <w:ind w:firstLine="540"/>
        <w:jc w:val="both"/>
      </w:pPr>
      <w:r>
        <w:rPr>
          <w:sz w:val="20"/>
        </w:rPr>
        <w:t xml:space="preserve">согласие победителя Конкурса на осуществление Правительством Ульяновской области проверок соблюдения им условий и порядка, установленных при предоставлении гранта (грантов), в том числе в части достижения результата его (их) предоставления, а также на осуществление органами государственного финансового контроля проверок в соответствии со </w:t>
      </w:r>
      <w:hyperlink w:history="0" r:id="rId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запрет на приобретение за счет гранта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импорта оборудования, сырья и комплектующих изделий;</w:t>
      </w:r>
    </w:p>
    <w:p>
      <w:pPr>
        <w:pStyle w:val="0"/>
        <w:jc w:val="both"/>
      </w:pPr>
      <w:r>
        <w:rPr>
          <w:sz w:val="20"/>
        </w:rPr>
        <w:t xml:space="preserve">(в ред. </w:t>
      </w:r>
      <w:hyperlink w:history="0" r:id="rId41"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bookmarkStart w:id="183" w:name="P183"/>
    <w:bookmarkEnd w:id="183"/>
    <w:p>
      <w:pPr>
        <w:pStyle w:val="0"/>
        <w:spacing w:before="200" w:line-rule="auto"/>
        <w:ind w:firstLine="540"/>
        <w:jc w:val="both"/>
      </w:pPr>
      <w:r>
        <w:rPr>
          <w:sz w:val="20"/>
        </w:rPr>
        <w:t xml:space="preserve">обязанность победителя Конкурса включать в договоры (соглашения), заключенные в целях исполнения его обязательств по Соглашению,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Правительством Ульяновской области проверок соблюдения ими условий и порядка, установленных при предоставлении гранта (грантов), в том числе в части достижения результата его (их) предоставления, а также на осуществление органами государственного финансового контроля проверок в соответствии со </w:t>
      </w:r>
      <w:hyperlink w:history="0" r:id="rId4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условие о запрете приобретения контрагентами, являющимися юридическими лицами, за счет гранта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44"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В случае уменьшения Правительству Ульяновской области ранее доведенных до него лимитов бюджетных обязательств, приводящего к невозможности предоставления гранта (грантов) победителю Конкурса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Правительством Ульяновской области и победителем Конкурса согласия относительно таких новых условий.</w:t>
      </w:r>
    </w:p>
    <w:p>
      <w:pPr>
        <w:pStyle w:val="0"/>
        <w:spacing w:before="200" w:line-rule="auto"/>
        <w:ind w:firstLine="540"/>
        <w:jc w:val="both"/>
      </w:pPr>
      <w:r>
        <w:rPr>
          <w:sz w:val="20"/>
        </w:rPr>
        <w:t xml:space="preserve">25. Грант (гранты) перечисляется (перечисляются) Правительством Ульяновской области единовременно на расчетный счет, открытый победителю Конкурса в российской кредитной организации, в сроки, установленные Соглашением.</w:t>
      </w:r>
    </w:p>
    <w:p>
      <w:pPr>
        <w:pStyle w:val="0"/>
        <w:jc w:val="both"/>
      </w:pPr>
      <w:r>
        <w:rPr>
          <w:sz w:val="20"/>
        </w:rPr>
        <w:t xml:space="preserve">(в ред. </w:t>
      </w:r>
      <w:hyperlink w:history="0" r:id="rId45"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26. Результатом предоставления гранта (грантов) является продолжительность эфирного времени телепрограмм, количество выходов в эфир радиопрограмм, количество публикаций сетевых изданий, количество полос в периодическом печатном издании.</w:t>
      </w:r>
    </w:p>
    <w:p>
      <w:pPr>
        <w:pStyle w:val="0"/>
        <w:spacing w:before="200" w:line-rule="auto"/>
        <w:ind w:firstLine="540"/>
        <w:jc w:val="both"/>
      </w:pPr>
      <w:r>
        <w:rPr>
          <w:sz w:val="20"/>
        </w:rPr>
        <w:t xml:space="preserve">Победитель конкурса ежеквартально, не позднее 20 числа месяца, следующего за истекшим кварталом, представляет в Правительство Ульяновской области отчет об осуществлении затрат, источником финансового обеспечения которых являются субсидии, а также отчет о достижении значений результата предоставления гранта (грантов), составленные по форме, определенной типовой формой соглашения 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p>
    <w:p>
      <w:pPr>
        <w:pStyle w:val="0"/>
        <w:jc w:val="both"/>
      </w:pPr>
      <w:r>
        <w:rPr>
          <w:sz w:val="20"/>
        </w:rPr>
        <w:t xml:space="preserve">(п. 26 в ред. </w:t>
      </w:r>
      <w:hyperlink w:history="0" r:id="rId46"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27. Правительство Ульяновской области обеспечивает соблюдение победителем Конкурса условий, целей и порядка, установленных при предоставлении гранта (грантов).</w:t>
      </w:r>
    </w:p>
    <w:p>
      <w:pPr>
        <w:pStyle w:val="0"/>
        <w:spacing w:before="200" w:line-rule="auto"/>
        <w:ind w:firstLine="540"/>
        <w:jc w:val="both"/>
      </w:pPr>
      <w:r>
        <w:rPr>
          <w:sz w:val="20"/>
        </w:rPr>
        <w:t xml:space="preserve">Правительство Ульяновской области и органы государственного финансового контроля осуществляют проверки, указанные в </w:t>
      </w:r>
      <w:hyperlink w:history="0" w:anchor="P181" w:tooltip="согласие победителя Конкурса на осуществление Правительством Ульяновской области проверок соблюдения им условий и порядка, установленных при предоставлении гранта (грантов), в том числе в части достижения результата его (их) предоставления,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и запрет на приобретение за счет гранта (грантов) иностранной валюты, за исключением операций, осуществляе...">
        <w:r>
          <w:rPr>
            <w:sz w:val="20"/>
            <w:color w:val="0000ff"/>
          </w:rPr>
          <w:t xml:space="preserve">абзацах четвертом</w:t>
        </w:r>
      </w:hyperlink>
      <w:r>
        <w:rPr>
          <w:sz w:val="20"/>
        </w:rPr>
        <w:t xml:space="preserve"> и </w:t>
      </w:r>
      <w:hyperlink w:history="0" w:anchor="P183" w:tooltip="обязанность победителя Конкурса включать в договоры (соглашения), заключенные в целях исполнения его обязательств по Соглашению,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
        <w:r>
          <w:rPr>
            <w:sz w:val="20"/>
            <w:color w:val="0000ff"/>
          </w:rPr>
          <w:t xml:space="preserve">пятом пункта 24</w:t>
        </w:r>
      </w:hyperlink>
      <w:r>
        <w:rPr>
          <w:sz w:val="20"/>
        </w:rPr>
        <w:t xml:space="preserve"> настоящих Правил.</w:t>
      </w:r>
    </w:p>
    <w:p>
      <w:pPr>
        <w:pStyle w:val="0"/>
        <w:jc w:val="both"/>
      </w:pPr>
      <w:r>
        <w:rPr>
          <w:sz w:val="20"/>
        </w:rPr>
        <w:t xml:space="preserve">(в ред. </w:t>
      </w:r>
      <w:hyperlink w:history="0" r:id="rId47"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п. 27 </w:t>
            </w:r>
            <w:hyperlink w:history="0" r:id="rId48"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Правительство Ульяновской области проводит мониторинг достижения результата предоставления гранта (грантов) исходя из достижения значений результата предоставления гранта (грантов) и событий, отображающих факт завершения соответствующего мероприятия по получению результата предоставления гранта (грантов)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9"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постановлением</w:t>
        </w:r>
      </w:hyperlink>
      <w:r>
        <w:rPr>
          <w:sz w:val="20"/>
        </w:rPr>
        <w:t xml:space="preserve"> Правительства Ульяновской области от 16.12.2022 N 768-П)</w:t>
      </w:r>
    </w:p>
    <w:bookmarkStart w:id="197" w:name="P197"/>
    <w:bookmarkEnd w:id="197"/>
    <w:p>
      <w:pPr>
        <w:pStyle w:val="0"/>
        <w:spacing w:before="200" w:line-rule="auto"/>
        <w:ind w:firstLine="540"/>
        <w:jc w:val="both"/>
      </w:pPr>
      <w:r>
        <w:rPr>
          <w:sz w:val="20"/>
        </w:rPr>
        <w:t xml:space="preserve">28. В случае нарушения победителем Конкурса, а равно контрагентами условий, установленных при предоставлении гранта, или установления факта предоставления победителем Конкурса ложных либо намеренно искаженных сведений, выявленных в том числе по результатам проведенных Правительством Ульяновской области или органом государственного финансового контроля проверок, грант (гранты), а равно средства, полученные контрагентами за счет гранта (грантов), подлежат возврату в областной бюджет Ульяновской области в полном объеме.</w:t>
      </w:r>
    </w:p>
    <w:bookmarkStart w:id="198" w:name="P198"/>
    <w:bookmarkEnd w:id="198"/>
    <w:p>
      <w:pPr>
        <w:pStyle w:val="0"/>
        <w:spacing w:before="200" w:line-rule="auto"/>
        <w:ind w:firstLine="540"/>
        <w:jc w:val="both"/>
      </w:pPr>
      <w:r>
        <w:rPr>
          <w:sz w:val="20"/>
        </w:rPr>
        <w:t xml:space="preserve">В случае недостижения победителем Конкурса или контрагентами результата предоставления гранта (грантов) грант (гранты), а равно средства, полученные контрагентами за счет гранта (грантов), подлежат возврату в областной бюджет Ульяновской области в объеме, пропорциональном величине недостигнутых значений указанного результата.</w:t>
      </w:r>
    </w:p>
    <w:p>
      <w:pPr>
        <w:pStyle w:val="0"/>
        <w:spacing w:before="200" w:line-rule="auto"/>
        <w:ind w:firstLine="540"/>
        <w:jc w:val="both"/>
      </w:pPr>
      <w:r>
        <w:rPr>
          <w:sz w:val="20"/>
        </w:rPr>
        <w:t xml:space="preserve">Правительство Ульяновской области обеспечивает возврат гранта (грантов), а равно средств, полученных контрагентами за счет гранта (грантов), в областной бюджет Ульяновской области посредством направления победителю Конкурса (контрагенту) в срок, не превышающий 30 календарных дней со дня обнаружения обстоятельств, являющихся в соответствии с </w:t>
      </w:r>
      <w:hyperlink w:history="0" w:anchor="P197" w:tooltip="28. В случае нарушения победителем Конкурса, а равно контрагентами условий, установленных при предоставлении гранта, или установления факта предоставления победителем Конкурса ложных либо намеренно искаженных сведений, выявленных в том числе по результатам проведенных Правительством Ульяновской области или органом государственного финансового контроля проверок, грант (гранты), а равно средства, полученные контрагентами за счет гранта (грантов), подлежат возврату в областной бюджет Ульяновской области в п...">
        <w:r>
          <w:rPr>
            <w:sz w:val="20"/>
            <w:color w:val="0000ff"/>
          </w:rPr>
          <w:t xml:space="preserve">абзацами первым</w:t>
        </w:r>
      </w:hyperlink>
      <w:r>
        <w:rPr>
          <w:sz w:val="20"/>
        </w:rPr>
        <w:t xml:space="preserve"> и </w:t>
      </w:r>
      <w:hyperlink w:history="0" w:anchor="P198" w:tooltip="В случае недостижения победителем Конкурса или контрагентами результата предоставления гранта (грантов) грант (гранты), а равно средства, полученные контрагентами за счет гранта (грантов), подлежат возврату в областной бюджет Ульяновской области в объеме, пропорциональном величине недостигнутых значений указанного результата.">
        <w:r>
          <w:rPr>
            <w:sz w:val="20"/>
            <w:color w:val="0000ff"/>
          </w:rPr>
          <w:t xml:space="preserve">вторым</w:t>
        </w:r>
      </w:hyperlink>
      <w:r>
        <w:rPr>
          <w:sz w:val="20"/>
        </w:rPr>
        <w:t xml:space="preserve"> настоящего пункта основаниями для возврата гранта (грантов) или средств, полученных контрагентами за счет гранта (грантов), в областной бюджет Ульяновской области, требования о возврате гранта (грантов) или указанных средств в течение 10 календарных дней со дня получения данного требования.</w:t>
      </w:r>
    </w:p>
    <w:p>
      <w:pPr>
        <w:pStyle w:val="0"/>
        <w:spacing w:before="200" w:line-rule="auto"/>
        <w:ind w:firstLine="540"/>
        <w:jc w:val="both"/>
      </w:pPr>
      <w:r>
        <w:rPr>
          <w:sz w:val="20"/>
        </w:rPr>
        <w:t xml:space="preserve">Остатки гранта (грантов), не использованного (не использованных) в текущем финансовом году, подлежат возврату в областной бюджет Ульяновской области не позднее 30 дней со дня обнаружения обстоятельств, предусмотренных настоящим пунктом.</w:t>
      </w:r>
    </w:p>
    <w:p>
      <w:pPr>
        <w:pStyle w:val="0"/>
        <w:jc w:val="both"/>
      </w:pPr>
      <w:r>
        <w:rPr>
          <w:sz w:val="20"/>
        </w:rPr>
        <w:t xml:space="preserve">(п. 28 в ред. </w:t>
      </w:r>
      <w:hyperlink w:history="0" r:id="rId50"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29. Возврат гранта (грантов) или остатков гранта (грантов), а равно средств, полученных контрагентами за счет гранта (грантов), осуществляется на лицевой счет Правительства Ульяновской области с последующим перечислением в доход областного бюджета Ульяновской области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победителя Конкурса от добровольного возврата гранта (грантов) или остатка гранта (грантов), а равно отказа или уклонения контрагента от возврата средств, полученных им за счет гранта (грантов), в областной бюджет Ульяновской области Правительство Ульяновской области принимает предусмотренные законодательством Российской Федерации меры по их принудительному взысканию.</w:t>
      </w:r>
    </w:p>
    <w:p>
      <w:pPr>
        <w:pStyle w:val="0"/>
        <w:jc w:val="both"/>
      </w:pPr>
      <w:r>
        <w:rPr>
          <w:sz w:val="20"/>
        </w:rPr>
        <w:t xml:space="preserve">(п. 29 в ред. </w:t>
      </w:r>
      <w:hyperlink w:history="0" r:id="rId51"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spacing w:before="200" w:line-rule="auto"/>
        <w:ind w:firstLine="540"/>
        <w:jc w:val="both"/>
      </w:pPr>
      <w:r>
        <w:rPr>
          <w:sz w:val="20"/>
        </w:rPr>
        <w:t xml:space="preserve">30. Средства, образовавшиеся в результате возврата гранта, остатков гранта (грантов), подлежат предоставлению в текущем финансовом году организациям СМИ, имеющим право на получение гранта и не получившим грант в связи с отсутствием или недостаточностью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 представившим конкурсную документацию ранее других таких организаций СМИ в соответствии с очередностью представления конкурсной документации, определяемой по дате и времени их регистрации в журнале регистрации конкурсной документации, за исключением отсутствия таких организаций СМИ, либо если средств, образовавшихся в результате возврата гранта, остатков гранта (грантов) не достаточно для предоставления в текущем финансовом году гранта (грантов) организациям СМИ, имеющим право на получение гранта (грантов).</w:t>
      </w:r>
    </w:p>
    <w:p>
      <w:pPr>
        <w:pStyle w:val="0"/>
        <w:jc w:val="both"/>
      </w:pPr>
      <w:r>
        <w:rPr>
          <w:sz w:val="20"/>
        </w:rPr>
        <w:t xml:space="preserve">(в ред. </w:t>
      </w:r>
      <w:hyperlink w:history="0" r:id="rId52" w:tooltip="Постановление Правительства Ульяновской области от 16.12.2022 N 768-П &quot;О внесении изменений в постановление Правительства Ульяновской области от 18.01.2019 N 11-П&quot; {КонсультантПлюс}">
        <w:r>
          <w:rPr>
            <w:sz w:val="20"/>
            <w:color w:val="0000ff"/>
          </w:rPr>
          <w:t xml:space="preserve">постановления</w:t>
        </w:r>
      </w:hyperlink>
      <w:r>
        <w:rPr>
          <w:sz w:val="20"/>
        </w:rPr>
        <w:t xml:space="preserve"> Правительства Ульяновской области от 16.12.2022 N 768-П)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w:t>
      </w:r>
    </w:p>
    <w:p>
      <w:pPr>
        <w:pStyle w:val="0"/>
        <w:jc w:val="both"/>
      </w:pPr>
      <w:r>
        <w:rPr>
          <w:sz w:val="20"/>
        </w:rPr>
      </w:r>
    </w:p>
    <w:bookmarkStart w:id="215" w:name="P215"/>
    <w:bookmarkEnd w:id="215"/>
    <w:p>
      <w:pPr>
        <w:pStyle w:val="1"/>
        <w:jc w:val="both"/>
      </w:pPr>
      <w:r>
        <w:rPr>
          <w:sz w:val="20"/>
        </w:rPr>
        <w:t xml:space="preserve">                                  ЗАЯВКА</w:t>
      </w:r>
    </w:p>
    <w:p>
      <w:pPr>
        <w:pStyle w:val="1"/>
        <w:jc w:val="both"/>
      </w:pPr>
      <w:r>
        <w:rPr>
          <w:sz w:val="20"/>
        </w:rPr>
        <w:t xml:space="preserve">          на участие в Конкурсе по предоставлению грантов в форме</w:t>
      </w:r>
    </w:p>
    <w:p>
      <w:pPr>
        <w:pStyle w:val="1"/>
        <w:jc w:val="both"/>
      </w:pPr>
      <w:r>
        <w:rPr>
          <w:sz w:val="20"/>
        </w:rPr>
        <w:t xml:space="preserve">            субсидий из областного бюджета Ульяновской области</w:t>
      </w:r>
    </w:p>
    <w:p>
      <w:pPr>
        <w:pStyle w:val="1"/>
        <w:jc w:val="both"/>
      </w:pPr>
      <w:r>
        <w:rPr>
          <w:sz w:val="20"/>
        </w:rPr>
        <w:t xml:space="preserve">             организациям, осуществляющим деятельность в сфере</w:t>
      </w:r>
    </w:p>
    <w:p>
      <w:pPr>
        <w:pStyle w:val="1"/>
        <w:jc w:val="both"/>
      </w:pPr>
      <w:r>
        <w:rPr>
          <w:sz w:val="20"/>
        </w:rPr>
        <w:t xml:space="preserve">            электронных и печатных средств массовой информации</w:t>
      </w:r>
    </w:p>
    <w:p>
      <w:pPr>
        <w:pStyle w:val="1"/>
        <w:jc w:val="both"/>
      </w:pPr>
      <w:r>
        <w:rPr>
          <w:sz w:val="20"/>
        </w:rPr>
      </w:r>
    </w:p>
    <w:p>
      <w:pPr>
        <w:pStyle w:val="1"/>
        <w:jc w:val="both"/>
      </w:pPr>
      <w:r>
        <w:rPr>
          <w:sz w:val="20"/>
        </w:rPr>
        <w:t xml:space="preserve">                             1. Общие сведения</w:t>
      </w:r>
    </w:p>
    <w:p>
      <w:pPr>
        <w:pStyle w:val="1"/>
        <w:jc w:val="both"/>
      </w:pPr>
      <w:r>
        <w:rPr>
          <w:sz w:val="20"/>
        </w:rPr>
      </w:r>
    </w:p>
    <w:p>
      <w:pPr>
        <w:pStyle w:val="1"/>
        <w:jc w:val="both"/>
      </w:pPr>
      <w:r>
        <w:rPr>
          <w:sz w:val="20"/>
        </w:rPr>
        <w:t xml:space="preserve">Наименование номинации ____________________________________________________</w:t>
      </w:r>
    </w:p>
    <w:p>
      <w:pPr>
        <w:pStyle w:val="1"/>
        <w:jc w:val="both"/>
      </w:pPr>
      <w:r>
        <w:rPr>
          <w:sz w:val="20"/>
        </w:rPr>
        <w:t xml:space="preserve">Размер гранта _____________________________________________________________</w:t>
      </w:r>
    </w:p>
    <w:p>
      <w:pPr>
        <w:pStyle w:val="1"/>
        <w:jc w:val="both"/>
      </w:pPr>
      <w:r>
        <w:rPr>
          <w:sz w:val="20"/>
        </w:rPr>
        <w:t xml:space="preserve">Наименование организации СМИ</w:t>
      </w:r>
    </w:p>
    <w:p>
      <w:pPr>
        <w:pStyle w:val="1"/>
        <w:jc w:val="both"/>
      </w:pPr>
      <w:r>
        <w:rPr>
          <w:sz w:val="20"/>
        </w:rPr>
        <w:t xml:space="preserve">(в соответствии с уставом организации) ____________________________________</w:t>
      </w:r>
    </w:p>
    <w:p>
      <w:pPr>
        <w:pStyle w:val="1"/>
        <w:jc w:val="both"/>
      </w:pPr>
      <w:r>
        <w:rPr>
          <w:sz w:val="20"/>
        </w:rPr>
        <w:t xml:space="preserve">Фамилия, имя, отчество (при наличии) руководителя организации СМИ</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телефонной  связи  (номер  факса)  с  указанием  кода</w:t>
      </w:r>
    </w:p>
    <w:p>
      <w:pPr>
        <w:pStyle w:val="1"/>
        <w:jc w:val="both"/>
      </w:pPr>
      <w:r>
        <w:rPr>
          <w:sz w:val="20"/>
        </w:rPr>
        <w:t xml:space="preserve">населенного пункта ________________________________________________________</w:t>
      </w:r>
    </w:p>
    <w:p>
      <w:pPr>
        <w:pStyle w:val="1"/>
        <w:jc w:val="both"/>
      </w:pPr>
      <w:r>
        <w:rPr>
          <w:sz w:val="20"/>
        </w:rPr>
        <w:t xml:space="preserve">Адрес электронной почты организации (при наличии) _________________________</w:t>
      </w:r>
    </w:p>
    <w:p>
      <w:pPr>
        <w:pStyle w:val="1"/>
        <w:jc w:val="both"/>
      </w:pPr>
      <w:r>
        <w:rPr>
          <w:sz w:val="20"/>
        </w:rPr>
        <w:t xml:space="preserve">Краткое описание концепции производства продукции СМИ 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Справочная информация об организации</w:t>
      </w:r>
    </w:p>
    <w:p>
      <w:pPr>
        <w:pStyle w:val="1"/>
        <w:jc w:val="both"/>
      </w:pPr>
      <w:r>
        <w:rPr>
          <w:sz w:val="20"/>
        </w:rPr>
      </w:r>
    </w:p>
    <w:p>
      <w:pPr>
        <w:pStyle w:val="1"/>
        <w:jc w:val="both"/>
      </w:pPr>
      <w:r>
        <w:rPr>
          <w:sz w:val="20"/>
        </w:rPr>
        <w:t xml:space="preserve">Адрес местонахождения организации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официального  сайта организации в информационно-телекоммуникационной</w:t>
      </w:r>
    </w:p>
    <w:p>
      <w:pPr>
        <w:pStyle w:val="1"/>
        <w:jc w:val="both"/>
      </w:pPr>
      <w:r>
        <w:rPr>
          <w:sz w:val="20"/>
        </w:rPr>
        <w:t xml:space="preserve">сети "Интернет" ___________________________________________________________</w:t>
      </w:r>
    </w:p>
    <w:p>
      <w:pPr>
        <w:pStyle w:val="1"/>
        <w:jc w:val="both"/>
      </w:pPr>
      <w:r>
        <w:rPr>
          <w:sz w:val="20"/>
        </w:rPr>
        <w:t xml:space="preserve">Фамилия, имя, отчество (при наличии) бухгалтера организации _______________</w:t>
      </w:r>
    </w:p>
    <w:p>
      <w:pPr>
        <w:pStyle w:val="1"/>
        <w:jc w:val="both"/>
      </w:pPr>
      <w:r>
        <w:rPr>
          <w:sz w:val="20"/>
        </w:rPr>
        <w:t xml:space="preserve">Банковские реквизиты организации:</w:t>
      </w:r>
    </w:p>
    <w:p>
      <w:pPr>
        <w:pStyle w:val="1"/>
        <w:jc w:val="both"/>
      </w:pPr>
      <w:r>
        <w:rPr>
          <w:sz w:val="20"/>
        </w:rPr>
        <w:t xml:space="preserve">ОГРН ______________________________________________________________________</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Расчетный счет ____________________________________________________________</w:t>
      </w:r>
    </w:p>
    <w:p>
      <w:pPr>
        <w:pStyle w:val="1"/>
        <w:jc w:val="both"/>
      </w:pPr>
      <w:r>
        <w:rPr>
          <w:sz w:val="20"/>
        </w:rPr>
        <w:t xml:space="preserve">Банк получателя ___________________________________________________________</w:t>
      </w:r>
    </w:p>
    <w:p>
      <w:pPr>
        <w:pStyle w:val="1"/>
        <w:jc w:val="both"/>
      </w:pPr>
      <w:r>
        <w:rPr>
          <w:sz w:val="20"/>
        </w:rPr>
        <w:t xml:space="preserve">Корреспондентский счет 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r>
    </w:p>
    <w:p>
      <w:pPr>
        <w:pStyle w:val="1"/>
        <w:jc w:val="both"/>
      </w:pPr>
      <w:r>
        <w:rPr>
          <w:sz w:val="20"/>
        </w:rPr>
        <w:t xml:space="preserve">               3. Информация о деятельности организации СМИ</w:t>
      </w:r>
    </w:p>
    <w:p>
      <w:pPr>
        <w:pStyle w:val="1"/>
        <w:jc w:val="both"/>
      </w:pPr>
      <w:r>
        <w:rPr>
          <w:sz w:val="20"/>
        </w:rPr>
      </w:r>
    </w:p>
    <w:p>
      <w:pPr>
        <w:pStyle w:val="1"/>
        <w:jc w:val="both"/>
      </w:pPr>
      <w:r>
        <w:rPr>
          <w:sz w:val="20"/>
        </w:rPr>
        <w:t xml:space="preserve">    Описание  деятельности  СМИ  по  производству  и  выпуску  новостных  и</w:t>
      </w:r>
    </w:p>
    <w:p>
      <w:pPr>
        <w:pStyle w:val="1"/>
        <w:jc w:val="both"/>
      </w:pPr>
      <w:r>
        <w:rPr>
          <w:sz w:val="20"/>
        </w:rPr>
        <w:t xml:space="preserve">информационных  радио-  и  телепрограмм, производству выпусков (обновлений)</w:t>
      </w:r>
    </w:p>
    <w:p>
      <w:pPr>
        <w:pStyle w:val="1"/>
        <w:jc w:val="both"/>
      </w:pPr>
      <w:r>
        <w:rPr>
          <w:sz w:val="20"/>
        </w:rPr>
        <w:t xml:space="preserve">сетевых  изданий  и  предоставлению  доступа  к ним, а также производству и</w:t>
      </w:r>
    </w:p>
    <w:p>
      <w:pPr>
        <w:pStyle w:val="1"/>
        <w:jc w:val="both"/>
      </w:pPr>
      <w:r>
        <w:rPr>
          <w:sz w:val="20"/>
        </w:rPr>
        <w:t xml:space="preserve">выпуску  периодических  печатных  изданий за последние три года с указанием</w:t>
      </w:r>
    </w:p>
    <w:p>
      <w:pPr>
        <w:pStyle w:val="1"/>
        <w:jc w:val="both"/>
      </w:pPr>
      <w:r>
        <w:rPr>
          <w:sz w:val="20"/>
        </w:rPr>
        <w:t xml:space="preserve">источников финансового обеспечения (объем описания - не более 1 страницы)</w:t>
      </w:r>
    </w:p>
    <w:p>
      <w:pPr>
        <w:pStyle w:val="1"/>
        <w:jc w:val="both"/>
      </w:pPr>
      <w:r>
        <w:rPr>
          <w:sz w:val="20"/>
        </w:rPr>
        <w:t xml:space="preserve">___________________________________________________________________________</w:t>
      </w:r>
    </w:p>
    <w:p>
      <w:pPr>
        <w:pStyle w:val="1"/>
        <w:jc w:val="both"/>
      </w:pPr>
      <w:r>
        <w:rPr>
          <w:sz w:val="20"/>
        </w:rPr>
        <w:t xml:space="preserve">    Указание   на  полученные  организацией  премии,  субсидии,  гранты  за</w:t>
      </w:r>
    </w:p>
    <w:p>
      <w:pPr>
        <w:pStyle w:val="1"/>
        <w:jc w:val="both"/>
      </w:pPr>
      <w:r>
        <w:rPr>
          <w:sz w:val="20"/>
        </w:rPr>
        <w:t xml:space="preserve">последние три года ________________________________________________________</w:t>
      </w:r>
    </w:p>
    <w:p>
      <w:pPr>
        <w:pStyle w:val="1"/>
        <w:jc w:val="both"/>
      </w:pPr>
      <w:r>
        <w:rPr>
          <w:sz w:val="20"/>
        </w:rPr>
        <w:t xml:space="preserve">    Информация   об   участии   и   полученных  наградах  в  международных,</w:t>
      </w:r>
    </w:p>
    <w:p>
      <w:pPr>
        <w:pStyle w:val="1"/>
        <w:jc w:val="both"/>
      </w:pPr>
      <w:r>
        <w:rPr>
          <w:sz w:val="20"/>
        </w:rPr>
        <w:t xml:space="preserve">российских,  межрегиональных и региональных творческих конкурсах СМИ и иных</w:t>
      </w:r>
    </w:p>
    <w:p>
      <w:pPr>
        <w:pStyle w:val="1"/>
        <w:jc w:val="both"/>
      </w:pPr>
      <w:r>
        <w:rPr>
          <w:sz w:val="20"/>
        </w:rPr>
        <w:t xml:space="preserve">конкурсах  за  последние  три  года  с  указанием наград, премий, дипломов,</w:t>
      </w:r>
    </w:p>
    <w:p>
      <w:pPr>
        <w:pStyle w:val="1"/>
        <w:jc w:val="both"/>
      </w:pPr>
      <w:r>
        <w:rPr>
          <w:sz w:val="20"/>
        </w:rPr>
        <w:t xml:space="preserve">которые получила организация СМИ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Информация  о привлечении к работе приглашенного специалиста-эксперта в</w:t>
      </w:r>
    </w:p>
    <w:p>
      <w:pPr>
        <w:pStyle w:val="1"/>
        <w:jc w:val="both"/>
      </w:pPr>
      <w:r>
        <w:rPr>
          <w:sz w:val="20"/>
        </w:rPr>
        <w:t xml:space="preserve">любой  области, связанной с деятельностью организации СМИ, и предоставление</w:t>
      </w:r>
    </w:p>
    <w:p>
      <w:pPr>
        <w:pStyle w:val="1"/>
        <w:jc w:val="both"/>
      </w:pPr>
      <w:r>
        <w:rPr>
          <w:sz w:val="20"/>
        </w:rPr>
        <w:t xml:space="preserve">рекомендации или заключения указанного эксперта (при наличии) _____________</w:t>
      </w:r>
    </w:p>
    <w:p>
      <w:pPr>
        <w:pStyle w:val="1"/>
        <w:jc w:val="both"/>
      </w:pPr>
      <w:r>
        <w:rPr>
          <w:sz w:val="20"/>
        </w:rPr>
        <w:t xml:space="preserve">___________________________________________________________________________</w:t>
      </w:r>
    </w:p>
    <w:p>
      <w:pPr>
        <w:pStyle w:val="1"/>
        <w:jc w:val="both"/>
      </w:pPr>
      <w:r>
        <w:rPr>
          <w:sz w:val="20"/>
        </w:rPr>
        <w:t xml:space="preserve">    Реалистичность и достижимость целей конкурсной документации ___________</w:t>
      </w:r>
    </w:p>
    <w:p>
      <w:pPr>
        <w:pStyle w:val="1"/>
        <w:jc w:val="both"/>
      </w:pPr>
      <w:r>
        <w:rPr>
          <w:sz w:val="20"/>
        </w:rPr>
        <w:t xml:space="preserve">___________________________________________________________________________</w:t>
      </w:r>
    </w:p>
    <w:p>
      <w:pPr>
        <w:pStyle w:val="1"/>
        <w:jc w:val="both"/>
      </w:pPr>
      <w:r>
        <w:rPr>
          <w:sz w:val="20"/>
        </w:rPr>
        <w:t xml:space="preserve">    Информация  о  количестве просмотров материалов организаций СМИ (тираж,</w:t>
      </w:r>
    </w:p>
    <w:p>
      <w:pPr>
        <w:pStyle w:val="1"/>
        <w:jc w:val="both"/>
      </w:pPr>
      <w:r>
        <w:rPr>
          <w:sz w:val="20"/>
        </w:rPr>
        <w:t xml:space="preserve">численность  аудитории и сведения о посещаемости сайта), определяемом путем</w:t>
      </w:r>
    </w:p>
    <w:p>
      <w:pPr>
        <w:pStyle w:val="1"/>
        <w:jc w:val="both"/>
      </w:pPr>
      <w:r>
        <w:rPr>
          <w:sz w:val="20"/>
        </w:rPr>
        <w:t xml:space="preserve">изучения открытых данных в сети "Интернет" 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 организации   _____________ 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w:t>
      </w:r>
    </w:p>
    <w:p>
      <w:pPr>
        <w:pStyle w:val="0"/>
        <w:jc w:val="both"/>
      </w:pPr>
      <w:r>
        <w:rPr>
          <w:sz w:val="20"/>
        </w:rPr>
      </w:r>
    </w:p>
    <w:bookmarkStart w:id="287" w:name="P287"/>
    <w:bookmarkEnd w:id="287"/>
    <w:p>
      <w:pPr>
        <w:pStyle w:val="0"/>
        <w:jc w:val="center"/>
      </w:pPr>
      <w:r>
        <w:rPr>
          <w:sz w:val="20"/>
        </w:rPr>
        <w:t xml:space="preserve">ЖУРНАЛ</w:t>
      </w:r>
    </w:p>
    <w:p>
      <w:pPr>
        <w:pStyle w:val="0"/>
        <w:jc w:val="center"/>
      </w:pPr>
      <w:r>
        <w:rPr>
          <w:sz w:val="20"/>
        </w:rPr>
        <w:t xml:space="preserve">регистрации конкурсной документации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1814"/>
        <w:gridCol w:w="1417"/>
        <w:gridCol w:w="1077"/>
        <w:gridCol w:w="1757"/>
        <w:gridCol w:w="1474"/>
        <w:gridCol w:w="922"/>
      </w:tblGrid>
      <w:tr>
        <w:tc>
          <w:tcPr>
            <w:tcW w:w="581" w:type="dxa"/>
            <w:vAlign w:val="center"/>
          </w:tcPr>
          <w:p>
            <w:pPr>
              <w:pStyle w:val="0"/>
              <w:jc w:val="center"/>
            </w:pPr>
            <w:r>
              <w:rPr>
                <w:sz w:val="20"/>
              </w:rPr>
              <w:t xml:space="preserve">N п/п</w:t>
            </w:r>
          </w:p>
        </w:tc>
        <w:tc>
          <w:tcPr>
            <w:tcW w:w="1814" w:type="dxa"/>
            <w:vAlign w:val="center"/>
          </w:tcPr>
          <w:p>
            <w:pPr>
              <w:pStyle w:val="0"/>
              <w:jc w:val="center"/>
            </w:pPr>
            <w:r>
              <w:rPr>
                <w:sz w:val="20"/>
              </w:rPr>
              <w:t xml:space="preserve">Дата предоставления конкурсной документации</w:t>
            </w:r>
          </w:p>
        </w:tc>
        <w:tc>
          <w:tcPr>
            <w:tcW w:w="1417" w:type="dxa"/>
            <w:vAlign w:val="center"/>
          </w:tcPr>
          <w:p>
            <w:pPr>
              <w:pStyle w:val="0"/>
              <w:jc w:val="center"/>
            </w:pPr>
            <w:r>
              <w:rPr>
                <w:sz w:val="20"/>
              </w:rPr>
              <w:t xml:space="preserve">Наименование организации СМИ</w:t>
            </w:r>
          </w:p>
        </w:tc>
        <w:tc>
          <w:tcPr>
            <w:tcW w:w="1077" w:type="dxa"/>
            <w:vAlign w:val="center"/>
          </w:tcPr>
          <w:p>
            <w:pPr>
              <w:pStyle w:val="0"/>
              <w:jc w:val="center"/>
            </w:pPr>
            <w:r>
              <w:rPr>
                <w:sz w:val="20"/>
              </w:rPr>
              <w:t xml:space="preserve">Наименование номинации</w:t>
            </w:r>
          </w:p>
        </w:tc>
        <w:tc>
          <w:tcPr>
            <w:tcW w:w="1757" w:type="dxa"/>
            <w:vAlign w:val="center"/>
          </w:tcPr>
          <w:p>
            <w:pPr>
              <w:pStyle w:val="0"/>
              <w:jc w:val="center"/>
            </w:pPr>
            <w:r>
              <w:rPr>
                <w:sz w:val="20"/>
              </w:rPr>
              <w:t xml:space="preserve">Подпись лица, представившего конкурсную документацию</w:t>
            </w:r>
          </w:p>
        </w:tc>
        <w:tc>
          <w:tcPr>
            <w:tcW w:w="1474" w:type="dxa"/>
            <w:vAlign w:val="center"/>
          </w:tcPr>
          <w:p>
            <w:pPr>
              <w:pStyle w:val="0"/>
              <w:jc w:val="center"/>
            </w:pPr>
            <w:r>
              <w:rPr>
                <w:sz w:val="20"/>
              </w:rPr>
              <w:t xml:space="preserve">Подпись лица, принявшего конкурсную документацию</w:t>
            </w:r>
          </w:p>
        </w:tc>
        <w:tc>
          <w:tcPr>
            <w:tcW w:w="922" w:type="dxa"/>
            <w:vAlign w:val="center"/>
          </w:tcPr>
          <w:p>
            <w:pPr>
              <w:pStyle w:val="0"/>
              <w:jc w:val="center"/>
            </w:pPr>
            <w:r>
              <w:rPr>
                <w:sz w:val="20"/>
              </w:rPr>
              <w:t xml:space="preserve">Примечание</w:t>
            </w:r>
          </w:p>
        </w:tc>
      </w:tr>
      <w:tr>
        <w:tc>
          <w:tcPr>
            <w:tcW w:w="581"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077" w:type="dxa"/>
            <w:vAlign w:val="center"/>
          </w:tcPr>
          <w:p>
            <w:pPr>
              <w:pStyle w:val="0"/>
            </w:pPr>
            <w:r>
              <w:rPr>
                <w:sz w:val="20"/>
              </w:rPr>
            </w:r>
          </w:p>
        </w:tc>
        <w:tc>
          <w:tcPr>
            <w:tcW w:w="1757" w:type="dxa"/>
            <w:vAlign w:val="center"/>
          </w:tcPr>
          <w:p>
            <w:pPr>
              <w:pStyle w:val="0"/>
            </w:pPr>
            <w:r>
              <w:rPr>
                <w:sz w:val="20"/>
              </w:rPr>
            </w:r>
          </w:p>
        </w:tc>
        <w:tc>
          <w:tcPr>
            <w:tcW w:w="1474" w:type="dxa"/>
            <w:vAlign w:val="center"/>
          </w:tcPr>
          <w:p>
            <w:pPr>
              <w:pStyle w:val="0"/>
            </w:pPr>
            <w:r>
              <w:rPr>
                <w:sz w:val="20"/>
              </w:rPr>
            </w:r>
          </w:p>
        </w:tc>
        <w:tc>
          <w:tcPr>
            <w:tcW w:w="922"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18.01.2019 N 11-П</w:t>
            <w:br/>
            <w:t>(ред. от 16.12.2022)</w:t>
            <w:br/>
            <w:t>"Об утверждении Правил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80F2450AAB4D597B85C42387A946404072C5D26CAB65DCC2ABDCD4A87B37C60BE543C1B1BB0DCE73671D8727322C1DC688DA904AC4A4B622D71Ay1w2P" TargetMode = "External"/>
	<Relationship Id="rId8" Type="http://schemas.openxmlformats.org/officeDocument/2006/relationships/hyperlink" Target="consultantplus://offline/ref=0A80F2450AAB4D597B85C42387A946404072C5D26FA464D4C8ABDCD4A87B37C60BE543C1B1BB0DCE73671D8727322C1DC688DA904AC4A4B622D71Ay1w2P" TargetMode = "External"/>
	<Relationship Id="rId9" Type="http://schemas.openxmlformats.org/officeDocument/2006/relationships/hyperlink" Target="consultantplus://offline/ref=0A80F2450AAB4D597B85DA2E91C5184A427A99DD6AA36F8A9CF48789FF723D914CAA1A86F2B10BC5273659D721647A479383C69554C6yAw1P" TargetMode = "External"/>
	<Relationship Id="rId10" Type="http://schemas.openxmlformats.org/officeDocument/2006/relationships/hyperlink" Target="consultantplus://offline/ref=0A80F2450AAB4D597B85C42387A946404072C5D26FA464D4C8ABDCD4A87B37C60BE543C1B1BB0DCE73671D8427322C1DC688DA904AC4A4B622D71Ay1w2P" TargetMode = "External"/>
	<Relationship Id="rId11" Type="http://schemas.openxmlformats.org/officeDocument/2006/relationships/hyperlink" Target="consultantplus://offline/ref=0A80F2450AAB4D597B85C42387A946404072C5D26CAB65DCC2ABDCD4A87B37C60BE543C1B1BB0DCE73671D8727322C1DC688DA904AC4A4B622D71Ay1w2P" TargetMode = "External"/>
	<Relationship Id="rId12" Type="http://schemas.openxmlformats.org/officeDocument/2006/relationships/hyperlink" Target="consultantplus://offline/ref=0A80F2450AAB4D597B85C42387A946404072C5D26FA464D4C8ABDCD4A87B37C60BE543C1B1BB0DCE73671D8527322C1DC688DA904AC4A4B622D71Ay1w2P" TargetMode = "External"/>
	<Relationship Id="rId13" Type="http://schemas.openxmlformats.org/officeDocument/2006/relationships/hyperlink" Target="consultantplus://offline/ref=0A80F2450AAB4D597B85C42387A946404072C5D26FA464D4C8ABDCD4A87B37C60BE543C1B1BB0DCE73671D8A27322C1DC688DA904AC4A4B622D71Ay1w2P" TargetMode = "External"/>
	<Relationship Id="rId14" Type="http://schemas.openxmlformats.org/officeDocument/2006/relationships/hyperlink" Target="consultantplus://offline/ref=0A80F2450AAB4D597B85C42387A946404072C5D26FA464D4C8ABDCD4A87B37C60BE543C1B1BB0DCE73671D8B27322C1DC688DA904AC4A4B622D71Ay1w2P" TargetMode = "External"/>
	<Relationship Id="rId15" Type="http://schemas.openxmlformats.org/officeDocument/2006/relationships/hyperlink" Target="consultantplus://offline/ref=0A80F2450AAB4D597B85DA2E91C5184A427D92DA6CA66F8A9CF48789FF723D914CAA1A83F5B70CC8746C49D36833705B949BD8914AC6A2AAy2w3P" TargetMode = "External"/>
	<Relationship Id="rId16" Type="http://schemas.openxmlformats.org/officeDocument/2006/relationships/hyperlink" Target="consultantplus://offline/ref=0A80F2450AAB4D597B85C42387A946404072C5D26FA464D4C8ABDCD4A87B37C60BE543C1B1BB0DCE73671C8227322C1DC688DA904AC4A4B622D71Ay1w2P" TargetMode = "External"/>
	<Relationship Id="rId17" Type="http://schemas.openxmlformats.org/officeDocument/2006/relationships/hyperlink" Target="consultantplus://offline/ref=0A80F2450AAB4D597B85C42387A946404072C5D26FA464D4C8ABDCD4A87B37C60BE543C1B1BB0DCE73671C8027322C1DC688DA904AC4A4B622D71Ay1w2P" TargetMode = "External"/>
	<Relationship Id="rId18" Type="http://schemas.openxmlformats.org/officeDocument/2006/relationships/hyperlink" Target="consultantplus://offline/ref=0A80F2450AAB4D597B85C42387A946404072C5D26FA464D4C8ABDCD4A87B37C60BE543C1B1BB0DCE73671C8127322C1DC688DA904AC4A4B622D71Ay1w2P" TargetMode = "External"/>
	<Relationship Id="rId19" Type="http://schemas.openxmlformats.org/officeDocument/2006/relationships/hyperlink" Target="consultantplus://offline/ref=0A80F2450AAB4D597B85C42387A946404072C5D26FA464D4C8ABDCD4A87B37C60BE543C1B1BB0DCE73671C8627322C1DC688DA904AC4A4B622D71Ay1w2P" TargetMode = "External"/>
	<Relationship Id="rId20" Type="http://schemas.openxmlformats.org/officeDocument/2006/relationships/hyperlink" Target="consultantplus://offline/ref=0A80F2450AAB4D597B85C42387A946404072C5D26FA464D4C8ABDCD4A87B37C60BE543C1B1BB0DCE73671C8427322C1DC688DA904AC4A4B622D71Ay1w2P" TargetMode = "External"/>
	<Relationship Id="rId21" Type="http://schemas.openxmlformats.org/officeDocument/2006/relationships/hyperlink" Target="consultantplus://offline/ref=0A80F2450AAB4D597B85C42387A946404072C5D26FA464D4C8ABDCD4A87B37C60BE543C1B1BB0DCE73671C8527322C1DC688DA904AC4A4B622D71Ay1w2P" TargetMode = "External"/>
	<Relationship Id="rId22" Type="http://schemas.openxmlformats.org/officeDocument/2006/relationships/hyperlink" Target="consultantplus://offline/ref=0A80F2450AAB4D597B85C42387A946404072C5D26FA464D4C8ABDCD4A87B37C60BE543C1B1BB0DCE73671C8A27322C1DC688DA904AC4A4B622D71Ay1w2P" TargetMode = "External"/>
	<Relationship Id="rId23" Type="http://schemas.openxmlformats.org/officeDocument/2006/relationships/hyperlink" Target="consultantplus://offline/ref=0A80F2450AAB4D597B85C42387A946404072C5D26FA464D4C8ABDCD4A87B37C60BE543C1B1BB0DCE73671C8B27322C1DC688DA904AC4A4B622D71Ay1w2P" TargetMode = "External"/>
	<Relationship Id="rId24" Type="http://schemas.openxmlformats.org/officeDocument/2006/relationships/hyperlink" Target="consultantplus://offline/ref=0A80F2450AAB4D597B85C42387A946404072C5D26FA464D4C8ABDCD4A87B37C60BE543C1B1BB0DCE73671F8327322C1DC688DA904AC4A4B622D71Ay1w2P" TargetMode = "External"/>
	<Relationship Id="rId25" Type="http://schemas.openxmlformats.org/officeDocument/2006/relationships/hyperlink" Target="consultantplus://offline/ref=0A80F2450AAB4D597B85C42387A946404072C5D26FA464D4C8ABDCD4A87B37C60BE543C1B1BB0DCE73671F8027322C1DC688DA904AC4A4B622D71Ay1w2P" TargetMode = "External"/>
	<Relationship Id="rId26" Type="http://schemas.openxmlformats.org/officeDocument/2006/relationships/hyperlink" Target="consultantplus://offline/ref=0A80F2450AAB4D597B85C42387A946404072C5D26FA464D4C8ABDCD4A87B37C60BE543C1B1BB0DCE73671F8127322C1DC688DA904AC4A4B622D71Ay1w2P" TargetMode = "External"/>
	<Relationship Id="rId27" Type="http://schemas.openxmlformats.org/officeDocument/2006/relationships/hyperlink" Target="consultantplus://offline/ref=0A80F2450AAB4D597B85C42387A946404072C5D26FA464D4C8ABDCD4A87B37C60BE543C1B1BB0DCE73671F8627322C1DC688DA904AC4A4B622D71Ay1w2P" TargetMode = "External"/>
	<Relationship Id="rId28" Type="http://schemas.openxmlformats.org/officeDocument/2006/relationships/hyperlink" Target="consultantplus://offline/ref=0A80F2450AAB4D597B85C42387A946404072C5D26FA464D4C8ABDCD4A87B37C60BE543C1B1BB0DCE73671F8727322C1DC688DA904AC4A4B622D71Ay1w2P" TargetMode = "External"/>
	<Relationship Id="rId29" Type="http://schemas.openxmlformats.org/officeDocument/2006/relationships/hyperlink" Target="consultantplus://offline/ref=0A80F2450AAB4D597B85C42387A946404072C5D26FA464D4C8ABDCD4A87B37C60BE543C1B1BB0DCE73671F8527322C1DC688DA904AC4A4B622D71Ay1w2P" TargetMode = "External"/>
	<Relationship Id="rId30" Type="http://schemas.openxmlformats.org/officeDocument/2006/relationships/hyperlink" Target="consultantplus://offline/ref=0A80F2450AAB4D597B85C42387A946404072C5D26FA464D4C8ABDCD4A87B37C60BE543C1B1BB0DCE73671F8A27322C1DC688DA904AC4A4B622D71Ay1w2P" TargetMode = "External"/>
	<Relationship Id="rId31" Type="http://schemas.openxmlformats.org/officeDocument/2006/relationships/hyperlink" Target="consultantplus://offline/ref=0A80F2450AAB4D597B85C42387A946404072C5D26FA464D4C8ABDCD4A87B37C60BE543C1B1BB0DCE73671E8227322C1DC688DA904AC4A4B622D71Ay1w2P" TargetMode = "External"/>
	<Relationship Id="rId32" Type="http://schemas.openxmlformats.org/officeDocument/2006/relationships/hyperlink" Target="consultantplus://offline/ref=0A80F2450AAB4D597B85C42387A946404072C5D26FA464D4C8ABDCD4A87B37C60BE543C1B1BB0DCE73671E8327322C1DC688DA904AC4A4B622D71Ay1w2P" TargetMode = "External"/>
	<Relationship Id="rId33" Type="http://schemas.openxmlformats.org/officeDocument/2006/relationships/hyperlink" Target="consultantplus://offline/ref=0A80F2450AAB4D597B85C42387A946404072C5D26FA464D4C8ABDCD4A87B37C60BE543C1B1BB0DCE73671E8627322C1DC688DA904AC4A4B622D71Ay1w2P" TargetMode = "External"/>
	<Relationship Id="rId34" Type="http://schemas.openxmlformats.org/officeDocument/2006/relationships/hyperlink" Target="consultantplus://offline/ref=0A80F2450AAB4D597B85C42387A946404072C5D26FA464D4C8ABDCD4A87B37C60BE543C1B1BB0DCE73671E8727322C1DC688DA904AC4A4B622D71Ay1w2P" TargetMode = "External"/>
	<Relationship Id="rId35" Type="http://schemas.openxmlformats.org/officeDocument/2006/relationships/hyperlink" Target="consultantplus://offline/ref=0A80F2450AAB4D597B85C42387A946404072C5D26FA464D4C8ABDCD4A87B37C60BE543C1B1BB0DCE73671E8427322C1DC688DA904AC4A4B622D71Ay1w2P" TargetMode = "External"/>
	<Relationship Id="rId36" Type="http://schemas.openxmlformats.org/officeDocument/2006/relationships/hyperlink" Target="consultantplus://offline/ref=0A80F2450AAB4D597B85C42387A946404072C5D26FA464D4C8ABDCD4A87B37C60BE543C1B1BB0DCE73671E8527322C1DC688DA904AC4A4B622D71Ay1w2P" TargetMode = "External"/>
	<Relationship Id="rId37" Type="http://schemas.openxmlformats.org/officeDocument/2006/relationships/hyperlink" Target="consultantplus://offline/ref=0A80F2450AAB4D597B85C42387A946404072C5D26FA464D4C8ABDCD4A87B37C60BE543C1B1BB0DCE73671E8A27322C1DC688DA904AC4A4B622D71Ay1w2P" TargetMode = "External"/>
	<Relationship Id="rId38" Type="http://schemas.openxmlformats.org/officeDocument/2006/relationships/hyperlink" Target="consultantplus://offline/ref=0A80F2450AAB4D597B85C42387A946404072C5D26FA464D4C8ABDCD4A87B37C60BE543C1B1BB0DCE7367198227322C1DC688DA904AC4A4B622D71Ay1w2P" TargetMode = "External"/>
	<Relationship Id="rId39" Type="http://schemas.openxmlformats.org/officeDocument/2006/relationships/hyperlink" Target="consultantplus://offline/ref=0A80F2450AAB4D597B85DA2E91C5184A427A99DD6AA36F8A9CF48789FF723D914CAA1A81F2B608C5273659D721647A479383C69554C6yAw1P" TargetMode = "External"/>
	<Relationship Id="rId40" Type="http://schemas.openxmlformats.org/officeDocument/2006/relationships/hyperlink" Target="consultantplus://offline/ref=0A80F2450AAB4D597B85DA2E91C5184A427A99DD6AA36F8A9CF48789FF723D914CAA1A81F2B40EC5273659D721647A479383C69554C6yAw1P" TargetMode = "External"/>
	<Relationship Id="rId41" Type="http://schemas.openxmlformats.org/officeDocument/2006/relationships/hyperlink" Target="consultantplus://offline/ref=0A80F2450AAB4D597B85C42387A946404072C5D26FA464D4C8ABDCD4A87B37C60BE543C1B1BB0DCE7367198027322C1DC688DA904AC4A4B622D71Ay1w2P" TargetMode = "External"/>
	<Relationship Id="rId42" Type="http://schemas.openxmlformats.org/officeDocument/2006/relationships/hyperlink" Target="consultantplus://offline/ref=0A80F2450AAB4D597B85DA2E91C5184A427A99DD6AA36F8A9CF48789FF723D914CAA1A81F2B608C5273659D721647A479383C69554C6yAw1P" TargetMode = "External"/>
	<Relationship Id="rId43" Type="http://schemas.openxmlformats.org/officeDocument/2006/relationships/hyperlink" Target="consultantplus://offline/ref=0A80F2450AAB4D597B85DA2E91C5184A427A99DD6AA36F8A9CF48789FF723D914CAA1A81F2B40EC5273659D721647A479383C69554C6yAw1P" TargetMode = "External"/>
	<Relationship Id="rId44" Type="http://schemas.openxmlformats.org/officeDocument/2006/relationships/hyperlink" Target="consultantplus://offline/ref=0A80F2450AAB4D597B85C42387A946404072C5D26FA464D4C8ABDCD4A87B37C60BE543C1B1BB0DCE7367198127322C1DC688DA904AC4A4B622D71Ay1w2P" TargetMode = "External"/>
	<Relationship Id="rId45" Type="http://schemas.openxmlformats.org/officeDocument/2006/relationships/hyperlink" Target="consultantplus://offline/ref=0A80F2450AAB4D597B85C42387A946404072C5D26FA464D4C8ABDCD4A87B37C60BE543C1B1BB0DCE7367198727322C1DC688DA904AC4A4B622D71Ay1w2P" TargetMode = "External"/>
	<Relationship Id="rId46" Type="http://schemas.openxmlformats.org/officeDocument/2006/relationships/hyperlink" Target="consultantplus://offline/ref=0A80F2450AAB4D597B85C42387A946404072C5D26FA464D4C8ABDCD4A87B37C60BE543C1B1BB0DCE7367198427322C1DC688DA904AC4A4B622D71Ay1w2P" TargetMode = "External"/>
	<Relationship Id="rId47" Type="http://schemas.openxmlformats.org/officeDocument/2006/relationships/hyperlink" Target="consultantplus://offline/ref=0A80F2450AAB4D597B85C42387A946404072C5D26FA464D4C8ABDCD4A87B37C60BE543C1B1BB0DCE7367188227322C1DC688DA904AC4A4B622D71Ay1w2P" TargetMode = "External"/>
	<Relationship Id="rId48" Type="http://schemas.openxmlformats.org/officeDocument/2006/relationships/hyperlink" Target="consultantplus://offline/ref=0A80F2450AAB4D597B85C42387A946404072C5D26FA464D4C8ABDCD4A87B37C60BE543C1B1BB0DCE73671B8027322C1DC688DA904AC4A4B622D71Ay1w2P" TargetMode = "External"/>
	<Relationship Id="rId49" Type="http://schemas.openxmlformats.org/officeDocument/2006/relationships/hyperlink" Target="consultantplus://offline/ref=0A80F2450AAB4D597B85C42387A946404072C5D26FA464D4C8ABDCD4A87B37C60BE543C1B1BB0DCE7367188027322C1DC688DA904AC4A4B622D71Ay1w2P" TargetMode = "External"/>
	<Relationship Id="rId50" Type="http://schemas.openxmlformats.org/officeDocument/2006/relationships/hyperlink" Target="consultantplus://offline/ref=0A80F2450AAB4D597B85C42387A946404072C5D26FA464D4C8ABDCD4A87B37C60BE543C1B1BB0DCE7367188627322C1DC688DA904AC4A4B622D71Ay1w2P" TargetMode = "External"/>
	<Relationship Id="rId51" Type="http://schemas.openxmlformats.org/officeDocument/2006/relationships/hyperlink" Target="consultantplus://offline/ref=0A80F2450AAB4D597B85C42387A946404072C5D26FA464D4C8ABDCD4A87B37C60BE543C1B1BB0DCE7367188B27322C1DC688DA904AC4A4B622D71Ay1w2P" TargetMode = "External"/>
	<Relationship Id="rId52" Type="http://schemas.openxmlformats.org/officeDocument/2006/relationships/hyperlink" Target="consultantplus://offline/ref=0A80F2450AAB4D597B85C42387A946404072C5D26FA464D4C8ABDCD4A87B37C60BE543C1B1BB0DCE73671B8327322C1DC688DA904AC4A4B622D71Ay1w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18.01.2019 N 11-П
(ред. от 16.12.2022)
"Об утверждении Правил предоставления грантов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dc:title>
  <dcterms:created xsi:type="dcterms:W3CDTF">2023-06-27T15:48:50Z</dcterms:created>
</cp:coreProperties>
</file>